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E8C6F8">
      <w:pPr>
        <w:jc w:val="center"/>
        <w:rPr>
          <w:rFonts w:hint="eastAsia" w:ascii="Times New Roman" w:hAnsi="Times New Roman" w:eastAsia="宋体" w:cs="Times New Roman"/>
          <w:color w:val="auto"/>
          <w:sz w:val="72"/>
          <w:szCs w:val="72"/>
          <w:highlight w:val="none"/>
          <w:lang w:eastAsia="zh-CN"/>
        </w:rPr>
      </w:pPr>
      <w:bookmarkStart w:id="0" w:name="_Toc10516"/>
      <w:bookmarkStart w:id="1" w:name="_Toc27577"/>
      <w:bookmarkStart w:id="2" w:name="_Toc18270"/>
      <w:bookmarkStart w:id="39" w:name="_GoBack"/>
      <w:bookmarkEnd w:id="39"/>
    </w:p>
    <w:p w14:paraId="7CC7F049">
      <w:pP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14:paraId="134372A6">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4EFB4681">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095C1BCB">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3BF6B514">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3FC864DD">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778B3655">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53D27FD5">
      <w:pPr>
        <w:ind w:firstLine="1040"/>
        <w:rPr>
          <w:rFonts w:hint="default" w:ascii="Times New Roman" w:hAnsi="Times New Roman" w:eastAsia="宋体" w:cs="Times New Roman"/>
          <w:color w:val="auto"/>
          <w:sz w:val="44"/>
          <w:szCs w:val="44"/>
          <w:highlight w:val="none"/>
        </w:rPr>
      </w:pPr>
    </w:p>
    <w:p w14:paraId="2E874B1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寻甸县瀛瑞综合型农产品加工项目</w:t>
      </w:r>
    </w:p>
    <w:p w14:paraId="10DF90C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云南</w:t>
      </w:r>
      <w:r>
        <w:rPr>
          <w:rFonts w:hint="eastAsia" w:cs="Times New Roman"/>
          <w:color w:val="auto"/>
          <w:sz w:val="36"/>
          <w:szCs w:val="36"/>
          <w:highlight w:val="none"/>
          <w:u w:val="single"/>
          <w:lang w:val="en-US" w:eastAsia="zh-CN"/>
        </w:rPr>
        <w:t>瀛瑞食品</w:t>
      </w:r>
      <w:r>
        <w:rPr>
          <w:rFonts w:hint="default" w:ascii="Times New Roman" w:hAnsi="Times New Roman" w:eastAsia="宋体" w:cs="Times New Roman"/>
          <w:color w:val="auto"/>
          <w:sz w:val="36"/>
          <w:szCs w:val="36"/>
          <w:highlight w:val="none"/>
          <w:u w:val="single"/>
          <w:lang w:val="en-US" w:eastAsia="zh-CN"/>
        </w:rPr>
        <w:t xml:space="preserve">有限公司 </w:t>
      </w:r>
    </w:p>
    <w:p w14:paraId="2101CD4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eastAsia" w:cs="Times New Roman"/>
          <w:color w:val="auto"/>
          <w:sz w:val="36"/>
          <w:szCs w:val="36"/>
          <w:highlight w:val="none"/>
          <w:u w:val="single"/>
          <w:lang w:val="en-US" w:eastAsia="zh-CN"/>
        </w:rPr>
        <w:t>4</w:t>
      </w:r>
      <w:r>
        <w:rPr>
          <w:rFonts w:hint="default" w:ascii="Times New Roman" w:hAnsi="Times New Roman" w:eastAsia="宋体" w:cs="Times New Roman"/>
          <w:color w:val="auto"/>
          <w:sz w:val="36"/>
          <w:szCs w:val="36"/>
          <w:highlight w:val="none"/>
          <w:u w:val="single"/>
        </w:rPr>
        <w:t>年</w:t>
      </w:r>
      <w:r>
        <w:rPr>
          <w:rFonts w:hint="eastAsia" w:cs="Times New Roman"/>
          <w:color w:val="auto"/>
          <w:sz w:val="36"/>
          <w:szCs w:val="36"/>
          <w:highlight w:val="none"/>
          <w:u w:val="single"/>
          <w:lang w:val="en-US" w:eastAsia="zh-CN"/>
        </w:rPr>
        <w:t>02</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14:paraId="071D58F6">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14:paraId="5B871AB4">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5DE6D4F1">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3BBF0B95">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14:paraId="434A3373">
      <w:pPr>
        <w:adjustRightInd w:val="0"/>
        <w:snapToGrid w:val="0"/>
        <w:spacing w:line="288" w:lineRule="auto"/>
        <w:rPr>
          <w:rFonts w:hint="default" w:ascii="Times New Roman" w:hAnsi="Times New Roman" w:eastAsia="宋体" w:cs="Times New Roman"/>
          <w:color w:val="auto"/>
          <w:sz w:val="36"/>
          <w:szCs w:val="36"/>
          <w:highlight w:val="none"/>
          <w:u w:val="single"/>
        </w:rPr>
      </w:pPr>
    </w:p>
    <w:p w14:paraId="1019FE8D">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14:paraId="08573F96">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3C2C2458">
      <w:pP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5E6D3F2E">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C44F553">
      <w:pP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14:paraId="17D4D48A">
      <w:pPr>
        <w:pStyle w:val="19"/>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65DF2253">
      <w:pPr>
        <w:pStyle w:val="19"/>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29</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4E513509">
      <w:pPr>
        <w:pStyle w:val="19"/>
        <w:keepNext w:val="0"/>
        <w:keepLines w:val="0"/>
        <w:pageBreakBefore w:val="0"/>
        <w:tabs>
          <w:tab w:val="right" w:leader="dot" w:pos="8844"/>
        </w:tabs>
        <w:kinsoku/>
        <w:wordWrap/>
        <w:overflowPunct/>
        <w:topLinePunct w:val="0"/>
        <w:autoSpaceDE/>
        <w:autoSpaceDN/>
        <w:bidi w:val="0"/>
        <w:spacing w:line="360" w:lineRule="auto"/>
        <w:textAlignment w:val="auto"/>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eastAsia" w:cs="Times New Roman"/>
          <w:color w:val="auto"/>
          <w:sz w:val="28"/>
          <w:szCs w:val="28"/>
          <w:highlight w:val="none"/>
          <w:lang w:val="en-US" w:eastAsia="zh-CN"/>
        </w:rPr>
        <w:t>6</w:t>
      </w:r>
      <w:r>
        <w:rPr>
          <w:rFonts w:hint="default" w:ascii="Times New Roman" w:hAnsi="Times New Roman" w:eastAsia="宋体" w:cs="Times New Roman"/>
          <w:bCs/>
          <w:color w:val="auto"/>
          <w:sz w:val="28"/>
          <w:szCs w:val="28"/>
          <w:highlight w:val="none"/>
        </w:rPr>
        <w:fldChar w:fldCharType="end"/>
      </w:r>
      <w:r>
        <w:rPr>
          <w:rFonts w:hint="eastAsia" w:cs="Times New Roman"/>
          <w:bCs/>
          <w:color w:val="auto"/>
          <w:sz w:val="28"/>
          <w:szCs w:val="28"/>
          <w:highlight w:val="none"/>
          <w:lang w:val="en-US" w:eastAsia="zh-CN"/>
        </w:rPr>
        <w:t>0</w:t>
      </w:r>
    </w:p>
    <w:p w14:paraId="10E915C3">
      <w:pPr>
        <w:pStyle w:val="19"/>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71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7F81876B">
      <w:pPr>
        <w:pStyle w:val="19"/>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123</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62FC38CF">
      <w:pPr>
        <w:pStyle w:val="19"/>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126</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7D1E09C9">
      <w:pPr>
        <w:pStyle w:val="19"/>
        <w:keepNext w:val="0"/>
        <w:keepLines w:val="0"/>
        <w:pageBreakBefore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127</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14:paraId="37113A00">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14:paraId="578284A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14:paraId="03E276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14:paraId="101C92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附件2：公司营业执照；</w:t>
      </w:r>
    </w:p>
    <w:p w14:paraId="001A4B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14:paraId="5FB333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附件4：</w:t>
      </w:r>
      <w:r>
        <w:rPr>
          <w:rFonts w:hint="eastAsia" w:cs="Times New Roman"/>
          <w:color w:val="auto"/>
          <w:sz w:val="24"/>
          <w:szCs w:val="24"/>
          <w:highlight w:val="none"/>
          <w:lang w:val="en-US" w:eastAsia="zh-CN"/>
        </w:rPr>
        <w:t>投资服务协议书</w:t>
      </w:r>
      <w:r>
        <w:rPr>
          <w:rFonts w:hint="default" w:ascii="Times New Roman" w:hAnsi="Times New Roman" w:eastAsia="宋体" w:cs="Times New Roman"/>
          <w:color w:val="auto"/>
          <w:sz w:val="24"/>
          <w:szCs w:val="24"/>
          <w:highlight w:val="none"/>
          <w:lang w:val="en-US" w:eastAsia="zh-CN"/>
        </w:rPr>
        <w:t>；</w:t>
      </w:r>
    </w:p>
    <w:p w14:paraId="7633F2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14:paraId="6E6503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附件6：入园同意书；</w:t>
      </w:r>
    </w:p>
    <w:p w14:paraId="19BFE6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附件7：生物质成分检测报告；</w:t>
      </w:r>
    </w:p>
    <w:p w14:paraId="3209F9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附件8：引用环境质量现状监测报告；</w:t>
      </w:r>
    </w:p>
    <w:p w14:paraId="1123F266">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附件9：</w:t>
      </w:r>
      <w:r>
        <w:rPr>
          <w:rFonts w:hint="default" w:ascii="Times New Roman" w:hAnsi="Times New Roman" w:eastAsia="宋体" w:cs="Times New Roman"/>
          <w:bCs/>
          <w:color w:val="auto"/>
          <w:szCs w:val="24"/>
          <w:highlight w:val="none"/>
        </w:rPr>
        <w:t>昆明市生态环境局</w:t>
      </w:r>
      <w:r>
        <w:rPr>
          <w:rFonts w:hint="default" w:ascii="Times New Roman" w:hAnsi="Times New Roman" w:eastAsia="宋体" w:cs="Times New Roman"/>
          <w:color w:val="auto"/>
          <w:highlight w:val="none"/>
        </w:rPr>
        <w:t>关于《云南寻甸产业园区总体规划修编（2021-2035）环境影响报告书》审查意见的函（昆环审[2023]5号）</w:t>
      </w:r>
      <w:r>
        <w:rPr>
          <w:rFonts w:hint="default" w:ascii="Times New Roman" w:hAnsi="Times New Roman" w:eastAsia="宋体" w:cs="Times New Roman"/>
          <w:color w:val="auto"/>
          <w:kern w:val="2"/>
          <w:sz w:val="24"/>
          <w:szCs w:val="24"/>
          <w:highlight w:val="none"/>
          <w:lang w:val="en-US" w:eastAsia="zh-CN" w:bidi="ar-SA"/>
        </w:rPr>
        <w:t>；</w:t>
      </w:r>
    </w:p>
    <w:p w14:paraId="4A8D7E08">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10：污水接纳证明；</w:t>
      </w:r>
    </w:p>
    <w:p w14:paraId="07F47D47">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附件11：承诺书；</w:t>
      </w:r>
    </w:p>
    <w:p w14:paraId="1781B7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12：噪声现状检测报告</w:t>
      </w:r>
      <w:r>
        <w:rPr>
          <w:rFonts w:hint="eastAsia" w:cs="Times New Roman"/>
          <w:color w:val="auto"/>
          <w:sz w:val="24"/>
          <w:szCs w:val="24"/>
          <w:highlight w:val="none"/>
          <w:lang w:val="en-US" w:eastAsia="zh-CN"/>
        </w:rPr>
        <w:t>；</w:t>
      </w:r>
    </w:p>
    <w:p w14:paraId="1BD606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附件13：</w:t>
      </w:r>
      <w:r>
        <w:rPr>
          <w:rFonts w:hint="default" w:ascii="Times New Roman" w:hAnsi="Times New Roman" w:eastAsia="宋体" w:cs="Times New Roman"/>
          <w:color w:val="auto"/>
          <w:sz w:val="24"/>
          <w:szCs w:val="24"/>
          <w:highlight w:val="none"/>
          <w:lang w:val="en-US" w:eastAsia="zh-CN"/>
        </w:rPr>
        <w:t>合同、进度管理表、内审表；</w:t>
      </w:r>
    </w:p>
    <w:p w14:paraId="06C4A9FA">
      <w:pPr>
        <w:pStyle w:val="11"/>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：全本公示截图。</w:t>
      </w:r>
    </w:p>
    <w:p w14:paraId="6117F5EE">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14:paraId="6BDA972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14:paraId="5C3DD6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14:paraId="562FBD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highlight w:val="none"/>
        </w:rPr>
        <w:t>项目区水系图</w:t>
      </w:r>
      <w:r>
        <w:rPr>
          <w:rFonts w:hint="default" w:ascii="Times New Roman" w:hAnsi="Times New Roman" w:eastAsia="宋体" w:cs="Times New Roman"/>
          <w:color w:val="auto"/>
          <w:sz w:val="24"/>
          <w:szCs w:val="24"/>
          <w:highlight w:val="none"/>
          <w:lang w:val="en-US" w:eastAsia="zh-CN"/>
        </w:rPr>
        <w:t>；</w:t>
      </w:r>
    </w:p>
    <w:p w14:paraId="3A9852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14:paraId="1E6E89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附图4：项目总平面布置图</w:t>
      </w:r>
      <w:r>
        <w:rPr>
          <w:rFonts w:hint="default" w:ascii="Times New Roman" w:hAnsi="Times New Roman" w:eastAsia="宋体" w:cs="Times New Roman"/>
          <w:color w:val="auto"/>
          <w:sz w:val="24"/>
          <w:highlight w:val="none"/>
        </w:rPr>
        <w:t>；</w:t>
      </w:r>
    </w:p>
    <w:p w14:paraId="6BF32E46">
      <w:pPr>
        <w:pStyle w:val="15"/>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color w:val="auto"/>
          <w:sz w:val="24"/>
          <w:szCs w:val="24"/>
        </w:rPr>
        <w:t>附图</w:t>
      </w:r>
      <w:r>
        <w:rPr>
          <w:rFonts w:hint="eastAsia" w:ascii="Times New Roman" w:hAnsi="Times New Roman"/>
          <w:color w:val="auto"/>
          <w:sz w:val="24"/>
          <w:szCs w:val="24"/>
          <w:lang w:val="en-US" w:eastAsia="zh-CN"/>
        </w:rPr>
        <w:t>5</w:t>
      </w:r>
      <w:r>
        <w:rPr>
          <w:rFonts w:hint="eastAsia" w:ascii="Times New Roman" w:hAnsi="Times New Roman"/>
          <w:color w:val="auto"/>
          <w:sz w:val="24"/>
          <w:szCs w:val="24"/>
          <w:lang w:eastAsia="zh-CN"/>
        </w:rPr>
        <w:t>：</w:t>
      </w:r>
      <w:r>
        <w:rPr>
          <w:rFonts w:hint="eastAsia" w:ascii="Times New Roman" w:hAnsi="Times New Roman"/>
          <w:color w:val="auto"/>
          <w:sz w:val="24"/>
          <w:szCs w:val="24"/>
        </w:rPr>
        <w:t>项目与牛栏江水系环境规划关系图；</w:t>
      </w:r>
    </w:p>
    <w:p w14:paraId="51311A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附图</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w:t>
      </w:r>
      <w:r>
        <w:rPr>
          <w:rFonts w:hint="default" w:ascii="Times New Roman" w:hAnsi="Times New Roman" w:eastAsia="宋体" w:cs="Times New Roman"/>
          <w:color w:val="auto"/>
          <w:sz w:val="24"/>
        </w:rPr>
        <w:t>云南寻甸产业园区</w:t>
      </w:r>
      <w:r>
        <w:rPr>
          <w:rFonts w:hint="default" w:ascii="Times New Roman" w:hAnsi="Times New Roman" w:eastAsia="宋体" w:cs="Times New Roman"/>
          <w:color w:val="auto"/>
          <w:sz w:val="24"/>
          <w:szCs w:val="24"/>
          <w:highlight w:val="none"/>
          <w:lang w:val="en-US" w:eastAsia="zh-CN"/>
        </w:rPr>
        <w:t>的位置关系图；</w:t>
      </w:r>
    </w:p>
    <w:p w14:paraId="36472D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lang w:val="en-US" w:eastAsia="zh-CN"/>
        </w:rPr>
        <w:t>附图</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：引用项目大气</w:t>
      </w:r>
      <w:r>
        <w:rPr>
          <w:rFonts w:hint="default" w:ascii="Times New Roman" w:hAnsi="Times New Roman" w:eastAsia="宋体" w:cs="Times New Roman"/>
          <w:color w:val="auto"/>
          <w:sz w:val="24"/>
          <w:highlight w:val="none"/>
        </w:rPr>
        <w:t>环境质量现状监测点位图</w:t>
      </w:r>
      <w:r>
        <w:rPr>
          <w:rFonts w:hint="eastAsia" w:cs="Times New Roman"/>
          <w:color w:val="auto"/>
          <w:sz w:val="24"/>
          <w:highlight w:val="none"/>
          <w:lang w:eastAsia="zh-CN"/>
        </w:rPr>
        <w:t>；</w:t>
      </w:r>
    </w:p>
    <w:p w14:paraId="5CD65AD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附图</w:t>
      </w:r>
      <w:r>
        <w:rPr>
          <w:rFonts w:hint="eastAsia" w:cs="Times New Roman"/>
          <w:color w:val="auto"/>
          <w:sz w:val="24"/>
          <w:highlight w:val="none"/>
          <w:lang w:val="en-US" w:eastAsia="zh-CN"/>
        </w:rPr>
        <w:t>8：项目区与牛栏江（寻甸段）水环境保护分区位置关系图。</w:t>
      </w:r>
    </w:p>
    <w:p w14:paraId="100824A3">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14:paraId="0F02086B">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1474AA01">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6"/>
        <w:tblW w:w="91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7"/>
        <w:gridCol w:w="719"/>
        <w:gridCol w:w="2186"/>
        <w:gridCol w:w="1725"/>
        <w:gridCol w:w="3855"/>
      </w:tblGrid>
      <w:tr w14:paraId="2A5D7F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356" w:type="dxa"/>
            <w:gridSpan w:val="2"/>
            <w:tcMar>
              <w:top w:w="16" w:type="dxa"/>
              <w:left w:w="16" w:type="dxa"/>
              <w:right w:w="16" w:type="dxa"/>
            </w:tcMar>
            <w:vAlign w:val="center"/>
          </w:tcPr>
          <w:p w14:paraId="6AF68B6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766" w:type="dxa"/>
            <w:gridSpan w:val="3"/>
            <w:vAlign w:val="center"/>
          </w:tcPr>
          <w:p w14:paraId="7B7A48E4">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寻甸县瀛瑞综合型农产品加工项目</w:t>
            </w:r>
          </w:p>
        </w:tc>
      </w:tr>
      <w:tr w14:paraId="2A93C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356" w:type="dxa"/>
            <w:gridSpan w:val="2"/>
            <w:tcMar>
              <w:top w:w="16" w:type="dxa"/>
              <w:left w:w="16" w:type="dxa"/>
              <w:right w:w="16" w:type="dxa"/>
            </w:tcMar>
            <w:vAlign w:val="center"/>
          </w:tcPr>
          <w:p w14:paraId="0CED0FD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766" w:type="dxa"/>
            <w:gridSpan w:val="3"/>
            <w:vAlign w:val="center"/>
          </w:tcPr>
          <w:p w14:paraId="7FD20E7F">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-530129-04-0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419636</w:t>
            </w:r>
          </w:p>
        </w:tc>
      </w:tr>
      <w:tr w14:paraId="3D435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356" w:type="dxa"/>
            <w:gridSpan w:val="2"/>
            <w:tcMar>
              <w:top w:w="16" w:type="dxa"/>
              <w:left w:w="16" w:type="dxa"/>
              <w:right w:w="16" w:type="dxa"/>
            </w:tcMar>
            <w:vAlign w:val="center"/>
          </w:tcPr>
          <w:p w14:paraId="33ACC2FC">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86" w:type="dxa"/>
            <w:vAlign w:val="center"/>
          </w:tcPr>
          <w:p w14:paraId="33F88A30">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1725" w:type="dxa"/>
            <w:vAlign w:val="center"/>
          </w:tcPr>
          <w:p w14:paraId="0AAFB243">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3855" w:type="dxa"/>
            <w:vAlign w:val="center"/>
          </w:tcPr>
          <w:p w14:paraId="0DBE1008">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14:paraId="5E60B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356" w:type="dxa"/>
            <w:gridSpan w:val="2"/>
            <w:tcMar>
              <w:top w:w="16" w:type="dxa"/>
              <w:left w:w="16" w:type="dxa"/>
              <w:right w:w="16" w:type="dxa"/>
            </w:tcMar>
            <w:vAlign w:val="center"/>
          </w:tcPr>
          <w:p w14:paraId="14BCFC1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766" w:type="dxa"/>
            <w:gridSpan w:val="3"/>
            <w:vAlign w:val="center"/>
          </w:tcPr>
          <w:p w14:paraId="1ED1E707">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p>
        </w:tc>
      </w:tr>
      <w:tr w14:paraId="384B3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356" w:type="dxa"/>
            <w:gridSpan w:val="2"/>
            <w:tcMar>
              <w:top w:w="16" w:type="dxa"/>
              <w:left w:w="16" w:type="dxa"/>
              <w:right w:w="16" w:type="dxa"/>
            </w:tcMar>
            <w:vAlign w:val="center"/>
          </w:tcPr>
          <w:p w14:paraId="4346B99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766" w:type="dxa"/>
            <w:gridSpan w:val="3"/>
            <w:vAlign w:val="center"/>
          </w:tcPr>
          <w:p w14:paraId="2A248912">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0</w:t>
            </w:r>
            <w:r>
              <w:rPr>
                <w:rFonts w:hint="default" w:ascii="Times New Roman" w:hAnsi="Times New Roman" w:eastAsia="宋体" w:cs="Times New Roman"/>
                <w:color w:val="auto"/>
                <w:sz w:val="24"/>
                <w:szCs w:val="24"/>
                <w:highlight w:val="none"/>
                <w:u w:val="single"/>
                <w:lang w:val="en-US" w:eastAsia="zh-CN"/>
              </w:rPr>
              <w:t>7</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5</w:t>
            </w:r>
            <w:r>
              <w:rPr>
                <w:rFonts w:hint="eastAsia" w:cs="Times New Roman"/>
                <w:color w:val="auto"/>
                <w:sz w:val="24"/>
                <w:szCs w:val="24"/>
                <w:highlight w:val="none"/>
                <w:u w:val="single"/>
                <w:lang w:val="en-US" w:eastAsia="zh-CN"/>
              </w:rPr>
              <w:t>1.175</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26</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6.137</w:t>
            </w:r>
            <w:r>
              <w:rPr>
                <w:rFonts w:hint="default" w:ascii="Times New Roman" w:hAnsi="Times New Roman" w:eastAsia="宋体" w:cs="Times New Roman"/>
                <w:color w:val="auto"/>
                <w:sz w:val="24"/>
                <w:szCs w:val="24"/>
                <w:highlight w:val="none"/>
              </w:rPr>
              <w:t>秒）</w:t>
            </w:r>
          </w:p>
        </w:tc>
      </w:tr>
      <w:tr w14:paraId="2ADDA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56" w:type="dxa"/>
            <w:gridSpan w:val="2"/>
            <w:tcMar>
              <w:top w:w="16" w:type="dxa"/>
              <w:left w:w="16" w:type="dxa"/>
              <w:right w:w="16" w:type="dxa"/>
            </w:tcMar>
            <w:vAlign w:val="center"/>
          </w:tcPr>
          <w:p w14:paraId="4D6860B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3687B0F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86" w:type="dxa"/>
            <w:vAlign w:val="center"/>
          </w:tcPr>
          <w:p w14:paraId="385FEDC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olor w:val="auto"/>
                <w:sz w:val="24"/>
                <w:lang w:eastAsia="zh-CN"/>
              </w:rPr>
              <w:t>其他饲料加工</w:t>
            </w:r>
            <w:r>
              <w:rPr>
                <w:color w:val="auto"/>
                <w:sz w:val="24"/>
              </w:rPr>
              <w:t>（C</w:t>
            </w:r>
            <w:r>
              <w:rPr>
                <w:rFonts w:hint="eastAsia"/>
                <w:color w:val="auto"/>
                <w:sz w:val="24"/>
              </w:rPr>
              <w:t>13</w:t>
            </w:r>
            <w:r>
              <w:rPr>
                <w:rFonts w:hint="eastAsia"/>
                <w:color w:val="auto"/>
                <w:sz w:val="24"/>
                <w:lang w:val="en-US" w:eastAsia="zh-CN"/>
              </w:rPr>
              <w:t>29</w:t>
            </w:r>
            <w:r>
              <w:rPr>
                <w:color w:val="auto"/>
                <w:sz w:val="24"/>
              </w:rPr>
              <w:t>）</w:t>
            </w:r>
            <w:r>
              <w:rPr>
                <w:rFonts w:hint="eastAsia"/>
                <w:color w:val="auto"/>
                <w:sz w:val="24"/>
                <w:lang w:eastAsia="zh-CN"/>
              </w:rPr>
              <w:t>、肉制品及副产品</w:t>
            </w:r>
            <w:r>
              <w:rPr>
                <w:rFonts w:hint="eastAsia"/>
                <w:color w:val="auto"/>
                <w:sz w:val="24"/>
              </w:rPr>
              <w:t>加工</w:t>
            </w:r>
            <w:r>
              <w:rPr>
                <w:color w:val="auto"/>
                <w:sz w:val="24"/>
              </w:rPr>
              <w:t>（C</w:t>
            </w:r>
            <w:r>
              <w:rPr>
                <w:rFonts w:hint="eastAsia"/>
                <w:color w:val="auto"/>
                <w:sz w:val="24"/>
              </w:rPr>
              <w:t>13</w:t>
            </w:r>
            <w:r>
              <w:rPr>
                <w:rFonts w:hint="eastAsia"/>
                <w:color w:val="auto"/>
                <w:sz w:val="24"/>
                <w:lang w:val="en-US" w:eastAsia="zh-CN"/>
              </w:rPr>
              <w:t>53</w:t>
            </w:r>
            <w:r>
              <w:rPr>
                <w:color w:val="auto"/>
                <w:sz w:val="24"/>
              </w:rPr>
              <w:t>）</w:t>
            </w:r>
            <w:r>
              <w:rPr>
                <w:rFonts w:hint="eastAsia"/>
                <w:color w:val="auto"/>
                <w:sz w:val="24"/>
                <w:lang w:eastAsia="zh-CN"/>
              </w:rPr>
              <w:t>、</w:t>
            </w:r>
            <w:r>
              <w:rPr>
                <w:rFonts w:hint="default" w:ascii="Times New Roman" w:hAnsi="Times New Roman" w:eastAsia="宋体" w:cs="Times New Roman"/>
                <w:color w:val="auto"/>
                <w:sz w:val="24"/>
                <w:szCs w:val="24"/>
                <w:highlight w:val="none"/>
                <w:lang w:val="en-US" w:eastAsia="zh-CN"/>
              </w:rPr>
              <w:t>热力生产和供应（D4430）</w:t>
            </w:r>
          </w:p>
        </w:tc>
        <w:tc>
          <w:tcPr>
            <w:tcW w:w="1725" w:type="dxa"/>
            <w:vAlign w:val="center"/>
          </w:tcPr>
          <w:p w14:paraId="021CE348">
            <w:pP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14:paraId="312CC51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3855" w:type="dxa"/>
            <w:vAlign w:val="center"/>
          </w:tcPr>
          <w:p w14:paraId="5540D14A">
            <w:pPr>
              <w:adjustRightInd/>
              <w:snapToGrid/>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十、</w:t>
            </w:r>
            <w:r>
              <w:rPr>
                <w:rFonts w:hint="eastAsia" w:cs="Times New Roman"/>
                <w:color w:val="auto"/>
                <w:sz w:val="24"/>
                <w:szCs w:val="24"/>
                <w:highlight w:val="none"/>
                <w:lang w:val="en-US" w:eastAsia="zh-CN"/>
              </w:rPr>
              <w:t>农副食品加工</w:t>
            </w:r>
            <w:r>
              <w:rPr>
                <w:rFonts w:hint="default" w:ascii="Times New Roman" w:hAnsi="Times New Roman" w:eastAsia="宋体" w:cs="Times New Roman"/>
                <w:color w:val="auto"/>
                <w:sz w:val="24"/>
                <w:szCs w:val="24"/>
                <w:highlight w:val="none"/>
                <w:lang w:val="en-US" w:eastAsia="zh-CN"/>
              </w:rPr>
              <w:t>业</w:t>
            </w:r>
            <w:r>
              <w:rPr>
                <w:rFonts w:hint="eastAsia" w:cs="Times New Roman"/>
                <w:color w:val="auto"/>
                <w:sz w:val="24"/>
                <w:szCs w:val="24"/>
                <w:highlight w:val="none"/>
                <w:lang w:val="en-US" w:eastAsia="zh-CN"/>
              </w:rPr>
              <w:t>13-15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饲料加工</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lang w:val="en-US" w:eastAsia="zh-CN"/>
              </w:rPr>
              <w:t>；十、</w:t>
            </w:r>
            <w:r>
              <w:rPr>
                <w:rFonts w:hint="eastAsia" w:cs="Times New Roman"/>
                <w:color w:val="auto"/>
                <w:sz w:val="24"/>
                <w:szCs w:val="24"/>
                <w:highlight w:val="none"/>
                <w:lang w:val="en-US" w:eastAsia="zh-CN"/>
              </w:rPr>
              <w:t>农副食品加工</w:t>
            </w:r>
            <w:r>
              <w:rPr>
                <w:rFonts w:hint="default" w:ascii="Times New Roman" w:hAnsi="Times New Roman" w:eastAsia="宋体" w:cs="Times New Roman"/>
                <w:color w:val="auto"/>
                <w:sz w:val="24"/>
                <w:szCs w:val="24"/>
                <w:highlight w:val="none"/>
                <w:lang w:val="en-US" w:eastAsia="zh-CN"/>
              </w:rPr>
              <w:t>业</w:t>
            </w:r>
            <w:r>
              <w:rPr>
                <w:rFonts w:hint="eastAsia" w:ascii="Times New Roman" w:hAnsi="Times New Roman" w:eastAsia="宋体" w:cs="Times New Roman"/>
                <w:color w:val="auto"/>
                <w:sz w:val="24"/>
                <w:szCs w:val="24"/>
                <w:highlight w:val="none"/>
                <w:lang w:val="en-US" w:eastAsia="zh-CN"/>
              </w:rPr>
              <w:t>13-18</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屠宰及肉类加工135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default" w:ascii="Times New Roman" w:hAnsi="Times New Roman" w:eastAsia="宋体" w:cs="Times New Roman"/>
                <w:color w:val="auto"/>
                <w:sz w:val="24"/>
                <w:szCs w:val="24"/>
                <w:highlight w:val="none"/>
                <w:lang w:eastAsia="zh-CN"/>
              </w:rPr>
              <w:t>；</w:t>
            </w:r>
          </w:p>
        </w:tc>
      </w:tr>
      <w:tr w14:paraId="61339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56" w:type="dxa"/>
            <w:gridSpan w:val="2"/>
            <w:tcMar>
              <w:top w:w="16" w:type="dxa"/>
              <w:left w:w="16" w:type="dxa"/>
              <w:right w:w="16" w:type="dxa"/>
            </w:tcMar>
            <w:vAlign w:val="center"/>
          </w:tcPr>
          <w:p w14:paraId="580C9AA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86" w:type="dxa"/>
            <w:vAlign w:val="center"/>
          </w:tcPr>
          <w:p w14:paraId="4D8DBF42">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101C5AFD">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14:paraId="63A28D8C">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14:paraId="7C3E997A">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725" w:type="dxa"/>
            <w:vAlign w:val="center"/>
          </w:tcPr>
          <w:p w14:paraId="097A0E5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7D4402F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3855" w:type="dxa"/>
            <w:vAlign w:val="center"/>
          </w:tcPr>
          <w:p w14:paraId="6DFACCA0">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14:paraId="6A0A1542">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1623CD5D">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14:paraId="5E2AA396">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14:paraId="14924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56" w:type="dxa"/>
            <w:gridSpan w:val="2"/>
            <w:tcMar>
              <w:top w:w="16" w:type="dxa"/>
              <w:left w:w="16" w:type="dxa"/>
              <w:right w:w="16" w:type="dxa"/>
            </w:tcMar>
            <w:vAlign w:val="center"/>
          </w:tcPr>
          <w:p w14:paraId="0BCE003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7A67139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86" w:type="dxa"/>
            <w:vAlign w:val="center"/>
          </w:tcPr>
          <w:p w14:paraId="7FC7CED0">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725" w:type="dxa"/>
            <w:vAlign w:val="center"/>
          </w:tcPr>
          <w:p w14:paraId="369A90B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3D5B2D1E">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3855" w:type="dxa"/>
            <w:vAlign w:val="center"/>
          </w:tcPr>
          <w:p w14:paraId="57C4630D">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-530129-04-0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419636</w:t>
            </w:r>
          </w:p>
        </w:tc>
      </w:tr>
      <w:tr w14:paraId="398D6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356" w:type="dxa"/>
            <w:gridSpan w:val="2"/>
            <w:tcMar>
              <w:top w:w="16" w:type="dxa"/>
              <w:left w:w="16" w:type="dxa"/>
              <w:right w:w="16" w:type="dxa"/>
            </w:tcMar>
            <w:vAlign w:val="center"/>
          </w:tcPr>
          <w:p w14:paraId="01582E2C">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86" w:type="dxa"/>
            <w:vAlign w:val="center"/>
          </w:tcPr>
          <w:p w14:paraId="63673E2B">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15728.2</w:t>
            </w:r>
          </w:p>
        </w:tc>
        <w:tc>
          <w:tcPr>
            <w:tcW w:w="1725" w:type="dxa"/>
            <w:tcMar>
              <w:top w:w="16" w:type="dxa"/>
              <w:left w:w="16" w:type="dxa"/>
              <w:right w:w="16" w:type="dxa"/>
            </w:tcMar>
            <w:vAlign w:val="center"/>
          </w:tcPr>
          <w:p w14:paraId="104CD56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3855" w:type="dxa"/>
            <w:vAlign w:val="center"/>
          </w:tcPr>
          <w:p w14:paraId="30C6BE1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68.1</w:t>
            </w:r>
          </w:p>
        </w:tc>
      </w:tr>
      <w:tr w14:paraId="6D7C5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56" w:type="dxa"/>
            <w:gridSpan w:val="2"/>
            <w:tcMar>
              <w:top w:w="16" w:type="dxa"/>
              <w:left w:w="16" w:type="dxa"/>
              <w:right w:w="16" w:type="dxa"/>
            </w:tcMar>
            <w:vAlign w:val="center"/>
          </w:tcPr>
          <w:p w14:paraId="425F7B0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86" w:type="dxa"/>
            <w:vAlign w:val="center"/>
          </w:tcPr>
          <w:p w14:paraId="0483CDBF">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43</w:t>
            </w:r>
          </w:p>
        </w:tc>
        <w:tc>
          <w:tcPr>
            <w:tcW w:w="1725" w:type="dxa"/>
            <w:tcMar>
              <w:top w:w="16" w:type="dxa"/>
              <w:left w:w="16" w:type="dxa"/>
              <w:right w:w="16" w:type="dxa"/>
            </w:tcMar>
            <w:vAlign w:val="center"/>
          </w:tcPr>
          <w:p w14:paraId="258B7AC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3855" w:type="dxa"/>
            <w:vAlign w:val="center"/>
          </w:tcPr>
          <w:p w14:paraId="0C8B3D90">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个月</w:t>
            </w:r>
          </w:p>
        </w:tc>
      </w:tr>
      <w:tr w14:paraId="43014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56" w:type="dxa"/>
            <w:gridSpan w:val="2"/>
            <w:tcMar>
              <w:top w:w="16" w:type="dxa"/>
              <w:left w:w="16" w:type="dxa"/>
              <w:right w:w="16" w:type="dxa"/>
            </w:tcMar>
            <w:vAlign w:val="center"/>
          </w:tcPr>
          <w:p w14:paraId="15F14C7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86" w:type="dxa"/>
            <w:vAlign w:val="center"/>
          </w:tcPr>
          <w:p w14:paraId="7984D199">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499F81F0">
            <w:pP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725" w:type="dxa"/>
            <w:tcMar>
              <w:top w:w="16" w:type="dxa"/>
              <w:left w:w="16" w:type="dxa"/>
              <w:right w:w="16" w:type="dxa"/>
            </w:tcMar>
            <w:vAlign w:val="center"/>
          </w:tcPr>
          <w:p w14:paraId="44E0400A">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645110C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3855" w:type="dxa"/>
            <w:vAlign w:val="center"/>
          </w:tcPr>
          <w:p w14:paraId="2D5BEC64">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32340</w:t>
            </w:r>
          </w:p>
        </w:tc>
      </w:tr>
      <w:tr w14:paraId="49983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37" w:type="dxa"/>
            <w:vAlign w:val="center"/>
          </w:tcPr>
          <w:p w14:paraId="1D3F96D0">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485" w:type="dxa"/>
            <w:gridSpan w:val="4"/>
            <w:vAlign w:val="center"/>
          </w:tcPr>
          <w:p w14:paraId="5B702871">
            <w:pPr>
              <w:keepNext w:val="0"/>
              <w:keepLines w:val="0"/>
              <w:pageBreakBefore w:val="0"/>
              <w:widowControl w:val="0"/>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14:paraId="0B166082">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7"/>
              <w:tblW w:w="82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3210"/>
              <w:gridCol w:w="3420"/>
              <w:gridCol w:w="824"/>
            </w:tblGrid>
            <w:tr w14:paraId="471E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2" w:type="dxa"/>
                  <w:noWrap w:val="0"/>
                  <w:vAlign w:val="center"/>
                </w:tcPr>
                <w:p w14:paraId="42BCAF30">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3210" w:type="dxa"/>
                  <w:noWrap w:val="0"/>
                  <w:vAlign w:val="center"/>
                </w:tcPr>
                <w:p w14:paraId="76B40D34">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3420" w:type="dxa"/>
                  <w:noWrap w:val="0"/>
                  <w:vAlign w:val="center"/>
                </w:tcPr>
                <w:p w14:paraId="4790063C">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824" w:type="dxa"/>
                  <w:noWrap w:val="0"/>
                  <w:vAlign w:val="center"/>
                </w:tcPr>
                <w:p w14:paraId="4D770851">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14:paraId="6C98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2" w:type="dxa"/>
                  <w:noWrap w:val="0"/>
                  <w:vAlign w:val="center"/>
                </w:tcPr>
                <w:p w14:paraId="2ACA281E">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3210" w:type="dxa"/>
                  <w:noWrap w:val="0"/>
                  <w:vAlign w:val="center"/>
                </w:tcPr>
                <w:p w14:paraId="3A51FE53">
                  <w:pP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420" w:type="dxa"/>
                  <w:noWrap w:val="0"/>
                  <w:vAlign w:val="center"/>
                </w:tcPr>
                <w:p w14:paraId="6B568DBE">
                  <w:pP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项目排放废气主要为颗粒物、SO</w:t>
                  </w:r>
                  <w:r>
                    <w:rPr>
                      <w:rFonts w:hint="default" w:ascii="Times New Roman" w:hAnsi="Times New Roman" w:eastAsia="宋体" w:cs="Times New Roman"/>
                      <w:b w:val="0"/>
                      <w:bCs w:val="0"/>
                      <w:color w:val="auto"/>
                      <w:kern w:val="0"/>
                      <w:sz w:val="21"/>
                      <w:szCs w:val="21"/>
                      <w:highlight w:val="none"/>
                      <w:vertAlign w:val="subscript"/>
                      <w:lang w:val="en-US" w:eastAsia="zh-CN"/>
                    </w:rPr>
                    <w:t>2</w:t>
                  </w:r>
                  <w:r>
                    <w:rPr>
                      <w:rFonts w:hint="default" w:ascii="Times New Roman" w:hAnsi="Times New Roman" w:eastAsia="宋体" w:cs="Times New Roman"/>
                      <w:b w:val="0"/>
                      <w:bCs w:val="0"/>
                      <w:color w:val="auto"/>
                      <w:kern w:val="0"/>
                      <w:sz w:val="21"/>
                      <w:szCs w:val="21"/>
                      <w:highlight w:val="none"/>
                      <w:vertAlign w:val="baseline"/>
                      <w:lang w:val="en-US" w:eastAsia="zh-CN"/>
                    </w:rPr>
                    <w:t>、NO</w:t>
                  </w:r>
                  <w:r>
                    <w:rPr>
                      <w:rFonts w:hint="default" w:ascii="Times New Roman" w:hAnsi="Times New Roman" w:eastAsia="宋体" w:cs="Times New Roman"/>
                      <w:b w:val="0"/>
                      <w:bCs w:val="0"/>
                      <w:color w:val="auto"/>
                      <w:kern w:val="0"/>
                      <w:sz w:val="21"/>
                      <w:szCs w:val="21"/>
                      <w:highlight w:val="none"/>
                      <w:vertAlign w:val="subscript"/>
                      <w:lang w:val="en-US" w:eastAsia="zh-CN"/>
                    </w:rPr>
                    <w:t>X</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eastAsia" w:ascii="Times New Roman" w:hAnsi="Times New Roman" w:eastAsia="宋体" w:cs="Times New Roman"/>
                      <w:b w:val="0"/>
                      <w:bCs w:val="0"/>
                      <w:color w:val="auto"/>
                      <w:kern w:val="0"/>
                      <w:sz w:val="21"/>
                      <w:szCs w:val="21"/>
                      <w:highlight w:val="none"/>
                      <w:vertAlign w:val="baseline"/>
                      <w:lang w:val="en-US" w:eastAsia="zh-CN"/>
                    </w:rPr>
                    <w:t>非甲烷总烃、</w:t>
                  </w:r>
                  <w:r>
                    <w:rPr>
                      <w:rFonts w:hint="default" w:ascii="Times New Roman" w:hAnsi="Times New Roman" w:eastAsia="宋体" w:cs="Times New Roman"/>
                      <w:b w:val="0"/>
                      <w:bCs w:val="0"/>
                      <w:color w:val="auto"/>
                      <w:kern w:val="0"/>
                      <w:sz w:val="21"/>
                      <w:szCs w:val="21"/>
                      <w:highlight w:val="none"/>
                      <w:vertAlign w:val="baseline"/>
                      <w:lang w:val="en-US" w:eastAsia="zh-CN"/>
                    </w:rPr>
                    <w:t>氨、硫化氢、臭气浓度</w:t>
                  </w:r>
                  <w:r>
                    <w:rPr>
                      <w:rFonts w:hint="eastAsia" w:ascii="Times New Roman" w:hAnsi="Times New Roman" w:eastAsia="宋体" w:cs="Times New Roman"/>
                      <w:b w:val="0"/>
                      <w:bCs w:val="0"/>
                      <w:color w:val="auto"/>
                      <w:kern w:val="0"/>
                      <w:sz w:val="21"/>
                      <w:szCs w:val="21"/>
                      <w:highlight w:val="none"/>
                      <w:vertAlign w:val="baseline"/>
                      <w:lang w:val="en-US" w:eastAsia="zh-CN"/>
                    </w:rPr>
                    <w:t>等</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824" w:type="dxa"/>
                  <w:noWrap w:val="0"/>
                  <w:vAlign w:val="center"/>
                </w:tcPr>
                <w:p w14:paraId="3B719817">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14:paraId="7837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2" w:type="dxa"/>
                  <w:noWrap w:val="0"/>
                  <w:vAlign w:val="center"/>
                </w:tcPr>
                <w:p w14:paraId="068B9771">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210" w:type="dxa"/>
                  <w:noWrap w:val="0"/>
                  <w:vAlign w:val="center"/>
                </w:tcPr>
                <w:p w14:paraId="238EFC03">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3420" w:type="dxa"/>
                  <w:noWrap w:val="0"/>
                  <w:vAlign w:val="center"/>
                </w:tcPr>
                <w:p w14:paraId="4097E95B">
                  <w:pPr>
                    <w:pStyle w:val="20"/>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w:t>
                  </w:r>
                  <w:r>
                    <w:rPr>
                      <w:rFonts w:hint="eastAsia" w:cs="Times New Roman"/>
                      <w:b w:val="0"/>
                      <w:bCs w:val="0"/>
                      <w:color w:val="auto"/>
                      <w:sz w:val="21"/>
                      <w:szCs w:val="21"/>
                      <w:highlight w:val="none"/>
                      <w:lang w:val="en-US" w:eastAsia="zh-CN"/>
                    </w:rPr>
                    <w:t>、</w:t>
                  </w:r>
                  <w:r>
                    <w:rPr>
                      <w:rFonts w:hint="eastAsia"/>
                      <w:b w:val="0"/>
                      <w:bCs/>
                      <w:color w:val="auto"/>
                      <w:sz w:val="21"/>
                      <w:szCs w:val="21"/>
                    </w:rPr>
                    <w:t>脱胶脱磷废水</w:t>
                  </w:r>
                  <w:r>
                    <w:rPr>
                      <w:rFonts w:hint="eastAsia"/>
                      <w:b w:val="0"/>
                      <w:bCs/>
                      <w:color w:val="auto"/>
                      <w:sz w:val="21"/>
                      <w:szCs w:val="21"/>
                      <w:lang w:eastAsia="zh-CN"/>
                    </w:rPr>
                    <w:t>、牛肉腌制废水、</w:t>
                  </w:r>
                  <w:r>
                    <w:rPr>
                      <w:rFonts w:hint="eastAsia" w:ascii="Times New Roman" w:hAnsi="Times New Roman" w:eastAsia="宋体" w:cs="Times New Roman"/>
                      <w:b w:val="0"/>
                      <w:bCs/>
                      <w:color w:val="auto"/>
                      <w:sz w:val="21"/>
                      <w:szCs w:val="21"/>
                      <w:lang w:val="en-US" w:eastAsia="zh-CN"/>
                    </w:rPr>
                    <w:t>车间地面清洗</w:t>
                  </w:r>
                  <w:r>
                    <w:rPr>
                      <w:rFonts w:hint="default" w:ascii="Times New Roman" w:hAnsi="Times New Roman" w:eastAsia="宋体" w:cs="Times New Roman"/>
                      <w:b w:val="0"/>
                      <w:bCs/>
                      <w:color w:val="auto"/>
                      <w:sz w:val="21"/>
                      <w:szCs w:val="21"/>
                      <w:lang w:val="en-US" w:eastAsia="zh-CN"/>
                    </w:rPr>
                    <w:t>废水</w:t>
                  </w:r>
                  <w:r>
                    <w:rPr>
                      <w:rFonts w:hint="eastAsia" w:ascii="Times New Roman" w:hAnsi="Times New Roman"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824" w:type="dxa"/>
                  <w:noWrap w:val="0"/>
                  <w:vAlign w:val="center"/>
                </w:tcPr>
                <w:p w14:paraId="3526E8E5">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14:paraId="50C4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2" w:type="dxa"/>
                  <w:noWrap w:val="0"/>
                  <w:vAlign w:val="center"/>
                </w:tcPr>
                <w:p w14:paraId="2C460F23">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3210" w:type="dxa"/>
                  <w:noWrap w:val="0"/>
                  <w:vAlign w:val="center"/>
                </w:tcPr>
                <w:p w14:paraId="38F4FC48">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420" w:type="dxa"/>
                  <w:noWrap w:val="0"/>
                  <w:vAlign w:val="center"/>
                </w:tcPr>
                <w:p w14:paraId="5F3A895B">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项目涉及有毒有害和易燃易爆危险物质最大暂存量未超过临界量。</w:t>
                  </w:r>
                </w:p>
              </w:tc>
              <w:tc>
                <w:tcPr>
                  <w:tcW w:w="824" w:type="dxa"/>
                  <w:noWrap w:val="0"/>
                  <w:vAlign w:val="center"/>
                </w:tcPr>
                <w:p w14:paraId="6A4604CB">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14:paraId="0D4A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2" w:type="dxa"/>
                  <w:noWrap w:val="0"/>
                  <w:vAlign w:val="center"/>
                </w:tcPr>
                <w:p w14:paraId="4A94014D">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3210" w:type="dxa"/>
                  <w:noWrap w:val="0"/>
                  <w:vAlign w:val="center"/>
                </w:tcPr>
                <w:p w14:paraId="649AE9FF">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3420" w:type="dxa"/>
                  <w:noWrap w:val="0"/>
                  <w:vAlign w:val="center"/>
                </w:tcPr>
                <w:p w14:paraId="160C60AE">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824" w:type="dxa"/>
                  <w:noWrap w:val="0"/>
                  <w:vAlign w:val="center"/>
                </w:tcPr>
                <w:p w14:paraId="7D7CB1A9">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14:paraId="190C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2" w:type="dxa"/>
                  <w:noWrap w:val="0"/>
                  <w:vAlign w:val="center"/>
                </w:tcPr>
                <w:p w14:paraId="5CDB5E46">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3210" w:type="dxa"/>
                  <w:noWrap w:val="0"/>
                  <w:vAlign w:val="center"/>
                </w:tcPr>
                <w:p w14:paraId="44C00110">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3420" w:type="dxa"/>
                  <w:noWrap w:val="0"/>
                  <w:vAlign w:val="center"/>
                </w:tcPr>
                <w:p w14:paraId="5B1C1DEB">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824" w:type="dxa"/>
                  <w:noWrap w:val="0"/>
                  <w:vAlign w:val="center"/>
                </w:tcPr>
                <w:p w14:paraId="48E88C02">
                  <w:pP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14:paraId="17AB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56" w:type="dxa"/>
                  <w:gridSpan w:val="4"/>
                  <w:noWrap w:val="0"/>
                  <w:vAlign w:val="center"/>
                </w:tcPr>
                <w:p w14:paraId="2D7657C2">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14:paraId="61329A8F">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14:paraId="4BCDB447">
                  <w:pP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14:paraId="03392392">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14:paraId="162A7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Align w:val="center"/>
          </w:tcPr>
          <w:p w14:paraId="37E099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485" w:type="dxa"/>
            <w:gridSpan w:val="4"/>
            <w:vAlign w:val="center"/>
          </w:tcPr>
          <w:p w14:paraId="28955D16">
            <w:pPr>
              <w:keepNext w:val="0"/>
              <w:keepLines w:val="0"/>
              <w:pageBreakBefore w:val="0"/>
              <w:widowControl w:val="0"/>
              <w:kinsoku/>
              <w:wordWrap/>
              <w:overflowPunct/>
              <w:topLinePunct w:val="0"/>
              <w:bidi w:val="0"/>
              <w:spacing w:line="360" w:lineRule="auto"/>
              <w:jc w:val="left"/>
              <w:textAlignment w:val="auto"/>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b/>
                <w:bCs/>
                <w:color w:val="auto"/>
                <w:sz w:val="24"/>
                <w:highlight w:val="none"/>
                <w:lang w:val="en-US"/>
              </w:rPr>
              <w:t>1、</w:t>
            </w:r>
            <w:r>
              <w:rPr>
                <w:rStyle w:val="71"/>
                <w:rFonts w:hint="default" w:ascii="Times New Roman" w:hAnsi="Times New Roman" w:eastAsia="宋体" w:cs="Times New Roman"/>
                <w:b/>
                <w:bCs/>
                <w:color w:val="auto"/>
                <w:sz w:val="24"/>
                <w:highlight w:val="none"/>
              </w:rPr>
              <w:t>规划名称：</w:t>
            </w:r>
            <w:r>
              <w:rPr>
                <w:rFonts w:hint="default" w:ascii="Times New Roman" w:hAnsi="Times New Roman" w:eastAsia="宋体" w:cs="Times New Roman"/>
                <w:color w:val="auto"/>
                <w:sz w:val="24"/>
                <w:szCs w:val="24"/>
                <w:highlight w:val="none"/>
              </w:rPr>
              <w:t>《云南寻甸产业园区总体规划修编（202</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-2035）》</w:t>
            </w:r>
            <w:r>
              <w:rPr>
                <w:rStyle w:val="71"/>
                <w:rFonts w:hint="default" w:ascii="Times New Roman" w:hAnsi="Times New Roman" w:eastAsia="宋体" w:cs="Times New Roman"/>
                <w:color w:val="auto"/>
                <w:sz w:val="24"/>
                <w:highlight w:val="none"/>
              </w:rPr>
              <w:t>；</w:t>
            </w:r>
          </w:p>
          <w:p w14:paraId="5DE6B55D">
            <w:pPr>
              <w:keepNext w:val="0"/>
              <w:keepLines w:val="0"/>
              <w:pageBreakBefore w:val="0"/>
              <w:widowControl w:val="0"/>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val="0"/>
                <w:color w:val="auto"/>
                <w:sz w:val="24"/>
                <w:highlight w:val="none"/>
                <w:lang w:val="zh-CN"/>
              </w:rPr>
            </w:pPr>
            <w:r>
              <w:rPr>
                <w:rStyle w:val="71"/>
                <w:rFonts w:hint="default" w:ascii="Times New Roman" w:hAnsi="Times New Roman" w:eastAsia="宋体" w:cs="Times New Roman"/>
                <w:b/>
                <w:bCs/>
                <w:color w:val="auto"/>
                <w:sz w:val="24"/>
                <w:highlight w:val="none"/>
                <w:lang w:val="en-US"/>
              </w:rPr>
              <w:t>2、</w:t>
            </w:r>
            <w:r>
              <w:rPr>
                <w:rStyle w:val="71"/>
                <w:rFonts w:hint="default" w:ascii="Times New Roman" w:hAnsi="Times New Roman" w:eastAsia="宋体" w:cs="Times New Roman"/>
                <w:b/>
                <w:bCs/>
                <w:color w:val="auto"/>
                <w:sz w:val="24"/>
                <w:highlight w:val="none"/>
              </w:rPr>
              <w:t>审查机关：</w:t>
            </w:r>
            <w:r>
              <w:rPr>
                <w:rStyle w:val="71"/>
                <w:rFonts w:hint="default" w:ascii="Times New Roman" w:hAnsi="Times New Roman" w:eastAsia="宋体" w:cs="Times New Roman"/>
                <w:b w:val="0"/>
                <w:bCs w:val="0"/>
                <w:color w:val="auto"/>
                <w:sz w:val="24"/>
                <w:highlight w:val="none"/>
                <w:lang w:val="en-US"/>
              </w:rPr>
              <w:t>昆明市人民政府；</w:t>
            </w:r>
          </w:p>
          <w:p w14:paraId="4D3B6FA0">
            <w:pPr>
              <w:autoSpaceDE w:val="0"/>
              <w:autoSpaceDN w:val="0"/>
              <w:adjustRightInd w:val="0"/>
              <w:snapToGrid w:val="0"/>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Style w:val="71"/>
                <w:rFonts w:hint="default" w:ascii="Times New Roman" w:hAnsi="Times New Roman" w:eastAsia="宋体" w:cs="Times New Roman"/>
                <w:b w:val="0"/>
                <w:bCs w:val="0"/>
                <w:color w:val="auto"/>
                <w:sz w:val="24"/>
                <w:highlight w:val="none"/>
                <w:lang w:val="en-US"/>
              </w:rPr>
              <w:t>昆明市人民政府</w:t>
            </w:r>
            <w:r>
              <w:rPr>
                <w:rFonts w:hint="default" w:ascii="Times New Roman" w:hAnsi="Times New Roman" w:eastAsia="宋体" w:cs="Times New Roman"/>
                <w:b w:val="0"/>
                <w:bCs w:val="0"/>
                <w:color w:val="auto"/>
                <w:sz w:val="24"/>
                <w:szCs w:val="24"/>
                <w:highlight w:val="none"/>
                <w:lang w:val="en-US" w:eastAsia="zh-CN"/>
              </w:rPr>
              <w:t>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《云南寻甸产业园区总体规划修编（2021—2035年）》的批复（昆政复〔2023〕63号）</w:t>
            </w:r>
            <w:r>
              <w:rPr>
                <w:rFonts w:hint="default" w:ascii="Times New Roman" w:hAnsi="Times New Roman" w:eastAsia="宋体" w:cs="Times New Roman"/>
                <w:b w:val="0"/>
                <w:bCs w:val="0"/>
                <w:color w:val="auto"/>
                <w:sz w:val="24"/>
                <w:szCs w:val="24"/>
                <w:highlight w:val="none"/>
                <w:lang w:val="en-US" w:eastAsia="zh-CN"/>
              </w:rPr>
              <w:t>。</w:t>
            </w:r>
          </w:p>
        </w:tc>
      </w:tr>
      <w:tr w14:paraId="5AC04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37" w:type="dxa"/>
            <w:vAlign w:val="center"/>
          </w:tcPr>
          <w:p w14:paraId="56ED8F59">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14:paraId="4A08A3EE">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485" w:type="dxa"/>
            <w:gridSpan w:val="4"/>
            <w:vAlign w:val="center"/>
          </w:tcPr>
          <w:p w14:paraId="76CA8489">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1、规划环境影响评价文件名称：</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w:t>
            </w:r>
          </w:p>
          <w:p w14:paraId="44D0CAA2">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2、审查机关：</w:t>
            </w:r>
            <w:r>
              <w:rPr>
                <w:rStyle w:val="71"/>
                <w:rFonts w:hint="default" w:ascii="Times New Roman" w:hAnsi="Times New Roman" w:eastAsia="宋体" w:cs="Times New Roman"/>
                <w:color w:val="auto"/>
                <w:sz w:val="24"/>
                <w:highlight w:val="none"/>
              </w:rPr>
              <w:t>昆明市生态环境局</w:t>
            </w:r>
            <w:r>
              <w:rPr>
                <w:rFonts w:hint="default" w:ascii="Times New Roman" w:hAnsi="Times New Roman" w:eastAsia="宋体" w:cs="Times New Roman"/>
                <w:b w:val="0"/>
                <w:bCs w:val="0"/>
                <w:color w:val="auto"/>
                <w:sz w:val="24"/>
                <w:szCs w:val="24"/>
                <w:highlight w:val="none"/>
                <w:lang w:val="en-US" w:eastAsia="zh-CN"/>
              </w:rPr>
              <w:t>；</w:t>
            </w:r>
          </w:p>
          <w:p w14:paraId="424632E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Fonts w:hint="default" w:ascii="Times New Roman" w:hAnsi="Times New Roman" w:eastAsia="宋体" w:cs="Times New Roman"/>
                <w:b w:val="0"/>
                <w:bCs w:val="0"/>
                <w:color w:val="auto"/>
                <w:sz w:val="24"/>
                <w:szCs w:val="24"/>
                <w:highlight w:val="none"/>
                <w:lang w:val="en-US" w:eastAsia="zh-CN"/>
              </w:rPr>
              <w:t>昆明市生态环境局关于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《云南寻甸产业园区总体规划修编（2021-2035）环境影响报告书》审查意见的函（昆环审[2023]5号）</w:t>
            </w:r>
            <w:r>
              <w:rPr>
                <w:rFonts w:hint="default" w:ascii="Times New Roman" w:hAnsi="Times New Roman" w:eastAsia="宋体" w:cs="Times New Roman"/>
                <w:b w:val="0"/>
                <w:bCs w:val="0"/>
                <w:color w:val="auto"/>
                <w:sz w:val="24"/>
                <w:szCs w:val="24"/>
                <w:highlight w:val="none"/>
                <w:lang w:val="en-US" w:eastAsia="zh-CN"/>
              </w:rPr>
              <w:t>。</w:t>
            </w:r>
          </w:p>
        </w:tc>
      </w:tr>
      <w:tr w14:paraId="0542A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37" w:type="dxa"/>
            <w:vAlign w:val="center"/>
          </w:tcPr>
          <w:p w14:paraId="0BA4244E">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485" w:type="dxa"/>
            <w:gridSpan w:val="4"/>
            <w:vAlign w:val="center"/>
          </w:tcPr>
          <w:p w14:paraId="72B021D0">
            <w:pPr>
              <w:pStyle w:val="15"/>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w:t>
            </w:r>
            <w:r>
              <w:rPr>
                <w:rFonts w:hint="default" w:ascii="Times New Roman" w:hAnsi="Times New Roman" w:eastAsia="宋体" w:cs="Times New Roman"/>
                <w:b/>
                <w:bCs w:val="0"/>
                <w:color w:val="auto"/>
                <w:sz w:val="24"/>
                <w:szCs w:val="24"/>
                <w:highlight w:val="none"/>
                <w:lang w:val="zh-CN" w:eastAsia="zh-CN"/>
              </w:rPr>
              <w:t>《云南寻甸产业园区总体规划修编（2021-2035）》</w:t>
            </w:r>
            <w:r>
              <w:rPr>
                <w:rFonts w:hint="default" w:ascii="Times New Roman" w:hAnsi="Times New Roman" w:eastAsia="宋体" w:cs="Times New Roman"/>
                <w:b/>
                <w:bCs w:val="0"/>
                <w:color w:val="auto"/>
                <w:sz w:val="24"/>
                <w:szCs w:val="24"/>
                <w:highlight w:val="none"/>
                <w:lang w:val="en-US" w:eastAsia="zh-CN"/>
              </w:rPr>
              <w:t>的符合性分析</w:t>
            </w:r>
          </w:p>
          <w:p w14:paraId="38B1A700">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14:paraId="44D34AC9">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根据《规划》，修编后云南寻甸产业园区远期规划范围至2035年占地面积为1214.59公顷。总体布局规划为“一园三片”一园即云南寻甸产业园区；三片即羊街片区、金所片区(含金所组团、天生桥组团)、倘甸片区。金所片区</w:t>
            </w:r>
            <w:r>
              <w:rPr>
                <w:rFonts w:hint="eastAsia"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zh-CN" w:eastAsia="zh-CN"/>
              </w:rPr>
              <w:t>金所组团</w:t>
            </w:r>
            <w:r>
              <w:rPr>
                <w:rFonts w:hint="eastAsia"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zh-CN" w:eastAsia="zh-CN"/>
              </w:rPr>
              <w:t>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269.69公顷，定位以生物医疗产业区、先进装备制造产业区、非烟轻工产业区、公共服务配套区为主。</w:t>
            </w:r>
          </w:p>
          <w:p w14:paraId="707C1E8C">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本次《规划》与上版规划比较，调整了相关产业结构，新增了金所片区</w:t>
            </w:r>
            <w:r>
              <w:rPr>
                <w:rFonts w:hint="eastAsia"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zh-CN" w:eastAsia="zh-CN"/>
              </w:rPr>
              <w:t>天生桥组团</w:t>
            </w:r>
            <w:r>
              <w:rPr>
                <w:rFonts w:hint="eastAsia"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zh-CN" w:eastAsia="zh-CN"/>
              </w:rPr>
              <w:t>和倘甸片区，但是总规划面积减小6.08km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，其中金所片区较原规划面积缩小2.77km，羊街片区较原规划面积缩小6.01km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。由寻甸特色产业园区管理委员会委托</w:t>
            </w:r>
            <w:r>
              <w:rPr>
                <w:rFonts w:hint="default" w:ascii="Times New Roman" w:hAnsi="Times New Roman" w:eastAsia="宋体" w:cs="Times New Roman"/>
                <w:b w:val="0"/>
                <w:bCs w:val="0"/>
                <w:color w:val="auto"/>
                <w:sz w:val="24"/>
                <w:szCs w:val="24"/>
                <w:highlight w:val="none"/>
                <w:lang w:val="en-US" w:eastAsia="zh-CN"/>
              </w:rPr>
              <w:t>云南保兴环境科技咨询有限公司</w:t>
            </w:r>
            <w:r>
              <w:rPr>
                <w:rFonts w:hint="default" w:ascii="Times New Roman" w:hAnsi="Times New Roman" w:eastAsia="宋体" w:cs="Times New Roman"/>
                <w:b w:val="0"/>
                <w:bCs w:val="0"/>
                <w:color w:val="auto"/>
                <w:sz w:val="24"/>
                <w:szCs w:val="24"/>
                <w:highlight w:val="none"/>
                <w:lang w:val="zh-CN" w:eastAsia="zh-CN"/>
              </w:rPr>
              <w:t>在《云南寻甸产业园区总体规划修编（2021-2035）》的基础上编制了《云南寻甸产业园区总体规划修编（2021-2035）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环境影响报告书</w:t>
            </w:r>
            <w:r>
              <w:rPr>
                <w:rFonts w:hint="default" w:ascii="Times New Roman" w:hAnsi="Times New Roman" w:eastAsia="宋体" w:cs="Times New Roman"/>
                <w:b w:val="0"/>
                <w:bCs w:val="0"/>
                <w:color w:val="auto"/>
                <w:sz w:val="24"/>
                <w:szCs w:val="24"/>
                <w:highlight w:val="none"/>
                <w:lang w:val="zh-CN" w:eastAsia="zh-CN"/>
              </w:rPr>
              <w:t>》。</w:t>
            </w:r>
          </w:p>
          <w:p w14:paraId="1667534A">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14:paraId="6062AC36">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val="en-US" w:eastAsia="zh-CN"/>
              </w:rPr>
              <w:t>园区总体布局规划</w:t>
            </w:r>
          </w:p>
          <w:p w14:paraId="6A70E945">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根据云南寻甸产业园现状工业的分布情况，统筹规划，形成“一园三片多组团”的总体格局。</w:t>
            </w:r>
          </w:p>
          <w:p w14:paraId="756DC224">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一园：云南寻甸产业园区；</w:t>
            </w:r>
          </w:p>
          <w:p w14:paraId="77C4DA6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三片：羊街片区、金所（天生桥）片区（其中天生桥拟设置为化工园区）、倘甸片区；</w:t>
            </w:r>
          </w:p>
          <w:p w14:paraId="2D10A1A8">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多组团：依托昆明国际林业产业园、农特产品加工园区、先锋能源基地等园中园，促进产业集聚发展，形成</w:t>
            </w:r>
            <w:r>
              <w:rPr>
                <w:rFonts w:hint="eastAsia" w:cs="Times New Roman"/>
                <w:color w:val="auto"/>
                <w:sz w:val="24"/>
                <w:szCs w:val="24"/>
                <w:highlight w:val="none"/>
                <w:lang w:eastAsia="zh-CN"/>
              </w:rPr>
              <w:t>一二三产业融合</w:t>
            </w:r>
            <w:r>
              <w:rPr>
                <w:rFonts w:hint="default" w:ascii="Times New Roman" w:hAnsi="Times New Roman" w:eastAsia="宋体" w:cs="Times New Roman"/>
                <w:color w:val="auto"/>
                <w:sz w:val="24"/>
                <w:szCs w:val="24"/>
                <w:highlight w:val="none"/>
              </w:rPr>
              <w:t>发展的产业体系。</w:t>
            </w:r>
          </w:p>
          <w:p w14:paraId="731CF3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2）规划时序</w:t>
            </w:r>
          </w:p>
          <w:p w14:paraId="6299FE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本次规划的期限为2021～2035年。其中：近期为2021年~2025年，远期为2026年~2035年。</w:t>
            </w:r>
          </w:p>
          <w:p w14:paraId="668E79F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）规划范围</w:t>
            </w:r>
          </w:p>
          <w:p w14:paraId="78D872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近期开发范围（2025年）</w:t>
            </w:r>
          </w:p>
          <w:p w14:paraId="3F28572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至2025年，近期开发范围根据园区实际发展需求，控制为1096.71公顷，包括三个工业发展片区，其中金所片区681.52公顷；羊街片区231.58公顷；倘甸片区183.62公顷。</w:t>
            </w:r>
          </w:p>
          <w:p w14:paraId="7B74C7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rPr>
              <w:t>园区远期规划范围（2035年）</w:t>
            </w:r>
          </w:p>
          <w:p w14:paraId="4C6FE1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至2035年，远期规划面积根据园区实际发展需求，控制为1214.59公顷，包括三个工业发展片区，其中金所片区681.52公顷；羊街片区263.39公顷；倘甸片区269.69 公顷。</w:t>
            </w:r>
          </w:p>
          <w:p w14:paraId="23970C6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4）园区定位</w:t>
            </w:r>
          </w:p>
          <w:p w14:paraId="735B56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①总体定位</w:t>
            </w:r>
          </w:p>
          <w:p w14:paraId="2FABEE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14:paraId="6326F5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“3”支柱产业包括：非烟轻工（一主）、绿色化工及先进装备制造（两辅）</w:t>
            </w:r>
            <w:r>
              <w:rPr>
                <w:rFonts w:hint="default" w:ascii="Times New Roman" w:hAnsi="Times New Roman" w:eastAsia="宋体" w:cs="Times New Roman"/>
                <w:color w:val="auto"/>
                <w:sz w:val="24"/>
                <w:szCs w:val="24"/>
                <w:highlight w:val="none"/>
                <w:lang w:eastAsia="zh-CN"/>
              </w:rPr>
              <w:t>；</w:t>
            </w:r>
          </w:p>
          <w:p w14:paraId="4E1489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“2”传统产业包括：生物医药、绿色建材；</w:t>
            </w:r>
          </w:p>
          <w:p w14:paraId="2499D97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“2”服务业：生产性服务、生活性服务。</w:t>
            </w:r>
          </w:p>
          <w:p w14:paraId="0D61D8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②分园定位</w:t>
            </w:r>
          </w:p>
          <w:p w14:paraId="11D6642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金所片区金所组团（</w:t>
            </w:r>
            <w:r>
              <w:rPr>
                <w:rFonts w:hint="default" w:ascii="Times New Roman" w:hAnsi="Times New Roman" w:eastAsia="宋体" w:cs="Times New Roman"/>
                <w:b/>
                <w:color w:val="auto"/>
                <w:sz w:val="24"/>
                <w:szCs w:val="24"/>
                <w:highlight w:val="none"/>
              </w:rPr>
              <w:t>6</w:t>
            </w:r>
            <w:r>
              <w:rPr>
                <w:rFonts w:hint="default" w:ascii="Times New Roman" w:hAnsi="Times New Roman" w:eastAsia="宋体" w:cs="Times New Roman"/>
                <w:color w:val="auto"/>
                <w:sz w:val="24"/>
                <w:szCs w:val="24"/>
                <w:highlight w:val="none"/>
              </w:rPr>
              <w:t>分区）：先进装备制造产业区、非烟轻工产业区、绿色建材产业区、绿色化工产业区、公共服务配套区、中转物流区；</w:t>
            </w:r>
          </w:p>
          <w:p w14:paraId="32CB1E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金所片区天生桥组团（本次拟设置为化工园区）（</w:t>
            </w: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color w:val="auto"/>
                <w:sz w:val="24"/>
                <w:szCs w:val="24"/>
                <w:highlight w:val="none"/>
              </w:rPr>
              <w:t>分区）：绿色化工产业区、先进装备制造产业区；</w:t>
            </w:r>
          </w:p>
          <w:p w14:paraId="6BB4B59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羊街片区（</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color w:val="auto"/>
                <w:sz w:val="24"/>
                <w:szCs w:val="24"/>
                <w:highlight w:val="none"/>
              </w:rPr>
              <w:t>分区）：先进装备制造产业区、非烟轻工产业区、商贸物流及冷链加工区；</w:t>
            </w:r>
          </w:p>
          <w:p w14:paraId="3B9A2F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倘甸片区（</w:t>
            </w:r>
            <w:r>
              <w:rPr>
                <w:rFonts w:hint="default" w:ascii="Times New Roman" w:hAnsi="Times New Roman" w:eastAsia="宋体" w:cs="Times New Roman"/>
                <w:b/>
                <w:color w:val="auto"/>
                <w:sz w:val="24"/>
                <w:szCs w:val="24"/>
                <w:highlight w:val="none"/>
              </w:rPr>
              <w:t>4</w:t>
            </w:r>
            <w:r>
              <w:rPr>
                <w:rFonts w:hint="default" w:ascii="Times New Roman" w:hAnsi="Times New Roman" w:eastAsia="宋体" w:cs="Times New Roman"/>
                <w:color w:val="auto"/>
                <w:sz w:val="24"/>
                <w:szCs w:val="24"/>
                <w:highlight w:val="none"/>
              </w:rPr>
              <w:t>分区）：生物医疗产业区、先进装备制造产业区、非烟轻工产业区、公共服务配套区。</w:t>
            </w:r>
          </w:p>
          <w:p w14:paraId="650DE1C0">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14:paraId="13173C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本项目为</w:t>
            </w:r>
            <w:r>
              <w:rPr>
                <w:rFonts w:hint="eastAsia" w:cs="Times New Roman"/>
                <w:color w:val="auto"/>
                <w:sz w:val="24"/>
                <w:szCs w:val="24"/>
                <w:highlight w:val="none"/>
                <w:lang w:val="zh-CN"/>
              </w:rPr>
              <w:t>牛油、牛干巴</w:t>
            </w:r>
            <w:r>
              <w:rPr>
                <w:rFonts w:hint="default" w:ascii="Times New Roman" w:hAnsi="Times New Roman" w:eastAsia="宋体" w:cs="Times New Roman"/>
                <w:color w:val="auto"/>
                <w:sz w:val="24"/>
                <w:szCs w:val="24"/>
                <w:highlight w:val="none"/>
                <w:lang w:val="zh-CN"/>
              </w:rPr>
              <w:t>及</w:t>
            </w:r>
            <w:r>
              <w:rPr>
                <w:rFonts w:hint="eastAsia" w:cs="Times New Roman"/>
                <w:color w:val="auto"/>
                <w:sz w:val="24"/>
                <w:szCs w:val="24"/>
                <w:highlight w:val="none"/>
                <w:lang w:val="zh-CN"/>
              </w:rPr>
              <w:t>饲料油脂</w:t>
            </w:r>
            <w:r>
              <w:rPr>
                <w:rFonts w:hint="default" w:ascii="Times New Roman" w:hAnsi="Times New Roman" w:eastAsia="宋体" w:cs="Times New Roman"/>
                <w:color w:val="auto"/>
                <w:sz w:val="24"/>
                <w:szCs w:val="24"/>
                <w:highlight w:val="none"/>
                <w:lang w:val="zh-CN"/>
              </w:rPr>
              <w:t>加工项目，项目用地</w:t>
            </w:r>
            <w:r>
              <w:rPr>
                <w:rFonts w:hint="default" w:ascii="Times New Roman" w:hAnsi="Times New Roman" w:eastAsia="宋体" w:cs="Times New Roman"/>
                <w:color w:val="auto"/>
                <w:sz w:val="24"/>
                <w:szCs w:val="24"/>
                <w:highlight w:val="none"/>
                <w:lang w:val="en-US" w:eastAsia="zh-CN"/>
              </w:rPr>
              <w:t>性质</w:t>
            </w:r>
            <w:r>
              <w:rPr>
                <w:rFonts w:hint="default" w:ascii="Times New Roman" w:hAnsi="Times New Roman" w:eastAsia="宋体" w:cs="Times New Roman"/>
                <w:color w:val="auto"/>
                <w:sz w:val="24"/>
                <w:szCs w:val="24"/>
                <w:highlight w:val="none"/>
                <w:lang w:val="zh-CN"/>
              </w:rPr>
              <w:t>为工业用地。</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日已取得寻甸特色产业园区管理委员会出具的项目入园申请同意书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w:t>
            </w:r>
            <w:r>
              <w:rPr>
                <w:rFonts w:hint="eastAsia" w:cs="Times New Roman"/>
                <w:color w:val="auto"/>
                <w:sz w:val="24"/>
                <w:szCs w:val="24"/>
                <w:highlight w:val="none"/>
                <w:lang w:val="en-US" w:eastAsia="zh-CN"/>
              </w:rPr>
              <w:t>瀛瑞食品</w:t>
            </w:r>
            <w:r>
              <w:rPr>
                <w:rFonts w:hint="default" w:ascii="Times New Roman" w:hAnsi="Times New Roman" w:eastAsia="宋体" w:cs="Times New Roman"/>
                <w:color w:val="auto"/>
                <w:sz w:val="24"/>
                <w:szCs w:val="24"/>
                <w:highlight w:val="none"/>
                <w:lang w:val="en-US" w:eastAsia="zh-CN"/>
              </w:rPr>
              <w:t>有限公司寻甸县瀛瑞综合型农产品加工项目入驻</w:t>
            </w:r>
            <w:r>
              <w:rPr>
                <w:rFonts w:hint="eastAsia" w:cs="Times New Roman"/>
                <w:color w:val="auto"/>
                <w:sz w:val="24"/>
                <w:szCs w:val="24"/>
                <w:highlight w:val="none"/>
                <w:lang w:val="en-US" w:eastAsia="zh-CN"/>
              </w:rPr>
              <w:t>寻甸特色产业</w:t>
            </w:r>
            <w:r>
              <w:rPr>
                <w:rFonts w:hint="default" w:ascii="Times New Roman" w:hAnsi="Times New Roman" w:eastAsia="宋体" w:cs="Times New Roman"/>
                <w:color w:val="auto"/>
                <w:sz w:val="24"/>
                <w:szCs w:val="24"/>
                <w:highlight w:val="none"/>
                <w:lang w:val="en-US" w:eastAsia="zh-CN"/>
              </w:rPr>
              <w:t>园区</w:t>
            </w:r>
            <w:r>
              <w:rPr>
                <w:rFonts w:hint="eastAsia" w:cs="Times New Roman"/>
                <w:color w:val="auto"/>
                <w:sz w:val="24"/>
                <w:szCs w:val="24"/>
                <w:highlight w:val="none"/>
                <w:lang w:val="en-US" w:eastAsia="zh-CN"/>
              </w:rPr>
              <w:t>羊街片区</w:t>
            </w:r>
            <w:r>
              <w:rPr>
                <w:rFonts w:hint="default" w:ascii="Times New Roman" w:hAnsi="Times New Roman" w:eastAsia="宋体" w:cs="Times New Roman"/>
                <w:color w:val="auto"/>
                <w:sz w:val="24"/>
                <w:szCs w:val="24"/>
                <w:highlight w:val="none"/>
                <w:lang w:val="en-US" w:eastAsia="zh-CN"/>
              </w:rPr>
              <w:t>”。</w:t>
            </w:r>
          </w:p>
          <w:p w14:paraId="43AD11BC">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综上分析，本项目位于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zh-CN"/>
              </w:rPr>
              <w:t>项目建设</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b w:val="0"/>
                <w:bCs w:val="0"/>
                <w:color w:val="auto"/>
                <w:sz w:val="24"/>
                <w:szCs w:val="24"/>
                <w:highlight w:val="none"/>
                <w:lang w:val="zh-CN" w:eastAsia="zh-CN"/>
              </w:rPr>
              <w:t>《云南寻甸产业园区总体规划修编（2021-2035）》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相符</w:t>
            </w:r>
            <w:r>
              <w:rPr>
                <w:rFonts w:hint="default" w:ascii="Times New Roman" w:hAnsi="Times New Roman" w:eastAsia="宋体" w:cs="Times New Roman"/>
                <w:color w:val="auto"/>
                <w:sz w:val="24"/>
                <w:szCs w:val="24"/>
                <w:highlight w:val="none"/>
                <w:lang w:val="zh-CN"/>
              </w:rPr>
              <w:t>。</w:t>
            </w:r>
          </w:p>
          <w:p w14:paraId="0EC4E4B6">
            <w:pPr>
              <w:pStyle w:val="15"/>
              <w:keepNext w:val="0"/>
              <w:keepLines w:val="0"/>
              <w:pageBreakBefore w:val="0"/>
              <w:widowControl w:val="0"/>
              <w:numPr>
                <w:ilvl w:val="0"/>
                <w:numId w:val="2"/>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bookmarkStart w:id="6" w:name="_Toc31449"/>
            <w:r>
              <w:rPr>
                <w:rFonts w:hint="default" w:ascii="Times New Roman" w:hAnsi="Times New Roman" w:eastAsia="宋体" w:cs="Times New Roman"/>
                <w:b/>
                <w:bCs w:val="0"/>
                <w:color w:val="auto"/>
                <w:sz w:val="24"/>
                <w:szCs w:val="24"/>
                <w:highlight w:val="none"/>
                <w:lang w:val="zh-CN" w:bidi="ar"/>
              </w:rPr>
              <w:t>与《云南寻甸产业园区总体规划修编（2021-2035）环境影响报告书》</w:t>
            </w:r>
            <w:r>
              <w:rPr>
                <w:rFonts w:hint="default" w:ascii="Times New Roman" w:hAnsi="Times New Roman" w:eastAsia="宋体" w:cs="Times New Roman"/>
                <w:b/>
                <w:bCs w:val="0"/>
                <w:color w:val="auto"/>
                <w:sz w:val="24"/>
                <w:szCs w:val="24"/>
                <w:highlight w:val="none"/>
                <w:lang w:val="en-US" w:eastAsia="zh-CN" w:bidi="ar"/>
              </w:rPr>
              <w:t>及</w:t>
            </w:r>
            <w:r>
              <w:rPr>
                <w:rFonts w:hint="default" w:ascii="Times New Roman" w:hAnsi="Times New Roman" w:eastAsia="宋体" w:cs="Times New Roman"/>
                <w:b/>
                <w:bCs w:val="0"/>
                <w:color w:val="auto"/>
                <w:sz w:val="24"/>
                <w:szCs w:val="24"/>
                <w:highlight w:val="none"/>
                <w:lang w:val="zh-CN" w:bidi="ar"/>
              </w:rPr>
              <w:t>审查意见（昆环审[2023]5号）</w:t>
            </w:r>
            <w:r>
              <w:rPr>
                <w:rFonts w:hint="default" w:ascii="Times New Roman" w:hAnsi="Times New Roman" w:eastAsia="宋体" w:cs="Times New Roman"/>
                <w:b/>
                <w:bCs w:val="0"/>
                <w:color w:val="auto"/>
                <w:sz w:val="24"/>
                <w:szCs w:val="24"/>
                <w:highlight w:val="none"/>
                <w:lang w:val="en-US" w:eastAsia="zh-CN" w:bidi="ar"/>
              </w:rPr>
              <w:t>的</w:t>
            </w:r>
            <w:r>
              <w:rPr>
                <w:rFonts w:hint="default" w:ascii="Times New Roman" w:hAnsi="Times New Roman" w:eastAsia="宋体" w:cs="Times New Roman"/>
                <w:b/>
                <w:bCs w:val="0"/>
                <w:color w:val="auto"/>
                <w:sz w:val="24"/>
                <w:szCs w:val="24"/>
                <w:highlight w:val="none"/>
                <w:lang w:val="zh-CN" w:bidi="ar"/>
              </w:rPr>
              <w:t>符合性分析</w:t>
            </w:r>
            <w:bookmarkEnd w:id="6"/>
          </w:p>
          <w:p w14:paraId="573DA894">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14:paraId="1C5312AA">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14:paraId="19D28C5E">
            <w:pPr>
              <w:shd w:val="clea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项目与规划环评</w:t>
            </w:r>
            <w:r>
              <w:rPr>
                <w:rFonts w:hint="default" w:ascii="Times New Roman" w:hAnsi="Times New Roman" w:eastAsia="宋体" w:cs="Times New Roman"/>
                <w:b/>
                <w:bCs/>
                <w:color w:val="auto"/>
                <w:highlight w:val="none"/>
                <w:lang w:val="en-US" w:eastAsia="zh-CN"/>
              </w:rPr>
              <w:t>中环境影响减缓措施</w:t>
            </w:r>
            <w:r>
              <w:rPr>
                <w:rFonts w:hint="default" w:ascii="Times New Roman" w:hAnsi="Times New Roman" w:eastAsia="宋体" w:cs="Times New Roman"/>
                <w:b/>
                <w:bCs/>
                <w:color w:val="auto"/>
                <w:highlight w:val="none"/>
              </w:rPr>
              <w:t>相符性对比分析表</w:t>
            </w:r>
          </w:p>
          <w:tbl>
            <w:tblPr>
              <w:tblStyle w:val="26"/>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4279"/>
              <w:gridCol w:w="2287"/>
              <w:gridCol w:w="862"/>
            </w:tblGrid>
            <w:tr w14:paraId="2B5A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67" w:type="dxa"/>
                  <w:noWrap w:val="0"/>
                  <w:vAlign w:val="center"/>
                </w:tcPr>
                <w:p w14:paraId="359E0A1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4279" w:type="dxa"/>
                  <w:noWrap w:val="0"/>
                  <w:vAlign w:val="center"/>
                </w:tcPr>
                <w:p w14:paraId="6568E76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2287" w:type="dxa"/>
                  <w:noWrap w:val="0"/>
                  <w:vAlign w:val="center"/>
                </w:tcPr>
                <w:p w14:paraId="3D3E3F9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862" w:type="dxa"/>
                  <w:noWrap w:val="0"/>
                  <w:vAlign w:val="center"/>
                </w:tcPr>
                <w:p w14:paraId="4BAAC85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2A8A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noWrap w:val="0"/>
                  <w:vAlign w:val="center"/>
                </w:tcPr>
                <w:p w14:paraId="140D13A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9" w:type="dxa"/>
                  <w:noWrap w:val="0"/>
                  <w:vAlign w:val="center"/>
                </w:tcPr>
                <w:p w14:paraId="0554FDE1">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根据《规划修编》实施对水环境的影响分析，规划建设覆盖规划区范围的“雨污分流”排水体制。各煤、磷、盐化工等企业内部自行收集初期雨水进行处理后回用，园区雨水经过雨水管网收集后汇入附近地表水体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金所组团现状煤磷盐化工企业及废水实现零排放企业按现状处置方式，即由企业处理达标后循环回用或经已建的排污管道排至摩洛河。</w:t>
                  </w:r>
                </w:p>
                <w:p w14:paraId="56773EFF">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园区严格按照规划要求，建设污水集中和分散处理设施，提高园区水资源利用率，减少污水排放。各组团后续入驻企业废水严格按照规划排水方案执行</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r>
                    <w:rPr>
                      <w:rFonts w:hint="default" w:ascii="Times New Roman" w:hAnsi="Times New Roman" w:eastAsia="宋体" w:cs="Times New Roman"/>
                      <w:color w:val="auto"/>
                      <w:kern w:val="0"/>
                      <w:sz w:val="21"/>
                      <w:szCs w:val="21"/>
                      <w:lang w:eastAsia="zh-CN"/>
                    </w:rPr>
                    <w:t>；</w:t>
                  </w:r>
                </w:p>
                <w:p w14:paraId="202349A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rPr>
                    <w:t>③严格</w:t>
                  </w:r>
                  <w:r>
                    <w:rPr>
                      <w:rFonts w:hint="default" w:ascii="Times New Roman" w:hAnsi="Times New Roman" w:eastAsia="宋体" w:cs="Times New Roman"/>
                      <w:color w:val="auto"/>
                      <w:kern w:val="0"/>
                      <w:sz w:val="21"/>
                      <w:szCs w:val="21"/>
                    </w:rPr>
                    <w:t>各污水处理设施的管理、监测工作，确保污水处理设施外排污水长期稳定达标。新建、迁建项目应采用先进的生产工艺和污染防治技术，其清洁生产水平应达到国内先进水平以上</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实行严格的清洁生产审计，全过程降低对水的消耗和污染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工业企业应严格控制用水量，加大工业用水的重复利用率，发展节水型工业。</w:t>
                  </w:r>
                </w:p>
              </w:tc>
              <w:tc>
                <w:tcPr>
                  <w:tcW w:w="2287" w:type="dxa"/>
                  <w:noWrap w:val="0"/>
                  <w:vAlign w:val="center"/>
                </w:tcPr>
                <w:p w14:paraId="75E75E7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w:t>
                  </w:r>
                  <w:r>
                    <w:rPr>
                      <w:rFonts w:hint="eastAsia" w:cs="Times New Roman"/>
                      <w:b w:val="0"/>
                      <w:bCs w:val="0"/>
                      <w:color w:val="auto"/>
                      <w:sz w:val="21"/>
                      <w:szCs w:val="21"/>
                      <w:highlight w:val="none"/>
                      <w:lang w:val="en-US" w:eastAsia="zh-CN"/>
                    </w:rPr>
                    <w:t>、</w:t>
                  </w:r>
                  <w:r>
                    <w:rPr>
                      <w:rFonts w:hint="eastAsia"/>
                      <w:b w:val="0"/>
                      <w:bCs/>
                      <w:color w:val="auto"/>
                      <w:sz w:val="21"/>
                      <w:szCs w:val="21"/>
                    </w:rPr>
                    <w:t>脱胶脱磷废水</w:t>
                  </w:r>
                  <w:r>
                    <w:rPr>
                      <w:rFonts w:hint="eastAsia"/>
                      <w:b w:val="0"/>
                      <w:bCs/>
                      <w:color w:val="auto"/>
                      <w:sz w:val="21"/>
                      <w:szCs w:val="21"/>
                      <w:lang w:eastAsia="zh-CN"/>
                    </w:rPr>
                    <w:t>、牛肉腌制废水、</w:t>
                  </w:r>
                  <w:r>
                    <w:rPr>
                      <w:rFonts w:hint="eastAsia" w:ascii="Times New Roman" w:hAnsi="Times New Roman" w:eastAsia="宋体" w:cs="Times New Roman"/>
                      <w:b w:val="0"/>
                      <w:bCs/>
                      <w:color w:val="auto"/>
                      <w:sz w:val="21"/>
                      <w:szCs w:val="21"/>
                      <w:lang w:val="en-US" w:eastAsia="zh-CN"/>
                    </w:rPr>
                    <w:t>车间地面清洗</w:t>
                  </w:r>
                  <w:r>
                    <w:rPr>
                      <w:rFonts w:hint="default" w:ascii="Times New Roman" w:hAnsi="Times New Roman" w:eastAsia="宋体" w:cs="Times New Roman"/>
                      <w:b w:val="0"/>
                      <w:bCs/>
                      <w:color w:val="auto"/>
                      <w:sz w:val="21"/>
                      <w:szCs w:val="21"/>
                      <w:lang w:val="en-US" w:eastAsia="zh-CN"/>
                    </w:rPr>
                    <w:t>废水</w:t>
                  </w:r>
                  <w:r>
                    <w:rPr>
                      <w:rFonts w:hint="eastAsia" w:ascii="Times New Roman" w:hAnsi="Times New Roman"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862" w:type="dxa"/>
                  <w:noWrap w:val="0"/>
                  <w:vAlign w:val="center"/>
                </w:tcPr>
                <w:p w14:paraId="23232B22">
                  <w:pPr>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5CF3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noWrap w:val="0"/>
                  <w:vAlign w:val="center"/>
                </w:tcPr>
                <w:p w14:paraId="02B9B4A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9" w:type="dxa"/>
                  <w:noWrap w:val="0"/>
                  <w:vAlign w:val="center"/>
                </w:tcPr>
                <w:p w14:paraId="545F0060">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按规划及其他相关</w:t>
                  </w:r>
                  <w:r>
                    <w:rPr>
                      <w:rFonts w:hint="eastAsia" w:cs="Times New Roman"/>
                      <w:color w:val="auto"/>
                      <w:kern w:val="0"/>
                      <w:sz w:val="21"/>
                      <w:szCs w:val="21"/>
                      <w:lang w:eastAsia="zh-CN"/>
                    </w:rPr>
                    <w:t>要求</w:t>
                  </w:r>
                  <w:r>
                    <w:rPr>
                      <w:rFonts w:hint="default" w:ascii="Times New Roman" w:hAnsi="Times New Roman" w:eastAsia="宋体" w:cs="Times New Roman"/>
                      <w:color w:val="auto"/>
                      <w:kern w:val="0"/>
                      <w:sz w:val="21"/>
                      <w:szCs w:val="21"/>
                    </w:rPr>
                    <w:t>规划区工业及民用均使用清洁能源。对严重污染大气环境的工艺、设备和产品实行淘汰制度</w:t>
                  </w:r>
                  <w:r>
                    <w:rPr>
                      <w:rFonts w:hint="default" w:ascii="Times New Roman" w:hAnsi="Times New Roman" w:eastAsia="宋体" w:cs="Times New Roman"/>
                      <w:color w:val="auto"/>
                      <w:kern w:val="0"/>
                      <w:sz w:val="21"/>
                      <w:szCs w:val="21"/>
                      <w:lang w:eastAsia="zh-CN"/>
                    </w:rPr>
                    <w:t>；</w:t>
                  </w:r>
                </w:p>
                <w:p w14:paraId="3A9277E4">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r>
                    <w:rPr>
                      <w:rFonts w:hint="default" w:ascii="Times New Roman" w:hAnsi="Times New Roman" w:eastAsia="宋体" w:cs="Times New Roman"/>
                      <w:color w:val="auto"/>
                      <w:kern w:val="0"/>
                      <w:sz w:val="21"/>
                      <w:szCs w:val="21"/>
                      <w:lang w:eastAsia="zh-CN"/>
                    </w:rPr>
                    <w:t>；</w:t>
                  </w:r>
                </w:p>
                <w:p w14:paraId="59C19446">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推行清洁能源，建议考虑集中供热，实施循环经济，并对大气污染物实行总量控制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r>
                    <w:rPr>
                      <w:rFonts w:hint="default" w:ascii="Times New Roman" w:hAnsi="Times New Roman" w:eastAsia="宋体" w:cs="Times New Roman"/>
                      <w:color w:val="auto"/>
                      <w:kern w:val="0"/>
                      <w:sz w:val="21"/>
                      <w:szCs w:val="21"/>
                      <w:lang w:eastAsia="zh-CN"/>
                    </w:rPr>
                    <w:t>；</w:t>
                  </w:r>
                </w:p>
                <w:p w14:paraId="1F267508">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287" w:type="dxa"/>
                  <w:noWrap w:val="0"/>
                  <w:vAlign w:val="center"/>
                </w:tcPr>
                <w:p w14:paraId="7B747917">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废气经1套“高温布袋除尘器”处理达标后由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rPr>
                    <w:t>脱酸脱臭</w:t>
                  </w:r>
                  <w:r>
                    <w:rPr>
                      <w:rFonts w:hint="eastAsia"/>
                      <w:bCs/>
                      <w:color w:val="auto"/>
                      <w:spacing w:val="-10"/>
                      <w:szCs w:val="21"/>
                      <w:lang w:eastAsia="zh-CN"/>
                    </w:rPr>
                    <w:t>废气经一套“</w:t>
                  </w:r>
                  <w:r>
                    <w:rPr>
                      <w:rFonts w:hint="eastAsia"/>
                      <w:color w:val="auto"/>
                    </w:rPr>
                    <w:t>捕集器+冷凝回收装置</w:t>
                  </w:r>
                  <w:r>
                    <w:rPr>
                      <w:rFonts w:hint="eastAsia"/>
                      <w:bCs/>
                      <w:color w:val="auto"/>
                      <w:spacing w:val="-10"/>
                      <w:szCs w:val="21"/>
                      <w:lang w:eastAsia="zh-CN"/>
                    </w:rPr>
                    <w:t>”处理后排放；生产车间异味通过</w:t>
                  </w:r>
                  <w:r>
                    <w:rPr>
                      <w:rFonts w:hint="eastAsia" w:ascii="Times New Roman" w:hAnsi="Times New Roman" w:eastAsia="宋体" w:cs="Times New Roman"/>
                      <w:color w:val="auto"/>
                      <w:kern w:val="0"/>
                      <w:sz w:val="21"/>
                      <w:szCs w:val="21"/>
                      <w:lang w:val="en-US" w:eastAsia="zh-CN" w:bidi="ar-SA"/>
                    </w:rPr>
                    <w:t>对生产车间地坪进行冲洗和消毒、加强管理来控制；</w:t>
                  </w: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lang w:val="en-US" w:eastAsia="zh-CN"/>
                    </w:rPr>
                    <w:t>废气均经过有效的治理措施处理后达标排放。</w:t>
                  </w:r>
                </w:p>
              </w:tc>
              <w:tc>
                <w:tcPr>
                  <w:tcW w:w="862" w:type="dxa"/>
                  <w:noWrap w:val="0"/>
                  <w:vAlign w:val="center"/>
                </w:tcPr>
                <w:p w14:paraId="5479333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3F2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67" w:type="dxa"/>
                  <w:noWrap w:val="0"/>
                  <w:vAlign w:val="center"/>
                </w:tcPr>
                <w:p w14:paraId="38AF2FA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地下水环境影响</w:t>
                  </w:r>
                  <w:r>
                    <w:rPr>
                      <w:rFonts w:hint="default" w:ascii="Times New Roman" w:hAnsi="Times New Roman" w:eastAsia="宋体" w:cs="Times New Roman"/>
                      <w:color w:val="auto"/>
                      <w:sz w:val="21"/>
                      <w:szCs w:val="21"/>
                      <w:highlight w:val="none"/>
                      <w:lang w:val="zh-CN"/>
                    </w:rPr>
                    <w:t>减缓措施</w:t>
                  </w:r>
                </w:p>
              </w:tc>
              <w:tc>
                <w:tcPr>
                  <w:tcW w:w="4279" w:type="dxa"/>
                  <w:noWrap w:val="0"/>
                  <w:vAlign w:val="center"/>
                </w:tcPr>
                <w:p w14:paraId="1B2D2968">
                  <w:pPr>
                    <w:keepNext w:val="0"/>
                    <w:keepLines w:val="0"/>
                    <w:pageBreakBefore w:val="0"/>
                    <w:kinsoku/>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14:paraId="786E6F0D">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①</w:t>
                  </w:r>
                  <w:r>
                    <w:rPr>
                      <w:rFonts w:hint="default" w:ascii="Times New Roman" w:hAnsi="Times New Roman" w:eastAsia="宋体" w:cs="Times New Roman"/>
                      <w:b w:val="0"/>
                      <w:bCs w:val="0"/>
                      <w:i w:val="0"/>
                      <w:iCs w:val="0"/>
                      <w:color w:val="auto"/>
                      <w:kern w:val="0"/>
                      <w:sz w:val="21"/>
                      <w:szCs w:val="21"/>
                      <w:lang w:eastAsia="zh-CN"/>
                    </w:rPr>
                    <w:t>杜绝高污染，高排水和淘汰落后工艺性质企业入园</w:t>
                  </w:r>
                </w:p>
                <w:p w14:paraId="328BBD22">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②</w:t>
                  </w:r>
                  <w:r>
                    <w:rPr>
                      <w:rFonts w:hint="default" w:ascii="Times New Roman" w:hAnsi="Times New Roman" w:eastAsia="宋体" w:cs="Times New Roman"/>
                      <w:b w:val="0"/>
                      <w:bCs w:val="0"/>
                      <w:i w:val="0"/>
                      <w:iCs w:val="0"/>
                      <w:color w:val="auto"/>
                      <w:kern w:val="0"/>
                      <w:sz w:val="21"/>
                      <w:szCs w:val="21"/>
                      <w:lang w:eastAsia="zh-CN"/>
                    </w:rPr>
                    <w:t>严禁入驻企业抽取地下水作为生产、生活用水。</w:t>
                  </w:r>
                </w:p>
                <w:p w14:paraId="5930CF30">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③</w:t>
                  </w:r>
                  <w:r>
                    <w:rPr>
                      <w:rFonts w:hint="default" w:ascii="Times New Roman" w:hAnsi="Times New Roman" w:eastAsia="宋体" w:cs="Times New Roman"/>
                      <w:b w:val="0"/>
                      <w:bCs w:val="0"/>
                      <w:i w:val="0"/>
                      <w:iCs w:val="0"/>
                      <w:color w:val="auto"/>
                      <w:kern w:val="0"/>
                      <w:sz w:val="21"/>
                      <w:szCs w:val="21"/>
                      <w:lang w:eastAsia="zh-CN"/>
                    </w:rPr>
                    <w:t>规范各入驻企业废水处理设施、生产车间产污工段的地面应为硬化防渗地面，厂内污水沟应有相应防渗措施。</w:t>
                  </w:r>
                </w:p>
                <w:p w14:paraId="20AF085C">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④</w:t>
                  </w:r>
                  <w:r>
                    <w:rPr>
                      <w:rFonts w:hint="default" w:ascii="Times New Roman" w:hAnsi="Times New Roman" w:eastAsia="宋体" w:cs="Times New Roman"/>
                      <w:b w:val="0"/>
                      <w:bCs w:val="0"/>
                      <w:i w:val="0"/>
                      <w:iCs w:val="0"/>
                      <w:color w:val="auto"/>
                      <w:kern w:val="0"/>
                      <w:sz w:val="21"/>
                      <w:szCs w:val="21"/>
                      <w:lang w:eastAsia="zh-CN"/>
                    </w:rPr>
                    <w:t>生活垃圾临时堆存点和厂内固废临时堆存点，必须具有防风、防雨、防渗措施，严禁露天乱堆放。堆存点应做到上有雨棚、底有混凝土层防渗，周边至少有1.5~2m高的挡墙和环形截雨沟。</w:t>
                  </w:r>
                </w:p>
                <w:p w14:paraId="337F93E7">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⑤</w:t>
                  </w:r>
                  <w:r>
                    <w:rPr>
                      <w:rFonts w:hint="default" w:ascii="Times New Roman" w:hAnsi="Times New Roman" w:eastAsia="宋体" w:cs="Times New Roman"/>
                      <w:b w:val="0"/>
                      <w:bCs w:val="0"/>
                      <w:i w:val="0"/>
                      <w:iCs w:val="0"/>
                      <w:color w:val="auto"/>
                      <w:kern w:val="0"/>
                      <w:sz w:val="21"/>
                      <w:szCs w:val="21"/>
                      <w:lang w:eastAsia="zh-CN"/>
                    </w:rPr>
                    <w:t>浸出毒性是I类一般工业固废和危险固废则需严格按国家有关规定、规范处理处置，杜绝乱堆放或混堆现象。</w:t>
                  </w:r>
                </w:p>
                <w:p w14:paraId="3E0737A3">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⑥</w:t>
                  </w:r>
                  <w:r>
                    <w:rPr>
                      <w:rFonts w:hint="default" w:ascii="Times New Roman" w:hAnsi="Times New Roman" w:eastAsia="宋体" w:cs="Times New Roman"/>
                      <w:b w:val="0"/>
                      <w:bCs w:val="0"/>
                      <w:i w:val="0"/>
                      <w:iCs w:val="0"/>
                      <w:color w:val="auto"/>
                      <w:kern w:val="0"/>
                      <w:sz w:val="21"/>
                      <w:szCs w:val="21"/>
                      <w:lang w:eastAsia="zh-CN"/>
                    </w:rPr>
                    <w:t>严禁入园企业向地下渗坑、岩溶洼地排水、落水洞排污。严禁入驻企业在园区内新建永久性固废处置场，危险废物委托有资质单位进行清运处置。</w:t>
                  </w:r>
                </w:p>
                <w:p w14:paraId="7CA47250">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⑦</w:t>
                  </w:r>
                  <w:r>
                    <w:rPr>
                      <w:rFonts w:hint="default" w:ascii="Times New Roman" w:hAnsi="Times New Roman" w:eastAsia="宋体" w:cs="Times New Roman"/>
                      <w:b w:val="0"/>
                      <w:bCs w:val="0"/>
                      <w:i w:val="0"/>
                      <w:iCs w:val="0"/>
                      <w:color w:val="auto"/>
                      <w:kern w:val="0"/>
                      <w:sz w:val="21"/>
                      <w:szCs w:val="21"/>
                      <w:lang w:eastAsia="zh-CN"/>
                    </w:rPr>
                    <w:t>杜绝各企业生产废水、生活污水及废油、废酸、固体废弃物任意乱排放进入岩溶(洼地、落水洞)环境或农田、水体中，保护地下水环境免受污染。</w:t>
                  </w:r>
                </w:p>
                <w:p w14:paraId="09A8A5F8">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val="en-US" w:eastAsia="zh-CN"/>
                    </w:rPr>
                    <w:t>⑧</w:t>
                  </w:r>
                  <w:r>
                    <w:rPr>
                      <w:rFonts w:hint="default" w:ascii="Times New Roman" w:hAnsi="Times New Roman" w:eastAsia="宋体" w:cs="Times New Roman"/>
                      <w:b w:val="0"/>
                      <w:bCs w:val="0"/>
                      <w:i w:val="0"/>
                      <w:iCs w:val="0"/>
                      <w:color w:val="auto"/>
                      <w:kern w:val="0"/>
                      <w:sz w:val="21"/>
                      <w:szCs w:val="21"/>
                      <w:lang w:eastAsia="zh-CN"/>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14:paraId="60BDE876">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val="0"/>
                      <w:bCs w:val="0"/>
                      <w:i w:val="0"/>
                      <w:iCs w:val="0"/>
                      <w:color w:val="auto"/>
                      <w:kern w:val="0"/>
                      <w:sz w:val="21"/>
                      <w:szCs w:val="21"/>
                      <w:lang w:eastAsia="zh-CN"/>
                    </w:rPr>
                    <w:t>涉及重金属及危险化学品的企业在平面布局时需考虑场地地下水含水层分布情况，尽量使重大风险源、废水收集治理等可能出现渗漏风险的设施设置于泥岩隔水层之上。</w:t>
                  </w:r>
                </w:p>
                <w:p w14:paraId="4672A9A4">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 w:val="0"/>
                      <w:bCs w:val="0"/>
                      <w:i w:val="0"/>
                      <w:iCs w:val="0"/>
                      <w:color w:val="auto"/>
                      <w:kern w:val="0"/>
                      <w:sz w:val="21"/>
                      <w:szCs w:val="21"/>
                      <w:lang w:val="en-US" w:eastAsia="zh-CN"/>
                    </w:rPr>
                    <w:t>⑨</w:t>
                  </w:r>
                  <w:r>
                    <w:rPr>
                      <w:rFonts w:hint="default" w:ascii="Times New Roman" w:hAnsi="Times New Roman" w:eastAsia="宋体" w:cs="Times New Roman"/>
                      <w:b w:val="0"/>
                      <w:bCs w:val="0"/>
                      <w:i w:val="0"/>
                      <w:iCs w:val="0"/>
                      <w:color w:val="auto"/>
                      <w:kern w:val="0"/>
                      <w:sz w:val="21"/>
                      <w:szCs w:val="21"/>
                      <w:lang w:eastAsia="zh-CN"/>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2287" w:type="dxa"/>
                  <w:noWrap w:val="0"/>
                  <w:vAlign w:val="center"/>
                </w:tcPr>
                <w:p w14:paraId="4C775A2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本项目区内进行分区防渗，</w:t>
                  </w:r>
                  <w:r>
                    <w:rPr>
                      <w:rFonts w:hint="default" w:ascii="Times New Roman" w:hAnsi="Times New Roman" w:eastAsia="宋体" w:cs="Times New Roman"/>
                      <w:b w:val="0"/>
                      <w:bCs w:val="0"/>
                      <w:color w:val="auto"/>
                      <w:sz w:val="21"/>
                      <w:szCs w:val="21"/>
                      <w:highlight w:val="none"/>
                      <w:lang w:val="en-US" w:eastAsia="zh-CN"/>
                    </w:rPr>
                    <w:t>①重点防渗：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w:t>
                  </w:r>
                  <w:r>
                    <w:rPr>
                      <w:rFonts w:hint="eastAsia" w:cs="Times New Roman"/>
                      <w:color w:val="auto"/>
                      <w:sz w:val="21"/>
                      <w:szCs w:val="21"/>
                      <w:lang w:val="zh-CN"/>
                    </w:rPr>
                    <w:t>成品油罐区防渗要求</w:t>
                  </w:r>
                  <w:r>
                    <w:rPr>
                      <w:color w:val="auto"/>
                      <w:sz w:val="21"/>
                      <w:szCs w:val="21"/>
                    </w:rPr>
                    <w:t>等效黏土层Mb≥</w:t>
                  </w:r>
                  <w:r>
                    <w:rPr>
                      <w:rFonts w:hint="eastAsia"/>
                      <w:color w:val="auto"/>
                      <w:sz w:val="21"/>
                      <w:szCs w:val="21"/>
                      <w:lang w:val="en-US" w:eastAsia="zh-CN"/>
                    </w:rPr>
                    <w:t>6.0</w:t>
                  </w:r>
                  <w:r>
                    <w:rPr>
                      <w:color w:val="auto"/>
                      <w:sz w:val="21"/>
                      <w:szCs w:val="21"/>
                    </w:rPr>
                    <w:t>m，K≤1.0×10</w:t>
                  </w:r>
                  <w:r>
                    <w:rPr>
                      <w:color w:val="auto"/>
                      <w:sz w:val="21"/>
                      <w:szCs w:val="21"/>
                      <w:vertAlign w:val="superscript"/>
                    </w:rPr>
                    <w:t>-7</w:t>
                  </w:r>
                  <w:r>
                    <w:rPr>
                      <w:color w:val="auto"/>
                      <w:sz w:val="21"/>
                      <w:szCs w:val="21"/>
                    </w:rPr>
                    <w:t>cm/s</w:t>
                  </w:r>
                  <w:r>
                    <w:rPr>
                      <w:rFonts w:hint="eastAsia"/>
                      <w:color w:val="auto"/>
                      <w:sz w:val="21"/>
                      <w:szCs w:val="21"/>
                      <w:lang w:eastAsia="zh-CN"/>
                    </w:rPr>
                    <w:t>，</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②一般防渗区：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w:t>
                  </w:r>
                  <w:r>
                    <w:rPr>
                      <w:rFonts w:hint="eastAsia" w:cs="Times New Roman"/>
                      <w:color w:val="auto"/>
                      <w:sz w:val="21"/>
                      <w:szCs w:val="21"/>
                      <w:highlight w:val="none"/>
                      <w:vertAlign w:val="baseline"/>
                      <w:lang w:val="en-US" w:eastAsia="zh-CN"/>
                    </w:rPr>
                    <w:t>隔</w:t>
                  </w:r>
                  <w:r>
                    <w:rPr>
                      <w:rFonts w:hint="default" w:ascii="Times New Roman" w:hAnsi="Times New Roman" w:eastAsia="宋体" w:cs="Times New Roman"/>
                      <w:color w:val="auto"/>
                      <w:sz w:val="21"/>
                      <w:szCs w:val="21"/>
                      <w:highlight w:val="none"/>
                      <w:vertAlign w:val="baseline"/>
                      <w:lang w:val="en-US" w:eastAsia="zh-CN"/>
                    </w:rPr>
                    <w:t>水池、事故应急池、一般固体废物暂存区</w:t>
                  </w:r>
                  <w:r>
                    <w:rPr>
                      <w:rFonts w:hint="eastAsia" w:cs="Times New Roman"/>
                      <w:color w:val="auto"/>
                      <w:sz w:val="21"/>
                      <w:szCs w:val="21"/>
                      <w:highlight w:val="none"/>
                      <w:vertAlign w:val="baseline"/>
                      <w:lang w:val="en-US" w:eastAsia="zh-CN"/>
                    </w:rPr>
                    <w:t>、冰池</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③简单防渗区：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硬化处理。本项目不属于高污染、高排水及淘汰落后的生产工艺，用水为市政管网供水。</w:t>
                  </w:r>
                </w:p>
              </w:tc>
              <w:tc>
                <w:tcPr>
                  <w:tcW w:w="862" w:type="dxa"/>
                  <w:noWrap w:val="0"/>
                  <w:vAlign w:val="center"/>
                </w:tcPr>
                <w:p w14:paraId="7C6A9A2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AC8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noWrap w:val="0"/>
                  <w:vAlign w:val="center"/>
                </w:tcPr>
                <w:p w14:paraId="17C592D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土壤环境影响</w:t>
                  </w:r>
                  <w:r>
                    <w:rPr>
                      <w:rFonts w:hint="default" w:ascii="Times New Roman" w:hAnsi="Times New Roman" w:eastAsia="宋体" w:cs="Times New Roman"/>
                      <w:color w:val="auto"/>
                      <w:sz w:val="21"/>
                      <w:szCs w:val="21"/>
                      <w:highlight w:val="none"/>
                      <w:lang w:val="zh-CN"/>
                    </w:rPr>
                    <w:t>减缓措施</w:t>
                  </w:r>
                </w:p>
              </w:tc>
              <w:tc>
                <w:tcPr>
                  <w:tcW w:w="4279" w:type="dxa"/>
                  <w:noWrap w:val="0"/>
                  <w:vAlign w:val="center"/>
                </w:tcPr>
                <w:p w14:paraId="6073C3B4">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①源头控制措施：选用合格的生产原料，从源头上控制污染物的产生。</w:t>
                  </w:r>
                </w:p>
                <w:p w14:paraId="6A1A8991">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②末端控制措施：废气经处理后外排，减少废气中的污染物排放。</w:t>
                  </w:r>
                </w:p>
                <w:p w14:paraId="0A8AB3DF">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③污染监控体系：实施覆盖生产区的土壤污染监控系统，及时发现污染、及时控制。</w:t>
                  </w:r>
                </w:p>
                <w:p w14:paraId="1C560708">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④应急响应措施：一旦发现污染事故，立即启动应急预案、采取应急措施控制土壤，并使污染</w:t>
                  </w:r>
                  <w:r>
                    <w:rPr>
                      <w:rFonts w:hint="eastAsia" w:cs="Times New Roman"/>
                      <w:b w:val="0"/>
                      <w:bCs w:val="0"/>
                      <w:i w:val="0"/>
                      <w:iCs w:val="0"/>
                      <w:color w:val="auto"/>
                      <w:kern w:val="0"/>
                      <w:sz w:val="21"/>
                      <w:szCs w:val="21"/>
                      <w:lang w:val="en-US" w:eastAsia="zh-CN"/>
                    </w:rPr>
                    <w:t>得</w:t>
                  </w:r>
                  <w:r>
                    <w:rPr>
                      <w:rFonts w:hint="default" w:ascii="Times New Roman" w:hAnsi="Times New Roman" w:eastAsia="宋体" w:cs="Times New Roman"/>
                      <w:b w:val="0"/>
                      <w:bCs w:val="0"/>
                      <w:i w:val="0"/>
                      <w:iCs w:val="0"/>
                      <w:color w:val="auto"/>
                      <w:kern w:val="0"/>
                      <w:sz w:val="21"/>
                      <w:szCs w:val="21"/>
                      <w:lang w:val="en-US" w:eastAsia="zh-CN"/>
                    </w:rPr>
                    <w:t>到治理。</w:t>
                  </w:r>
                </w:p>
                <w:p w14:paraId="665E6B3A">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⑤绿化措施：合理利用项目区的空余空间，加强项目区的绿化。</w:t>
                  </w:r>
                </w:p>
                <w:p w14:paraId="09D4D82A">
                  <w:pPr>
                    <w:pStyle w:val="34"/>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⑥加强对厂区周围土壤环境的定期监测，建立土壤环境质量动态监测系统，及时反馈污染控制信息。</w:t>
                  </w:r>
                </w:p>
                <w:p w14:paraId="06DB067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i w:val="0"/>
                      <w:iCs w:val="0"/>
                      <w:color w:val="auto"/>
                      <w:kern w:val="0"/>
                      <w:sz w:val="21"/>
                      <w:szCs w:val="21"/>
                      <w:lang w:val="en-US" w:eastAsia="zh-CN"/>
                    </w:rPr>
                    <w:t>⑦严格固体废物运输管理，避免在运输过程中的散落。一旦发生散落事件，及时清理收集，防止进入农田。</w:t>
                  </w:r>
                </w:p>
              </w:tc>
              <w:tc>
                <w:tcPr>
                  <w:tcW w:w="2287" w:type="dxa"/>
                  <w:noWrap w:val="0"/>
                  <w:vAlign w:val="center"/>
                </w:tcPr>
                <w:p w14:paraId="67CC243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本项目使用的生产原料均为合格品；废气均经过有效的治理措施处理后达标排放；</w:t>
                  </w: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w:t>
                  </w:r>
                  <w:r>
                    <w:rPr>
                      <w:rFonts w:hint="eastAsia" w:cs="Times New Roman"/>
                      <w:color w:val="auto"/>
                      <w:sz w:val="21"/>
                      <w:szCs w:val="21"/>
                      <w:lang w:val="zh-CN"/>
                    </w:rPr>
                    <w:t>成品油罐区防渗要求</w:t>
                  </w:r>
                  <w:r>
                    <w:rPr>
                      <w:color w:val="auto"/>
                      <w:sz w:val="21"/>
                      <w:szCs w:val="21"/>
                    </w:rPr>
                    <w:t>等效黏土层Mb≥</w:t>
                  </w:r>
                  <w:r>
                    <w:rPr>
                      <w:rFonts w:hint="eastAsia"/>
                      <w:color w:val="auto"/>
                      <w:sz w:val="21"/>
                      <w:szCs w:val="21"/>
                      <w:lang w:val="en-US" w:eastAsia="zh-CN"/>
                    </w:rPr>
                    <w:t>6.0</w:t>
                  </w:r>
                  <w:r>
                    <w:rPr>
                      <w:color w:val="auto"/>
                      <w:sz w:val="21"/>
                      <w:szCs w:val="21"/>
                    </w:rPr>
                    <w:t>m，K≤1.0×10</w:t>
                  </w:r>
                  <w:r>
                    <w:rPr>
                      <w:color w:val="auto"/>
                      <w:sz w:val="21"/>
                      <w:szCs w:val="21"/>
                      <w:vertAlign w:val="superscript"/>
                    </w:rPr>
                    <w:t>-7</w:t>
                  </w:r>
                  <w:r>
                    <w:rPr>
                      <w:color w:val="auto"/>
                      <w:sz w:val="21"/>
                      <w:szCs w:val="21"/>
                    </w:rPr>
                    <w:t>cm/s</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进行分区防渗，即</w:t>
                  </w:r>
                  <w:r>
                    <w:rPr>
                      <w:rFonts w:hint="default" w:ascii="Times New Roman" w:hAnsi="Times New Roman" w:eastAsia="宋体" w:cs="Times New Roman"/>
                      <w:color w:val="auto"/>
                      <w:szCs w:val="21"/>
                    </w:rPr>
                    <w:t>危废暂存间</w:t>
                  </w:r>
                  <w:r>
                    <w:rPr>
                      <w:rFonts w:hint="default" w:ascii="Times New Roman" w:hAnsi="Times New Roman" w:eastAsia="宋体" w:cs="Times New Roman"/>
                      <w:color w:val="auto"/>
                      <w:szCs w:val="21"/>
                      <w:lang w:val="en-US" w:eastAsia="zh-CN"/>
                    </w:rPr>
                    <w:t>进行重点防渗，</w:t>
                  </w:r>
                  <w:r>
                    <w:rPr>
                      <w:rFonts w:hint="default" w:ascii="Times New Roman" w:hAnsi="Times New Roman" w:eastAsia="宋体" w:cs="Times New Roman"/>
                      <w:color w:val="auto"/>
                      <w:sz w:val="21"/>
                      <w:szCs w:val="21"/>
                      <w:highlight w:val="none"/>
                      <w:vertAlign w:val="baseline"/>
                      <w:lang w:val="en-US" w:eastAsia="zh-CN"/>
                    </w:rPr>
                    <w:t>隔油池、化粪池、污水处理设施</w:t>
                  </w:r>
                  <w:r>
                    <w:rPr>
                      <w:rFonts w:hint="eastAsia" w:cs="Times New Roman"/>
                      <w:color w:val="auto"/>
                      <w:sz w:val="21"/>
                      <w:szCs w:val="21"/>
                      <w:highlight w:val="none"/>
                      <w:vertAlign w:val="baseline"/>
                      <w:lang w:val="en-US" w:eastAsia="zh-CN"/>
                    </w:rPr>
                    <w:t>隔</w:t>
                  </w:r>
                  <w:r>
                    <w:rPr>
                      <w:rFonts w:hint="default" w:ascii="Times New Roman" w:hAnsi="Times New Roman" w:eastAsia="宋体" w:cs="Times New Roman"/>
                      <w:color w:val="auto"/>
                      <w:sz w:val="21"/>
                      <w:szCs w:val="21"/>
                      <w:highlight w:val="none"/>
                      <w:vertAlign w:val="baseline"/>
                      <w:lang w:val="en-US" w:eastAsia="zh-CN"/>
                    </w:rPr>
                    <w:t>水池、事故应急池、一般固体废物暂存区</w:t>
                  </w:r>
                  <w:r>
                    <w:rPr>
                      <w:rFonts w:hint="default" w:ascii="Times New Roman" w:hAnsi="Times New Roman" w:eastAsia="宋体" w:cs="Times New Roman"/>
                      <w:color w:val="auto"/>
                      <w:lang w:val="en-US" w:eastAsia="zh-CN"/>
                    </w:rPr>
                    <w:t>进行一般防渗；</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c>
                <w:tcPr>
                  <w:tcW w:w="862" w:type="dxa"/>
                  <w:noWrap w:val="0"/>
                  <w:vAlign w:val="center"/>
                </w:tcPr>
                <w:p w14:paraId="080127A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8B6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noWrap w:val="0"/>
                  <w:vAlign w:val="center"/>
                </w:tcPr>
                <w:p w14:paraId="3A9297F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噪声影响减缓措施</w:t>
                  </w:r>
                </w:p>
              </w:tc>
              <w:tc>
                <w:tcPr>
                  <w:tcW w:w="4279" w:type="dxa"/>
                  <w:noWrap w:val="0"/>
                  <w:vAlign w:val="center"/>
                </w:tcPr>
                <w:p w14:paraId="6093DE42">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根据规划实施后对声环境的影响分析，本评价提出规划区应合理布局各企业位置，要将工业用地、公共设施用地等噪声污染较高的用地与住宅等需要安静的用地分隔开来，居住区应尽</w:t>
                  </w:r>
                  <w:r>
                    <w:rPr>
                      <w:rFonts w:hint="eastAsia" w:cs="Times New Roman"/>
                      <w:color w:val="auto"/>
                      <w:kern w:val="0"/>
                      <w:sz w:val="21"/>
                      <w:szCs w:val="21"/>
                      <w:lang w:eastAsia="zh-CN"/>
                    </w:rPr>
                    <w:t>量</w:t>
                  </w:r>
                  <w:r>
                    <w:rPr>
                      <w:rFonts w:hint="default" w:ascii="Times New Roman" w:hAnsi="Times New Roman" w:eastAsia="宋体" w:cs="Times New Roman"/>
                      <w:color w:val="auto"/>
                      <w:kern w:val="0"/>
                      <w:sz w:val="21"/>
                      <w:szCs w:val="21"/>
                    </w:rPr>
                    <w:t>离开交通干线40m以上，将仓储用地放于交通干道两侧，入园企业也要注意将生产区与办公区分离开来</w:t>
                  </w:r>
                  <w:r>
                    <w:rPr>
                      <w:rFonts w:hint="default" w:ascii="Times New Roman" w:hAnsi="Times New Roman" w:eastAsia="宋体" w:cs="Times New Roman"/>
                      <w:color w:val="auto"/>
                      <w:kern w:val="0"/>
                      <w:sz w:val="21"/>
                      <w:szCs w:val="21"/>
                      <w:lang w:eastAsia="zh-CN"/>
                    </w:rPr>
                    <w:t>；</w:t>
                  </w:r>
                </w:p>
                <w:p w14:paraId="20DF7B58">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②道路建设设计应预留绿化带，加强园区道路修缮工作以及交通管理；</w:t>
                  </w:r>
                </w:p>
                <w:p w14:paraId="3F67053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③入园企业如果使用一些高噪声设备如风机、空压机、冷却塔、发电机等，应做好消音降噪措施，建设过程中一定要对高噪声设备实行“同时设计、同时施工、同时验收”的原则，杜绝先污染后治理的现象出现</w:t>
                  </w:r>
                  <w:r>
                    <w:rPr>
                      <w:rFonts w:hint="default" w:ascii="Times New Roman" w:hAnsi="Times New Roman" w:eastAsia="宋体" w:cs="Times New Roman"/>
                      <w:color w:val="auto"/>
                      <w:kern w:val="0"/>
                      <w:sz w:val="21"/>
                      <w:szCs w:val="21"/>
                    </w:rPr>
                    <w:t>。</w:t>
                  </w:r>
                </w:p>
              </w:tc>
              <w:tc>
                <w:tcPr>
                  <w:tcW w:w="2287" w:type="dxa"/>
                  <w:noWrap w:val="0"/>
                  <w:vAlign w:val="center"/>
                </w:tcPr>
                <w:p w14:paraId="3227930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w:t>
                  </w:r>
                  <w:r>
                    <w:rPr>
                      <w:rFonts w:hint="default" w:ascii="Times New Roman" w:hAnsi="Times New Roman" w:eastAsia="宋体" w:cs="Times New Roman"/>
                      <w:color w:val="auto"/>
                      <w:sz w:val="21"/>
                      <w:szCs w:val="21"/>
                      <w:highlight w:val="none"/>
                      <w:lang w:val="en-US" w:eastAsia="zh-CN"/>
                    </w:rPr>
                    <w:t>项目厂界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中3</w:t>
                  </w:r>
                  <w:r>
                    <w:rPr>
                      <w:rFonts w:hint="default" w:ascii="Times New Roman" w:hAnsi="Times New Roman" w:eastAsia="宋体" w:cs="Times New Roman"/>
                      <w:color w:val="auto"/>
                      <w:sz w:val="21"/>
                      <w:szCs w:val="21"/>
                      <w:highlight w:val="none"/>
                    </w:rPr>
                    <w:t>类标准。项目周边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w:t>
                  </w:r>
                  <w:r>
                    <w:rPr>
                      <w:rFonts w:hint="eastAsia" w:cs="Times New Roman"/>
                      <w:color w:val="auto"/>
                      <w:sz w:val="21"/>
                      <w:szCs w:val="21"/>
                      <w:highlight w:val="none"/>
                      <w:lang w:eastAsia="zh-CN"/>
                    </w:rPr>
                    <w:t>内东侧存在</w:t>
                  </w:r>
                  <w:r>
                    <w:rPr>
                      <w:rFonts w:hint="default" w:ascii="Times New Roman" w:hAnsi="Times New Roman" w:eastAsia="宋体" w:cs="Times New Roman"/>
                      <w:color w:val="auto"/>
                      <w:sz w:val="21"/>
                      <w:szCs w:val="21"/>
                      <w:highlight w:val="none"/>
                    </w:rPr>
                    <w:t>声环境敏感目标，</w:t>
                  </w:r>
                  <w:r>
                    <w:rPr>
                      <w:rFonts w:hint="eastAsia" w:cs="Times New Roman"/>
                      <w:color w:val="auto"/>
                      <w:sz w:val="21"/>
                      <w:szCs w:val="21"/>
                      <w:highlight w:val="none"/>
                      <w:lang w:eastAsia="zh-CN"/>
                    </w:rPr>
                    <w:t>根据预测结果，敏感点噪声满足</w:t>
                  </w:r>
                  <w:r>
                    <w:rPr>
                      <w:rFonts w:hint="default" w:ascii="Times New Roman" w:hAnsi="Times New Roman" w:eastAsia="宋体" w:cs="Times New Roman"/>
                      <w:color w:val="auto"/>
                      <w:sz w:val="21"/>
                      <w:szCs w:val="21"/>
                    </w:rPr>
                    <w:t>《声环境质量标准》（GB3096-2008）中</w:t>
                  </w:r>
                  <w:r>
                    <w:rPr>
                      <w:rFonts w:hint="default" w:ascii="Times New Roman" w:hAnsi="Times New Roman" w:eastAsia="宋体" w:cs="Times New Roman"/>
                      <w:color w:val="auto"/>
                      <w:sz w:val="21"/>
                      <w:szCs w:val="21"/>
                      <w:lang w:val="en-US" w:eastAsia="zh-CN"/>
                    </w:rPr>
                    <w:t>2类</w:t>
                  </w:r>
                  <w:r>
                    <w:rPr>
                      <w:rFonts w:hint="default" w:ascii="Times New Roman" w:hAnsi="Times New Roman" w:eastAsia="宋体" w:cs="Times New Roman"/>
                      <w:color w:val="auto"/>
                      <w:sz w:val="21"/>
                      <w:szCs w:val="21"/>
                    </w:rPr>
                    <w:t>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1"/>
                      <w:szCs w:val="21"/>
                      <w:highlight w:val="none"/>
                    </w:rPr>
                    <w:t>不会降低区域声环境质量现状。</w:t>
                  </w:r>
                </w:p>
              </w:tc>
              <w:tc>
                <w:tcPr>
                  <w:tcW w:w="862" w:type="dxa"/>
                  <w:noWrap w:val="0"/>
                  <w:vAlign w:val="center"/>
                </w:tcPr>
                <w:p w14:paraId="30E7717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5EF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noWrap w:val="0"/>
                  <w:vAlign w:val="center"/>
                </w:tcPr>
                <w:p w14:paraId="516A16B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固体废物污染防治措施</w:t>
                  </w:r>
                </w:p>
              </w:tc>
              <w:tc>
                <w:tcPr>
                  <w:tcW w:w="4279" w:type="dxa"/>
                  <w:noWrap w:val="0"/>
                  <w:vAlign w:val="center"/>
                </w:tcPr>
                <w:p w14:paraId="2397EEC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r>
                    <w:rPr>
                      <w:rFonts w:hint="default" w:ascii="Times New Roman" w:hAnsi="Times New Roman" w:eastAsia="宋体" w:cs="Times New Roman"/>
                      <w:color w:val="auto"/>
                      <w:kern w:val="0"/>
                      <w:sz w:val="21"/>
                      <w:szCs w:val="21"/>
                      <w:lang w:eastAsia="zh-CN"/>
                    </w:rPr>
                    <w:t>；</w:t>
                  </w:r>
                </w:p>
                <w:p w14:paraId="3DA3F01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14:paraId="3B43943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对于危险固废，需要按《危险废物贮存污染控制标准》(GB18597.2023)的要求进行贮存，委托危险废物中心处理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目前不能处置的废物，应在项目内妥善贮存。</w:t>
                  </w:r>
                  <w:r>
                    <w:rPr>
                      <w:rFonts w:hint="default" w:ascii="Times New Roman" w:hAnsi="Times New Roman" w:eastAsia="宋体" w:cs="Times New Roman"/>
                      <w:color w:val="auto"/>
                      <w:kern w:val="0"/>
                      <w:sz w:val="21"/>
                      <w:szCs w:val="21"/>
                      <w:lang w:val="en-US" w:eastAsia="zh-CN"/>
                    </w:rPr>
                    <w:t>严</w:t>
                  </w:r>
                  <w:r>
                    <w:rPr>
                      <w:rFonts w:hint="default" w:ascii="Times New Roman" w:hAnsi="Times New Roman" w:eastAsia="宋体" w:cs="Times New Roman"/>
                      <w:color w:val="auto"/>
                      <w:kern w:val="0"/>
                      <w:sz w:val="21"/>
                      <w:szCs w:val="21"/>
                    </w:rPr>
                    <w:t>格按照《</w:t>
                  </w:r>
                  <w:r>
                    <w:rPr>
                      <w:rFonts w:hint="eastAsia" w:cs="Times New Roman"/>
                      <w:color w:val="auto"/>
                      <w:kern w:val="0"/>
                      <w:sz w:val="21"/>
                      <w:szCs w:val="21"/>
                      <w:lang w:eastAsia="zh-CN"/>
                    </w:rPr>
                    <w:t>中华人民共和国固体废物污染环境防治法</w:t>
                  </w:r>
                  <w:r>
                    <w:rPr>
                      <w:rFonts w:hint="default" w:ascii="Times New Roman" w:hAnsi="Times New Roman" w:eastAsia="宋体" w:cs="Times New Roman"/>
                      <w:color w:val="auto"/>
                      <w:kern w:val="0"/>
                      <w:sz w:val="21"/>
                      <w:szCs w:val="21"/>
                    </w:rPr>
                    <w:t>》对危险废物污染环境污染防治的特别规定，做好危险废物的申报登记、处置和管理。强化危险废物管理。</w:t>
                  </w:r>
                </w:p>
                <w:p w14:paraId="7183574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规划区产生的生活垃圾则委托环卫部门统一收集并运至城市生活垃圾卫生填埋场进行处置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制定地方商品进入和消费的指导性政策，限制过度包装商品的进入，建立消费品包装物回收体系，逐步取缔一次性餐具类商品的销售和使用。鼓励净菜类产业和相关服务体系的发展，减少厨房残余垃圾产生量</w:t>
                  </w:r>
                  <w:r>
                    <w:rPr>
                      <w:rFonts w:hint="default" w:ascii="Times New Roman" w:hAnsi="Times New Roman" w:eastAsia="宋体" w:cs="Times New Roman"/>
                      <w:color w:val="auto"/>
                      <w:kern w:val="0"/>
                      <w:sz w:val="21"/>
                      <w:szCs w:val="21"/>
                      <w:lang w:eastAsia="zh-CN"/>
                    </w:rPr>
                    <w:t>；</w:t>
                  </w:r>
                </w:p>
                <w:p w14:paraId="1F18DDA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工程开挖土石方、建筑垃圾和施工人员生活垃圾要及时清运，以免给周围环境带来影响。</w:t>
                  </w:r>
                </w:p>
              </w:tc>
              <w:tc>
                <w:tcPr>
                  <w:tcW w:w="2287" w:type="dxa"/>
                  <w:noWrap w:val="0"/>
                  <w:vAlign w:val="center"/>
                </w:tcPr>
                <w:p w14:paraId="2D51876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zh-CN"/>
                    </w:rPr>
                    <w:t>固体废弃物100%处置。</w:t>
                  </w:r>
                </w:p>
              </w:tc>
              <w:tc>
                <w:tcPr>
                  <w:tcW w:w="862" w:type="dxa"/>
                  <w:noWrap w:val="0"/>
                  <w:vAlign w:val="center"/>
                </w:tcPr>
                <w:p w14:paraId="6410E5B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E5A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noWrap w:val="0"/>
                  <w:vAlign w:val="center"/>
                </w:tcPr>
                <w:p w14:paraId="5AFF1FF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生态环境影响减缓措施</w:t>
                  </w:r>
                </w:p>
              </w:tc>
              <w:tc>
                <w:tcPr>
                  <w:tcW w:w="4279" w:type="dxa"/>
                  <w:noWrap w:val="0"/>
                  <w:vAlign w:val="center"/>
                </w:tcPr>
                <w:p w14:paraId="09C52D7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强化规划区内项目建设施工期生态保护</w:t>
                  </w:r>
                  <w:r>
                    <w:rPr>
                      <w:rFonts w:hint="default" w:ascii="Times New Roman" w:hAnsi="Times New Roman" w:eastAsia="宋体" w:cs="Times New Roman"/>
                      <w:color w:val="auto"/>
                      <w:kern w:val="0"/>
                      <w:sz w:val="21"/>
                      <w:szCs w:val="21"/>
                      <w:lang w:eastAsia="zh-CN"/>
                    </w:rPr>
                    <w:t>；</w:t>
                  </w:r>
                </w:p>
                <w:p w14:paraId="034F1A5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优先进行生态</w:t>
                  </w:r>
                  <w:r>
                    <w:rPr>
                      <w:rFonts w:hint="eastAsia" w:cs="Times New Roman"/>
                      <w:color w:val="auto"/>
                      <w:kern w:val="0"/>
                      <w:sz w:val="21"/>
                      <w:szCs w:val="21"/>
                      <w:lang w:eastAsia="zh-CN"/>
                    </w:rPr>
                    <w:t>基础设施</w:t>
                  </w:r>
                  <w:r>
                    <w:rPr>
                      <w:rFonts w:hint="default" w:ascii="Times New Roman" w:hAnsi="Times New Roman" w:eastAsia="宋体" w:cs="Times New Roman"/>
                      <w:color w:val="auto"/>
                      <w:kern w:val="0"/>
                      <w:sz w:val="21"/>
                      <w:szCs w:val="21"/>
                    </w:rPr>
                    <w:t>建设</w:t>
                  </w:r>
                  <w:r>
                    <w:rPr>
                      <w:rFonts w:hint="default" w:ascii="Times New Roman" w:hAnsi="Times New Roman" w:eastAsia="宋体" w:cs="Times New Roman"/>
                      <w:color w:val="auto"/>
                      <w:kern w:val="0"/>
                      <w:sz w:val="21"/>
                      <w:szCs w:val="21"/>
                      <w:lang w:eastAsia="zh-CN"/>
                    </w:rPr>
                    <w:t>；</w:t>
                  </w:r>
                </w:p>
                <w:p w14:paraId="1C73E36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建立长效而稳定的生态保护和生态建设机制</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强化城乡建设、土地利用、环境保护、文物保护、林地保护、综合交通</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水资源、文化旅游、社会事业等各类规划的衔接，确保产业园区的保护空间</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开发边界、建设规模等重要参数一致</w:t>
                  </w:r>
                  <w:r>
                    <w:rPr>
                      <w:rFonts w:hint="default" w:ascii="Times New Roman" w:hAnsi="Times New Roman" w:eastAsia="宋体" w:cs="Times New Roman"/>
                      <w:color w:val="auto"/>
                      <w:kern w:val="0"/>
                      <w:sz w:val="21"/>
                      <w:szCs w:val="21"/>
                      <w:lang w:eastAsia="zh-CN"/>
                    </w:rPr>
                    <w:t>；</w:t>
                  </w:r>
                </w:p>
                <w:p w14:paraId="300837A6">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注重生态环境保护的管理和宣传教育</w:t>
                  </w:r>
                  <w:r>
                    <w:rPr>
                      <w:rFonts w:hint="default" w:ascii="Times New Roman" w:hAnsi="Times New Roman" w:eastAsia="宋体" w:cs="Times New Roman"/>
                      <w:color w:val="auto"/>
                      <w:kern w:val="0"/>
                      <w:sz w:val="21"/>
                      <w:szCs w:val="21"/>
                      <w:lang w:eastAsia="zh-CN"/>
                    </w:rPr>
                    <w:t>；</w:t>
                  </w:r>
                </w:p>
                <w:p w14:paraId="167907C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规划实施建设活动时应尽量避开耕地、林地，尽量选择在灌草丛、荒地等植被较差或未开发利用的区域，以减少对植被的破坏</w:t>
                  </w:r>
                  <w:r>
                    <w:rPr>
                      <w:rFonts w:hint="default" w:ascii="Times New Roman" w:hAnsi="Times New Roman" w:eastAsia="宋体" w:cs="Times New Roman"/>
                      <w:color w:val="auto"/>
                      <w:kern w:val="0"/>
                      <w:sz w:val="21"/>
                      <w:szCs w:val="21"/>
                      <w:lang w:eastAsia="zh-CN"/>
                    </w:rPr>
                    <w:t>，</w:t>
                  </w:r>
                </w:p>
                <w:p w14:paraId="74DF43E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在保证质量的情况下尽量缩短工期，从而尽量减少对占地范围环境的扰动</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14:paraId="1DD7612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2287" w:type="dxa"/>
                  <w:noWrap w:val="0"/>
                  <w:vAlign w:val="center"/>
                </w:tcPr>
                <w:p w14:paraId="5841FCC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项目厂区内设置了一定面积的绿化。</w:t>
                  </w:r>
                </w:p>
              </w:tc>
              <w:tc>
                <w:tcPr>
                  <w:tcW w:w="862" w:type="dxa"/>
                  <w:noWrap w:val="0"/>
                  <w:vAlign w:val="center"/>
                </w:tcPr>
                <w:p w14:paraId="2F5354C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8AB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noWrap w:val="0"/>
                  <w:vAlign w:val="center"/>
                </w:tcPr>
                <w:p w14:paraId="7860B10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4279" w:type="dxa"/>
                  <w:noWrap w:val="0"/>
                  <w:vAlign w:val="center"/>
                </w:tcPr>
                <w:p w14:paraId="39FD0CAC">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①</w:t>
                  </w:r>
                  <w:r>
                    <w:rPr>
                      <w:rFonts w:hint="default" w:ascii="Times New Roman" w:hAnsi="Times New Roman" w:eastAsia="宋体" w:cs="Times New Roman"/>
                      <w:color w:val="auto"/>
                      <w:kern w:val="0"/>
                      <w:sz w:val="21"/>
                      <w:szCs w:val="21"/>
                    </w:rPr>
                    <w:t>园区管委会应建立完善的安全、环保管理体制。</w:t>
                  </w:r>
                </w:p>
                <w:p w14:paraId="535AD1E0">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②</w:t>
                  </w:r>
                  <w:r>
                    <w:rPr>
                      <w:rFonts w:hint="default" w:ascii="Times New Roman" w:hAnsi="Times New Roman" w:eastAsia="宋体" w:cs="Times New Roman"/>
                      <w:color w:val="auto"/>
                      <w:kern w:val="0"/>
                      <w:sz w:val="21"/>
                      <w:szCs w:val="21"/>
                    </w:rPr>
                    <w:t>加强园区内企业的环境监督管理。</w:t>
                  </w:r>
                </w:p>
                <w:p w14:paraId="3E28B16C">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规划实施过程中，园区管委会和环保部门对进驻园区企业进行风险排查，掌握园区企业危险化学品使用、贮存和生产情况。</w:t>
                  </w:r>
                </w:p>
                <w:p w14:paraId="6081A80D">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④</w:t>
                  </w:r>
                  <w:r>
                    <w:rPr>
                      <w:rFonts w:hint="default" w:ascii="Times New Roman" w:hAnsi="Times New Roman" w:eastAsia="宋体" w:cs="Times New Roman"/>
                      <w:color w:val="auto"/>
                      <w:kern w:val="0"/>
                      <w:sz w:val="21"/>
                      <w:szCs w:val="21"/>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14:paraId="708AF7E6">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⑤</w:t>
                  </w:r>
                  <w:r>
                    <w:rPr>
                      <w:rFonts w:hint="default" w:ascii="Times New Roman" w:hAnsi="Times New Roman" w:eastAsia="宋体" w:cs="Times New Roman"/>
                      <w:color w:val="auto"/>
                      <w:kern w:val="0"/>
                      <w:sz w:val="21"/>
                      <w:szCs w:val="21"/>
                    </w:rPr>
                    <w:t>根据进驻项目可能发生的风险事故和清消废水产生量，对存在环境风险的项目，在进行设计施工时，设置清消废水收集池，清消废水经收集处理达标后才能外排。</w:t>
                  </w:r>
                </w:p>
                <w:p w14:paraId="19ECE11D">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⑥</w:t>
                  </w:r>
                  <w:r>
                    <w:rPr>
                      <w:rFonts w:hint="default" w:ascii="Times New Roman" w:hAnsi="Times New Roman" w:eastAsia="宋体" w:cs="Times New Roman"/>
                      <w:color w:val="auto"/>
                      <w:kern w:val="0"/>
                      <w:sz w:val="21"/>
                      <w:szCs w:val="21"/>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14:paraId="4AE2A81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lang w:val="en-US" w:eastAsia="zh-CN"/>
                    </w:rPr>
                    <w:t>⑦</w:t>
                  </w:r>
                  <w:r>
                    <w:rPr>
                      <w:rFonts w:hint="default" w:ascii="Times New Roman" w:hAnsi="Times New Roman" w:eastAsia="宋体" w:cs="Times New Roman"/>
                      <w:color w:val="auto"/>
                      <w:kern w:val="0"/>
                      <w:sz w:val="21"/>
                      <w:szCs w:val="21"/>
                    </w:rPr>
                    <w:t>园区周围环境目标众多，环境敏感程度较高，限制根据HJ/T169-2018《建设项目环境风险评价技术导则》判定的极高危害企业(P1)入驻</w:t>
                  </w:r>
                  <w:r>
                    <w:rPr>
                      <w:rFonts w:hint="default" w:ascii="Times New Roman" w:hAnsi="Times New Roman" w:eastAsia="宋体" w:cs="Times New Roman"/>
                      <w:color w:val="auto"/>
                      <w:kern w:val="0"/>
                      <w:sz w:val="21"/>
                      <w:szCs w:val="21"/>
                      <w:lang w:val="en-US" w:eastAsia="zh-CN"/>
                    </w:rPr>
                    <w:t>。</w:t>
                  </w:r>
                </w:p>
              </w:tc>
              <w:tc>
                <w:tcPr>
                  <w:tcW w:w="2287" w:type="dxa"/>
                  <w:noWrap w:val="0"/>
                  <w:vAlign w:val="center"/>
                </w:tcPr>
                <w:p w14:paraId="28D0EC0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本项目建设完成后按照要求编制突发环境事件应急预案，并报当地环保部门备案。</w:t>
                  </w:r>
                </w:p>
              </w:tc>
              <w:tc>
                <w:tcPr>
                  <w:tcW w:w="862" w:type="dxa"/>
                  <w:noWrap w:val="0"/>
                  <w:vAlign w:val="center"/>
                </w:tcPr>
                <w:p w14:paraId="6A8212D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40E3DACE">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符合《云南寻甸产业园区总体规划修编（2021-2035）环境影响报告书》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lang w:val="zh-CN"/>
              </w:rPr>
              <w:t>环境影响减缓措施相关要求。</w:t>
            </w:r>
          </w:p>
          <w:p w14:paraId="5BAA4272">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w:t>
            </w:r>
            <w:r>
              <w:rPr>
                <w:rFonts w:hint="default" w:ascii="Times New Roman" w:hAnsi="Times New Roman" w:eastAsia="宋体"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lang w:val="zh-CN"/>
              </w:rPr>
              <w:t>准入负面清单</w:t>
            </w:r>
            <w:r>
              <w:rPr>
                <w:rFonts w:hint="default" w:ascii="Times New Roman" w:hAnsi="Times New Roman" w:eastAsia="宋体" w:cs="Times New Roman"/>
                <w:b/>
                <w:bCs/>
                <w:color w:val="auto"/>
                <w:sz w:val="24"/>
                <w:szCs w:val="24"/>
                <w:highlight w:val="none"/>
                <w:lang w:val="en-US" w:eastAsia="zh-CN"/>
              </w:rPr>
              <w:t>符合性分析</w:t>
            </w:r>
          </w:p>
          <w:p w14:paraId="1D3461F1">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根据《云南寻甸产业园区总体规划修编（2021-2035）环境影响报告书》，园区</w:t>
            </w:r>
            <w:r>
              <w:rPr>
                <w:rFonts w:hint="default"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zh-CN"/>
              </w:rPr>
              <w:t>准入负面清单及对照情况如下：</w:t>
            </w:r>
          </w:p>
          <w:p w14:paraId="65BC2925">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表1-3  本项目与规划区环境准入条件负面清单对照情况表</w:t>
            </w:r>
          </w:p>
          <w:tbl>
            <w:tblPr>
              <w:tblStyle w:val="26"/>
              <w:tblW w:w="8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36"/>
              <w:gridCol w:w="3165"/>
              <w:gridCol w:w="3183"/>
              <w:gridCol w:w="758"/>
            </w:tblGrid>
            <w:tr w14:paraId="2816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7" w:type="dxa"/>
                  <w:gridSpan w:val="3"/>
                  <w:vAlign w:val="center"/>
                </w:tcPr>
                <w:p w14:paraId="479E2F6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183" w:type="dxa"/>
                  <w:vAlign w:val="center"/>
                </w:tcPr>
                <w:p w14:paraId="5A986A6A">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58" w:type="dxa"/>
                  <w:vAlign w:val="center"/>
                </w:tcPr>
                <w:p w14:paraId="5740D2E6">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029B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restart"/>
                  <w:vAlign w:val="center"/>
                </w:tcPr>
                <w:p w14:paraId="3E52172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36" w:type="dxa"/>
                  <w:vAlign w:val="center"/>
                </w:tcPr>
                <w:p w14:paraId="19D6513A">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165" w:type="dxa"/>
                  <w:vAlign w:val="center"/>
                </w:tcPr>
                <w:p w14:paraId="7D8B2AE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年本）》（或更新）中禁止、限制类的行业。</w:t>
                  </w:r>
                </w:p>
                <w:p w14:paraId="5F8C4EC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》（或更新）中</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禁止类。</w:t>
                  </w:r>
                </w:p>
                <w:p w14:paraId="29722593">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（3）严禁不符合要求的高风险高污染行业入驻。</w:t>
                  </w:r>
                </w:p>
                <w:p w14:paraId="0B35EF48">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（4）禁止引入其他不在园区产业定位、不符合园区环保要求项目，如造纸制浆、印染、染料、制革、炼焦、炼硫、炼砷、炼油、有色金属等项目。</w:t>
                  </w:r>
                </w:p>
                <w:p w14:paraId="1A6001C1">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（5）污水成分复杂或废水、废液按现有技术无法妥善处置的产业。</w:t>
                  </w:r>
                </w:p>
                <w:p w14:paraId="40BB2C8B">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（6）物耗、能耗相对较高，产生的大气污染类型复杂、环境风险较大的产业、项目或工艺；且产生的大气污染物无法自身治理或妥善处置或处理成本较高的产生。</w:t>
                  </w:r>
                </w:p>
                <w:p w14:paraId="58DC6348">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（7）不能严格按“三同时”要求建厂的企业，无法满足卫生防护距离、大气环境防护距离的企业。</w:t>
                  </w:r>
                </w:p>
                <w:p w14:paraId="4D682588">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（8）与《云南省牛栏江保护条例》存在冲突的项目。</w:t>
                  </w:r>
                </w:p>
                <w:p w14:paraId="36D95BF8">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（9）《长江经济带发展负面清单指南（试行，2022 年版）》和《云南省推动长江经济带发展负面清单指南实施细则（试行，2022 年版）》中的禁止项目。</w:t>
                  </w:r>
                </w:p>
                <w:p w14:paraId="11F54A57">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35052AD7">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（11）未来入驻企业禁止在园区内新建永久性工业固废处置场。</w:t>
                  </w:r>
                </w:p>
                <w:p w14:paraId="2E76B0C5">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14:paraId="6FFD63E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（13）禁止入园企业开采地下水作为生产、生活用水。</w:t>
                  </w:r>
                </w:p>
              </w:tc>
              <w:tc>
                <w:tcPr>
                  <w:tcW w:w="3183" w:type="dxa"/>
                  <w:vAlign w:val="center"/>
                </w:tcPr>
                <w:p w14:paraId="5C89DA3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（1）本项目为</w:t>
                  </w:r>
                  <w:r>
                    <w:rPr>
                      <w:rFonts w:hint="eastAsia" w:ascii="Times New Roman" w:hAnsi="Times New Roman" w:eastAsia="宋体" w:cs="Times New Roman"/>
                      <w:color w:val="auto"/>
                      <w:sz w:val="21"/>
                      <w:szCs w:val="21"/>
                      <w:highlight w:val="none"/>
                      <w:lang w:val="zh-CN" w:eastAsia="zh-CN"/>
                    </w:rPr>
                    <w:t>牛油、牛干巴</w:t>
                  </w:r>
                  <w:r>
                    <w:rPr>
                      <w:rFonts w:hint="default" w:ascii="Times New Roman" w:hAnsi="Times New Roman" w:eastAsia="宋体" w:cs="Times New Roman"/>
                      <w:color w:val="auto"/>
                      <w:sz w:val="21"/>
                      <w:szCs w:val="21"/>
                      <w:highlight w:val="none"/>
                      <w:lang w:val="zh-CN" w:eastAsia="zh-CN"/>
                    </w:rPr>
                    <w:t>及</w:t>
                  </w:r>
                  <w:r>
                    <w:rPr>
                      <w:rFonts w:hint="eastAsia" w:ascii="Times New Roman" w:hAnsi="Times New Roman" w:eastAsia="宋体" w:cs="Times New Roman"/>
                      <w:color w:val="auto"/>
                      <w:sz w:val="21"/>
                      <w:szCs w:val="21"/>
                      <w:highlight w:val="none"/>
                      <w:lang w:val="zh-CN" w:eastAsia="zh-CN"/>
                    </w:rPr>
                    <w:t>饲料油脂</w:t>
                  </w:r>
                  <w:r>
                    <w:rPr>
                      <w:rFonts w:hint="default" w:ascii="Times New Roman" w:hAnsi="Times New Roman" w:eastAsia="宋体" w:cs="Times New Roman"/>
                      <w:color w:val="auto"/>
                      <w:sz w:val="21"/>
                      <w:szCs w:val="21"/>
                      <w:highlight w:val="none"/>
                      <w:lang w:val="zh-CN" w:eastAsia="zh-CN"/>
                    </w:rPr>
                    <w:t>加工项目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根据《产业结构调整指导目录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为允许类</w:t>
                  </w:r>
                  <w:r>
                    <w:rPr>
                      <w:rFonts w:hint="default" w:ascii="Times New Roman" w:hAnsi="Times New Roman" w:eastAsia="宋体" w:cs="Times New Roman"/>
                      <w:color w:val="auto"/>
                      <w:sz w:val="21"/>
                      <w:szCs w:val="21"/>
                      <w:highlight w:val="none"/>
                    </w:rPr>
                    <w:t>；</w:t>
                  </w:r>
                </w:p>
                <w:p w14:paraId="3796A73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w:t>
                  </w:r>
                </w:p>
                <w:p w14:paraId="39DC8201">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高风险高污染</w:t>
                  </w:r>
                  <w:r>
                    <w:rPr>
                      <w:rFonts w:hint="default" w:ascii="Times New Roman" w:hAnsi="Times New Roman" w:eastAsia="宋体" w:cs="Times New Roman"/>
                      <w:color w:val="auto"/>
                      <w:sz w:val="21"/>
                      <w:szCs w:val="21"/>
                      <w:lang w:val="en-US" w:eastAsia="zh-CN"/>
                    </w:rPr>
                    <w:t>类行业；</w:t>
                  </w:r>
                </w:p>
                <w:p w14:paraId="6D6E3353">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（4）项目</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 w:val="21"/>
                      <w:szCs w:val="21"/>
                    </w:rPr>
                    <w:t>造纸制浆、印染、染料、制革、炼焦、炼硫、炼砷、炼油、有色金属等</w:t>
                  </w:r>
                  <w:r>
                    <w:rPr>
                      <w:rFonts w:hint="default" w:ascii="Times New Roman" w:hAnsi="Times New Roman" w:eastAsia="宋体" w:cs="Times New Roman"/>
                      <w:color w:val="auto"/>
                      <w:sz w:val="21"/>
                      <w:szCs w:val="21"/>
                      <w:highlight w:val="none"/>
                    </w:rPr>
                    <w:t>其他不在园区产业定位、不符合园区环保要求项目；</w:t>
                  </w:r>
                </w:p>
                <w:p w14:paraId="40C94507">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 w:val="21"/>
                      <w:szCs w:val="21"/>
                      <w:highlight w:val="none"/>
                    </w:rPr>
                    <w:t>运营期</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废水不属于污水成分复杂或废水、废液按现有技术无法</w:t>
                  </w:r>
                  <w:r>
                    <w:rPr>
                      <w:rFonts w:hint="eastAsia" w:cs="Times New Roman"/>
                      <w:color w:val="auto"/>
                      <w:sz w:val="21"/>
                      <w:szCs w:val="21"/>
                      <w:highlight w:val="none"/>
                      <w:lang w:eastAsia="zh-CN"/>
                    </w:rPr>
                    <w:t>完善</w:t>
                  </w:r>
                  <w:r>
                    <w:rPr>
                      <w:rFonts w:hint="default" w:ascii="Times New Roman" w:hAnsi="Times New Roman" w:eastAsia="宋体" w:cs="Times New Roman"/>
                      <w:color w:val="auto"/>
                      <w:sz w:val="21"/>
                      <w:szCs w:val="21"/>
                      <w:highlight w:val="none"/>
                    </w:rPr>
                    <w:t>处置的产业；</w:t>
                  </w:r>
                </w:p>
                <w:p w14:paraId="19B8D90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本项目物耗、能耗相对较低，产生的大气污染类型主要为</w:t>
                  </w:r>
                  <w:r>
                    <w:rPr>
                      <w:rFonts w:hint="default" w:ascii="Times New Roman" w:hAnsi="Times New Roman" w:eastAsia="宋体" w:cs="Times New Roman"/>
                      <w:b w:val="0"/>
                      <w:bCs w:val="0"/>
                      <w:color w:val="auto"/>
                      <w:kern w:val="0"/>
                      <w:sz w:val="21"/>
                      <w:szCs w:val="21"/>
                      <w:highlight w:val="none"/>
                      <w:vertAlign w:val="baseline"/>
                      <w:lang w:val="en-US" w:eastAsia="zh-CN"/>
                    </w:rPr>
                    <w:t>颗粒物、SO</w:t>
                  </w:r>
                  <w:r>
                    <w:rPr>
                      <w:rFonts w:hint="default" w:ascii="Times New Roman" w:hAnsi="Times New Roman" w:eastAsia="宋体" w:cs="Times New Roman"/>
                      <w:b w:val="0"/>
                      <w:bCs w:val="0"/>
                      <w:color w:val="auto"/>
                      <w:kern w:val="0"/>
                      <w:sz w:val="21"/>
                      <w:szCs w:val="21"/>
                      <w:highlight w:val="none"/>
                      <w:vertAlign w:val="subscript"/>
                      <w:lang w:val="en-US" w:eastAsia="zh-CN"/>
                    </w:rPr>
                    <w:t>2</w:t>
                  </w:r>
                  <w:r>
                    <w:rPr>
                      <w:rFonts w:hint="default" w:ascii="Times New Roman" w:hAnsi="Times New Roman" w:eastAsia="宋体" w:cs="Times New Roman"/>
                      <w:b w:val="0"/>
                      <w:bCs w:val="0"/>
                      <w:color w:val="auto"/>
                      <w:kern w:val="0"/>
                      <w:sz w:val="21"/>
                      <w:szCs w:val="21"/>
                      <w:highlight w:val="none"/>
                      <w:vertAlign w:val="baseline"/>
                      <w:lang w:val="en-US" w:eastAsia="zh-CN"/>
                    </w:rPr>
                    <w:t>、NO</w:t>
                  </w:r>
                  <w:r>
                    <w:rPr>
                      <w:rFonts w:hint="default" w:ascii="Times New Roman" w:hAnsi="Times New Roman" w:eastAsia="宋体" w:cs="Times New Roman"/>
                      <w:b w:val="0"/>
                      <w:bCs w:val="0"/>
                      <w:color w:val="auto"/>
                      <w:kern w:val="0"/>
                      <w:sz w:val="21"/>
                      <w:szCs w:val="21"/>
                      <w:highlight w:val="none"/>
                      <w:vertAlign w:val="subscript"/>
                      <w:lang w:val="en-US" w:eastAsia="zh-CN"/>
                    </w:rPr>
                    <w:t>X</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eastAsia" w:ascii="Times New Roman" w:hAnsi="Times New Roman" w:eastAsia="宋体" w:cs="Times New Roman"/>
                      <w:b w:val="0"/>
                      <w:bCs w:val="0"/>
                      <w:color w:val="auto"/>
                      <w:kern w:val="0"/>
                      <w:sz w:val="21"/>
                      <w:szCs w:val="21"/>
                      <w:highlight w:val="none"/>
                      <w:vertAlign w:val="baseline"/>
                      <w:lang w:val="en-US" w:eastAsia="zh-CN"/>
                    </w:rPr>
                    <w:t>非甲烷总烃、</w:t>
                  </w:r>
                  <w:r>
                    <w:rPr>
                      <w:rFonts w:hint="default" w:ascii="Times New Roman" w:hAnsi="Times New Roman" w:eastAsia="宋体" w:cs="Times New Roman"/>
                      <w:b w:val="0"/>
                      <w:bCs w:val="0"/>
                      <w:color w:val="auto"/>
                      <w:kern w:val="0"/>
                      <w:sz w:val="21"/>
                      <w:szCs w:val="21"/>
                      <w:highlight w:val="none"/>
                      <w:vertAlign w:val="baseline"/>
                      <w:lang w:val="en-US" w:eastAsia="zh-CN"/>
                    </w:rPr>
                    <w:t>氨、硫化氢、臭气浓度</w:t>
                  </w:r>
                  <w:r>
                    <w:rPr>
                      <w:rFonts w:hint="eastAsia" w:ascii="Times New Roman" w:hAnsi="Times New Roman" w:eastAsia="宋体" w:cs="Times New Roman"/>
                      <w:b w:val="0"/>
                      <w:bCs w:val="0"/>
                      <w:color w:val="auto"/>
                      <w:kern w:val="0"/>
                      <w:sz w:val="21"/>
                      <w:szCs w:val="21"/>
                      <w:highlight w:val="none"/>
                      <w:vertAlign w:val="baseline"/>
                      <w:lang w:val="en-US" w:eastAsia="zh-CN"/>
                    </w:rPr>
                    <w:t>等</w:t>
                  </w:r>
                  <w:r>
                    <w:rPr>
                      <w:rFonts w:hint="default" w:ascii="Times New Roman" w:hAnsi="Times New Roman" w:eastAsia="宋体" w:cs="Times New Roman"/>
                      <w:color w:val="auto"/>
                      <w:sz w:val="21"/>
                      <w:szCs w:val="21"/>
                      <w:highlight w:val="none"/>
                    </w:rPr>
                    <w:t>，大气污染物</w:t>
                  </w:r>
                  <w:r>
                    <w:rPr>
                      <w:rFonts w:hint="default" w:ascii="Times New Roman" w:hAnsi="Times New Roman" w:eastAsia="宋体" w:cs="Times New Roman"/>
                      <w:color w:val="auto"/>
                      <w:sz w:val="21"/>
                      <w:szCs w:val="21"/>
                      <w:highlight w:val="none"/>
                      <w:lang w:val="en-US" w:eastAsia="zh-CN"/>
                    </w:rPr>
                    <w:t>经采取措施治理后</w:t>
                  </w:r>
                  <w:r>
                    <w:rPr>
                      <w:rFonts w:hint="default" w:ascii="Times New Roman" w:hAnsi="Times New Roman" w:eastAsia="宋体" w:cs="Times New Roman"/>
                      <w:color w:val="auto"/>
                      <w:sz w:val="21"/>
                      <w:szCs w:val="21"/>
                      <w:highlight w:val="none"/>
                    </w:rPr>
                    <w:t>达标排放，处理成本一般；环境风险为一般环境风险</w:t>
                  </w:r>
                  <w:r>
                    <w:rPr>
                      <w:rFonts w:hint="default" w:ascii="Times New Roman" w:hAnsi="Times New Roman" w:eastAsia="宋体" w:cs="Times New Roman"/>
                      <w:color w:val="auto"/>
                      <w:sz w:val="21"/>
                      <w:szCs w:val="21"/>
                      <w:highlight w:val="none"/>
                      <w:lang w:eastAsia="zh-CN"/>
                    </w:rPr>
                    <w:t>；</w:t>
                  </w:r>
                </w:p>
                <w:p w14:paraId="381D43C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项目，能严格按“三同时”要求</w:t>
                  </w:r>
                  <w:r>
                    <w:rPr>
                      <w:rFonts w:hint="default" w:ascii="Times New Roman" w:hAnsi="Times New Roman" w:eastAsia="宋体"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本项目不设置</w:t>
                  </w:r>
                  <w:r>
                    <w:rPr>
                      <w:rFonts w:hint="default" w:ascii="Times New Roman" w:hAnsi="Times New Roman" w:eastAsia="宋体" w:cs="Times New Roman"/>
                      <w:color w:val="auto"/>
                      <w:sz w:val="21"/>
                      <w:szCs w:val="21"/>
                      <w:highlight w:val="none"/>
                    </w:rPr>
                    <w:t>卫生防护距离</w:t>
                  </w:r>
                  <w:r>
                    <w:rPr>
                      <w:rFonts w:hint="default"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大气环境防护距离；</w:t>
                  </w:r>
                </w:p>
                <w:p w14:paraId="4A5FBA8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根据下文</w:t>
                  </w:r>
                  <w:r>
                    <w:rPr>
                      <w:rFonts w:hint="default" w:ascii="Times New Roman" w:hAnsi="Times New Roman" w:eastAsia="宋体" w:cs="Times New Roman"/>
                      <w:color w:val="auto"/>
                      <w:sz w:val="21"/>
                      <w:szCs w:val="21"/>
                      <w:highlight w:val="none"/>
                    </w:rPr>
                    <w:t>项目与《云南省牛栏江保护条例》</w:t>
                  </w:r>
                  <w:r>
                    <w:rPr>
                      <w:rFonts w:hint="eastAsia" w:cs="Times New Roman"/>
                      <w:color w:val="auto"/>
                      <w:sz w:val="21"/>
                      <w:szCs w:val="21"/>
                      <w:highlight w:val="none"/>
                      <w:lang w:eastAsia="zh-CN"/>
                    </w:rPr>
                    <w:t>的符合性分析可知，项目与之</w:t>
                  </w:r>
                  <w:r>
                    <w:rPr>
                      <w:rFonts w:hint="default" w:ascii="Times New Roman" w:hAnsi="Times New Roman" w:eastAsia="宋体" w:cs="Times New Roman"/>
                      <w:color w:val="auto"/>
                      <w:sz w:val="21"/>
                      <w:szCs w:val="21"/>
                      <w:highlight w:val="none"/>
                    </w:rPr>
                    <w:t>不冲突；</w:t>
                  </w:r>
                </w:p>
                <w:p w14:paraId="7236E58E">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default" w:ascii="Times New Roman" w:hAnsi="Times New Roman" w:eastAsia="宋体" w:cs="Times New Roman"/>
                      <w:color w:val="auto"/>
                      <w:sz w:val="21"/>
                      <w:szCs w:val="21"/>
                    </w:rPr>
                    <w:t>《长江经济带发展负面清单指南（试行，2022年版）》和《云南省推动长江经济带发展负面清单指南实施细则（试行，2022 年版）》中的禁止项目</w:t>
                  </w:r>
                  <w:r>
                    <w:rPr>
                      <w:rFonts w:hint="default" w:ascii="Times New Roman" w:hAnsi="Times New Roman" w:eastAsia="宋体" w:cs="Times New Roman"/>
                      <w:color w:val="auto"/>
                      <w:sz w:val="21"/>
                      <w:szCs w:val="21"/>
                      <w:lang w:eastAsia="zh-CN"/>
                    </w:rPr>
                    <w:t>；</w:t>
                  </w:r>
                </w:p>
                <w:p w14:paraId="7ACAAA33">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r>
                    <w:rPr>
                      <w:rFonts w:hint="default" w:ascii="Times New Roman" w:hAnsi="Times New Roman" w:eastAsia="宋体" w:cs="Times New Roman"/>
                      <w:color w:val="auto"/>
                      <w:sz w:val="21"/>
                      <w:szCs w:val="21"/>
                      <w:highlight w:val="none"/>
                      <w:lang w:eastAsia="zh-CN"/>
                    </w:rPr>
                    <w:t>；</w:t>
                  </w:r>
                </w:p>
                <w:p w14:paraId="2B4D098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rPr>
                    <w:t>新建永久性工业固废处置场</w:t>
                  </w:r>
                  <w:r>
                    <w:rPr>
                      <w:rFonts w:hint="default" w:ascii="Times New Roman" w:hAnsi="Times New Roman" w:eastAsia="宋体" w:cs="Times New Roman"/>
                      <w:color w:val="auto"/>
                      <w:sz w:val="21"/>
                      <w:szCs w:val="21"/>
                      <w:lang w:eastAsia="zh-CN"/>
                    </w:rPr>
                    <w:t>；</w:t>
                  </w:r>
                </w:p>
                <w:p w14:paraId="04BECF5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rPr>
                    <w:t>物耗、水耗和能耗相对较高</w:t>
                  </w:r>
                  <w:r>
                    <w:rPr>
                      <w:rFonts w:hint="default" w:ascii="Times New Roman" w:hAnsi="Times New Roman" w:eastAsia="宋体" w:cs="Times New Roman"/>
                      <w:color w:val="auto"/>
                      <w:sz w:val="21"/>
                      <w:szCs w:val="21"/>
                      <w:lang w:val="en-US" w:eastAsia="zh-CN"/>
                    </w:rPr>
                    <w:t>的生产企业；</w:t>
                  </w:r>
                </w:p>
                <w:p w14:paraId="1D0AC44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（13）本项目用水为市政管网供给，不进行地下水的开采。</w:t>
                  </w:r>
                </w:p>
              </w:tc>
              <w:tc>
                <w:tcPr>
                  <w:tcW w:w="758" w:type="dxa"/>
                  <w:vAlign w:val="center"/>
                </w:tcPr>
                <w:p w14:paraId="43E3229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424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26" w:type="dxa"/>
                  <w:vMerge w:val="continue"/>
                  <w:vAlign w:val="center"/>
                </w:tcPr>
                <w:p w14:paraId="4069AB06">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14:paraId="371FF320">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165" w:type="dxa"/>
                  <w:vAlign w:val="center"/>
                </w:tcPr>
                <w:p w14:paraId="53B5DB6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年本）》（或更新）中淘汰、落后的生产工艺</w:t>
                  </w:r>
                  <w:r>
                    <w:rPr>
                      <w:rFonts w:hint="default" w:ascii="Times New Roman" w:hAnsi="Times New Roman" w:eastAsia="宋体" w:cs="Times New Roman"/>
                      <w:color w:val="auto"/>
                      <w:sz w:val="21"/>
                      <w:szCs w:val="21"/>
                      <w:highlight w:val="none"/>
                      <w:lang w:eastAsia="zh-CN"/>
                    </w:rPr>
                    <w:t>。</w:t>
                  </w:r>
                </w:p>
                <w:p w14:paraId="32B2D063">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》（或更新）的生产工艺</w:t>
                  </w:r>
                  <w:r>
                    <w:rPr>
                      <w:rFonts w:hint="default" w:ascii="Times New Roman" w:hAnsi="Times New Roman" w:eastAsia="宋体" w:cs="Times New Roman"/>
                      <w:color w:val="auto"/>
                      <w:sz w:val="21"/>
                      <w:szCs w:val="21"/>
                      <w:highlight w:val="none"/>
                      <w:lang w:eastAsia="zh-CN"/>
                    </w:rPr>
                    <w:t>。</w:t>
                  </w:r>
                </w:p>
              </w:tc>
              <w:tc>
                <w:tcPr>
                  <w:tcW w:w="3183" w:type="dxa"/>
                  <w:vAlign w:val="center"/>
                </w:tcPr>
                <w:p w14:paraId="27F5FF5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经查阅《产业结构调整指导目录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》，本项目所用工艺不属于该目录中淘汰、落后的生产工艺；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default" w:ascii="Times New Roman" w:hAnsi="Times New Roman" w:eastAsia="宋体" w:cs="Times New Roman"/>
                      <w:color w:val="auto"/>
                      <w:sz w:val="21"/>
                      <w:szCs w:val="21"/>
                      <w:highlight w:val="none"/>
                      <w:lang w:eastAsia="zh-CN"/>
                    </w:rPr>
                    <w:t>。</w:t>
                  </w:r>
                </w:p>
              </w:tc>
              <w:tc>
                <w:tcPr>
                  <w:tcW w:w="758" w:type="dxa"/>
                  <w:vAlign w:val="center"/>
                </w:tcPr>
                <w:p w14:paraId="01B3ED5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0F8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14:paraId="5CCF566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14:paraId="59BC4AA3">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165" w:type="dxa"/>
                  <w:vAlign w:val="center"/>
                </w:tcPr>
                <w:p w14:paraId="5C1FF4A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》（或更新）的产品</w:t>
                  </w:r>
                  <w:r>
                    <w:rPr>
                      <w:rFonts w:hint="default" w:ascii="Times New Roman" w:hAnsi="Times New Roman" w:eastAsia="宋体" w:cs="Times New Roman"/>
                      <w:color w:val="auto"/>
                      <w:sz w:val="21"/>
                      <w:szCs w:val="21"/>
                      <w:highlight w:val="none"/>
                      <w:lang w:eastAsia="zh-CN"/>
                    </w:rPr>
                    <w:t>。</w:t>
                  </w:r>
                </w:p>
              </w:tc>
              <w:tc>
                <w:tcPr>
                  <w:tcW w:w="3183" w:type="dxa"/>
                  <w:vAlign w:val="center"/>
                </w:tcPr>
                <w:p w14:paraId="5465410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758" w:type="dxa"/>
                  <w:vAlign w:val="center"/>
                </w:tcPr>
                <w:p w14:paraId="41FCFA3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0C6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14:paraId="79A7CDE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14:paraId="3AE274A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165" w:type="dxa"/>
                  <w:vAlign w:val="center"/>
                </w:tcPr>
                <w:p w14:paraId="758356B7">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183" w:type="dxa"/>
                  <w:vAlign w:val="center"/>
                </w:tcPr>
                <w:p w14:paraId="716439F0">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758" w:type="dxa"/>
                  <w:vAlign w:val="center"/>
                </w:tcPr>
                <w:p w14:paraId="6C2EA4C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9D5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dxa"/>
                  <w:vMerge w:val="continue"/>
                  <w:vAlign w:val="center"/>
                </w:tcPr>
                <w:p w14:paraId="319EC60A">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14:paraId="39DD498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165" w:type="dxa"/>
                  <w:vAlign w:val="center"/>
                </w:tcPr>
                <w:p w14:paraId="6CCD612F">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（1）严格限制引进《产业结构调整指导目录（2019 年本）》（或更新）中所列的限制类项目。</w:t>
                  </w:r>
                </w:p>
                <w:p w14:paraId="3AFC7B1D">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（2）《外商投资产业指导目录（2017 年修订）》（或更新）中所列的限制类项目。</w:t>
                  </w:r>
                </w:p>
                <w:p w14:paraId="3D8D28C4">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（3）严格限制引进涉及《中国严格限制进出口的有毒化学品目录（2020年本）》（或更新）中所列有毒化学品的项目。</w:t>
                  </w:r>
                </w:p>
              </w:tc>
              <w:tc>
                <w:tcPr>
                  <w:tcW w:w="3183" w:type="dxa"/>
                  <w:vAlign w:val="center"/>
                </w:tcPr>
                <w:p w14:paraId="3022DC5E">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14:paraId="4EFA803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w:t>
                  </w:r>
                  <w:r>
                    <w:rPr>
                      <w:rFonts w:hint="default" w:ascii="Times New Roman" w:hAnsi="Times New Roman" w:eastAsia="宋体" w:cs="Times New Roman"/>
                      <w:color w:val="auto"/>
                      <w:sz w:val="21"/>
                      <w:szCs w:val="21"/>
                      <w:highlight w:val="none"/>
                      <w:lang w:eastAsia="zh-CN"/>
                    </w:rPr>
                    <w:t>。</w:t>
                  </w:r>
                </w:p>
              </w:tc>
              <w:tc>
                <w:tcPr>
                  <w:tcW w:w="758" w:type="dxa"/>
                  <w:vAlign w:val="center"/>
                </w:tcPr>
                <w:p w14:paraId="0C18B82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0DF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restart"/>
                  <w:vAlign w:val="center"/>
                </w:tcPr>
                <w:p w14:paraId="354CB55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36" w:type="dxa"/>
                  <w:vAlign w:val="center"/>
                </w:tcPr>
                <w:p w14:paraId="73B86602">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165" w:type="dxa"/>
                  <w:vAlign w:val="center"/>
                </w:tcPr>
                <w:p w14:paraId="6843307F">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允许现有煤磷盐化工及配套产业进行环保提升改造。</w:t>
                  </w:r>
                </w:p>
              </w:tc>
              <w:tc>
                <w:tcPr>
                  <w:tcW w:w="3183" w:type="dxa"/>
                  <w:vAlign w:val="center"/>
                </w:tcPr>
                <w:p w14:paraId="4BCF96A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758" w:type="dxa"/>
                  <w:vAlign w:val="center"/>
                </w:tcPr>
                <w:p w14:paraId="6FAE2B12">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2CD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14:paraId="0A6D66FE">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14:paraId="71BF2D51">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绿色建材产业</w:t>
                  </w:r>
                </w:p>
              </w:tc>
              <w:tc>
                <w:tcPr>
                  <w:tcW w:w="3165" w:type="dxa"/>
                  <w:vMerge w:val="restart"/>
                  <w:vAlign w:val="center"/>
                </w:tcPr>
                <w:p w14:paraId="6D7C379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禁止生产废水不能循环回用，且向牛栏江流域排放生产废水的企业入驻。</w:t>
                  </w:r>
                </w:p>
              </w:tc>
              <w:tc>
                <w:tcPr>
                  <w:tcW w:w="3183" w:type="dxa"/>
                  <w:vMerge w:val="restart"/>
                  <w:vAlign w:val="center"/>
                </w:tcPr>
                <w:p w14:paraId="064B14C7">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标准后经市政污水管网排入寻甸产业园区羊街片区污水处理厂进行处理。本项目不</w:t>
                  </w:r>
                  <w:r>
                    <w:rPr>
                      <w:rFonts w:hint="default" w:ascii="Times New Roman" w:hAnsi="Times New Roman" w:eastAsia="宋体" w:cs="Times New Roman"/>
                      <w:color w:val="auto"/>
                      <w:sz w:val="21"/>
                      <w:szCs w:val="21"/>
                    </w:rPr>
                    <w:t>向牛栏江流域排放废水</w:t>
                  </w:r>
                  <w:r>
                    <w:rPr>
                      <w:rFonts w:hint="default" w:ascii="Times New Roman" w:hAnsi="Times New Roman" w:eastAsia="宋体" w:cs="Times New Roman"/>
                      <w:color w:val="auto"/>
                      <w:sz w:val="21"/>
                      <w:szCs w:val="21"/>
                      <w:lang w:eastAsia="zh-CN"/>
                    </w:rPr>
                    <w:t>。</w:t>
                  </w:r>
                </w:p>
              </w:tc>
              <w:tc>
                <w:tcPr>
                  <w:tcW w:w="758" w:type="dxa"/>
                  <w:vMerge w:val="restart"/>
                  <w:vAlign w:val="center"/>
                </w:tcPr>
                <w:p w14:paraId="50B8917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568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14:paraId="676EC729">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14:paraId="7E90956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先进装备制造产业</w:t>
                  </w:r>
                </w:p>
              </w:tc>
              <w:tc>
                <w:tcPr>
                  <w:tcW w:w="3165" w:type="dxa"/>
                  <w:vMerge w:val="continue"/>
                  <w:vAlign w:val="center"/>
                </w:tcPr>
                <w:p w14:paraId="6CEF735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p>
              </w:tc>
              <w:tc>
                <w:tcPr>
                  <w:tcW w:w="3183" w:type="dxa"/>
                  <w:vMerge w:val="continue"/>
                  <w:vAlign w:val="center"/>
                </w:tcPr>
                <w:p w14:paraId="520F7BD6">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758" w:type="dxa"/>
                  <w:vMerge w:val="continue"/>
                  <w:vAlign w:val="center"/>
                </w:tcPr>
                <w:p w14:paraId="002EEC7E">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14:paraId="07F1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14:paraId="2154F773">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14:paraId="421B17DB">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非烟轻工产业</w:t>
                  </w:r>
                </w:p>
              </w:tc>
              <w:tc>
                <w:tcPr>
                  <w:tcW w:w="3165" w:type="dxa"/>
                  <w:vAlign w:val="center"/>
                </w:tcPr>
                <w:p w14:paraId="5D079A4C">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①木材加工及家具制造业：禁止含有制胶工艺的企业入驻。</w:t>
                  </w:r>
                </w:p>
                <w:p w14:paraId="5B9E2304">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②食品业：要求规上企业工业用水重复利用率＞65%。</w:t>
                  </w:r>
                </w:p>
              </w:tc>
              <w:tc>
                <w:tcPr>
                  <w:tcW w:w="3183" w:type="dxa"/>
                  <w:vAlign w:val="center"/>
                </w:tcPr>
                <w:p w14:paraId="4B1A6B0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①本项目不属于含有制胶工艺的木材加工及家具制造。</w:t>
                  </w:r>
                </w:p>
                <w:p w14:paraId="190B1462">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②本项目不属于食品业中的规上企业。</w:t>
                  </w:r>
                </w:p>
              </w:tc>
              <w:tc>
                <w:tcPr>
                  <w:tcW w:w="758" w:type="dxa"/>
                  <w:vAlign w:val="center"/>
                </w:tcPr>
                <w:p w14:paraId="7D2ECB6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5CC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14:paraId="79091787">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14:paraId="67310418">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绿色化工</w:t>
                  </w:r>
                </w:p>
              </w:tc>
              <w:tc>
                <w:tcPr>
                  <w:tcW w:w="3165" w:type="dxa"/>
                  <w:vAlign w:val="center"/>
                </w:tcPr>
                <w:p w14:paraId="4FE99C2C">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①园区规划在金所片区天生桥组团设置化工园区，建议园区尽快按化工园区的设立要求设立化工园区，并申请省级业务主管部门进行认定。</w:t>
                  </w:r>
                </w:p>
                <w:p w14:paraId="7EE63EE3">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②金所片区金所组团禁止新建、改建、扩建化工生产线项目。</w:t>
                  </w:r>
                </w:p>
              </w:tc>
              <w:tc>
                <w:tcPr>
                  <w:tcW w:w="3183" w:type="dxa"/>
                  <w:vAlign w:val="center"/>
                </w:tcPr>
                <w:p w14:paraId="6D1B001B">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u w:val="none"/>
                      <w:lang w:val="en-US" w:eastAsia="zh-CN"/>
                    </w:rPr>
                    <w:t>云南寻甸产业园区羊街片区非烟轻工产业区内，不属于化工生产线项目。</w:t>
                  </w:r>
                </w:p>
              </w:tc>
              <w:tc>
                <w:tcPr>
                  <w:tcW w:w="758" w:type="dxa"/>
                  <w:vAlign w:val="center"/>
                </w:tcPr>
                <w:p w14:paraId="0588F69D">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4DC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6" w:type="dxa"/>
                  <w:vMerge w:val="continue"/>
                  <w:vAlign w:val="center"/>
                </w:tcPr>
                <w:p w14:paraId="7C7B6115">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36" w:type="dxa"/>
                  <w:vAlign w:val="center"/>
                </w:tcPr>
                <w:p w14:paraId="15CE03BF">
                  <w:pPr>
                    <w:spacing w:beforeLines="0" w:afterLine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生物医药</w:t>
                  </w:r>
                </w:p>
              </w:tc>
              <w:tc>
                <w:tcPr>
                  <w:tcW w:w="3165" w:type="dxa"/>
                  <w:vAlign w:val="center"/>
                </w:tcPr>
                <w:p w14:paraId="40A183AC">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满足《云南省“十四五”生物医药产业创新发展规划要求》。</w:t>
                  </w:r>
                </w:p>
              </w:tc>
              <w:tc>
                <w:tcPr>
                  <w:tcW w:w="3183" w:type="dxa"/>
                  <w:vAlign w:val="center"/>
                </w:tcPr>
                <w:p w14:paraId="348FE5F8">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本项目不属于生物医疗项目，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758" w:type="dxa"/>
                  <w:vAlign w:val="center"/>
                </w:tcPr>
                <w:p w14:paraId="4FE4305A">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237C3B54">
            <w:pPr>
              <w:pStyle w:val="72"/>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，本项目不属于园区</w:t>
            </w:r>
            <w:r>
              <w:rPr>
                <w:rFonts w:hint="default" w:ascii="Times New Roman" w:hAnsi="Times New Roman" w:eastAsia="宋体"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负面清单规定的范围内，符合环境准入负面清单要求。</w:t>
            </w:r>
          </w:p>
          <w:p w14:paraId="1E77F678">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（3）本项目与规划环评审查意见（昆环审[2023]5号）的符合性分析</w:t>
            </w:r>
          </w:p>
          <w:p w14:paraId="7C46BD23">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14:paraId="4593428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6"/>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0"/>
              <w:gridCol w:w="3138"/>
              <w:gridCol w:w="909"/>
            </w:tblGrid>
            <w:tr w14:paraId="4ACD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14:paraId="6DA0DF70">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138" w:type="dxa"/>
                  <w:vAlign w:val="center"/>
                </w:tcPr>
                <w:p w14:paraId="24EE55F5">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909" w:type="dxa"/>
                  <w:vAlign w:val="center"/>
                </w:tcPr>
                <w:p w14:paraId="594516A2">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504E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14:paraId="63BF593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06A9334A">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w:t>
                  </w:r>
                  <w:r>
                    <w:rPr>
                      <w:rFonts w:hint="default" w:ascii="Times New Roman" w:hAnsi="Times New Roman" w:eastAsia="宋体" w:cs="Times New Roman"/>
                      <w:color w:val="auto"/>
                      <w:sz w:val="21"/>
                      <w:szCs w:val="21"/>
                      <w:highlight w:val="none"/>
                      <w:lang w:val="en-US" w:eastAsia="zh-CN"/>
                    </w:rPr>
                    <w:t>目标。</w:t>
                  </w:r>
                </w:p>
                <w:p w14:paraId="0B4E8181">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68024363">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将土壤污染防治工作纳入园区规划及相关生态环境保护规划，采取有效预防措施，防止、减少土壤污染，确保满足土壤环境管控要求。</w:t>
                  </w:r>
                </w:p>
              </w:tc>
              <w:tc>
                <w:tcPr>
                  <w:tcW w:w="3138" w:type="dxa"/>
                  <w:vAlign w:val="center"/>
                </w:tcPr>
                <w:p w14:paraId="1DC5C4E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废气经1套“高温布袋除尘器”处理达标后由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rPr>
                    <w:t>脱酸脱臭</w:t>
                  </w:r>
                  <w:r>
                    <w:rPr>
                      <w:rFonts w:hint="eastAsia"/>
                      <w:bCs/>
                      <w:color w:val="auto"/>
                      <w:spacing w:val="-10"/>
                      <w:szCs w:val="21"/>
                      <w:lang w:eastAsia="zh-CN"/>
                    </w:rPr>
                    <w:t>废气经一套“</w:t>
                  </w:r>
                  <w:r>
                    <w:rPr>
                      <w:rFonts w:hint="eastAsia"/>
                      <w:color w:val="auto"/>
                    </w:rPr>
                    <w:t>捕集器+冷凝回收装置</w:t>
                  </w:r>
                  <w:r>
                    <w:rPr>
                      <w:rFonts w:hint="eastAsia"/>
                      <w:bCs/>
                      <w:color w:val="auto"/>
                      <w:spacing w:val="-10"/>
                      <w:szCs w:val="21"/>
                      <w:lang w:eastAsia="zh-CN"/>
                    </w:rPr>
                    <w:t>”处理后排放；生产车间异味通过</w:t>
                  </w:r>
                  <w:r>
                    <w:rPr>
                      <w:rFonts w:hint="eastAsia" w:ascii="Times New Roman" w:hAnsi="Times New Roman" w:eastAsia="宋体" w:cs="Times New Roman"/>
                      <w:color w:val="auto"/>
                      <w:kern w:val="0"/>
                      <w:sz w:val="21"/>
                      <w:szCs w:val="21"/>
                      <w:lang w:val="en-US" w:eastAsia="zh-CN" w:bidi="ar-SA"/>
                    </w:rPr>
                    <w:t>对生产车间地坪进行冲洗和消毒、加强管理来控制；</w:t>
                  </w: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default" w:ascii="Times New Roman" w:hAnsi="Times New Roman" w:eastAsia="宋体" w:cs="Times New Roman"/>
                      <w:color w:val="auto"/>
                      <w:sz w:val="21"/>
                      <w:szCs w:val="21"/>
                      <w:highlight w:val="none"/>
                    </w:rPr>
                    <w:t>本项目废气均设置合理的处置措施处理后达标排放</w:t>
                  </w:r>
                  <w:r>
                    <w:rPr>
                      <w:rFonts w:hint="default" w:ascii="Times New Roman" w:hAnsi="Times New Roman" w:eastAsia="宋体" w:cs="Times New Roman"/>
                      <w:color w:val="auto"/>
                      <w:sz w:val="21"/>
                      <w:szCs w:val="21"/>
                      <w:highlight w:val="none"/>
                      <w:lang w:eastAsia="zh-CN"/>
                    </w:rPr>
                    <w:t>。项目采取的污染治理措施</w:t>
                  </w:r>
                  <w:r>
                    <w:rPr>
                      <w:rFonts w:hint="default" w:ascii="Times New Roman" w:hAnsi="Times New Roman" w:eastAsia="宋体" w:cs="Times New Roman"/>
                      <w:color w:val="auto"/>
                      <w:sz w:val="21"/>
                      <w:szCs w:val="21"/>
                      <w:highlight w:val="none"/>
                    </w:rPr>
                    <w:t>可有效减少主要污染物等特征污染物的排放总量，</w:t>
                  </w:r>
                  <w:r>
                    <w:rPr>
                      <w:rFonts w:hint="default" w:ascii="Times New Roman" w:hAnsi="Times New Roman" w:eastAsia="宋体" w:cs="Times New Roman"/>
                      <w:color w:val="auto"/>
                      <w:sz w:val="21"/>
                      <w:szCs w:val="21"/>
                      <w:highlight w:val="none"/>
                      <w:lang w:val="en-US" w:eastAsia="zh-CN"/>
                    </w:rPr>
                    <w:t>能够确保</w:t>
                  </w:r>
                  <w:r>
                    <w:rPr>
                      <w:rFonts w:hint="default" w:ascii="Times New Roman" w:hAnsi="Times New Roman" w:eastAsia="宋体" w:cs="Times New Roman"/>
                      <w:color w:val="auto"/>
                      <w:sz w:val="21"/>
                      <w:szCs w:val="21"/>
                      <w:highlight w:val="none"/>
                    </w:rPr>
                    <w:t>区域环境质量</w:t>
                  </w:r>
                  <w:r>
                    <w:rPr>
                      <w:rFonts w:hint="default" w:ascii="Times New Roman" w:hAnsi="Times New Roman" w:eastAsia="宋体" w:cs="Times New Roman"/>
                      <w:color w:val="auto"/>
                      <w:sz w:val="21"/>
                      <w:szCs w:val="21"/>
                      <w:highlight w:val="none"/>
                      <w:lang w:val="en-US" w:eastAsia="zh-CN"/>
                    </w:rPr>
                    <w:t>得到改善</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本项目选用先进的生产设备及工艺，废气及废水经有效治理措施处理后均能达标排放。本项目的建设</w:t>
                  </w:r>
                  <w:r>
                    <w:rPr>
                      <w:rFonts w:hint="default" w:ascii="Times New Roman" w:hAnsi="Times New Roman" w:eastAsia="宋体" w:cs="Times New Roman"/>
                      <w:color w:val="auto"/>
                      <w:sz w:val="21"/>
                      <w:szCs w:val="21"/>
                      <w:highlight w:val="none"/>
                    </w:rPr>
                    <w:t>符合国家和云南省有关</w:t>
                  </w: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、土壤污染防治</w:t>
                  </w:r>
                  <w:r>
                    <w:rPr>
                      <w:rFonts w:hint="default" w:ascii="Times New Roman" w:hAnsi="Times New Roman" w:eastAsia="宋体" w:cs="Times New Roman"/>
                      <w:color w:val="auto"/>
                      <w:sz w:val="21"/>
                      <w:szCs w:val="21"/>
                      <w:highlight w:val="none"/>
                      <w:lang w:val="en-US" w:eastAsia="zh-CN"/>
                    </w:rPr>
                    <w:t>措施及</w:t>
                  </w:r>
                  <w:r>
                    <w:rPr>
                      <w:rFonts w:hint="default" w:ascii="Times New Roman" w:hAnsi="Times New Roman" w:eastAsia="宋体" w:cs="Times New Roman"/>
                      <w:color w:val="auto"/>
                      <w:sz w:val="21"/>
                      <w:szCs w:val="21"/>
                      <w:highlight w:val="none"/>
                    </w:rPr>
                    <w:t>相关要求。</w:t>
                  </w:r>
                  <w:r>
                    <w:rPr>
                      <w:rFonts w:hint="default" w:ascii="Times New Roman" w:hAnsi="Times New Roman" w:eastAsia="宋体" w:cs="Times New Roman"/>
                      <w:color w:val="auto"/>
                      <w:sz w:val="21"/>
                      <w:szCs w:val="21"/>
                      <w:highlight w:val="none"/>
                      <w:lang w:eastAsia="zh-CN"/>
                    </w:rPr>
                    <w:t>本项目使用自来水，不</w:t>
                  </w:r>
                  <w:r>
                    <w:rPr>
                      <w:rFonts w:hint="default" w:ascii="Times New Roman" w:hAnsi="Times New Roman" w:eastAsia="宋体" w:cs="Times New Roman"/>
                      <w:color w:val="auto"/>
                      <w:sz w:val="21"/>
                      <w:szCs w:val="21"/>
                      <w:highlight w:val="none"/>
                    </w:rPr>
                    <w:t>抽取地下水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严格执行土壤及生态保护措施。</w:t>
                  </w:r>
                </w:p>
              </w:tc>
              <w:tc>
                <w:tcPr>
                  <w:tcW w:w="909" w:type="dxa"/>
                  <w:vAlign w:val="center"/>
                </w:tcPr>
                <w:p w14:paraId="399E1A36">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6DEF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14:paraId="0513AE3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38" w:type="dxa"/>
                  <w:vAlign w:val="center"/>
                </w:tcPr>
                <w:p w14:paraId="6B31C126">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本项目不涉及危险化学品储运，也不属于煤、磷盐化工企业，环境风险一般，在采取相应的措施后，环境风险能达可接受水平。</w:t>
                  </w:r>
                </w:p>
              </w:tc>
              <w:tc>
                <w:tcPr>
                  <w:tcW w:w="909" w:type="dxa"/>
                  <w:vAlign w:val="center"/>
                </w:tcPr>
                <w:p w14:paraId="4CAB8D84">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791D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14:paraId="7CFF80F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w:t>
                  </w:r>
                  <w:r>
                    <w:rPr>
                      <w:rFonts w:hint="eastAsia" w:cs="Times New Roman"/>
                      <w:color w:val="auto"/>
                      <w:sz w:val="21"/>
                      <w:szCs w:val="21"/>
                      <w:highlight w:val="none"/>
                      <w:lang w:eastAsia="zh-CN"/>
                    </w:rPr>
                    <w:t>予以</w:t>
                  </w:r>
                  <w:r>
                    <w:rPr>
                      <w:rFonts w:hint="default" w:ascii="Times New Roman" w:hAnsi="Times New Roman" w:eastAsia="宋体" w:cs="Times New Roman"/>
                      <w:color w:val="auto"/>
                      <w:sz w:val="21"/>
                      <w:szCs w:val="21"/>
                      <w:highlight w:val="none"/>
                    </w:rPr>
                    <w:t>简化。</w:t>
                  </w:r>
                </w:p>
              </w:tc>
              <w:tc>
                <w:tcPr>
                  <w:tcW w:w="3138" w:type="dxa"/>
                  <w:vAlign w:val="center"/>
                </w:tcPr>
                <w:p w14:paraId="59BF9CD1">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909" w:type="dxa"/>
                  <w:vAlign w:val="center"/>
                </w:tcPr>
                <w:p w14:paraId="13A1F909">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14:paraId="59DA1E4A">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综上所述，项目建设与《云南寻甸产业园区总体规划修编（2021-2035）环境影响报告书》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审查意见的函（昆环审[2023]5号）</w:t>
            </w:r>
            <w:r>
              <w:rPr>
                <w:rFonts w:hint="default" w:ascii="Times New Roman" w:hAnsi="Times New Roman" w:eastAsia="宋体" w:cs="Times New Roman"/>
                <w:b w:val="0"/>
                <w:bCs w:val="0"/>
                <w:color w:val="auto"/>
                <w:sz w:val="24"/>
                <w:highlight w:val="none"/>
              </w:rPr>
              <w:t>相</w:t>
            </w:r>
            <w:r>
              <w:rPr>
                <w:rFonts w:hint="default" w:ascii="Times New Roman" w:hAnsi="Times New Roman" w:eastAsia="宋体" w:cs="Times New Roman"/>
                <w:color w:val="auto"/>
                <w:sz w:val="24"/>
                <w:highlight w:val="none"/>
              </w:rPr>
              <w:t>符。</w:t>
            </w:r>
          </w:p>
        </w:tc>
      </w:tr>
      <w:tr w14:paraId="31D7C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37" w:type="dxa"/>
            <w:vAlign w:val="center"/>
          </w:tcPr>
          <w:p w14:paraId="3E7E13C6">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485" w:type="dxa"/>
            <w:gridSpan w:val="4"/>
            <w:vAlign w:val="center"/>
          </w:tcPr>
          <w:p w14:paraId="6FE9A602">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7" w:name="_Toc1839"/>
            <w:bookmarkStart w:id="8" w:name="_Toc11005"/>
            <w:bookmarkStart w:id="9" w:name="_Toc14631_WPSOffice_Level2"/>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14:paraId="3FDE7B14">
            <w:pPr>
              <w:pStyle w:val="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w:t>
            </w:r>
            <w:r>
              <w:rPr>
                <w:rFonts w:hint="eastAsia" w:ascii="Times New Roman" w:hAnsi="Times New Roman" w:eastAsia="宋体" w:cs="Times New Roman"/>
                <w:color w:val="auto"/>
                <w:highlight w:val="none"/>
                <w:lang w:val="zh-CN" w:eastAsia="zh-CN"/>
              </w:rPr>
              <w:t>位于</w:t>
            </w:r>
            <w:r>
              <w:rPr>
                <w:rFonts w:hint="default" w:ascii="Times New Roman" w:hAnsi="Times New Roman" w:eastAsia="宋体" w:cs="Times New Roman"/>
                <w:color w:val="auto"/>
                <w:highlight w:val="none"/>
                <w:lang w:val="zh-CN" w:eastAsia="zh-CN"/>
              </w:rPr>
              <w:t>云南寻甸产业园区羊街片区非烟轻工产业区内</w:t>
            </w:r>
            <w:r>
              <w:rPr>
                <w:rFonts w:hint="eastAsia" w:ascii="Times New Roman" w:hAnsi="Times New Roman" w:eastAsia="宋体" w:cs="Times New Roman"/>
                <w:color w:val="auto"/>
                <w:highlight w:val="none"/>
                <w:lang w:val="zh-CN" w:eastAsia="zh-CN"/>
              </w:rPr>
              <w:t>，属于</w:t>
            </w:r>
            <w:r>
              <w:rPr>
                <w:rFonts w:hint="default" w:ascii="Times New Roman" w:hAnsi="Times New Roman" w:eastAsia="宋体" w:cs="Times New Roman"/>
                <w:color w:val="auto"/>
                <w:highlight w:val="none"/>
                <w:lang w:val="zh-CN"/>
              </w:rPr>
              <w:t>云南寻甸特色产业园区重点管控单元</w:t>
            </w:r>
            <w:r>
              <w:rPr>
                <w:rFonts w:hint="eastAsia"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szCs w:val="24"/>
                <w:highlight w:val="none"/>
              </w:rPr>
              <w:t>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14:paraId="181D9BE1">
            <w:pPr>
              <w:pStyle w:val="98"/>
              <w:spacing w:before="120" w:after="48"/>
              <w:outlineLvl w:val="9"/>
              <w:rPr>
                <w:rFonts w:hint="default" w:ascii="Times New Roman" w:hAnsi="Times New Roman" w:eastAsia="宋体" w:cs="Times New Roman"/>
                <w:bCs/>
                <w:snapToGrid w:val="0"/>
                <w:color w:val="auto"/>
                <w:kern w:val="0"/>
                <w:szCs w:val="21"/>
                <w:highlight w:val="none"/>
              </w:rPr>
            </w:pPr>
            <w:bookmarkStart w:id="10"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1-</w:t>
            </w:r>
            <w:r>
              <w:rPr>
                <w:rFonts w:hint="eastAsia" w:ascii="Times New Roman" w:hAnsi="Times New Roman" w:eastAsia="宋体" w:cs="Times New Roman"/>
                <w:bCs/>
                <w:snapToGrid w:val="0"/>
                <w:color w:val="auto"/>
                <w:kern w:val="0"/>
                <w:szCs w:val="21"/>
                <w:highlight w:val="none"/>
                <w:lang w:val="en-US" w:eastAsia="zh-CN"/>
              </w:rPr>
              <w:t>5</w:t>
            </w:r>
            <w:r>
              <w:rPr>
                <w:rFonts w:hint="default" w:ascii="Times New Roman" w:hAnsi="Times New Roman" w:eastAsia="宋体" w:cs="Times New Roman"/>
                <w:bCs/>
                <w:snapToGrid w:val="0"/>
                <w:color w:val="auto"/>
                <w:kern w:val="0"/>
                <w:szCs w:val="21"/>
                <w:highlight w:val="none"/>
                <w:lang w:val="en-US" w:eastAsia="zh-CN"/>
              </w:rPr>
              <w:t xml:space="preserve">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10"/>
          </w:p>
          <w:tbl>
            <w:tblPr>
              <w:tblStyle w:val="26"/>
              <w:tblW w:w="824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40"/>
              <w:gridCol w:w="427"/>
              <w:gridCol w:w="2915"/>
              <w:gridCol w:w="3012"/>
              <w:gridCol w:w="724"/>
            </w:tblGrid>
            <w:tr w14:paraId="504B7BD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66" w:type="dxa"/>
                  <w:gridSpan w:val="2"/>
                  <w:tcBorders>
                    <w:tl2br w:val="nil"/>
                    <w:tr2bl w:val="nil"/>
                  </w:tcBorders>
                  <w:noWrap w:val="0"/>
                  <w:vAlign w:val="center"/>
                </w:tcPr>
                <w:p w14:paraId="0BCA5443">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3342" w:type="dxa"/>
                  <w:gridSpan w:val="2"/>
                  <w:tcBorders>
                    <w:tl2br w:val="nil"/>
                    <w:tr2bl w:val="nil"/>
                  </w:tcBorders>
                  <w:noWrap w:val="0"/>
                  <w:vAlign w:val="center"/>
                </w:tcPr>
                <w:p w14:paraId="2F5784DA">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3012" w:type="dxa"/>
                  <w:tcBorders>
                    <w:tl2br w:val="nil"/>
                    <w:tr2bl w:val="nil"/>
                  </w:tcBorders>
                  <w:noWrap w:val="0"/>
                  <w:vAlign w:val="center"/>
                </w:tcPr>
                <w:p w14:paraId="6D48B58F">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724" w:type="dxa"/>
                  <w:tcBorders>
                    <w:tl2br w:val="nil"/>
                    <w:tr2bl w:val="nil"/>
                  </w:tcBorders>
                  <w:noWrap w:val="0"/>
                  <w:vAlign w:val="center"/>
                </w:tcPr>
                <w:p w14:paraId="7412C50A">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14:paraId="69F3DCD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gridSpan w:val="2"/>
                  <w:tcBorders>
                    <w:tl2br w:val="nil"/>
                    <w:tr2bl w:val="nil"/>
                  </w:tcBorders>
                  <w:noWrap w:val="0"/>
                  <w:vAlign w:val="center"/>
                </w:tcPr>
                <w:p w14:paraId="2354BB4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3342" w:type="dxa"/>
                  <w:gridSpan w:val="2"/>
                  <w:tcBorders>
                    <w:tl2br w:val="nil"/>
                    <w:tr2bl w:val="nil"/>
                  </w:tcBorders>
                  <w:noWrap w:val="0"/>
                  <w:vAlign w:val="center"/>
                </w:tcPr>
                <w:p w14:paraId="2B348B2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3012" w:type="dxa"/>
                  <w:tcBorders>
                    <w:tl2br w:val="nil"/>
                    <w:tr2bl w:val="nil"/>
                  </w:tcBorders>
                  <w:noWrap w:val="0"/>
                  <w:vAlign w:val="center"/>
                </w:tcPr>
                <w:p w14:paraId="0F4B303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lang w:val="zh-CN"/>
                    </w:rPr>
                    <w:t>项目位于</w:t>
                  </w:r>
                  <w:r>
                    <w:rPr>
                      <w:rFonts w:hint="default" w:ascii="Times New Roman" w:hAnsi="Times New Roman" w:eastAsia="宋体" w:cs="Times New Roman"/>
                      <w:color w:val="auto"/>
                      <w:kern w:val="0"/>
                      <w:szCs w:val="21"/>
                      <w:highlight w:val="none"/>
                      <w:lang w:eastAsia="zh-CN"/>
                    </w:rPr>
                    <w:t>云南寻甸产业园区羊街片区非烟轻工产</w:t>
                  </w:r>
                  <w:r>
                    <w:rPr>
                      <w:rFonts w:hint="eastAsia" w:cs="Times New Roman"/>
                      <w:color w:val="auto"/>
                      <w:kern w:val="0"/>
                      <w:szCs w:val="21"/>
                      <w:highlight w:val="none"/>
                      <w:lang w:eastAsia="zh-CN"/>
                    </w:rPr>
                    <w:t>业园</w:t>
                  </w:r>
                  <w:r>
                    <w:rPr>
                      <w:rFonts w:hint="default" w:ascii="Times New Roman" w:hAnsi="Times New Roman" w:eastAsia="宋体" w:cs="Times New Roman"/>
                      <w:color w:val="auto"/>
                      <w:kern w:val="0"/>
                      <w:szCs w:val="21"/>
                      <w:highlight w:val="none"/>
                      <w:lang w:eastAsia="zh-CN"/>
                    </w:rPr>
                    <w:t>区内</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724" w:type="dxa"/>
                  <w:tcBorders>
                    <w:tl2br w:val="nil"/>
                    <w:tr2bl w:val="nil"/>
                  </w:tcBorders>
                  <w:noWrap w:val="0"/>
                  <w:vAlign w:val="center"/>
                </w:tcPr>
                <w:p w14:paraId="4CCDE63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1174FC2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l2br w:val="nil"/>
                    <w:tr2bl w:val="nil"/>
                  </w:tcBorders>
                  <w:noWrap w:val="0"/>
                  <w:vAlign w:val="center"/>
                </w:tcPr>
                <w:p w14:paraId="1A4C9EC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740" w:type="dxa"/>
                  <w:tcBorders>
                    <w:tl2br w:val="nil"/>
                    <w:tr2bl w:val="nil"/>
                  </w:tcBorders>
                  <w:noWrap w:val="0"/>
                  <w:vAlign w:val="center"/>
                </w:tcPr>
                <w:p w14:paraId="4DFE0F9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3342" w:type="dxa"/>
                  <w:gridSpan w:val="2"/>
                  <w:tcBorders>
                    <w:tl2br w:val="nil"/>
                    <w:tr2bl w:val="nil"/>
                  </w:tcBorders>
                  <w:noWrap w:val="0"/>
                  <w:vAlign w:val="center"/>
                </w:tcPr>
                <w:p w14:paraId="48716D9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3012" w:type="dxa"/>
                  <w:tcBorders>
                    <w:tl2br w:val="nil"/>
                    <w:tr2bl w:val="nil"/>
                  </w:tcBorders>
                  <w:noWrap w:val="0"/>
                  <w:vAlign w:val="center"/>
                </w:tcPr>
                <w:p w14:paraId="648D615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本项目为新建项目，在规划的工业园区内新建厂房，不新增征地，对生态环境影响较小，不会突破当地生态环境质量底线。</w:t>
                  </w:r>
                </w:p>
              </w:tc>
              <w:tc>
                <w:tcPr>
                  <w:tcW w:w="724" w:type="dxa"/>
                  <w:tcBorders>
                    <w:tl2br w:val="nil"/>
                    <w:tr2bl w:val="nil"/>
                  </w:tcBorders>
                  <w:noWrap w:val="0"/>
                  <w:vAlign w:val="center"/>
                </w:tcPr>
                <w:p w14:paraId="728E049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3478295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78CC1A98">
                  <w:pPr>
                    <w:jc w:val="center"/>
                    <w:rPr>
                      <w:rFonts w:hint="default" w:ascii="Times New Roman" w:hAnsi="Times New Roman" w:eastAsia="宋体" w:cs="Times New Roman"/>
                      <w:color w:val="auto"/>
                      <w:szCs w:val="21"/>
                      <w:highlight w:val="none"/>
                    </w:rPr>
                  </w:pPr>
                </w:p>
              </w:tc>
              <w:tc>
                <w:tcPr>
                  <w:tcW w:w="740" w:type="dxa"/>
                  <w:tcBorders>
                    <w:tl2br w:val="nil"/>
                    <w:tr2bl w:val="nil"/>
                  </w:tcBorders>
                  <w:noWrap w:val="0"/>
                  <w:vAlign w:val="center"/>
                </w:tcPr>
                <w:p w14:paraId="3EF47D5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3342" w:type="dxa"/>
                  <w:gridSpan w:val="2"/>
                  <w:tcBorders>
                    <w:tl2br w:val="nil"/>
                    <w:tr2bl w:val="nil"/>
                  </w:tcBorders>
                  <w:noWrap w:val="0"/>
                  <w:vAlign w:val="center"/>
                </w:tcPr>
                <w:p w14:paraId="4DC8D52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3012" w:type="dxa"/>
                  <w:tcBorders>
                    <w:tl2br w:val="nil"/>
                    <w:tr2bl w:val="nil"/>
                  </w:tcBorders>
                  <w:noWrap w:val="0"/>
                  <w:vAlign w:val="center"/>
                </w:tcPr>
                <w:p w14:paraId="2E9FD28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724" w:type="dxa"/>
                  <w:tcBorders>
                    <w:tl2br w:val="nil"/>
                    <w:tr2bl w:val="nil"/>
                  </w:tcBorders>
                  <w:noWrap w:val="0"/>
                  <w:vAlign w:val="center"/>
                </w:tcPr>
                <w:p w14:paraId="2A1AE70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31E5609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1FA99DBA">
                  <w:pPr>
                    <w:jc w:val="center"/>
                    <w:rPr>
                      <w:rFonts w:hint="default" w:ascii="Times New Roman" w:hAnsi="Times New Roman" w:eastAsia="宋体" w:cs="Times New Roman"/>
                      <w:color w:val="auto"/>
                      <w:szCs w:val="21"/>
                      <w:highlight w:val="none"/>
                    </w:rPr>
                  </w:pPr>
                </w:p>
              </w:tc>
              <w:tc>
                <w:tcPr>
                  <w:tcW w:w="740" w:type="dxa"/>
                  <w:tcBorders>
                    <w:tl2br w:val="nil"/>
                    <w:tr2bl w:val="nil"/>
                  </w:tcBorders>
                  <w:noWrap w:val="0"/>
                  <w:vAlign w:val="center"/>
                </w:tcPr>
                <w:p w14:paraId="37963E1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3342" w:type="dxa"/>
                  <w:gridSpan w:val="2"/>
                  <w:tcBorders>
                    <w:tl2br w:val="nil"/>
                    <w:tr2bl w:val="nil"/>
                  </w:tcBorders>
                  <w:noWrap w:val="0"/>
                  <w:vAlign w:val="center"/>
                </w:tcPr>
                <w:p w14:paraId="555BCFE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地表水体水质优良率全面提升，各监测断面水质达到水环境功能要求，消除劣V类水体，集中式饮用水水源水质稳定达标。</w:t>
                  </w:r>
                </w:p>
              </w:tc>
              <w:tc>
                <w:tcPr>
                  <w:tcW w:w="3012" w:type="dxa"/>
                  <w:tcBorders>
                    <w:tl2br w:val="nil"/>
                    <w:tr2bl w:val="nil"/>
                  </w:tcBorders>
                  <w:noWrap w:val="0"/>
                  <w:vAlign w:val="center"/>
                </w:tcPr>
                <w:p w14:paraId="70CB802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rFonts w:hint="default" w:ascii="Times New Roman" w:hAnsi="Times New Roman" w:eastAsia="宋体" w:cs="Times New Roman"/>
                      <w:color w:val="auto"/>
                      <w:szCs w:val="21"/>
                      <w:highlight w:val="none"/>
                      <w:lang w:val="zh-CN"/>
                    </w:rPr>
                    <w:t>不会对区域地表水环境造成影响，不会改变区域地表水环境功能区划</w:t>
                  </w:r>
                  <w:r>
                    <w:rPr>
                      <w:rFonts w:hint="default" w:ascii="Times New Roman" w:hAnsi="Times New Roman" w:eastAsia="宋体" w:cs="Times New Roman"/>
                      <w:color w:val="auto"/>
                      <w:szCs w:val="21"/>
                      <w:highlight w:val="none"/>
                    </w:rPr>
                    <w:t>。</w:t>
                  </w:r>
                </w:p>
              </w:tc>
              <w:tc>
                <w:tcPr>
                  <w:tcW w:w="724" w:type="dxa"/>
                  <w:tcBorders>
                    <w:tl2br w:val="nil"/>
                    <w:tr2bl w:val="nil"/>
                  </w:tcBorders>
                  <w:noWrap w:val="0"/>
                  <w:vAlign w:val="center"/>
                </w:tcPr>
                <w:p w14:paraId="4A3B7A8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42FF2BF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2DC2BEB7">
                  <w:pPr>
                    <w:jc w:val="center"/>
                    <w:rPr>
                      <w:rFonts w:hint="default" w:ascii="Times New Roman" w:hAnsi="Times New Roman" w:eastAsia="宋体" w:cs="Times New Roman"/>
                      <w:color w:val="auto"/>
                      <w:szCs w:val="21"/>
                      <w:highlight w:val="none"/>
                    </w:rPr>
                  </w:pPr>
                </w:p>
              </w:tc>
              <w:tc>
                <w:tcPr>
                  <w:tcW w:w="740" w:type="dxa"/>
                  <w:tcBorders>
                    <w:tl2br w:val="nil"/>
                    <w:tr2bl w:val="nil"/>
                  </w:tcBorders>
                  <w:noWrap w:val="0"/>
                  <w:vAlign w:val="center"/>
                </w:tcPr>
                <w:p w14:paraId="68D734D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3342" w:type="dxa"/>
                  <w:gridSpan w:val="2"/>
                  <w:tcBorders>
                    <w:tl2br w:val="nil"/>
                    <w:tr2bl w:val="nil"/>
                  </w:tcBorders>
                  <w:noWrap w:val="0"/>
                  <w:vAlign w:val="center"/>
                </w:tcPr>
                <w:p w14:paraId="02FFBC3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3012" w:type="dxa"/>
                  <w:tcBorders>
                    <w:tl2br w:val="nil"/>
                    <w:tr2bl w:val="nil"/>
                  </w:tcBorders>
                  <w:noWrap w:val="0"/>
                  <w:vAlign w:val="center"/>
                </w:tcPr>
                <w:p w14:paraId="6ED20D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，并设置围堰等应急设施。项目采取了土壤污染防控措施，对土壤环境质量影响较小。</w:t>
                  </w:r>
                </w:p>
              </w:tc>
              <w:tc>
                <w:tcPr>
                  <w:tcW w:w="724" w:type="dxa"/>
                  <w:tcBorders>
                    <w:tl2br w:val="nil"/>
                    <w:tr2bl w:val="nil"/>
                  </w:tcBorders>
                  <w:noWrap w:val="0"/>
                  <w:vAlign w:val="center"/>
                </w:tcPr>
                <w:p w14:paraId="2ACCE4B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3E27707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6" w:type="dxa"/>
                  <w:vMerge w:val="restart"/>
                  <w:tcBorders>
                    <w:tl2br w:val="nil"/>
                    <w:tr2bl w:val="nil"/>
                  </w:tcBorders>
                  <w:noWrap w:val="0"/>
                  <w:vAlign w:val="center"/>
                </w:tcPr>
                <w:p w14:paraId="0AD2FEF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740" w:type="dxa"/>
                  <w:tcBorders>
                    <w:tl2br w:val="nil"/>
                    <w:tr2bl w:val="nil"/>
                  </w:tcBorders>
                  <w:noWrap w:val="0"/>
                  <w:vAlign w:val="center"/>
                </w:tcPr>
                <w:p w14:paraId="26981E2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3342" w:type="dxa"/>
                  <w:gridSpan w:val="2"/>
                  <w:tcBorders>
                    <w:tl2br w:val="nil"/>
                    <w:tr2bl w:val="nil"/>
                  </w:tcBorders>
                  <w:noWrap w:val="0"/>
                  <w:vAlign w:val="center"/>
                </w:tcPr>
                <w:p w14:paraId="0574A0C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按照国家、省、市有关要求和规划，按时完成全市用水总量、用水效率、限制纳污“三条红线”水资源上限控制指标。</w:t>
                  </w:r>
                </w:p>
              </w:tc>
              <w:tc>
                <w:tcPr>
                  <w:tcW w:w="3012" w:type="dxa"/>
                  <w:tcBorders>
                    <w:tl2br w:val="nil"/>
                    <w:tr2bl w:val="nil"/>
                  </w:tcBorders>
                  <w:noWrap w:val="0"/>
                  <w:vAlign w:val="center"/>
                </w:tcPr>
                <w:p w14:paraId="753932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不属于高耗水项目。</w:t>
                  </w:r>
                </w:p>
              </w:tc>
              <w:tc>
                <w:tcPr>
                  <w:tcW w:w="724" w:type="dxa"/>
                  <w:tcBorders>
                    <w:tl2br w:val="nil"/>
                    <w:tr2bl w:val="nil"/>
                  </w:tcBorders>
                  <w:noWrap w:val="0"/>
                  <w:vAlign w:val="center"/>
                </w:tcPr>
                <w:p w14:paraId="5EE7CE3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01D5FBF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6" w:type="dxa"/>
                  <w:vMerge w:val="continue"/>
                  <w:tcBorders>
                    <w:tl2br w:val="nil"/>
                    <w:tr2bl w:val="nil"/>
                  </w:tcBorders>
                  <w:noWrap w:val="0"/>
                  <w:vAlign w:val="center"/>
                </w:tcPr>
                <w:p w14:paraId="73E1BFB8">
                  <w:pPr>
                    <w:jc w:val="center"/>
                    <w:rPr>
                      <w:rFonts w:hint="default" w:ascii="Times New Roman" w:hAnsi="Times New Roman" w:eastAsia="宋体" w:cs="Times New Roman"/>
                      <w:color w:val="auto"/>
                      <w:szCs w:val="21"/>
                      <w:highlight w:val="none"/>
                    </w:rPr>
                  </w:pPr>
                </w:p>
              </w:tc>
              <w:tc>
                <w:tcPr>
                  <w:tcW w:w="740" w:type="dxa"/>
                  <w:tcBorders>
                    <w:tl2br w:val="nil"/>
                    <w:tr2bl w:val="nil"/>
                  </w:tcBorders>
                  <w:noWrap w:val="0"/>
                  <w:vAlign w:val="center"/>
                </w:tcPr>
                <w:p w14:paraId="1000BAE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3342" w:type="dxa"/>
                  <w:gridSpan w:val="2"/>
                  <w:tcBorders>
                    <w:tl2br w:val="nil"/>
                    <w:tr2bl w:val="nil"/>
                  </w:tcBorders>
                  <w:noWrap w:val="0"/>
                  <w:vAlign w:val="center"/>
                </w:tcPr>
                <w:p w14:paraId="33D946D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3012" w:type="dxa"/>
                  <w:tcBorders>
                    <w:tl2br w:val="nil"/>
                    <w:tr2bl w:val="nil"/>
                  </w:tcBorders>
                  <w:noWrap w:val="0"/>
                  <w:vAlign w:val="center"/>
                </w:tcPr>
                <w:p w14:paraId="129D4C7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项目生产过程中使用电能</w:t>
                  </w:r>
                  <w:r>
                    <w:rPr>
                      <w:rFonts w:hint="default" w:ascii="Times New Roman" w:hAnsi="Times New Roman" w:eastAsia="宋体" w:cs="Times New Roman"/>
                      <w:color w:val="auto"/>
                      <w:szCs w:val="21"/>
                      <w:highlight w:val="none"/>
                      <w:lang w:val="en-US" w:eastAsia="zh-CN"/>
                    </w:rPr>
                    <w:t>及生物质锅炉提供热能</w:t>
                  </w:r>
                  <w:r>
                    <w:rPr>
                      <w:rFonts w:hint="default" w:ascii="Times New Roman" w:hAnsi="Times New Roman" w:eastAsia="宋体" w:cs="Times New Roman"/>
                      <w:color w:val="auto"/>
                      <w:szCs w:val="21"/>
                      <w:highlight w:val="none"/>
                    </w:rPr>
                    <w:t>，不属于高耗能项目。</w:t>
                  </w:r>
                </w:p>
              </w:tc>
              <w:tc>
                <w:tcPr>
                  <w:tcW w:w="724" w:type="dxa"/>
                  <w:tcBorders>
                    <w:tl2br w:val="nil"/>
                    <w:tr2bl w:val="nil"/>
                  </w:tcBorders>
                  <w:noWrap w:val="0"/>
                  <w:vAlign w:val="center"/>
                </w:tcPr>
                <w:p w14:paraId="5AF7DA1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6FF4455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6" w:type="dxa"/>
                  <w:vMerge w:val="continue"/>
                  <w:tcBorders>
                    <w:tl2br w:val="nil"/>
                    <w:tr2bl w:val="nil"/>
                  </w:tcBorders>
                  <w:noWrap w:val="0"/>
                  <w:vAlign w:val="center"/>
                </w:tcPr>
                <w:p w14:paraId="0CF552E4">
                  <w:pPr>
                    <w:jc w:val="center"/>
                    <w:rPr>
                      <w:rFonts w:hint="default" w:ascii="Times New Roman" w:hAnsi="Times New Roman" w:eastAsia="宋体" w:cs="Times New Roman"/>
                      <w:color w:val="auto"/>
                      <w:szCs w:val="21"/>
                      <w:highlight w:val="none"/>
                    </w:rPr>
                  </w:pPr>
                </w:p>
              </w:tc>
              <w:tc>
                <w:tcPr>
                  <w:tcW w:w="740" w:type="dxa"/>
                  <w:tcBorders>
                    <w:tl2br w:val="nil"/>
                    <w:tr2bl w:val="nil"/>
                  </w:tcBorders>
                  <w:noWrap w:val="0"/>
                  <w:vAlign w:val="center"/>
                </w:tcPr>
                <w:p w14:paraId="34C9955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3342" w:type="dxa"/>
                  <w:gridSpan w:val="2"/>
                  <w:tcBorders>
                    <w:tl2br w:val="nil"/>
                    <w:tr2bl w:val="nil"/>
                  </w:tcBorders>
                  <w:noWrap w:val="0"/>
                  <w:vAlign w:val="center"/>
                </w:tcPr>
                <w:p w14:paraId="74383ED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3012" w:type="dxa"/>
                  <w:tcBorders>
                    <w:tl2br w:val="nil"/>
                    <w:tr2bl w:val="nil"/>
                  </w:tcBorders>
                  <w:noWrap w:val="0"/>
                  <w:vAlign w:val="center"/>
                </w:tcPr>
                <w:p w14:paraId="473D1F6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项目不占用耕地及基本农田，用地类型为工业工地，不会突破当地土地资源利用上线。</w:t>
                  </w:r>
                </w:p>
              </w:tc>
              <w:tc>
                <w:tcPr>
                  <w:tcW w:w="724" w:type="dxa"/>
                  <w:tcBorders>
                    <w:tl2br w:val="nil"/>
                    <w:tr2bl w:val="nil"/>
                  </w:tcBorders>
                  <w:noWrap w:val="0"/>
                  <w:vAlign w:val="center"/>
                </w:tcPr>
                <w:p w14:paraId="4BD6A17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210F343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426" w:type="dxa"/>
                  <w:vMerge w:val="restart"/>
                  <w:tcBorders>
                    <w:tl2br w:val="nil"/>
                    <w:tr2bl w:val="nil"/>
                  </w:tcBorders>
                  <w:noWrap w:val="0"/>
                  <w:vAlign w:val="center"/>
                </w:tcPr>
                <w:p w14:paraId="1951881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740" w:type="dxa"/>
                  <w:vMerge w:val="restart"/>
                  <w:tcBorders>
                    <w:tl2br w:val="nil"/>
                    <w:tr2bl w:val="nil"/>
                  </w:tcBorders>
                  <w:noWrap w:val="0"/>
                  <w:vAlign w:val="center"/>
                </w:tcPr>
                <w:p w14:paraId="77C6429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重点管控单元（云南寻甸特色产业园区重点管控单元）</w:t>
                  </w:r>
                </w:p>
              </w:tc>
              <w:tc>
                <w:tcPr>
                  <w:tcW w:w="427" w:type="dxa"/>
                  <w:tcBorders>
                    <w:tl2br w:val="nil"/>
                    <w:tr2bl w:val="nil"/>
                  </w:tcBorders>
                  <w:noWrap w:val="0"/>
                  <w:vAlign w:val="center"/>
                </w:tcPr>
                <w:p w14:paraId="39B6B450">
                  <w:pPr>
                    <w:snapToGrid w:val="0"/>
                    <w:jc w:val="center"/>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kern w:val="0"/>
                      <w:szCs w:val="21"/>
                      <w:highlight w:val="none"/>
                    </w:rPr>
                    <w:t>空间布局</w:t>
                  </w:r>
                </w:p>
                <w:p w14:paraId="4D7A5669">
                  <w:pPr>
                    <w:snapToGrid w:val="0"/>
                    <w:jc w:val="center"/>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kern w:val="0"/>
                      <w:szCs w:val="21"/>
                      <w:highlight w:val="none"/>
                    </w:rPr>
                    <w:t>约束</w:t>
                  </w:r>
                </w:p>
              </w:tc>
              <w:tc>
                <w:tcPr>
                  <w:tcW w:w="2915" w:type="dxa"/>
                  <w:tcBorders>
                    <w:tl2br w:val="nil"/>
                    <w:tr2bl w:val="nil"/>
                  </w:tcBorders>
                  <w:noWrap w:val="0"/>
                  <w:vAlign w:val="center"/>
                </w:tcPr>
                <w:p w14:paraId="3D31DF2A">
                  <w:pPr>
                    <w:snapToGrid/>
                    <w:spacing w:line="240" w:lineRule="auto"/>
                    <w:jc w:val="both"/>
                    <w:outlineLvl w:val="9"/>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kern w:val="0"/>
                      <w:szCs w:val="21"/>
                      <w:highlight w:val="none"/>
                    </w:rPr>
                    <w:t>1.金所片区重点发展新型材料和家具制造产业，羊街片区重点发展先进装备制造和家具制造产业。</w:t>
                  </w:r>
                </w:p>
                <w:p w14:paraId="5E1FD351">
                  <w:pPr>
                    <w:snapToGrid/>
                    <w:spacing w:line="240" w:lineRule="auto"/>
                    <w:jc w:val="center"/>
                    <w:outlineLvl w:val="9"/>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kern w:val="0"/>
                      <w:szCs w:val="21"/>
                      <w:highlight w:val="none"/>
                    </w:rPr>
                    <w:t>2.禁止引入造纸、印染等需水量大，生产废水不能实现循环回用不外排的企业。</w:t>
                  </w:r>
                </w:p>
              </w:tc>
              <w:tc>
                <w:tcPr>
                  <w:tcW w:w="3012" w:type="dxa"/>
                  <w:tcBorders>
                    <w:tl2br w:val="nil"/>
                    <w:tr2bl w:val="nil"/>
                  </w:tcBorders>
                  <w:noWrap w:val="0"/>
                  <w:vAlign w:val="center"/>
                </w:tcPr>
                <w:p w14:paraId="6E3D63A6">
                  <w:pPr>
                    <w:snapToGrid/>
                    <w:spacing w:line="240" w:lineRule="auto"/>
                    <w:jc w:val="center"/>
                    <w:outlineLvl w:val="9"/>
                    <w:rPr>
                      <w:rStyle w:val="99"/>
                      <w:rFonts w:hint="default" w:ascii="Times New Roman" w:hAnsi="Times New Roman" w:eastAsia="宋体" w:cs="Times New Roman"/>
                      <w:color w:val="auto"/>
                      <w:kern w:val="0"/>
                      <w:szCs w:val="21"/>
                      <w:highlight w:val="none"/>
                      <w:lang w:val="en-US" w:eastAsia="zh-CN"/>
                    </w:rPr>
                  </w:pPr>
                  <w:r>
                    <w:rPr>
                      <w:rStyle w:val="99"/>
                      <w:rFonts w:hint="default" w:ascii="Times New Roman" w:hAnsi="Times New Roman" w:eastAsia="宋体" w:cs="Times New Roman"/>
                      <w:color w:val="auto"/>
                      <w:kern w:val="0"/>
                      <w:szCs w:val="21"/>
                      <w:highlight w:val="none"/>
                      <w:lang w:val="en-US" w:eastAsia="zh-CN"/>
                    </w:rPr>
                    <w:t>1.本项目位于</w:t>
                  </w:r>
                  <w:r>
                    <w:rPr>
                      <w:rFonts w:hint="default" w:ascii="Times New Roman" w:hAnsi="Times New Roman" w:eastAsia="宋体" w:cs="Times New Roman"/>
                      <w:color w:val="auto"/>
                      <w:kern w:val="0"/>
                      <w:szCs w:val="21"/>
                      <w:highlight w:val="none"/>
                      <w:lang w:eastAsia="zh-CN"/>
                    </w:rPr>
                    <w:t>云南寻甸产业园区羊街片区非烟轻工产业区内</w:t>
                  </w:r>
                  <w:r>
                    <w:rPr>
                      <w:rStyle w:val="99"/>
                      <w:rFonts w:hint="default" w:ascii="Times New Roman" w:hAnsi="Times New Roman" w:eastAsia="宋体" w:cs="Times New Roman"/>
                      <w:color w:val="auto"/>
                      <w:kern w:val="0"/>
                      <w:szCs w:val="21"/>
                      <w:highlight w:val="none"/>
                      <w:lang w:val="en-US" w:eastAsia="zh-CN"/>
                    </w:rPr>
                    <w:t>，属于</w:t>
                  </w:r>
                  <w:r>
                    <w:rPr>
                      <w:rFonts w:hint="eastAsia" w:ascii="Times New Roman" w:hAnsi="Times New Roman" w:eastAsia="宋体" w:cs="Times New Roman"/>
                      <w:color w:val="auto"/>
                      <w:sz w:val="21"/>
                      <w:szCs w:val="21"/>
                      <w:highlight w:val="none"/>
                      <w:lang w:val="zh-CN" w:eastAsia="zh-CN"/>
                    </w:rPr>
                    <w:t>牛油、牛干巴</w:t>
                  </w:r>
                  <w:r>
                    <w:rPr>
                      <w:rFonts w:hint="default" w:ascii="Times New Roman" w:hAnsi="Times New Roman" w:eastAsia="宋体" w:cs="Times New Roman"/>
                      <w:color w:val="auto"/>
                      <w:sz w:val="21"/>
                      <w:szCs w:val="21"/>
                      <w:highlight w:val="none"/>
                      <w:lang w:val="zh-CN" w:eastAsia="zh-CN"/>
                    </w:rPr>
                    <w:t>及</w:t>
                  </w:r>
                  <w:r>
                    <w:rPr>
                      <w:rFonts w:hint="eastAsia" w:ascii="Times New Roman" w:hAnsi="Times New Roman" w:eastAsia="宋体" w:cs="Times New Roman"/>
                      <w:color w:val="auto"/>
                      <w:sz w:val="21"/>
                      <w:szCs w:val="21"/>
                      <w:highlight w:val="none"/>
                      <w:lang w:val="zh-CN" w:eastAsia="zh-CN"/>
                    </w:rPr>
                    <w:t>饲料油脂</w:t>
                  </w:r>
                  <w:r>
                    <w:rPr>
                      <w:rFonts w:hint="default" w:ascii="Times New Roman" w:hAnsi="Times New Roman" w:eastAsia="宋体" w:cs="Times New Roman"/>
                      <w:color w:val="auto"/>
                      <w:sz w:val="21"/>
                      <w:szCs w:val="21"/>
                      <w:highlight w:val="none"/>
                      <w:lang w:val="zh-CN" w:eastAsia="zh-CN"/>
                    </w:rPr>
                    <w:t>加工项目</w:t>
                  </w:r>
                  <w:r>
                    <w:rPr>
                      <w:rStyle w:val="99"/>
                      <w:rFonts w:hint="default" w:ascii="Times New Roman" w:hAnsi="Times New Roman" w:eastAsia="宋体" w:cs="Times New Roman"/>
                      <w:color w:val="auto"/>
                      <w:kern w:val="0"/>
                      <w:szCs w:val="21"/>
                      <w:highlight w:val="none"/>
                      <w:lang w:val="en-US" w:eastAsia="zh-CN"/>
                    </w:rPr>
                    <w:t>，与</w:t>
                  </w:r>
                  <w:r>
                    <w:rPr>
                      <w:rStyle w:val="99"/>
                      <w:rFonts w:hint="eastAsia" w:cs="Times New Roman"/>
                      <w:color w:val="auto"/>
                      <w:kern w:val="0"/>
                      <w:szCs w:val="21"/>
                      <w:highlight w:val="none"/>
                      <w:lang w:val="en-US" w:eastAsia="zh-CN"/>
                    </w:rPr>
                    <w:t>羊街</w:t>
                  </w:r>
                  <w:r>
                    <w:rPr>
                      <w:rStyle w:val="99"/>
                      <w:rFonts w:hint="default" w:ascii="Times New Roman" w:hAnsi="Times New Roman" w:eastAsia="宋体" w:cs="Times New Roman"/>
                      <w:color w:val="auto"/>
                      <w:kern w:val="0"/>
                      <w:szCs w:val="21"/>
                      <w:highlight w:val="none"/>
                      <w:lang w:val="en-US" w:eastAsia="zh-CN"/>
                    </w:rPr>
                    <w:t>片区</w:t>
                  </w:r>
                  <w:r>
                    <w:rPr>
                      <w:rFonts w:hint="default" w:ascii="Times New Roman" w:hAnsi="Times New Roman" w:eastAsia="宋体" w:cs="Times New Roman"/>
                      <w:color w:val="auto"/>
                      <w:kern w:val="0"/>
                      <w:szCs w:val="21"/>
                      <w:highlight w:val="none"/>
                      <w:lang w:eastAsia="zh-CN"/>
                    </w:rPr>
                    <w:t>非烟轻工产业区</w:t>
                  </w:r>
                  <w:r>
                    <w:rPr>
                      <w:rStyle w:val="99"/>
                      <w:rFonts w:hint="default" w:ascii="Times New Roman" w:hAnsi="Times New Roman" w:eastAsia="宋体" w:cs="Times New Roman"/>
                      <w:color w:val="auto"/>
                      <w:kern w:val="0"/>
                      <w:szCs w:val="21"/>
                      <w:highlight w:val="none"/>
                      <w:lang w:val="en-US" w:eastAsia="zh-CN"/>
                    </w:rPr>
                    <w:t>发展规划不冲突</w:t>
                  </w:r>
                  <w:r>
                    <w:rPr>
                      <w:rStyle w:val="99"/>
                      <w:rFonts w:hint="default" w:ascii="Times New Roman" w:hAnsi="Times New Roman" w:eastAsia="宋体" w:cs="Times New Roman"/>
                      <w:color w:val="auto"/>
                      <w:kern w:val="0"/>
                      <w:szCs w:val="21"/>
                      <w:highlight w:val="none"/>
                    </w:rPr>
                    <w:t>。</w:t>
                  </w:r>
                </w:p>
                <w:p w14:paraId="4F5F1BA9">
                  <w:pPr>
                    <w:snapToGrid/>
                    <w:spacing w:line="240" w:lineRule="auto"/>
                    <w:jc w:val="center"/>
                    <w:outlineLvl w:val="9"/>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kern w:val="0"/>
                      <w:szCs w:val="21"/>
                      <w:highlight w:val="none"/>
                      <w:lang w:val="en-US" w:eastAsia="zh-CN"/>
                    </w:rPr>
                    <w:t>2</w:t>
                  </w:r>
                  <w:r>
                    <w:rPr>
                      <w:rStyle w:val="99"/>
                      <w:rFonts w:hint="default" w:ascii="Times New Roman" w:hAnsi="Times New Roman" w:eastAsia="宋体" w:cs="Times New Roman"/>
                      <w:color w:val="auto"/>
                      <w:kern w:val="0"/>
                      <w:szCs w:val="21"/>
                      <w:highlight w:val="none"/>
                    </w:rPr>
                    <w:t>.</w:t>
                  </w:r>
                  <w:r>
                    <w:rPr>
                      <w:rStyle w:val="99"/>
                      <w:rFonts w:hint="default" w:ascii="Times New Roman" w:hAnsi="Times New Roman" w:eastAsia="宋体" w:cs="Times New Roman"/>
                      <w:color w:val="auto"/>
                      <w:kern w:val="0"/>
                      <w:szCs w:val="21"/>
                      <w:highlight w:val="none"/>
                      <w:lang w:val="en-US" w:eastAsia="zh-CN"/>
                    </w:rPr>
                    <w:t>本项目不属于造纸、印染类企业，</w:t>
                  </w:r>
                  <w:r>
                    <w:rPr>
                      <w:rFonts w:hint="default" w:ascii="Times New Roman" w:hAnsi="Times New Roman" w:eastAsia="宋体" w:cs="Times New Roman"/>
                      <w:b w:val="0"/>
                      <w:bCs w:val="0"/>
                      <w:color w:val="auto"/>
                      <w:sz w:val="21"/>
                      <w:szCs w:val="21"/>
                      <w:highlight w:val="none"/>
                      <w:lang w:val="en-US" w:eastAsia="zh-CN"/>
                    </w:rPr>
                    <w:t>项目实施雨污分流排水体制，雨水经厂区雨水沟收集后排入</w:t>
                  </w:r>
                  <w:r>
                    <w:rPr>
                      <w:rFonts w:hint="eastAsia" w:ascii="Times New Roman" w:hAnsi="Times New Roman" w:cs="Times New Roman"/>
                      <w:b w:val="0"/>
                      <w:bCs w:val="0"/>
                      <w:color w:val="auto"/>
                      <w:sz w:val="21"/>
                      <w:szCs w:val="21"/>
                      <w:highlight w:val="none"/>
                      <w:lang w:val="en-US" w:eastAsia="zh-CN"/>
                    </w:rPr>
                    <w:t>园区雨水管网</w:t>
                  </w:r>
                  <w:r>
                    <w:rPr>
                      <w:rFonts w:hint="default" w:ascii="Times New Roman" w:hAnsi="Times New Roman" w:eastAsia="宋体" w:cs="Times New Roman"/>
                      <w:b w:val="0"/>
                      <w:bCs w:val="0"/>
                      <w:color w:val="auto"/>
                      <w:sz w:val="21"/>
                      <w:szCs w:val="21"/>
                      <w:highlight w:val="none"/>
                      <w:lang w:val="en-US" w:eastAsia="zh-CN"/>
                    </w:rPr>
                    <w:t>；本项目食堂含油废水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Cs w:val="21"/>
                      <w:highlight w:val="none"/>
                      <w:lang w:val="zh-CN"/>
                    </w:rPr>
                    <w:t>对水体污染严重的建设项目</w:t>
                  </w:r>
                  <w:r>
                    <w:rPr>
                      <w:rFonts w:hint="default" w:ascii="Times New Roman" w:hAnsi="Times New Roman" w:eastAsia="宋体" w:cs="Times New Roman"/>
                      <w:color w:val="auto"/>
                      <w:sz w:val="21"/>
                      <w:szCs w:val="21"/>
                      <w:highlight w:val="none"/>
                    </w:rPr>
                    <w:t>。</w:t>
                  </w:r>
                </w:p>
              </w:tc>
              <w:tc>
                <w:tcPr>
                  <w:tcW w:w="724" w:type="dxa"/>
                  <w:tcBorders>
                    <w:tl2br w:val="nil"/>
                    <w:tr2bl w:val="nil"/>
                  </w:tcBorders>
                  <w:noWrap w:val="0"/>
                  <w:vAlign w:val="center"/>
                </w:tcPr>
                <w:p w14:paraId="6323CA2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271D4A7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426" w:type="dxa"/>
                  <w:vMerge w:val="continue"/>
                  <w:tcBorders>
                    <w:tl2br w:val="nil"/>
                    <w:tr2bl w:val="nil"/>
                  </w:tcBorders>
                  <w:noWrap w:val="0"/>
                  <w:vAlign w:val="center"/>
                </w:tcPr>
                <w:p w14:paraId="3D6E8723">
                  <w:pPr>
                    <w:jc w:val="center"/>
                    <w:rPr>
                      <w:color w:val="auto"/>
                    </w:rPr>
                  </w:pPr>
                </w:p>
              </w:tc>
              <w:tc>
                <w:tcPr>
                  <w:tcW w:w="740" w:type="dxa"/>
                  <w:vMerge w:val="continue"/>
                  <w:tcBorders>
                    <w:tl2br w:val="nil"/>
                    <w:tr2bl w:val="nil"/>
                  </w:tcBorders>
                  <w:noWrap w:val="0"/>
                  <w:vAlign w:val="center"/>
                </w:tcPr>
                <w:p w14:paraId="6084156A">
                  <w:pPr>
                    <w:jc w:val="center"/>
                    <w:rPr>
                      <w:color w:val="auto"/>
                    </w:rPr>
                  </w:pPr>
                </w:p>
              </w:tc>
              <w:tc>
                <w:tcPr>
                  <w:tcW w:w="427" w:type="dxa"/>
                  <w:tcBorders>
                    <w:tl2br w:val="nil"/>
                    <w:tr2bl w:val="nil"/>
                  </w:tcBorders>
                  <w:noWrap w:val="0"/>
                  <w:vAlign w:val="center"/>
                </w:tcPr>
                <w:p w14:paraId="0D11C3E5">
                  <w:pPr>
                    <w:snapToGrid w:val="0"/>
                    <w:spacing w:line="240" w:lineRule="auto"/>
                    <w:jc w:val="center"/>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kern w:val="0"/>
                      <w:szCs w:val="21"/>
                      <w:highlight w:val="none"/>
                    </w:rPr>
                    <w:t>污染物</w:t>
                  </w:r>
                </w:p>
                <w:p w14:paraId="799CF742">
                  <w:pPr>
                    <w:bidi w:val="0"/>
                    <w:snapToGrid w:val="0"/>
                    <w:jc w:val="center"/>
                    <w:outlineLvl w:val="9"/>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kern w:val="0"/>
                      <w:szCs w:val="21"/>
                      <w:highlight w:val="none"/>
                    </w:rPr>
                    <w:t>排放管控</w:t>
                  </w:r>
                </w:p>
              </w:tc>
              <w:tc>
                <w:tcPr>
                  <w:tcW w:w="2915" w:type="dxa"/>
                  <w:tcBorders>
                    <w:tl2br w:val="nil"/>
                    <w:tr2bl w:val="nil"/>
                  </w:tcBorders>
                  <w:noWrap w:val="0"/>
                  <w:vAlign w:val="center"/>
                </w:tcPr>
                <w:p w14:paraId="4895BF5A">
                  <w:pPr>
                    <w:snapToGrid/>
                    <w:spacing w:line="240" w:lineRule="auto"/>
                    <w:jc w:val="center"/>
                    <w:outlineLvl w:val="9"/>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kern w:val="0"/>
                      <w:szCs w:val="21"/>
                      <w:highlight w:val="none"/>
                    </w:rPr>
                    <w:t>1.主要指标二氧化硫、二氧化氮、可吸入颗粒物达到《环境空气质量标准》（GB3095-2012）Ⅱ级标准。</w:t>
                  </w:r>
                </w:p>
                <w:p w14:paraId="1A989F1B">
                  <w:pPr>
                    <w:snapToGrid/>
                    <w:spacing w:line="240" w:lineRule="auto"/>
                    <w:jc w:val="both"/>
                    <w:outlineLvl w:val="9"/>
                    <w:rPr>
                      <w:rStyle w:val="99"/>
                      <w:rFonts w:hint="default" w:ascii="Times New Roman" w:hAnsi="Times New Roman" w:eastAsia="宋体" w:cs="Times New Roman"/>
                      <w:color w:val="auto"/>
                      <w:kern w:val="0"/>
                      <w:szCs w:val="21"/>
                      <w:highlight w:val="none"/>
                      <w:lang w:eastAsia="zh-CN"/>
                    </w:rPr>
                  </w:pPr>
                  <w:r>
                    <w:rPr>
                      <w:rStyle w:val="99"/>
                      <w:rFonts w:hint="default" w:ascii="Times New Roman" w:hAnsi="Times New Roman" w:eastAsia="宋体" w:cs="Times New Roman"/>
                      <w:color w:val="auto"/>
                      <w:kern w:val="0"/>
                      <w:szCs w:val="21"/>
                      <w:highlight w:val="none"/>
                    </w:rPr>
                    <w:t>2.现状已发展成熟的煤磷盐化工企业及目前做到零排放的企业按现状方式排水，未来</w:t>
                  </w:r>
                  <w:r>
                    <w:rPr>
                      <w:rStyle w:val="99"/>
                      <w:rFonts w:hint="eastAsia" w:cs="Times New Roman"/>
                      <w:color w:val="auto"/>
                      <w:kern w:val="0"/>
                      <w:szCs w:val="21"/>
                      <w:highlight w:val="none"/>
                      <w:lang w:eastAsia="zh-CN"/>
                    </w:rPr>
                    <w:t>入驻</w:t>
                  </w:r>
                  <w:r>
                    <w:rPr>
                      <w:rStyle w:val="99"/>
                      <w:rFonts w:hint="default" w:ascii="Times New Roman" w:hAnsi="Times New Roman" w:eastAsia="宋体" w:cs="Times New Roman"/>
                      <w:color w:val="auto"/>
                      <w:kern w:val="0"/>
                      <w:szCs w:val="21"/>
                      <w:highlight w:val="none"/>
                    </w:rPr>
                    <w:t>企业生产废水由企业自行处理达标后循环回用不外排。</w:t>
                  </w:r>
                </w:p>
                <w:p w14:paraId="406BBD40">
                  <w:pPr>
                    <w:snapToGrid/>
                    <w:spacing w:line="240" w:lineRule="auto"/>
                    <w:jc w:val="both"/>
                    <w:outlineLvl w:val="9"/>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kern w:val="0"/>
                      <w:szCs w:val="21"/>
                      <w:highlight w:val="none"/>
                    </w:rPr>
                    <w:t>3.生活垃圾无害化处理率90%以上，工业固废处置利用率不小于95%。</w:t>
                  </w:r>
                </w:p>
              </w:tc>
              <w:tc>
                <w:tcPr>
                  <w:tcW w:w="3012" w:type="dxa"/>
                  <w:tcBorders>
                    <w:tl2br w:val="nil"/>
                    <w:tr2bl w:val="nil"/>
                  </w:tcBorders>
                  <w:noWrap w:val="0"/>
                  <w:vAlign w:val="center"/>
                </w:tcPr>
                <w:p w14:paraId="5D59BC78">
                  <w:pPr>
                    <w:snapToGrid/>
                    <w:spacing w:line="240" w:lineRule="auto"/>
                    <w:jc w:val="center"/>
                    <w:outlineLvl w:val="9"/>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kern w:val="0"/>
                      <w:szCs w:val="21"/>
                      <w:highlight w:val="none"/>
                    </w:rPr>
                    <w:t>1.</w:t>
                  </w:r>
                  <w:r>
                    <w:rPr>
                      <w:rStyle w:val="99"/>
                      <w:rFonts w:hint="default" w:ascii="Times New Roman" w:hAnsi="Times New Roman" w:eastAsia="宋体" w:cs="Times New Roman"/>
                      <w:color w:val="auto"/>
                      <w:kern w:val="0"/>
                      <w:szCs w:val="21"/>
                      <w:highlight w:val="none"/>
                      <w:lang w:val="en-US" w:eastAsia="zh-CN"/>
                    </w:rPr>
                    <w:t>项目所在</w:t>
                  </w:r>
                  <w:r>
                    <w:rPr>
                      <w:rStyle w:val="99"/>
                      <w:rFonts w:hint="default" w:ascii="Times New Roman" w:hAnsi="Times New Roman" w:eastAsia="宋体" w:cs="Times New Roman"/>
                      <w:color w:val="auto"/>
                      <w:kern w:val="0"/>
                      <w:szCs w:val="21"/>
                      <w:highlight w:val="none"/>
                    </w:rPr>
                    <w:t>园区空气质量</w:t>
                  </w:r>
                  <w:r>
                    <w:rPr>
                      <w:rStyle w:val="99"/>
                      <w:rFonts w:hint="default" w:ascii="Times New Roman" w:hAnsi="Times New Roman" w:eastAsia="宋体" w:cs="Times New Roman"/>
                      <w:color w:val="auto"/>
                      <w:kern w:val="0"/>
                      <w:szCs w:val="21"/>
                      <w:highlight w:val="none"/>
                      <w:lang w:val="en-US" w:eastAsia="zh-CN"/>
                    </w:rPr>
                    <w:t>满足</w:t>
                  </w:r>
                  <w:r>
                    <w:rPr>
                      <w:rStyle w:val="99"/>
                      <w:rFonts w:hint="default" w:ascii="Times New Roman" w:hAnsi="Times New Roman" w:eastAsia="宋体" w:cs="Times New Roman"/>
                      <w:color w:val="auto"/>
                      <w:kern w:val="0"/>
                      <w:szCs w:val="21"/>
                      <w:highlight w:val="none"/>
                    </w:rPr>
                    <w:t>《环境空气质量标准》（GB3095－2012）中二级标准</w:t>
                  </w:r>
                  <w:r>
                    <w:rPr>
                      <w:rStyle w:val="99"/>
                      <w:rFonts w:hint="default" w:ascii="Times New Roman" w:hAnsi="Times New Roman" w:eastAsia="宋体" w:cs="Times New Roman"/>
                      <w:color w:val="auto"/>
                      <w:kern w:val="0"/>
                      <w:szCs w:val="21"/>
                      <w:highlight w:val="none"/>
                      <w:lang w:val="en-US" w:eastAsia="zh-CN"/>
                    </w:rPr>
                    <w:t>要求</w:t>
                  </w:r>
                  <w:r>
                    <w:rPr>
                      <w:rStyle w:val="99"/>
                      <w:rFonts w:hint="default" w:ascii="Times New Roman" w:hAnsi="Times New Roman" w:eastAsia="宋体" w:cs="Times New Roman"/>
                      <w:color w:val="auto"/>
                      <w:kern w:val="0"/>
                      <w:szCs w:val="21"/>
                      <w:highlight w:val="none"/>
                    </w:rPr>
                    <w:t>。</w:t>
                  </w:r>
                </w:p>
                <w:p w14:paraId="60EE06E3">
                  <w:pPr>
                    <w:widowControl/>
                    <w:adjustRightInd w:val="0"/>
                    <w:snapToGrid w:val="0"/>
                    <w:spacing w:line="240" w:lineRule="auto"/>
                    <w:ind w:firstLine="0" w:firstLineChars="0"/>
                    <w:jc w:val="both"/>
                    <w:rPr>
                      <w:rStyle w:val="99"/>
                      <w:rFonts w:hint="default" w:ascii="Times New Roman" w:hAnsi="Times New Roman" w:eastAsia="宋体" w:cs="Times New Roman"/>
                      <w:color w:val="auto"/>
                      <w:kern w:val="0"/>
                      <w:szCs w:val="21"/>
                      <w:highlight w:val="none"/>
                      <w:lang w:val="en-US" w:eastAsia="zh-CN"/>
                    </w:rPr>
                  </w:pPr>
                  <w:r>
                    <w:rPr>
                      <w:rStyle w:val="99"/>
                      <w:rFonts w:hint="default" w:ascii="Times New Roman" w:hAnsi="Times New Roman" w:eastAsia="宋体" w:cs="Times New Roman"/>
                      <w:color w:val="auto"/>
                      <w:kern w:val="0"/>
                      <w:szCs w:val="21"/>
                      <w:highlight w:val="none"/>
                    </w:rPr>
                    <w:t>2.</w:t>
                  </w:r>
                  <w:r>
                    <w:rPr>
                      <w:rFonts w:hint="default" w:ascii="Times New Roman" w:hAnsi="Times New Roman" w:eastAsia="宋体" w:cs="Times New Roman"/>
                      <w:b w:val="0"/>
                      <w:bCs w:val="0"/>
                      <w:color w:val="auto"/>
                      <w:sz w:val="21"/>
                      <w:szCs w:val="21"/>
                      <w:highlight w:val="none"/>
                      <w:lang w:val="en-US" w:eastAsia="zh-CN"/>
                    </w:rPr>
                    <w:t>项目实施雨污分流排水体制，雨水经厂区雨水沟收集后排入</w:t>
                  </w:r>
                  <w:r>
                    <w:rPr>
                      <w:rFonts w:hint="eastAsia" w:ascii="Times New Roman" w:hAnsi="Times New Roman" w:cs="Times New Roman"/>
                      <w:b w:val="0"/>
                      <w:bCs w:val="0"/>
                      <w:color w:val="auto"/>
                      <w:sz w:val="21"/>
                      <w:szCs w:val="21"/>
                      <w:highlight w:val="none"/>
                      <w:lang w:val="en-US" w:eastAsia="zh-CN"/>
                    </w:rPr>
                    <w:t>园区雨水管网</w:t>
                  </w:r>
                  <w:r>
                    <w:rPr>
                      <w:rFonts w:hint="default" w:ascii="Times New Roman" w:hAnsi="Times New Roman" w:eastAsia="宋体" w:cs="Times New Roman"/>
                      <w:b w:val="0"/>
                      <w:bCs w:val="0"/>
                      <w:color w:val="auto"/>
                      <w:sz w:val="21"/>
                      <w:szCs w:val="21"/>
                      <w:highlight w:val="none"/>
                      <w:lang w:val="en-US" w:eastAsia="zh-CN"/>
                    </w:rPr>
                    <w:t>；本项目食堂含油废水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经隔油池预处理后与其他办公生活污水、生产废水一并进入化粪池、自建污水处理设施处理达标后经市政污水管网排入寻甸产业园区羊街片区污水处理厂进行处理。</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Cs w:val="21"/>
                      <w:highlight w:val="none"/>
                      <w:lang w:val="zh-CN"/>
                    </w:rPr>
                    <w:t>对水体污染严重的建设项目</w:t>
                  </w:r>
                  <w:r>
                    <w:rPr>
                      <w:rFonts w:hint="default" w:ascii="Times New Roman" w:hAnsi="Times New Roman" w:eastAsia="宋体" w:cs="Times New Roman"/>
                      <w:color w:val="auto"/>
                      <w:sz w:val="21"/>
                      <w:szCs w:val="21"/>
                      <w:highlight w:val="none"/>
                    </w:rPr>
                    <w:t>。</w:t>
                  </w:r>
                </w:p>
                <w:p w14:paraId="52A869E9">
                  <w:pPr>
                    <w:snapToGrid/>
                    <w:spacing w:line="240" w:lineRule="auto"/>
                    <w:jc w:val="center"/>
                    <w:outlineLvl w:val="9"/>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kern w:val="0"/>
                      <w:szCs w:val="21"/>
                      <w:highlight w:val="none"/>
                    </w:rPr>
                    <w:t>3.</w:t>
                  </w:r>
                  <w:r>
                    <w:rPr>
                      <w:rStyle w:val="99"/>
                      <w:rFonts w:hint="default" w:ascii="Times New Roman" w:hAnsi="Times New Roman" w:eastAsia="宋体" w:cs="Times New Roman"/>
                      <w:color w:val="auto"/>
                      <w:kern w:val="0"/>
                      <w:szCs w:val="21"/>
                      <w:highlight w:val="none"/>
                      <w:lang w:val="en-US" w:eastAsia="zh-CN"/>
                    </w:rPr>
                    <w:t>本项目产生的生活垃圾委托</w:t>
                  </w:r>
                  <w:r>
                    <w:rPr>
                      <w:rStyle w:val="99"/>
                      <w:rFonts w:hint="default" w:ascii="Times New Roman" w:hAnsi="Times New Roman" w:eastAsia="宋体" w:cs="Times New Roman"/>
                      <w:color w:val="auto"/>
                      <w:kern w:val="0"/>
                      <w:szCs w:val="21"/>
                      <w:highlight w:val="none"/>
                    </w:rPr>
                    <w:t>工业园区</w:t>
                  </w:r>
                  <w:r>
                    <w:rPr>
                      <w:rStyle w:val="99"/>
                      <w:rFonts w:hint="default" w:ascii="Times New Roman" w:hAnsi="Times New Roman" w:eastAsia="宋体" w:cs="Times New Roman"/>
                      <w:color w:val="auto"/>
                      <w:kern w:val="0"/>
                      <w:szCs w:val="21"/>
                      <w:highlight w:val="none"/>
                      <w:lang w:val="en-US" w:eastAsia="zh-CN"/>
                    </w:rPr>
                    <w:t>环卫部门统一收集后进行</w:t>
                  </w:r>
                  <w:r>
                    <w:rPr>
                      <w:rStyle w:val="99"/>
                      <w:rFonts w:hint="default" w:ascii="Times New Roman" w:hAnsi="Times New Roman" w:eastAsia="宋体" w:cs="Times New Roman"/>
                      <w:color w:val="auto"/>
                      <w:kern w:val="0"/>
                      <w:szCs w:val="21"/>
                      <w:highlight w:val="none"/>
                    </w:rPr>
                    <w:t>无害化处理</w:t>
                  </w:r>
                  <w:r>
                    <w:rPr>
                      <w:rStyle w:val="99"/>
                      <w:rFonts w:hint="default" w:ascii="Times New Roman" w:hAnsi="Times New Roman" w:eastAsia="宋体" w:cs="Times New Roman"/>
                      <w:color w:val="auto"/>
                      <w:kern w:val="0"/>
                      <w:szCs w:val="21"/>
                      <w:highlight w:val="none"/>
                      <w:lang w:eastAsia="zh-CN"/>
                    </w:rPr>
                    <w:t>，</w:t>
                  </w:r>
                  <w:r>
                    <w:rPr>
                      <w:rStyle w:val="99"/>
                      <w:rFonts w:hint="default" w:ascii="Times New Roman" w:hAnsi="Times New Roman" w:eastAsia="宋体" w:cs="Times New Roman"/>
                      <w:color w:val="auto"/>
                      <w:kern w:val="0"/>
                      <w:szCs w:val="21"/>
                      <w:highlight w:val="none"/>
                      <w:lang w:val="en-US" w:eastAsia="zh-CN"/>
                    </w:rPr>
                    <w:t>处理</w:t>
                  </w:r>
                  <w:r>
                    <w:rPr>
                      <w:rStyle w:val="99"/>
                      <w:rFonts w:hint="default" w:ascii="Times New Roman" w:hAnsi="Times New Roman" w:eastAsia="宋体" w:cs="Times New Roman"/>
                      <w:color w:val="auto"/>
                      <w:kern w:val="0"/>
                      <w:szCs w:val="21"/>
                      <w:highlight w:val="none"/>
                    </w:rPr>
                    <w:t>率达到100%。</w:t>
                  </w:r>
                </w:p>
              </w:tc>
              <w:tc>
                <w:tcPr>
                  <w:tcW w:w="724" w:type="dxa"/>
                  <w:tcBorders>
                    <w:tl2br w:val="nil"/>
                    <w:tr2bl w:val="nil"/>
                  </w:tcBorders>
                  <w:noWrap w:val="0"/>
                  <w:vAlign w:val="center"/>
                </w:tcPr>
                <w:p w14:paraId="03E7CF3A">
                  <w:pPr>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rPr>
                    <w:t>符合</w:t>
                  </w:r>
                </w:p>
              </w:tc>
            </w:tr>
            <w:tr w14:paraId="28C3989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426" w:type="dxa"/>
                  <w:vMerge w:val="continue"/>
                  <w:tcBorders>
                    <w:tl2br w:val="nil"/>
                    <w:tr2bl w:val="nil"/>
                  </w:tcBorders>
                  <w:noWrap w:val="0"/>
                  <w:vAlign w:val="center"/>
                </w:tcPr>
                <w:p w14:paraId="1A9B0889">
                  <w:pPr>
                    <w:jc w:val="center"/>
                    <w:rPr>
                      <w:rFonts w:hint="default" w:ascii="Times New Roman" w:hAnsi="Times New Roman" w:eastAsia="宋体" w:cs="Times New Roman"/>
                      <w:color w:val="auto"/>
                      <w:szCs w:val="21"/>
                      <w:highlight w:val="none"/>
                      <w:lang w:val="zh-CN"/>
                    </w:rPr>
                  </w:pPr>
                </w:p>
              </w:tc>
              <w:tc>
                <w:tcPr>
                  <w:tcW w:w="740" w:type="dxa"/>
                  <w:vMerge w:val="continue"/>
                  <w:tcBorders>
                    <w:tl2br w:val="nil"/>
                    <w:tr2bl w:val="nil"/>
                  </w:tcBorders>
                  <w:noWrap w:val="0"/>
                  <w:vAlign w:val="center"/>
                </w:tcPr>
                <w:p w14:paraId="763F4F31">
                  <w:pPr>
                    <w:jc w:val="center"/>
                    <w:rPr>
                      <w:rFonts w:hint="default" w:ascii="Times New Roman" w:hAnsi="Times New Roman" w:eastAsia="宋体" w:cs="Times New Roman"/>
                      <w:color w:val="auto"/>
                      <w:szCs w:val="21"/>
                      <w:highlight w:val="none"/>
                      <w:lang w:val="zh-CN"/>
                    </w:rPr>
                  </w:pPr>
                </w:p>
              </w:tc>
              <w:tc>
                <w:tcPr>
                  <w:tcW w:w="427" w:type="dxa"/>
                  <w:tcBorders>
                    <w:tl2br w:val="nil"/>
                    <w:tr2bl w:val="nil"/>
                  </w:tcBorders>
                  <w:noWrap w:val="0"/>
                  <w:vAlign w:val="center"/>
                </w:tcPr>
                <w:p w14:paraId="594B496C">
                  <w:pPr>
                    <w:snapToGrid w:val="0"/>
                    <w:jc w:val="center"/>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kern w:val="0"/>
                      <w:szCs w:val="21"/>
                      <w:highlight w:val="none"/>
                    </w:rPr>
                    <w:t>环境风险</w:t>
                  </w:r>
                </w:p>
                <w:p w14:paraId="0CF61197">
                  <w:pPr>
                    <w:bidi w:val="0"/>
                    <w:snapToGrid w:val="0"/>
                    <w:jc w:val="center"/>
                    <w:outlineLvl w:val="9"/>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kern w:val="0"/>
                      <w:szCs w:val="21"/>
                      <w:highlight w:val="none"/>
                    </w:rPr>
                    <w:t>防控</w:t>
                  </w:r>
                </w:p>
              </w:tc>
              <w:tc>
                <w:tcPr>
                  <w:tcW w:w="2915" w:type="dxa"/>
                  <w:tcBorders>
                    <w:tl2br w:val="nil"/>
                    <w:tr2bl w:val="nil"/>
                  </w:tcBorders>
                  <w:noWrap w:val="0"/>
                  <w:vAlign w:val="center"/>
                </w:tcPr>
                <w:p w14:paraId="526B461A">
                  <w:pPr>
                    <w:snapToGrid/>
                    <w:spacing w:line="240" w:lineRule="auto"/>
                    <w:jc w:val="both"/>
                    <w:outlineLvl w:val="9"/>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kern w:val="0"/>
                      <w:szCs w:val="21"/>
                      <w:highlight w:val="none"/>
                    </w:rPr>
                    <w:t>1.组织编制环境风险应急预案，通过风险源的识别，制定不同风险源的应急处理处置方案，形成应对突发事故应急处理处置能力。</w:t>
                  </w:r>
                </w:p>
                <w:p w14:paraId="12D276FC">
                  <w:pPr>
                    <w:snapToGrid/>
                    <w:spacing w:line="240" w:lineRule="auto"/>
                    <w:jc w:val="both"/>
                    <w:outlineLvl w:val="9"/>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kern w:val="0"/>
                      <w:szCs w:val="21"/>
                      <w:highlight w:val="none"/>
                    </w:rPr>
                    <w:t>2.建设风险事故废水排放管道及处置池。</w:t>
                  </w:r>
                </w:p>
              </w:tc>
              <w:tc>
                <w:tcPr>
                  <w:tcW w:w="3012" w:type="dxa"/>
                  <w:tcBorders>
                    <w:tl2br w:val="nil"/>
                    <w:tr2bl w:val="nil"/>
                  </w:tcBorders>
                  <w:noWrap w:val="0"/>
                  <w:vAlign w:val="center"/>
                </w:tcPr>
                <w:p w14:paraId="710A32B6">
                  <w:pPr>
                    <w:snapToGrid/>
                    <w:spacing w:line="240" w:lineRule="auto"/>
                    <w:jc w:val="center"/>
                    <w:outlineLvl w:val="9"/>
                    <w:rPr>
                      <w:rStyle w:val="99"/>
                      <w:rFonts w:hint="default" w:ascii="Times New Roman" w:hAnsi="Times New Roman" w:eastAsia="宋体" w:cs="Times New Roman"/>
                      <w:color w:val="auto"/>
                      <w:kern w:val="0"/>
                      <w:szCs w:val="21"/>
                      <w:highlight w:val="none"/>
                      <w:lang w:val="en-US" w:eastAsia="zh-CN"/>
                    </w:rPr>
                  </w:pPr>
                  <w:r>
                    <w:rPr>
                      <w:rStyle w:val="99"/>
                      <w:rFonts w:hint="default" w:ascii="Times New Roman" w:hAnsi="Times New Roman" w:eastAsia="宋体" w:cs="Times New Roman"/>
                      <w:color w:val="auto"/>
                      <w:kern w:val="0"/>
                      <w:szCs w:val="21"/>
                      <w:highlight w:val="none"/>
                      <w:lang w:val="en-US" w:eastAsia="zh-CN"/>
                    </w:rPr>
                    <w:t>1.本次环评提出企业建成后按照要求编制</w:t>
                  </w:r>
                  <w:r>
                    <w:rPr>
                      <w:rStyle w:val="99"/>
                      <w:rFonts w:hint="default" w:ascii="Times New Roman" w:hAnsi="Times New Roman" w:eastAsia="宋体" w:cs="Times New Roman"/>
                      <w:color w:val="auto"/>
                      <w:kern w:val="0"/>
                      <w:szCs w:val="21"/>
                      <w:highlight w:val="none"/>
                    </w:rPr>
                    <w:t>环境风险应急预案，</w:t>
                  </w:r>
                  <w:r>
                    <w:rPr>
                      <w:rStyle w:val="99"/>
                      <w:rFonts w:hint="default" w:ascii="Times New Roman" w:hAnsi="Times New Roman" w:eastAsia="宋体" w:cs="Times New Roman"/>
                      <w:color w:val="auto"/>
                      <w:kern w:val="0"/>
                      <w:szCs w:val="21"/>
                      <w:highlight w:val="none"/>
                      <w:lang w:val="en-US" w:eastAsia="zh-CN"/>
                    </w:rPr>
                    <w:t>并报当地环保部门备案。</w:t>
                  </w:r>
                </w:p>
                <w:p w14:paraId="09FFF5B0">
                  <w:pPr>
                    <w:snapToGrid/>
                    <w:spacing w:line="240" w:lineRule="auto"/>
                    <w:jc w:val="center"/>
                    <w:outlineLvl w:val="9"/>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kern w:val="0"/>
                      <w:szCs w:val="21"/>
                      <w:highlight w:val="none"/>
                      <w:lang w:val="en-US" w:eastAsia="zh-CN"/>
                    </w:rPr>
                    <w:t>2.本项目后期按照实际需求进行风险事故废水排放管道及处置池的建设。</w:t>
                  </w:r>
                </w:p>
              </w:tc>
              <w:tc>
                <w:tcPr>
                  <w:tcW w:w="724" w:type="dxa"/>
                  <w:tcBorders>
                    <w:tl2br w:val="nil"/>
                    <w:tr2bl w:val="nil"/>
                  </w:tcBorders>
                  <w:noWrap w:val="0"/>
                  <w:vAlign w:val="center"/>
                </w:tcPr>
                <w:p w14:paraId="5760AC8A">
                  <w:pPr>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rPr>
                    <w:t>符合</w:t>
                  </w:r>
                </w:p>
              </w:tc>
            </w:tr>
            <w:tr w14:paraId="38179CF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7E27C2AA">
                  <w:pPr>
                    <w:jc w:val="center"/>
                    <w:rPr>
                      <w:rFonts w:hint="default" w:ascii="Times New Roman" w:hAnsi="Times New Roman" w:eastAsia="宋体" w:cs="Times New Roman"/>
                      <w:color w:val="auto"/>
                      <w:szCs w:val="21"/>
                      <w:highlight w:val="none"/>
                    </w:rPr>
                  </w:pPr>
                </w:p>
              </w:tc>
              <w:tc>
                <w:tcPr>
                  <w:tcW w:w="740" w:type="dxa"/>
                  <w:vMerge w:val="continue"/>
                  <w:tcBorders>
                    <w:tl2br w:val="nil"/>
                    <w:tr2bl w:val="nil"/>
                  </w:tcBorders>
                  <w:noWrap w:val="0"/>
                  <w:vAlign w:val="center"/>
                </w:tcPr>
                <w:p w14:paraId="7E27205E">
                  <w:pPr>
                    <w:jc w:val="center"/>
                    <w:rPr>
                      <w:rFonts w:hint="default" w:ascii="Times New Roman" w:hAnsi="Times New Roman" w:eastAsia="宋体" w:cs="Times New Roman"/>
                      <w:color w:val="auto"/>
                      <w:szCs w:val="21"/>
                      <w:highlight w:val="none"/>
                    </w:rPr>
                  </w:pPr>
                </w:p>
              </w:tc>
              <w:tc>
                <w:tcPr>
                  <w:tcW w:w="427" w:type="dxa"/>
                  <w:tcBorders>
                    <w:tl2br w:val="nil"/>
                    <w:tr2bl w:val="nil"/>
                  </w:tcBorders>
                  <w:noWrap w:val="0"/>
                  <w:vAlign w:val="center"/>
                </w:tcPr>
                <w:p w14:paraId="33843406">
                  <w:pPr>
                    <w:bidi w:val="0"/>
                    <w:snapToGrid w:val="0"/>
                    <w:jc w:val="center"/>
                    <w:outlineLvl w:val="9"/>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kern w:val="0"/>
                      <w:szCs w:val="21"/>
                      <w:highlight w:val="none"/>
                    </w:rPr>
                    <w:t>资源开发效率要求</w:t>
                  </w:r>
                </w:p>
              </w:tc>
              <w:tc>
                <w:tcPr>
                  <w:tcW w:w="2915" w:type="dxa"/>
                  <w:tcBorders>
                    <w:tl2br w:val="nil"/>
                    <w:tr2bl w:val="nil"/>
                  </w:tcBorders>
                  <w:noWrap w:val="0"/>
                  <w:vAlign w:val="center"/>
                </w:tcPr>
                <w:p w14:paraId="4A44785E">
                  <w:pPr>
                    <w:bidi w:val="0"/>
                    <w:jc w:val="center"/>
                    <w:outlineLvl w:val="9"/>
                    <w:rPr>
                      <w:rStyle w:val="99"/>
                      <w:rFonts w:hint="default" w:ascii="Times New Roman" w:hAnsi="Times New Roman" w:eastAsia="宋体" w:cs="Times New Roman"/>
                      <w:color w:val="auto"/>
                      <w:spacing w:val="-6"/>
                      <w:kern w:val="0"/>
                      <w:szCs w:val="21"/>
                      <w:highlight w:val="none"/>
                      <w:lang w:val="en-US" w:eastAsia="zh-CN"/>
                    </w:rPr>
                  </w:pPr>
                  <w:r>
                    <w:rPr>
                      <w:rStyle w:val="99"/>
                      <w:rFonts w:hint="default" w:ascii="Times New Roman" w:hAnsi="Times New Roman" w:eastAsia="宋体" w:cs="Times New Roman"/>
                      <w:color w:val="auto"/>
                      <w:spacing w:val="-6"/>
                      <w:kern w:val="0"/>
                      <w:szCs w:val="21"/>
                      <w:highlight w:val="none"/>
                      <w:lang w:val="en-US" w:eastAsia="zh-CN"/>
                    </w:rPr>
                    <w:t>1.清洁生产水平不低于国家清洁生产标准规定的国内先进水平。</w:t>
                  </w:r>
                </w:p>
                <w:p w14:paraId="21D829C2">
                  <w:pPr>
                    <w:bidi w:val="0"/>
                    <w:jc w:val="center"/>
                    <w:outlineLvl w:val="9"/>
                    <w:rPr>
                      <w:rFonts w:hint="default" w:ascii="Times New Roman" w:hAnsi="Times New Roman" w:eastAsia="宋体" w:cs="Times New Roman"/>
                      <w:color w:val="auto"/>
                      <w:szCs w:val="21"/>
                      <w:highlight w:val="none"/>
                      <w:lang w:val="zh-CN"/>
                    </w:rPr>
                  </w:pPr>
                  <w:r>
                    <w:rPr>
                      <w:rStyle w:val="99"/>
                      <w:rFonts w:hint="default" w:ascii="Times New Roman" w:hAnsi="Times New Roman" w:eastAsia="宋体" w:cs="Times New Roman"/>
                      <w:color w:val="auto"/>
                      <w:spacing w:val="-6"/>
                      <w:kern w:val="0"/>
                      <w:szCs w:val="21"/>
                      <w:highlight w:val="none"/>
                      <w:lang w:val="en-US" w:eastAsia="zh-CN"/>
                    </w:rPr>
                    <w:t>2.工业固废综合利用率≥70%，再生水回用率100%，工业用水重复利用率100%，单位工业增加值综合耗能≤0.5吨标煤/万元。</w:t>
                  </w:r>
                </w:p>
              </w:tc>
              <w:tc>
                <w:tcPr>
                  <w:tcW w:w="3012" w:type="dxa"/>
                  <w:tcBorders>
                    <w:tl2br w:val="nil"/>
                    <w:tr2bl w:val="nil"/>
                  </w:tcBorders>
                  <w:noWrap w:val="0"/>
                  <w:vAlign w:val="center"/>
                </w:tcPr>
                <w:p w14:paraId="2A8A92A8">
                  <w:pPr>
                    <w:bidi w:val="0"/>
                    <w:jc w:val="center"/>
                    <w:outlineLvl w:val="9"/>
                    <w:rPr>
                      <w:rStyle w:val="99"/>
                      <w:rFonts w:hint="default" w:ascii="Times New Roman" w:hAnsi="Times New Roman" w:eastAsia="宋体" w:cs="Times New Roman"/>
                      <w:color w:val="auto"/>
                      <w:spacing w:val="-6"/>
                      <w:kern w:val="0"/>
                      <w:szCs w:val="21"/>
                      <w:highlight w:val="none"/>
                      <w:lang w:val="en-US" w:eastAsia="zh-CN"/>
                    </w:rPr>
                  </w:pPr>
                  <w:r>
                    <w:rPr>
                      <w:rStyle w:val="99"/>
                      <w:rFonts w:hint="default" w:ascii="Times New Roman" w:hAnsi="Times New Roman" w:eastAsia="宋体" w:cs="Times New Roman"/>
                      <w:color w:val="auto"/>
                      <w:spacing w:val="-6"/>
                      <w:kern w:val="0"/>
                      <w:szCs w:val="21"/>
                      <w:highlight w:val="none"/>
                      <w:lang w:val="en-US" w:eastAsia="zh-CN"/>
                    </w:rPr>
                    <w:t>1.本项目清洁生产水平不低于国家清洁生产标准规定的国内先进水平。</w:t>
                  </w:r>
                </w:p>
                <w:p w14:paraId="7E2C8985">
                  <w:pPr>
                    <w:bidi w:val="0"/>
                    <w:jc w:val="center"/>
                    <w:outlineLvl w:val="9"/>
                    <w:rPr>
                      <w:rStyle w:val="99"/>
                      <w:rFonts w:hint="default" w:ascii="Times New Roman" w:hAnsi="Times New Roman" w:eastAsia="宋体" w:cs="Times New Roman"/>
                      <w:color w:val="auto"/>
                      <w:kern w:val="0"/>
                      <w:szCs w:val="21"/>
                      <w:highlight w:val="none"/>
                    </w:rPr>
                  </w:pPr>
                  <w:r>
                    <w:rPr>
                      <w:rStyle w:val="99"/>
                      <w:rFonts w:hint="default" w:ascii="Times New Roman" w:hAnsi="Times New Roman" w:eastAsia="宋体" w:cs="Times New Roman"/>
                      <w:color w:val="auto"/>
                      <w:spacing w:val="-6"/>
                      <w:kern w:val="0"/>
                      <w:szCs w:val="21"/>
                      <w:highlight w:val="none"/>
                      <w:lang w:val="en-US" w:eastAsia="zh-CN"/>
                    </w:rPr>
                    <w:t>2.工业固体废物综合利用率≥70%。</w:t>
                  </w:r>
                  <w:r>
                    <w:rPr>
                      <w:rFonts w:hint="default" w:ascii="Times New Roman" w:hAnsi="Times New Roman" w:eastAsia="宋体" w:cs="Times New Roman"/>
                      <w:b w:val="0"/>
                      <w:bCs w:val="0"/>
                      <w:color w:val="auto"/>
                      <w:sz w:val="21"/>
                      <w:szCs w:val="21"/>
                      <w:highlight w:val="none"/>
                      <w:lang w:val="en-US" w:eastAsia="zh-CN"/>
                    </w:rPr>
                    <w:t>项目食堂含油废水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经隔油池预处理后与其他办公生活污水、生产废水一并进入化粪池、自建污水处理设施处理达标后经市政污水管网排入寻甸产业园区羊街片区污水处理厂进行处理</w:t>
                  </w:r>
                  <w:r>
                    <w:rPr>
                      <w:rStyle w:val="99"/>
                      <w:rFonts w:hint="default" w:ascii="Times New Roman" w:hAnsi="Times New Roman" w:eastAsia="宋体" w:cs="Times New Roman"/>
                      <w:color w:val="auto"/>
                      <w:kern w:val="0"/>
                      <w:szCs w:val="21"/>
                      <w:highlight w:val="none"/>
                    </w:rPr>
                    <w:t>。</w:t>
                  </w:r>
                  <w:r>
                    <w:rPr>
                      <w:rStyle w:val="99"/>
                      <w:rFonts w:hint="default" w:ascii="Times New Roman" w:hAnsi="Times New Roman" w:eastAsia="宋体" w:cs="Times New Roman"/>
                      <w:color w:val="auto"/>
                      <w:spacing w:val="-6"/>
                      <w:kern w:val="0"/>
                      <w:szCs w:val="21"/>
                      <w:highlight w:val="none"/>
                      <w:lang w:val="en-US" w:eastAsia="zh-CN"/>
                    </w:rPr>
                    <w:t>单位工业增加值综合能耗≤0.5吨标煤/万元。</w:t>
                  </w:r>
                </w:p>
              </w:tc>
              <w:tc>
                <w:tcPr>
                  <w:tcW w:w="724" w:type="dxa"/>
                  <w:tcBorders>
                    <w:tl2br w:val="nil"/>
                    <w:tr2bl w:val="nil"/>
                  </w:tcBorders>
                  <w:noWrap w:val="0"/>
                  <w:vAlign w:val="center"/>
                </w:tcPr>
                <w:p w14:paraId="6098C6D7">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14:paraId="352CFAAE">
            <w:pPr>
              <w:pStyle w:val="80"/>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7"/>
          <w:bookmarkEnd w:id="8"/>
          <w:bookmarkEnd w:id="9"/>
          <w:p w14:paraId="43AC6A9A">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14:paraId="50FBC94E">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rPr>
              <w:t>根据《国民经济行业分类》（GB/T4754-2017）及第1号修改单的通知（国统字〔2019〕66号）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highlight w:val="none"/>
              </w:rPr>
              <w:t>属于</w:t>
            </w:r>
            <w:r>
              <w:rPr>
                <w:rFonts w:hint="eastAsia"/>
                <w:color w:val="auto"/>
                <w:sz w:val="24"/>
                <w:lang w:eastAsia="zh-CN"/>
              </w:rPr>
              <w:t>其他饲料加工</w:t>
            </w:r>
            <w:r>
              <w:rPr>
                <w:rFonts w:hint="default" w:ascii="Times New Roman" w:hAnsi="Times New Roman" w:eastAsia="宋体" w:cs="Times New Roman"/>
                <w:color w:val="auto"/>
                <w:sz w:val="24"/>
                <w:szCs w:val="24"/>
                <w:highlight w:val="none"/>
                <w:lang w:val="en-US" w:eastAsia="zh-CN"/>
              </w:rPr>
              <w:t>（C1</w:t>
            </w:r>
            <w:r>
              <w:rPr>
                <w:rFonts w:hint="eastAsia" w:ascii="Times New Roman" w:hAnsi="Times New Roman" w:cs="Times New Roman"/>
                <w:color w:val="auto"/>
                <w:sz w:val="24"/>
                <w:szCs w:val="24"/>
                <w:highlight w:val="none"/>
                <w:lang w:val="en-US" w:eastAsia="zh-CN"/>
              </w:rPr>
              <w:t>329</w:t>
            </w:r>
            <w:r>
              <w:rPr>
                <w:rFonts w:hint="default" w:ascii="Times New Roman" w:hAnsi="Times New Roman" w:eastAsia="宋体" w:cs="Times New Roman"/>
                <w:color w:val="auto"/>
                <w:sz w:val="24"/>
                <w:szCs w:val="24"/>
                <w:highlight w:val="none"/>
                <w:lang w:val="en-US" w:eastAsia="zh-CN"/>
              </w:rPr>
              <w:t>）、</w:t>
            </w:r>
            <w:r>
              <w:rPr>
                <w:rFonts w:hint="eastAsia"/>
                <w:color w:val="auto"/>
                <w:sz w:val="24"/>
                <w:lang w:eastAsia="zh-CN"/>
              </w:rPr>
              <w:t>肉制品及副产品</w:t>
            </w:r>
            <w:r>
              <w:rPr>
                <w:rFonts w:hint="eastAsia"/>
                <w:color w:val="auto"/>
                <w:sz w:val="24"/>
              </w:rPr>
              <w:t>加工</w:t>
            </w:r>
            <w:r>
              <w:rPr>
                <w:rFonts w:hint="default" w:ascii="Times New Roman" w:hAnsi="Times New Roman" w:eastAsia="宋体" w:cs="Times New Roman"/>
                <w:color w:val="auto"/>
                <w:sz w:val="24"/>
                <w:szCs w:val="24"/>
                <w:highlight w:val="none"/>
                <w:lang w:val="en-US" w:eastAsia="zh-CN"/>
              </w:rPr>
              <w:t>（C1</w:t>
            </w:r>
            <w:r>
              <w:rPr>
                <w:rFonts w:hint="eastAsia" w:ascii="Times New Roman" w:hAnsi="Times New Roman" w:cs="Times New Roman"/>
                <w:color w:val="auto"/>
                <w:sz w:val="24"/>
                <w:szCs w:val="24"/>
                <w:highlight w:val="none"/>
                <w:lang w:val="en-US" w:eastAsia="zh-CN"/>
              </w:rPr>
              <w:t>353</w:t>
            </w:r>
            <w:r>
              <w:rPr>
                <w:rFonts w:hint="default" w:ascii="Times New Roman" w:hAnsi="Times New Roman" w:eastAsia="宋体" w:cs="Times New Roman"/>
                <w:color w:val="auto"/>
                <w:sz w:val="24"/>
                <w:szCs w:val="24"/>
                <w:highlight w:val="none"/>
                <w:lang w:val="en-US" w:eastAsia="zh-CN"/>
              </w:rPr>
              <w:t>）及热力生产和供应（D4430）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w:t>
            </w:r>
            <w:r>
              <w:rPr>
                <w:rFonts w:hint="eastAsia"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rPr>
              <w:t>不属于产业结构调整政策内的</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限制</w:t>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淘汰类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鼓励类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14:paraId="579D2CF9">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14:paraId="340A4F5B">
            <w:pPr>
              <w:keepNext w:val="0"/>
              <w:keepLines w:val="0"/>
              <w:pageBreakBefore w:val="0"/>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14:paraId="1E6A5A6B">
            <w:pPr>
              <w:pStyle w:val="72"/>
              <w:keepNext w:val="0"/>
              <w:keepLines w:val="0"/>
              <w:pageBreakBefore w:val="0"/>
              <w:kinsoku/>
              <w:wordWrap/>
              <w:overflowPunct/>
              <w:topLinePunct w:val="0"/>
              <w:bidi w:val="0"/>
              <w:spacing w:line="360" w:lineRule="auto"/>
              <w:textAlignment w:val="auto"/>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14:paraId="55F8A61A">
            <w:pPr>
              <w:pStyle w:val="72"/>
              <w:keepNext w:val="0"/>
              <w:keepLines w:val="0"/>
              <w:pageBreakBefore w:val="0"/>
              <w:kinsoku/>
              <w:wordWrap/>
              <w:overflowPunct/>
              <w:topLinePunct w:val="0"/>
              <w:bidi w:val="0"/>
              <w:spacing w:line="360" w:lineRule="auto"/>
              <w:textAlignment w:val="auto"/>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0770D6FD">
            <w:pPr>
              <w:pStyle w:val="72"/>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1AFECA57">
            <w:pPr>
              <w:pStyle w:val="72"/>
              <w:rPr>
                <w:rStyle w:val="71"/>
                <w:rFonts w:hint="default" w:ascii="Times New Roman" w:hAnsi="Times New Roman" w:eastAsia="宋体" w:cs="Times New Roman"/>
                <w:color w:val="auto"/>
                <w:sz w:val="24"/>
                <w:highlight w:val="none"/>
              </w:rPr>
            </w:pPr>
            <w:r>
              <w:rPr>
                <w:rStyle w:val="71"/>
                <w:rFonts w:hint="default" w:ascii="Times New Roman" w:hAnsi="Times New Roman" w:eastAsia="宋体" w:cs="Times New Roman"/>
                <w:color w:val="auto"/>
                <w:sz w:val="24"/>
                <w:highlight w:val="none"/>
              </w:rPr>
              <w:t>（三）重点水源涵养区为流域范围内除水源保护核心区、重点污染控制区以外的集水区域。</w:t>
            </w:r>
          </w:p>
          <w:p w14:paraId="3DDDA963">
            <w:pPr>
              <w:pStyle w:val="72"/>
              <w:rPr>
                <w:rFonts w:hint="default" w:ascii="Times New Roman" w:hAnsi="Times New Roman" w:eastAsia="宋体" w:cs="Times New Roman"/>
                <w:b/>
                <w:bCs/>
                <w:color w:val="auto"/>
                <w:sz w:val="21"/>
                <w:szCs w:val="21"/>
                <w:highlight w:val="none"/>
              </w:rPr>
            </w:pPr>
            <w:r>
              <w:rPr>
                <w:rStyle w:val="71"/>
                <w:rFonts w:hint="default" w:ascii="Times New Roman" w:hAnsi="Times New Roman" w:eastAsia="宋体" w:cs="Times New Roman"/>
                <w:color w:val="auto"/>
                <w:sz w:val="24"/>
                <w:highlight w:val="none"/>
              </w:rPr>
              <w:t>本项目位于云南寻甸产业园区羊街片区非烟轻工产业区内，根据牛栏江水系功能规划图可知，项目区属于</w:t>
            </w:r>
            <w:r>
              <w:rPr>
                <w:rStyle w:val="71"/>
                <w:rFonts w:hint="default" w:ascii="Times New Roman" w:hAnsi="Times New Roman" w:eastAsia="宋体" w:cs="Times New Roman"/>
                <w:color w:val="auto"/>
                <w:sz w:val="24"/>
                <w:highlight w:val="none"/>
                <w:lang w:val="en-US"/>
              </w:rPr>
              <w:t>重点</w:t>
            </w:r>
            <w:r>
              <w:rPr>
                <w:rStyle w:val="71"/>
                <w:rFonts w:hint="default" w:ascii="Times New Roman" w:hAnsi="Times New Roman" w:eastAsia="宋体" w:cs="Times New Roman"/>
                <w:color w:val="auto"/>
                <w:sz w:val="24"/>
                <w:highlight w:val="none"/>
              </w:rPr>
              <w:t>污染控制区，本项目与牛栏江流域的位置关系详见附图</w:t>
            </w:r>
            <w:r>
              <w:rPr>
                <w:rStyle w:val="71"/>
                <w:rFonts w:hint="default" w:ascii="Times New Roman" w:hAnsi="Times New Roman" w:eastAsia="宋体" w:cs="Times New Roman"/>
                <w:color w:val="auto"/>
                <w:sz w:val="24"/>
                <w:highlight w:val="none"/>
                <w:lang w:val="en-US"/>
              </w:rPr>
              <w:t>5</w:t>
            </w:r>
            <w:r>
              <w:rPr>
                <w:rStyle w:val="71"/>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14:paraId="2ACF900C">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6"/>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305"/>
              <w:gridCol w:w="3380"/>
              <w:gridCol w:w="712"/>
            </w:tblGrid>
            <w:tr w14:paraId="1FFA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noWrap w:val="0"/>
                  <w:vAlign w:val="center"/>
                </w:tcPr>
                <w:p w14:paraId="675934B6">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b/>
                      <w:bCs/>
                      <w:color w:val="auto"/>
                      <w:sz w:val="21"/>
                      <w:szCs w:val="21"/>
                      <w:highlight w:val="none"/>
                    </w:rPr>
                  </w:pPr>
                  <w:r>
                    <w:rPr>
                      <w:rStyle w:val="71"/>
                      <w:rFonts w:hint="default" w:ascii="Times New Roman" w:hAnsi="Times New Roman" w:eastAsia="宋体" w:cs="Times New Roman"/>
                      <w:b/>
                      <w:bCs/>
                      <w:color w:val="auto"/>
                      <w:sz w:val="21"/>
                      <w:szCs w:val="21"/>
                      <w:highlight w:val="none"/>
                    </w:rPr>
                    <w:t>保护区划分</w:t>
                  </w:r>
                </w:p>
              </w:tc>
              <w:tc>
                <w:tcPr>
                  <w:tcW w:w="3305" w:type="dxa"/>
                  <w:noWrap w:val="0"/>
                  <w:vAlign w:val="center"/>
                </w:tcPr>
                <w:p w14:paraId="7C255EB6">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b/>
                      <w:bCs/>
                      <w:color w:val="auto"/>
                      <w:sz w:val="21"/>
                      <w:szCs w:val="21"/>
                      <w:highlight w:val="none"/>
                    </w:rPr>
                  </w:pPr>
                  <w:r>
                    <w:rPr>
                      <w:rStyle w:val="71"/>
                      <w:rFonts w:hint="default" w:ascii="Times New Roman" w:hAnsi="Times New Roman" w:eastAsia="宋体" w:cs="Times New Roman"/>
                      <w:b/>
                      <w:bCs/>
                      <w:color w:val="auto"/>
                      <w:sz w:val="21"/>
                      <w:szCs w:val="21"/>
                      <w:highlight w:val="none"/>
                    </w:rPr>
                    <w:t>禁止行为</w:t>
                  </w:r>
                </w:p>
              </w:tc>
              <w:tc>
                <w:tcPr>
                  <w:tcW w:w="3380" w:type="dxa"/>
                  <w:noWrap w:val="0"/>
                  <w:vAlign w:val="center"/>
                </w:tcPr>
                <w:p w14:paraId="4C1CE53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b/>
                      <w:bCs/>
                      <w:color w:val="auto"/>
                      <w:sz w:val="21"/>
                      <w:szCs w:val="21"/>
                      <w:highlight w:val="none"/>
                    </w:rPr>
                  </w:pPr>
                  <w:r>
                    <w:rPr>
                      <w:rStyle w:val="71"/>
                      <w:rFonts w:hint="default" w:ascii="Times New Roman" w:hAnsi="Times New Roman" w:eastAsia="宋体" w:cs="Times New Roman"/>
                      <w:b/>
                      <w:bCs/>
                      <w:color w:val="auto"/>
                      <w:sz w:val="21"/>
                      <w:szCs w:val="21"/>
                      <w:highlight w:val="none"/>
                    </w:rPr>
                    <w:t>建设内容</w:t>
                  </w:r>
                </w:p>
              </w:tc>
              <w:tc>
                <w:tcPr>
                  <w:tcW w:w="712" w:type="dxa"/>
                  <w:noWrap w:val="0"/>
                  <w:vAlign w:val="center"/>
                </w:tcPr>
                <w:p w14:paraId="0B7A5F2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b/>
                      <w:bCs/>
                      <w:color w:val="auto"/>
                      <w:sz w:val="21"/>
                      <w:szCs w:val="21"/>
                      <w:highlight w:val="none"/>
                    </w:rPr>
                  </w:pPr>
                  <w:r>
                    <w:rPr>
                      <w:rStyle w:val="71"/>
                      <w:rFonts w:hint="default" w:ascii="Times New Roman" w:hAnsi="Times New Roman" w:eastAsia="宋体" w:cs="Times New Roman"/>
                      <w:b/>
                      <w:bCs/>
                      <w:color w:val="auto"/>
                      <w:sz w:val="21"/>
                      <w:szCs w:val="21"/>
                      <w:highlight w:val="none"/>
                    </w:rPr>
                    <w:t>符合性</w:t>
                  </w:r>
                </w:p>
              </w:tc>
            </w:tr>
            <w:tr w14:paraId="40BD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59" w:type="dxa"/>
                  <w:vMerge w:val="restart"/>
                  <w:noWrap w:val="0"/>
                  <w:vAlign w:val="center"/>
                </w:tcPr>
                <w:p w14:paraId="7C9395D1">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lang w:val="en-US"/>
                    </w:rPr>
                    <w:t>重点</w:t>
                  </w:r>
                  <w:r>
                    <w:rPr>
                      <w:rStyle w:val="71"/>
                      <w:rFonts w:hint="default" w:ascii="Times New Roman" w:hAnsi="Times New Roman" w:eastAsia="宋体" w:cs="Times New Roman"/>
                      <w:color w:val="auto"/>
                      <w:sz w:val="21"/>
                      <w:szCs w:val="21"/>
                      <w:highlight w:val="none"/>
                    </w:rPr>
                    <w:t>污染控制区</w:t>
                  </w:r>
                </w:p>
              </w:tc>
              <w:tc>
                <w:tcPr>
                  <w:tcW w:w="3305" w:type="dxa"/>
                  <w:noWrap w:val="0"/>
                  <w:vAlign w:val="center"/>
                </w:tcPr>
                <w:p w14:paraId="6DC430A0">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（一）盗伐、滥伐林木和破坏草地；</w:t>
                  </w:r>
                </w:p>
              </w:tc>
              <w:tc>
                <w:tcPr>
                  <w:tcW w:w="3380" w:type="dxa"/>
                  <w:noWrap w:val="0"/>
                  <w:vAlign w:val="center"/>
                </w:tcPr>
                <w:p w14:paraId="2F89B6E0">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项目位于</w:t>
                  </w:r>
                  <w:r>
                    <w:rPr>
                      <w:rStyle w:val="71"/>
                      <w:rFonts w:hint="default" w:ascii="Times New Roman" w:hAnsi="Times New Roman" w:eastAsia="宋体" w:cs="Times New Roman"/>
                      <w:color w:val="auto"/>
                      <w:sz w:val="21"/>
                      <w:szCs w:val="21"/>
                      <w:highlight w:val="none"/>
                      <w:lang w:val="en-US"/>
                    </w:rPr>
                    <w:t>云南寻甸产业园区羊街片区非烟轻工产</w:t>
                  </w:r>
                  <w:r>
                    <w:rPr>
                      <w:rStyle w:val="71"/>
                      <w:rFonts w:hint="eastAsia" w:cs="Times New Roman"/>
                      <w:color w:val="auto"/>
                      <w:sz w:val="21"/>
                      <w:szCs w:val="21"/>
                      <w:highlight w:val="none"/>
                      <w:lang w:val="en-US"/>
                    </w:rPr>
                    <w:t>业园</w:t>
                  </w:r>
                  <w:r>
                    <w:rPr>
                      <w:rStyle w:val="71"/>
                      <w:rFonts w:hint="default" w:ascii="Times New Roman" w:hAnsi="Times New Roman" w:eastAsia="宋体" w:cs="Times New Roman"/>
                      <w:color w:val="auto"/>
                      <w:sz w:val="21"/>
                      <w:szCs w:val="21"/>
                      <w:highlight w:val="none"/>
                      <w:lang w:val="en-US"/>
                    </w:rPr>
                    <w:t>区内</w:t>
                  </w:r>
                  <w:r>
                    <w:rPr>
                      <w:rStyle w:val="71"/>
                      <w:rFonts w:hint="default" w:ascii="Times New Roman" w:hAnsi="Times New Roman" w:eastAsia="宋体" w:cs="Times New Roman"/>
                      <w:color w:val="auto"/>
                      <w:sz w:val="21"/>
                      <w:szCs w:val="21"/>
                      <w:highlight w:val="none"/>
                    </w:rPr>
                    <w:t>，为</w:t>
                  </w:r>
                  <w:r>
                    <w:rPr>
                      <w:rStyle w:val="71"/>
                      <w:rFonts w:hint="default" w:ascii="Times New Roman" w:hAnsi="Times New Roman" w:eastAsia="宋体" w:cs="Times New Roman"/>
                      <w:color w:val="auto"/>
                      <w:sz w:val="21"/>
                      <w:szCs w:val="21"/>
                      <w:highlight w:val="none"/>
                      <w:lang w:val="en-US"/>
                    </w:rPr>
                    <w:t>新建</w:t>
                  </w:r>
                  <w:r>
                    <w:rPr>
                      <w:rStyle w:val="71"/>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18"/>
                      <w:highlight w:val="none"/>
                    </w:rPr>
                    <w:t>项目用地属于园区工业用地，不存在盗伐、滥伐林木和破坏草地行为</w:t>
                  </w:r>
                  <w:r>
                    <w:rPr>
                      <w:rStyle w:val="71"/>
                      <w:rFonts w:hint="default" w:ascii="Times New Roman" w:hAnsi="Times New Roman" w:eastAsia="宋体" w:cs="Times New Roman"/>
                      <w:color w:val="auto"/>
                      <w:sz w:val="21"/>
                      <w:szCs w:val="21"/>
                      <w:highlight w:val="none"/>
                    </w:rPr>
                    <w:t>。</w:t>
                  </w:r>
                </w:p>
              </w:tc>
              <w:tc>
                <w:tcPr>
                  <w:tcW w:w="712" w:type="dxa"/>
                  <w:noWrap w:val="0"/>
                  <w:vAlign w:val="center"/>
                </w:tcPr>
                <w:p w14:paraId="36D7642C">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14:paraId="675E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Merge w:val="continue"/>
                  <w:noWrap w:val="0"/>
                  <w:vAlign w:val="center"/>
                </w:tcPr>
                <w:p w14:paraId="18BFAF33">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305" w:type="dxa"/>
                  <w:noWrap w:val="0"/>
                  <w:vAlign w:val="center"/>
                </w:tcPr>
                <w:p w14:paraId="4ACE7032">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（二）使用高毒、高残留农药；</w:t>
                  </w:r>
                </w:p>
              </w:tc>
              <w:tc>
                <w:tcPr>
                  <w:tcW w:w="3380" w:type="dxa"/>
                  <w:noWrap w:val="0"/>
                  <w:vAlign w:val="center"/>
                </w:tcPr>
                <w:p w14:paraId="2E1A79EC">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不涉及。</w:t>
                  </w:r>
                </w:p>
              </w:tc>
              <w:tc>
                <w:tcPr>
                  <w:tcW w:w="712" w:type="dxa"/>
                  <w:noWrap w:val="0"/>
                  <w:vAlign w:val="center"/>
                </w:tcPr>
                <w:p w14:paraId="2474A53E">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14:paraId="5AE9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Merge w:val="continue"/>
                  <w:noWrap w:val="0"/>
                  <w:vAlign w:val="center"/>
                </w:tcPr>
                <w:p w14:paraId="65AEC01A">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305" w:type="dxa"/>
                  <w:noWrap w:val="0"/>
                  <w:vAlign w:val="center"/>
                </w:tcPr>
                <w:p w14:paraId="29098418">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（三）利用溶洞、渗井、渗坑、裂隙排放、倾倒含有毒有害物质的废水、废渣；</w:t>
                  </w:r>
                </w:p>
              </w:tc>
              <w:tc>
                <w:tcPr>
                  <w:tcW w:w="3380" w:type="dxa"/>
                  <w:vMerge w:val="restart"/>
                  <w:noWrap w:val="0"/>
                  <w:vAlign w:val="center"/>
                </w:tcPr>
                <w:p w14:paraId="3353F13F">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1.项目废水</w:t>
                  </w:r>
                  <w:r>
                    <w:rPr>
                      <w:rStyle w:val="71"/>
                      <w:rFonts w:hint="default" w:ascii="Times New Roman" w:hAnsi="Times New Roman" w:eastAsia="宋体" w:cs="Times New Roman"/>
                      <w:color w:val="auto"/>
                      <w:sz w:val="21"/>
                      <w:szCs w:val="21"/>
                      <w:highlight w:val="none"/>
                      <w:lang w:val="en-US"/>
                    </w:rPr>
                    <w:t>为间接排放</w:t>
                  </w:r>
                  <w:r>
                    <w:rPr>
                      <w:rStyle w:val="71"/>
                      <w:rFonts w:hint="default" w:ascii="Times New Roman" w:hAnsi="Times New Roman" w:eastAsia="宋体" w:cs="Times New Roman"/>
                      <w:color w:val="auto"/>
                      <w:sz w:val="21"/>
                      <w:szCs w:val="21"/>
                      <w:highlight w:val="none"/>
                    </w:rPr>
                    <w:t>。</w:t>
                  </w:r>
                </w:p>
                <w:p w14:paraId="0916BD92">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2.项目所有固体废弃物均得到合理有效</w:t>
                  </w:r>
                  <w:r>
                    <w:rPr>
                      <w:rStyle w:val="71"/>
                      <w:rFonts w:hint="eastAsia" w:cs="Times New Roman"/>
                      <w:color w:val="auto"/>
                      <w:sz w:val="21"/>
                      <w:szCs w:val="21"/>
                      <w:highlight w:val="none"/>
                    </w:rPr>
                    <w:t>地</w:t>
                  </w:r>
                  <w:r>
                    <w:rPr>
                      <w:rStyle w:val="71"/>
                      <w:rFonts w:hint="default" w:ascii="Times New Roman" w:hAnsi="Times New Roman" w:eastAsia="宋体" w:cs="Times New Roman"/>
                      <w:color w:val="auto"/>
                      <w:sz w:val="21"/>
                      <w:szCs w:val="21"/>
                      <w:highlight w:val="none"/>
                    </w:rPr>
                    <w:t>利用和处置，处置率为100%。</w:t>
                  </w:r>
                </w:p>
              </w:tc>
              <w:tc>
                <w:tcPr>
                  <w:tcW w:w="712" w:type="dxa"/>
                  <w:noWrap w:val="0"/>
                  <w:vAlign w:val="center"/>
                </w:tcPr>
                <w:p w14:paraId="67878457">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14:paraId="6021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Merge w:val="continue"/>
                  <w:noWrap w:val="0"/>
                  <w:vAlign w:val="center"/>
                </w:tcPr>
                <w:p w14:paraId="7AB0F348">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305" w:type="dxa"/>
                  <w:noWrap w:val="0"/>
                  <w:vAlign w:val="center"/>
                </w:tcPr>
                <w:p w14:paraId="1C7A434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（四）向水体排放废水、倾倒工业废渣、城镇垃圾或者其他废弃物；</w:t>
                  </w:r>
                </w:p>
              </w:tc>
              <w:tc>
                <w:tcPr>
                  <w:tcW w:w="3380" w:type="dxa"/>
                  <w:vMerge w:val="continue"/>
                  <w:noWrap w:val="0"/>
                  <w:vAlign w:val="center"/>
                </w:tcPr>
                <w:p w14:paraId="6E0BE8E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712" w:type="dxa"/>
                  <w:noWrap w:val="0"/>
                  <w:vAlign w:val="center"/>
                </w:tcPr>
                <w:p w14:paraId="152E590C">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14:paraId="3E63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Merge w:val="continue"/>
                  <w:noWrap w:val="0"/>
                  <w:vAlign w:val="center"/>
                </w:tcPr>
                <w:p w14:paraId="32449ABB">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305" w:type="dxa"/>
                  <w:noWrap w:val="0"/>
                  <w:vAlign w:val="center"/>
                </w:tcPr>
                <w:p w14:paraId="02071E03">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3380" w:type="dxa"/>
                  <w:noWrap w:val="0"/>
                  <w:vAlign w:val="center"/>
                </w:tcPr>
                <w:p w14:paraId="02D80228">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712" w:type="dxa"/>
                  <w:noWrap w:val="0"/>
                  <w:vAlign w:val="center"/>
                </w:tcPr>
                <w:p w14:paraId="7805EC77">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14:paraId="41BA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Merge w:val="continue"/>
                  <w:noWrap w:val="0"/>
                  <w:vAlign w:val="center"/>
                </w:tcPr>
                <w:p w14:paraId="534093BD">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305" w:type="dxa"/>
                  <w:noWrap w:val="0"/>
                  <w:vAlign w:val="center"/>
                </w:tcPr>
                <w:p w14:paraId="4647966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3380" w:type="dxa"/>
                  <w:noWrap w:val="0"/>
                  <w:vAlign w:val="center"/>
                </w:tcPr>
                <w:p w14:paraId="41195B00">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712" w:type="dxa"/>
                  <w:noWrap w:val="0"/>
                  <w:vAlign w:val="center"/>
                </w:tcPr>
                <w:p w14:paraId="71C9F4D9">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14:paraId="5534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Merge w:val="continue"/>
                  <w:noWrap w:val="0"/>
                  <w:vAlign w:val="center"/>
                </w:tcPr>
                <w:p w14:paraId="3546D0C1">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305" w:type="dxa"/>
                  <w:noWrap w:val="0"/>
                  <w:vAlign w:val="center"/>
                </w:tcPr>
                <w:p w14:paraId="7BEDF015">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（七）新建、扩建工业园区；</w:t>
                  </w:r>
                </w:p>
              </w:tc>
              <w:tc>
                <w:tcPr>
                  <w:tcW w:w="3380" w:type="dxa"/>
                  <w:noWrap w:val="0"/>
                  <w:vAlign w:val="center"/>
                </w:tcPr>
                <w:p w14:paraId="5E33EAB8">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无此行为。</w:t>
                  </w:r>
                </w:p>
              </w:tc>
              <w:tc>
                <w:tcPr>
                  <w:tcW w:w="712" w:type="dxa"/>
                  <w:noWrap w:val="0"/>
                  <w:vAlign w:val="center"/>
                </w:tcPr>
                <w:p w14:paraId="3A306573">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14:paraId="5B55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Merge w:val="continue"/>
                  <w:noWrap w:val="0"/>
                  <w:vAlign w:val="center"/>
                </w:tcPr>
                <w:p w14:paraId="37110CBF">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305" w:type="dxa"/>
                  <w:noWrap w:val="0"/>
                  <w:vAlign w:val="center"/>
                </w:tcPr>
                <w:p w14:paraId="5199723C">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（八）新建、扩建重点水污染物排放的工业项目；</w:t>
                  </w:r>
                </w:p>
              </w:tc>
              <w:tc>
                <w:tcPr>
                  <w:tcW w:w="3380" w:type="dxa"/>
                  <w:noWrap w:val="0"/>
                  <w:vAlign w:val="center"/>
                </w:tcPr>
                <w:p w14:paraId="2949FD66">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项目不是重点水污染物排放的工业项目。</w:t>
                  </w:r>
                </w:p>
              </w:tc>
              <w:tc>
                <w:tcPr>
                  <w:tcW w:w="712" w:type="dxa"/>
                  <w:noWrap w:val="0"/>
                  <w:vAlign w:val="center"/>
                </w:tcPr>
                <w:p w14:paraId="0D958AAE">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r w14:paraId="1253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 w:type="dxa"/>
                  <w:vMerge w:val="continue"/>
                  <w:noWrap w:val="0"/>
                  <w:vAlign w:val="center"/>
                </w:tcPr>
                <w:p w14:paraId="70219E4E">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p>
              </w:tc>
              <w:tc>
                <w:tcPr>
                  <w:tcW w:w="3305" w:type="dxa"/>
                  <w:noWrap w:val="0"/>
                  <w:vAlign w:val="center"/>
                </w:tcPr>
                <w:p w14:paraId="6DB4BB9E">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（九）新建、改建、扩建经营性陵园、公墓。</w:t>
                  </w:r>
                </w:p>
              </w:tc>
              <w:tc>
                <w:tcPr>
                  <w:tcW w:w="3380" w:type="dxa"/>
                  <w:noWrap w:val="0"/>
                  <w:vAlign w:val="center"/>
                </w:tcPr>
                <w:p w14:paraId="2A467C8F">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与项目无关。</w:t>
                  </w:r>
                </w:p>
              </w:tc>
              <w:tc>
                <w:tcPr>
                  <w:tcW w:w="712" w:type="dxa"/>
                  <w:noWrap w:val="0"/>
                  <w:vAlign w:val="center"/>
                </w:tcPr>
                <w:p w14:paraId="32B7AC36">
                  <w:pPr>
                    <w:pStyle w:val="11"/>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Style w:val="71"/>
                      <w:rFonts w:hint="default" w:ascii="Times New Roman" w:hAnsi="Times New Roman" w:eastAsia="宋体" w:cs="Times New Roman"/>
                      <w:color w:val="auto"/>
                      <w:sz w:val="21"/>
                      <w:szCs w:val="21"/>
                      <w:highlight w:val="none"/>
                    </w:rPr>
                  </w:pPr>
                  <w:r>
                    <w:rPr>
                      <w:rStyle w:val="71"/>
                      <w:rFonts w:hint="default" w:ascii="Times New Roman" w:hAnsi="Times New Roman" w:eastAsia="宋体" w:cs="Times New Roman"/>
                      <w:color w:val="auto"/>
                      <w:sz w:val="21"/>
                      <w:szCs w:val="21"/>
                      <w:highlight w:val="none"/>
                    </w:rPr>
                    <w:t>符合</w:t>
                  </w:r>
                </w:p>
              </w:tc>
            </w:tr>
          </w:tbl>
          <w:p w14:paraId="55E39E22">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1"/>
                <w:rFonts w:hint="default" w:ascii="Times New Roman" w:hAnsi="Times New Roman" w:eastAsia="宋体" w:cs="Times New Roman"/>
                <w:color w:val="auto"/>
                <w:sz w:val="24"/>
                <w:highlight w:val="none"/>
              </w:rPr>
              <w:t>综上所述，本项目生产中不涉及高毒、高残留农药，项目废水</w:t>
            </w:r>
            <w:r>
              <w:rPr>
                <w:rStyle w:val="71"/>
                <w:rFonts w:hint="default" w:ascii="Times New Roman" w:hAnsi="Times New Roman" w:eastAsia="宋体" w:cs="Times New Roman"/>
                <w:color w:val="auto"/>
                <w:sz w:val="24"/>
                <w:highlight w:val="none"/>
                <w:lang w:val="en-US"/>
              </w:rPr>
              <w:t>为间接排放</w:t>
            </w:r>
            <w:r>
              <w:rPr>
                <w:rStyle w:val="71"/>
                <w:rFonts w:hint="default" w:ascii="Times New Roman" w:hAnsi="Times New Roman" w:eastAsia="宋体" w:cs="Times New Roman"/>
                <w:color w:val="auto"/>
                <w:sz w:val="24"/>
                <w:highlight w:val="none"/>
              </w:rPr>
              <w:t>；固废均能得到有效处置，处置率达100%。项目建设和运营期不存在牛栏江</w:t>
            </w:r>
            <w:r>
              <w:rPr>
                <w:rStyle w:val="71"/>
                <w:rFonts w:hint="default" w:ascii="Times New Roman" w:hAnsi="Times New Roman" w:eastAsia="宋体" w:cs="Times New Roman"/>
                <w:color w:val="auto"/>
                <w:sz w:val="24"/>
                <w:highlight w:val="none"/>
                <w:lang w:val="en-US"/>
              </w:rPr>
              <w:t>重点</w:t>
            </w:r>
            <w:r>
              <w:rPr>
                <w:rStyle w:val="71"/>
                <w:rFonts w:hint="default" w:ascii="Times New Roman" w:hAnsi="Times New Roman" w:eastAsia="宋体" w:cs="Times New Roman"/>
                <w:color w:val="auto"/>
                <w:sz w:val="24"/>
                <w:highlight w:val="none"/>
              </w:rPr>
              <w:t>污染控制区禁止的行为，故项目与《云南省牛栏江保护条例》相符。</w:t>
            </w:r>
          </w:p>
          <w:p w14:paraId="002CE2D0">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14:paraId="502D5F24">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14:paraId="65BE1AF4">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本项目位于云南寻甸产业园区羊街片区非烟轻工产</w:t>
            </w:r>
            <w:r>
              <w:rPr>
                <w:rFonts w:hint="eastAsia" w:cs="Times New Roman"/>
                <w:color w:val="auto"/>
                <w:kern w:val="0"/>
                <w:sz w:val="24"/>
                <w:szCs w:val="24"/>
                <w:highlight w:val="none"/>
                <w:lang w:val="en-US" w:eastAsia="zh-CN" w:bidi="ar-SA"/>
              </w:rPr>
              <w:t>业园</w:t>
            </w:r>
            <w:r>
              <w:rPr>
                <w:rFonts w:hint="default" w:ascii="Times New Roman" w:hAnsi="Times New Roman" w:eastAsia="宋体" w:cs="Times New Roman"/>
                <w:color w:val="auto"/>
                <w:kern w:val="0"/>
                <w:sz w:val="24"/>
                <w:szCs w:val="24"/>
                <w:highlight w:val="none"/>
                <w:lang w:val="en-US" w:eastAsia="zh-CN" w:bidi="ar-SA"/>
              </w:rPr>
              <w:t>区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14:paraId="7C23C7D0">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w:t>
            </w:r>
            <w:r>
              <w:rPr>
                <w:rFonts w:hint="default" w:ascii="Times New Roman" w:hAnsi="Times New Roman" w:eastAsia="宋体" w:cs="Times New Roman"/>
                <w:b w:val="0"/>
                <w:bCs w:val="0"/>
                <w:color w:val="auto"/>
                <w:sz w:val="24"/>
                <w:szCs w:val="24"/>
                <w:highlight w:val="none"/>
                <w:lang w:val="en-US" w:eastAsia="zh-CN"/>
              </w:rPr>
              <w:t>食堂含油废水</w:t>
            </w:r>
            <w:r>
              <w:rPr>
                <w:rFonts w:hint="eastAsia" w:cs="Times New Roman"/>
                <w:b w:val="0"/>
                <w:bCs w:val="0"/>
                <w:color w:val="auto"/>
                <w:sz w:val="24"/>
                <w:szCs w:val="24"/>
                <w:highlight w:val="none"/>
                <w:lang w:val="en-US" w:eastAsia="zh-CN"/>
              </w:rPr>
              <w:t>、</w:t>
            </w:r>
            <w:r>
              <w:rPr>
                <w:rFonts w:hint="eastAsia"/>
                <w:color w:val="auto"/>
                <w:sz w:val="24"/>
                <w:szCs w:val="24"/>
              </w:rPr>
              <w:t>脱胶脱磷废水</w:t>
            </w:r>
            <w:r>
              <w:rPr>
                <w:rFonts w:hint="eastAsia"/>
                <w:color w:val="auto"/>
                <w:sz w:val="24"/>
                <w:szCs w:val="24"/>
                <w:lang w:eastAsia="zh-CN"/>
              </w:rPr>
              <w:t>、牛肉腌制废水、</w:t>
            </w:r>
            <w:r>
              <w:rPr>
                <w:rFonts w:hint="eastAsia" w:ascii="Times New Roman" w:hAnsi="Times New Roman" w:eastAsia="宋体" w:cs="Times New Roman"/>
                <w:color w:val="auto"/>
                <w:sz w:val="24"/>
                <w:szCs w:val="24"/>
                <w:lang w:val="en-US" w:eastAsia="zh-CN"/>
              </w:rPr>
              <w:t>车间地面清洗</w:t>
            </w:r>
            <w:r>
              <w:rPr>
                <w:rFonts w:hint="default" w:ascii="Times New Roman" w:hAnsi="Times New Roman" w:eastAsia="宋体" w:cs="Times New Roman"/>
                <w:color w:val="auto"/>
                <w:sz w:val="24"/>
                <w:szCs w:val="24"/>
                <w:lang w:val="en-US" w:eastAsia="zh-CN"/>
              </w:rPr>
              <w:t>废水</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设备清洗废水</w:t>
            </w:r>
            <w:r>
              <w:rPr>
                <w:rFonts w:hint="default" w:ascii="Times New Roman" w:hAnsi="Times New Roman" w:eastAsia="宋体" w:cs="Times New Roman"/>
                <w:b w:val="0"/>
                <w:bCs w:val="0"/>
                <w:color w:val="auto"/>
                <w:sz w:val="24"/>
                <w:szCs w:val="24"/>
                <w:highlight w:val="none"/>
                <w:lang w:val="en-US" w:eastAsia="zh-CN"/>
              </w:rPr>
              <w:t>经隔油池预处理后</w:t>
            </w:r>
            <w:r>
              <w:rPr>
                <w:rFonts w:hint="default" w:ascii="Times New Roman" w:hAnsi="Times New Roman" w:eastAsia="宋体" w:cs="Times New Roman"/>
                <w:color w:val="auto"/>
                <w:kern w:val="0"/>
                <w:sz w:val="24"/>
                <w:szCs w:val="24"/>
                <w:highlight w:val="none"/>
                <w:lang w:val="en-US" w:eastAsia="zh-CN" w:bidi="ar-SA"/>
              </w:rPr>
              <w:t>与其他办公生活污水、生产废水一并进入化粪池、自建污水处理设施处理达</w:t>
            </w:r>
            <w:r>
              <w:rPr>
                <w:rFonts w:hint="default" w:ascii="Times New Roman" w:hAnsi="Times New Roman" w:eastAsia="宋体" w:cs="Times New Roman"/>
                <w:b w:val="0"/>
                <w:bCs w:val="0"/>
                <w:color w:val="auto"/>
                <w:sz w:val="24"/>
                <w:szCs w:val="24"/>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w:t>
            </w:r>
            <w:r>
              <w:rPr>
                <w:rFonts w:hint="default" w:ascii="Times New Roman" w:hAnsi="Times New Roman" w:eastAsia="宋体" w:cs="Times New Roman"/>
                <w:color w:val="auto"/>
                <w:kern w:val="0"/>
                <w:sz w:val="24"/>
                <w:szCs w:val="24"/>
                <w:highlight w:val="none"/>
                <w:lang w:val="en-US" w:eastAsia="zh-CN" w:bidi="ar-SA"/>
              </w:rPr>
              <w:t>经市政污水管网排入寻甸产业园区羊街片区污水处理厂进行处理。项目内拟设置垃圾和危废收集设施，可保证固废合理收集处置，一般生活固废由环卫部门进行处置，危废收集后委托有资质单位处理。项目选址符合《云南省牛栏江保护条例》中的选址要求。</w:t>
            </w:r>
          </w:p>
          <w:p w14:paraId="5058CC5B">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14:paraId="1F2BD8B3">
            <w:pPr>
              <w:autoSpaceDE w:val="0"/>
              <w:autoSpaceDN w:val="0"/>
              <w:adjustRightInd w:val="0"/>
              <w:snapToGrid w:val="0"/>
              <w:spacing w:line="360" w:lineRule="auto"/>
              <w:ind w:firstLine="482" w:firstLineChars="200"/>
              <w:jc w:val="left"/>
              <w:rPr>
                <w:color w:val="auto"/>
                <w:kern w:val="0"/>
                <w:sz w:val="24"/>
              </w:rPr>
            </w:pPr>
            <w:r>
              <w:rPr>
                <w:rFonts w:hint="eastAsia" w:ascii="Times New Roman" w:hAnsi="Times New Roman" w:cs="Times New Roman"/>
                <w:b/>
                <w:bCs w:val="0"/>
                <w:color w:val="auto"/>
                <w:sz w:val="24"/>
                <w:szCs w:val="24"/>
                <w:highlight w:val="none"/>
                <w:lang w:val="en-US" w:eastAsia="zh-CN"/>
              </w:rPr>
              <w:t>5、</w:t>
            </w:r>
            <w:r>
              <w:rPr>
                <w:b/>
                <w:bCs/>
                <w:color w:val="auto"/>
                <w:kern w:val="0"/>
                <w:sz w:val="24"/>
              </w:rPr>
              <w:t>与《牛栏江流域（寻甸段）水环境保护规划（20</w:t>
            </w:r>
            <w:r>
              <w:rPr>
                <w:rFonts w:hint="eastAsia"/>
                <w:b/>
                <w:bCs/>
                <w:color w:val="auto"/>
                <w:kern w:val="0"/>
                <w:sz w:val="24"/>
              </w:rPr>
              <w:t>09</w:t>
            </w:r>
            <w:r>
              <w:rPr>
                <w:b/>
                <w:bCs/>
                <w:color w:val="auto"/>
                <w:kern w:val="0"/>
                <w:sz w:val="24"/>
              </w:rPr>
              <w:t>~2030）》的相符性分析</w:t>
            </w:r>
          </w:p>
          <w:p w14:paraId="0E040CB8">
            <w:pPr>
              <w:autoSpaceDE w:val="0"/>
              <w:autoSpaceDN w:val="0"/>
              <w:adjustRightInd w:val="0"/>
              <w:snapToGrid w:val="0"/>
              <w:spacing w:line="360" w:lineRule="auto"/>
              <w:ind w:firstLine="480" w:firstLineChars="200"/>
              <w:jc w:val="left"/>
              <w:rPr>
                <w:color w:val="auto"/>
                <w:kern w:val="0"/>
                <w:sz w:val="24"/>
              </w:rPr>
            </w:pPr>
            <w:r>
              <w:rPr>
                <w:color w:val="auto"/>
                <w:kern w:val="0"/>
                <w:sz w:val="24"/>
              </w:rPr>
              <w:t>根据《牛栏江流域（寻甸段）水环境保护规划》分区结果，牛栏江流域（寻甸段）共分为三个区进行保护，水源保护核心区、重点污染控制区、重点水源涵养区，各分区范围节点如下：</w:t>
            </w:r>
          </w:p>
          <w:p w14:paraId="71F4D96A">
            <w:pPr>
              <w:autoSpaceDE w:val="0"/>
              <w:autoSpaceDN w:val="0"/>
              <w:adjustRightInd w:val="0"/>
              <w:snapToGrid w:val="0"/>
              <w:spacing w:line="360" w:lineRule="auto"/>
              <w:ind w:firstLine="480" w:firstLineChars="200"/>
              <w:jc w:val="left"/>
              <w:rPr>
                <w:color w:val="auto"/>
                <w:kern w:val="0"/>
                <w:sz w:val="24"/>
              </w:rPr>
            </w:pPr>
            <w:r>
              <w:rPr>
                <w:color w:val="auto"/>
                <w:kern w:val="0"/>
                <w:sz w:val="24"/>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712306F6">
            <w:pPr>
              <w:autoSpaceDE w:val="0"/>
              <w:autoSpaceDN w:val="0"/>
              <w:adjustRightInd w:val="0"/>
              <w:snapToGrid w:val="0"/>
              <w:spacing w:line="360" w:lineRule="auto"/>
              <w:ind w:firstLine="480" w:firstLineChars="200"/>
              <w:jc w:val="left"/>
              <w:rPr>
                <w:color w:val="auto"/>
                <w:kern w:val="0"/>
                <w:sz w:val="24"/>
              </w:rPr>
            </w:pPr>
            <w:r>
              <w:rPr>
                <w:color w:val="auto"/>
                <w:kern w:val="0"/>
                <w:sz w:val="24"/>
              </w:rPr>
              <w:t>②重点污染控制区范围指水体保护核心区外，主要入江支流水域外延3000m的区域和流域范围内的坝区，若区域范围超过一级山脊，按一级山脊线划定。</w:t>
            </w:r>
          </w:p>
          <w:p w14:paraId="0F4DC55F">
            <w:pPr>
              <w:autoSpaceDE w:val="0"/>
              <w:autoSpaceDN w:val="0"/>
              <w:adjustRightInd w:val="0"/>
              <w:snapToGrid w:val="0"/>
              <w:spacing w:line="360" w:lineRule="auto"/>
              <w:ind w:firstLine="480" w:firstLineChars="200"/>
              <w:jc w:val="left"/>
              <w:rPr>
                <w:color w:val="auto"/>
                <w:kern w:val="0"/>
                <w:sz w:val="24"/>
              </w:rPr>
            </w:pPr>
            <w:r>
              <w:rPr>
                <w:color w:val="auto"/>
                <w:kern w:val="0"/>
                <w:sz w:val="24"/>
              </w:rPr>
              <w:t>③重点水源涵养区范围指流域范围内除水源保护核心区、重点污染控制区以外的区域。</w:t>
            </w:r>
          </w:p>
          <w:p w14:paraId="1D98FC4B">
            <w:pPr>
              <w:autoSpaceDE w:val="0"/>
              <w:autoSpaceDN w:val="0"/>
              <w:adjustRightInd w:val="0"/>
              <w:snapToGrid w:val="0"/>
              <w:spacing w:line="360" w:lineRule="auto"/>
              <w:ind w:firstLine="480" w:firstLineChars="200"/>
              <w:jc w:val="left"/>
              <w:rPr>
                <w:color w:val="auto"/>
                <w:kern w:val="0"/>
                <w:sz w:val="24"/>
              </w:rPr>
            </w:pPr>
            <w:r>
              <w:rPr>
                <w:color w:val="auto"/>
                <w:kern w:val="0"/>
                <w:sz w:val="24"/>
              </w:rPr>
              <w:t>本项目位于</w:t>
            </w:r>
            <w:r>
              <w:rPr>
                <w:rFonts w:hint="default" w:ascii="Times New Roman" w:hAnsi="Times New Roman" w:eastAsia="宋体" w:cs="Times New Roman"/>
                <w:color w:val="auto"/>
                <w:kern w:val="0"/>
                <w:sz w:val="24"/>
                <w:szCs w:val="24"/>
                <w:highlight w:val="none"/>
                <w:lang w:val="en-US" w:eastAsia="zh-CN" w:bidi="ar-SA"/>
              </w:rPr>
              <w:t>云南寻甸产业园区羊街片区非烟轻工产</w:t>
            </w:r>
            <w:r>
              <w:rPr>
                <w:rFonts w:hint="eastAsia" w:cs="Times New Roman"/>
                <w:color w:val="auto"/>
                <w:kern w:val="0"/>
                <w:sz w:val="24"/>
                <w:szCs w:val="24"/>
                <w:highlight w:val="none"/>
                <w:lang w:val="en-US" w:eastAsia="zh-CN" w:bidi="ar-SA"/>
              </w:rPr>
              <w:t>业园</w:t>
            </w:r>
            <w:r>
              <w:rPr>
                <w:rFonts w:hint="default" w:ascii="Times New Roman" w:hAnsi="Times New Roman" w:eastAsia="宋体" w:cs="Times New Roman"/>
                <w:color w:val="auto"/>
                <w:kern w:val="0"/>
                <w:sz w:val="24"/>
                <w:szCs w:val="24"/>
                <w:highlight w:val="none"/>
                <w:lang w:val="en-US" w:eastAsia="zh-CN" w:bidi="ar-SA"/>
              </w:rPr>
              <w:t>区内</w:t>
            </w:r>
            <w:r>
              <w:rPr>
                <w:color w:val="auto"/>
                <w:kern w:val="0"/>
                <w:sz w:val="24"/>
              </w:rPr>
              <w:t>，属重点污染控制区。对照《牛栏江（寻甸段）水环境保护规划（20</w:t>
            </w:r>
            <w:r>
              <w:rPr>
                <w:rFonts w:hint="eastAsia"/>
                <w:color w:val="auto"/>
                <w:kern w:val="0"/>
                <w:sz w:val="24"/>
                <w:lang w:val="en-US" w:eastAsia="zh-CN"/>
              </w:rPr>
              <w:t>09</w:t>
            </w:r>
            <w:r>
              <w:rPr>
                <w:color w:val="auto"/>
                <w:kern w:val="0"/>
                <w:sz w:val="24"/>
              </w:rPr>
              <w:t>~2030）》对重点污染控制区的水环境保护策略，项目符合性分析见表1-</w:t>
            </w:r>
            <w:r>
              <w:rPr>
                <w:rFonts w:hint="eastAsia"/>
                <w:color w:val="auto"/>
                <w:kern w:val="0"/>
                <w:sz w:val="24"/>
                <w:lang w:val="en-US" w:eastAsia="zh-CN"/>
              </w:rPr>
              <w:t>7</w:t>
            </w:r>
            <w:r>
              <w:rPr>
                <w:color w:val="auto"/>
                <w:kern w:val="0"/>
                <w:sz w:val="24"/>
              </w:rPr>
              <w:t>。</w:t>
            </w:r>
          </w:p>
          <w:p w14:paraId="0A8F40AB">
            <w:pPr>
              <w:autoSpaceDE w:val="0"/>
              <w:autoSpaceDN w:val="0"/>
              <w:adjustRightInd w:val="0"/>
              <w:snapToGrid w:val="0"/>
              <w:jc w:val="center"/>
              <w:rPr>
                <w:b/>
                <w:bCs/>
                <w:color w:val="auto"/>
                <w:kern w:val="0"/>
                <w:szCs w:val="21"/>
              </w:rPr>
            </w:pPr>
            <w:r>
              <w:rPr>
                <w:b/>
                <w:bCs/>
                <w:color w:val="auto"/>
                <w:kern w:val="0"/>
                <w:szCs w:val="21"/>
              </w:rPr>
              <w:t>表1-</w:t>
            </w:r>
            <w:r>
              <w:rPr>
                <w:rFonts w:hint="eastAsia"/>
                <w:b/>
                <w:bCs/>
                <w:color w:val="auto"/>
                <w:kern w:val="0"/>
                <w:szCs w:val="21"/>
                <w:lang w:val="en-US" w:eastAsia="zh-CN"/>
              </w:rPr>
              <w:t>7</w:t>
            </w:r>
            <w:r>
              <w:rPr>
                <w:b/>
                <w:bCs/>
                <w:color w:val="auto"/>
                <w:kern w:val="0"/>
                <w:szCs w:val="21"/>
              </w:rPr>
              <w:t xml:space="preserve">  对照分析符合表</w:t>
            </w:r>
          </w:p>
          <w:tbl>
            <w:tblPr>
              <w:tblStyle w:val="26"/>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3252"/>
              <w:gridCol w:w="4100"/>
              <w:gridCol w:w="463"/>
            </w:tblGrid>
            <w:tr w14:paraId="77FB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44" w:type="dxa"/>
                  <w:vAlign w:val="center"/>
                </w:tcPr>
                <w:p w14:paraId="54AE3502">
                  <w:pPr>
                    <w:autoSpaceDE w:val="0"/>
                    <w:autoSpaceDN w:val="0"/>
                    <w:adjustRightInd w:val="0"/>
                    <w:snapToGrid w:val="0"/>
                    <w:jc w:val="center"/>
                    <w:rPr>
                      <w:color w:val="auto"/>
                      <w:kern w:val="0"/>
                      <w:szCs w:val="21"/>
                    </w:rPr>
                  </w:pPr>
                  <w:r>
                    <w:rPr>
                      <w:color w:val="auto"/>
                      <w:kern w:val="0"/>
                      <w:szCs w:val="21"/>
                    </w:rPr>
                    <w:t>序号</w:t>
                  </w:r>
                </w:p>
              </w:tc>
              <w:tc>
                <w:tcPr>
                  <w:tcW w:w="3252" w:type="dxa"/>
                  <w:vAlign w:val="center"/>
                </w:tcPr>
                <w:p w14:paraId="65D128F5">
                  <w:pPr>
                    <w:autoSpaceDE w:val="0"/>
                    <w:autoSpaceDN w:val="0"/>
                    <w:adjustRightInd w:val="0"/>
                    <w:snapToGrid w:val="0"/>
                    <w:jc w:val="center"/>
                    <w:rPr>
                      <w:color w:val="auto"/>
                      <w:kern w:val="0"/>
                      <w:szCs w:val="21"/>
                    </w:rPr>
                  </w:pPr>
                  <w:r>
                    <w:rPr>
                      <w:color w:val="auto"/>
                      <w:kern w:val="0"/>
                      <w:szCs w:val="21"/>
                    </w:rPr>
                    <w:t>《牛栏江流域（寻甸段）水环境保护规划》水环境保护策略</w:t>
                  </w:r>
                </w:p>
              </w:tc>
              <w:tc>
                <w:tcPr>
                  <w:tcW w:w="4100" w:type="dxa"/>
                  <w:vAlign w:val="center"/>
                </w:tcPr>
                <w:p w14:paraId="7698B942">
                  <w:pPr>
                    <w:autoSpaceDE w:val="0"/>
                    <w:autoSpaceDN w:val="0"/>
                    <w:adjustRightInd w:val="0"/>
                    <w:snapToGrid w:val="0"/>
                    <w:jc w:val="center"/>
                    <w:rPr>
                      <w:color w:val="auto"/>
                      <w:kern w:val="0"/>
                      <w:szCs w:val="21"/>
                    </w:rPr>
                  </w:pPr>
                  <w:r>
                    <w:rPr>
                      <w:color w:val="auto"/>
                      <w:kern w:val="0"/>
                      <w:szCs w:val="21"/>
                    </w:rPr>
                    <w:t>该项目情况</w:t>
                  </w:r>
                </w:p>
              </w:tc>
              <w:tc>
                <w:tcPr>
                  <w:tcW w:w="463" w:type="dxa"/>
                  <w:vAlign w:val="center"/>
                </w:tcPr>
                <w:p w14:paraId="403B37A1">
                  <w:pPr>
                    <w:autoSpaceDE w:val="0"/>
                    <w:autoSpaceDN w:val="0"/>
                    <w:adjustRightInd w:val="0"/>
                    <w:snapToGrid w:val="0"/>
                    <w:jc w:val="center"/>
                    <w:rPr>
                      <w:color w:val="auto"/>
                      <w:kern w:val="0"/>
                      <w:szCs w:val="21"/>
                    </w:rPr>
                  </w:pPr>
                  <w:r>
                    <w:rPr>
                      <w:color w:val="auto"/>
                      <w:kern w:val="0"/>
                      <w:szCs w:val="21"/>
                    </w:rPr>
                    <w:t>相符性</w:t>
                  </w:r>
                </w:p>
              </w:tc>
            </w:tr>
            <w:tr w14:paraId="2B81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44" w:type="dxa"/>
                  <w:vAlign w:val="center"/>
                </w:tcPr>
                <w:p w14:paraId="4953F070">
                  <w:pPr>
                    <w:autoSpaceDE w:val="0"/>
                    <w:autoSpaceDN w:val="0"/>
                    <w:adjustRightInd w:val="0"/>
                    <w:snapToGrid w:val="0"/>
                    <w:jc w:val="center"/>
                    <w:rPr>
                      <w:color w:val="auto"/>
                      <w:kern w:val="0"/>
                      <w:szCs w:val="21"/>
                    </w:rPr>
                  </w:pPr>
                  <w:r>
                    <w:rPr>
                      <w:color w:val="auto"/>
                      <w:kern w:val="0"/>
                      <w:szCs w:val="21"/>
                    </w:rPr>
                    <w:t>1</w:t>
                  </w:r>
                </w:p>
              </w:tc>
              <w:tc>
                <w:tcPr>
                  <w:tcW w:w="3252" w:type="dxa"/>
                  <w:vAlign w:val="center"/>
                </w:tcPr>
                <w:p w14:paraId="674B85E4">
                  <w:pPr>
                    <w:autoSpaceDE w:val="0"/>
                    <w:autoSpaceDN w:val="0"/>
                    <w:adjustRightInd w:val="0"/>
                    <w:snapToGrid w:val="0"/>
                    <w:jc w:val="center"/>
                    <w:rPr>
                      <w:color w:val="auto"/>
                      <w:kern w:val="0"/>
                      <w:szCs w:val="21"/>
                    </w:rPr>
                  </w:pPr>
                  <w:r>
                    <w:rPr>
                      <w:color w:val="auto"/>
                      <w:kern w:val="0"/>
                      <w:szCs w:val="21"/>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4100" w:type="dxa"/>
                  <w:vAlign w:val="center"/>
                </w:tcPr>
                <w:p w14:paraId="600A5298">
                  <w:pPr>
                    <w:autoSpaceDE w:val="0"/>
                    <w:autoSpaceDN w:val="0"/>
                    <w:adjustRightInd w:val="0"/>
                    <w:snapToGrid w:val="0"/>
                    <w:rPr>
                      <w:color w:val="auto"/>
                      <w:kern w:val="0"/>
                      <w:szCs w:val="21"/>
                    </w:rPr>
                  </w:pPr>
                  <w:r>
                    <w:rPr>
                      <w:color w:val="auto"/>
                      <w:kern w:val="0"/>
                      <w:szCs w:val="21"/>
                    </w:rPr>
                    <w:t>项目</w:t>
                  </w:r>
                  <w:r>
                    <w:rPr>
                      <w:rFonts w:hint="default" w:ascii="Times New Roman" w:hAnsi="Times New Roman" w:eastAsia="宋体" w:cs="Times New Roman"/>
                      <w:b w:val="0"/>
                      <w:bCs w:val="0"/>
                      <w:color w:val="auto"/>
                      <w:sz w:val="21"/>
                      <w:szCs w:val="21"/>
                      <w:highlight w:val="none"/>
                      <w:lang w:val="en-US" w:eastAsia="zh-CN"/>
                    </w:rPr>
                    <w:t>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color w:val="auto"/>
                      <w:kern w:val="0"/>
                      <w:szCs w:val="21"/>
                    </w:rPr>
                    <w:t>。</w:t>
                  </w:r>
                </w:p>
              </w:tc>
              <w:tc>
                <w:tcPr>
                  <w:tcW w:w="463" w:type="dxa"/>
                  <w:vAlign w:val="center"/>
                </w:tcPr>
                <w:p w14:paraId="76D0844D">
                  <w:pPr>
                    <w:autoSpaceDE w:val="0"/>
                    <w:autoSpaceDN w:val="0"/>
                    <w:adjustRightInd w:val="0"/>
                    <w:snapToGrid w:val="0"/>
                    <w:jc w:val="center"/>
                    <w:rPr>
                      <w:color w:val="auto"/>
                      <w:kern w:val="0"/>
                      <w:szCs w:val="21"/>
                    </w:rPr>
                  </w:pPr>
                  <w:r>
                    <w:rPr>
                      <w:color w:val="auto"/>
                      <w:kern w:val="0"/>
                      <w:szCs w:val="21"/>
                    </w:rPr>
                    <w:t>符合</w:t>
                  </w:r>
                </w:p>
              </w:tc>
            </w:tr>
            <w:tr w14:paraId="1CE4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4" w:type="dxa"/>
                  <w:vAlign w:val="center"/>
                </w:tcPr>
                <w:p w14:paraId="5DBE738D">
                  <w:pPr>
                    <w:autoSpaceDE w:val="0"/>
                    <w:autoSpaceDN w:val="0"/>
                    <w:adjustRightInd w:val="0"/>
                    <w:snapToGrid w:val="0"/>
                    <w:jc w:val="center"/>
                    <w:rPr>
                      <w:color w:val="auto"/>
                      <w:kern w:val="0"/>
                      <w:szCs w:val="21"/>
                    </w:rPr>
                  </w:pPr>
                  <w:r>
                    <w:rPr>
                      <w:color w:val="auto"/>
                      <w:kern w:val="0"/>
                      <w:szCs w:val="21"/>
                    </w:rPr>
                    <w:t>2</w:t>
                  </w:r>
                </w:p>
              </w:tc>
              <w:tc>
                <w:tcPr>
                  <w:tcW w:w="3252" w:type="dxa"/>
                  <w:vAlign w:val="center"/>
                </w:tcPr>
                <w:p w14:paraId="427F8971">
                  <w:pPr>
                    <w:autoSpaceDE w:val="0"/>
                    <w:autoSpaceDN w:val="0"/>
                    <w:adjustRightInd w:val="0"/>
                    <w:snapToGrid w:val="0"/>
                    <w:jc w:val="center"/>
                    <w:rPr>
                      <w:color w:val="auto"/>
                      <w:kern w:val="0"/>
                      <w:szCs w:val="21"/>
                    </w:rPr>
                  </w:pPr>
                  <w:r>
                    <w:rPr>
                      <w:color w:val="auto"/>
                      <w:kern w:val="0"/>
                      <w:szCs w:val="21"/>
                    </w:rPr>
                    <w:t>建设再生水回用系统，不得建设不符合国家产业政策的工业项目及高污染工业项目；新建工业项目废水不得排放有毒有害物质，改扩建项目不得新增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4100" w:type="dxa"/>
                  <w:vAlign w:val="center"/>
                </w:tcPr>
                <w:p w14:paraId="2ACFED89">
                  <w:pPr>
                    <w:autoSpaceDE w:val="0"/>
                    <w:autoSpaceDN w:val="0"/>
                    <w:adjustRightInd w:val="0"/>
                    <w:snapToGrid w:val="0"/>
                    <w:jc w:val="center"/>
                    <w:rPr>
                      <w:color w:val="auto"/>
                      <w:kern w:val="0"/>
                      <w:szCs w:val="21"/>
                    </w:rPr>
                  </w:pPr>
                  <w:r>
                    <w:rPr>
                      <w:color w:val="auto"/>
                      <w:kern w:val="0"/>
                      <w:szCs w:val="21"/>
                    </w:rPr>
                    <w:t>项目不属于高污染工业项目，项目</w:t>
                  </w:r>
                  <w:r>
                    <w:rPr>
                      <w:rFonts w:hint="default" w:ascii="Times New Roman" w:hAnsi="Times New Roman" w:eastAsia="宋体" w:cs="Times New Roman"/>
                      <w:b w:val="0"/>
                      <w:bCs w:val="0"/>
                      <w:color w:val="auto"/>
                      <w:sz w:val="21"/>
                      <w:szCs w:val="21"/>
                      <w:highlight w:val="none"/>
                      <w:lang w:val="en-US" w:eastAsia="zh-CN"/>
                    </w:rPr>
                    <w:t>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r>
                    <w:rPr>
                      <w:color w:val="auto"/>
                      <w:kern w:val="0"/>
                      <w:szCs w:val="21"/>
                    </w:rPr>
                    <w:t>。不会排放有毒有害物质。</w:t>
                  </w:r>
                </w:p>
              </w:tc>
              <w:tc>
                <w:tcPr>
                  <w:tcW w:w="463" w:type="dxa"/>
                  <w:vAlign w:val="center"/>
                </w:tcPr>
                <w:p w14:paraId="0AFB53B0">
                  <w:pPr>
                    <w:autoSpaceDE w:val="0"/>
                    <w:autoSpaceDN w:val="0"/>
                    <w:adjustRightInd w:val="0"/>
                    <w:snapToGrid w:val="0"/>
                    <w:jc w:val="center"/>
                    <w:rPr>
                      <w:color w:val="auto"/>
                      <w:kern w:val="0"/>
                      <w:szCs w:val="21"/>
                    </w:rPr>
                  </w:pPr>
                  <w:r>
                    <w:rPr>
                      <w:color w:val="auto"/>
                      <w:kern w:val="0"/>
                      <w:szCs w:val="21"/>
                    </w:rPr>
                    <w:t>符合</w:t>
                  </w:r>
                </w:p>
              </w:tc>
            </w:tr>
          </w:tbl>
          <w:p w14:paraId="0559D0CF">
            <w:pPr>
              <w:pStyle w:val="39"/>
              <w:rPr>
                <w:rFonts w:hint="default" w:ascii="Times New Roman" w:hAnsi="Times New Roman" w:cs="Times New Roman"/>
                <w:b/>
                <w:bCs w:val="0"/>
                <w:color w:val="auto"/>
                <w:sz w:val="24"/>
                <w:szCs w:val="24"/>
                <w:highlight w:val="none"/>
                <w:lang w:val="en-US" w:eastAsia="zh-CN"/>
              </w:rPr>
            </w:pPr>
            <w:r>
              <w:rPr>
                <w:rFonts w:hint="eastAsia" w:ascii="宋体" w:hAnsi="宋体" w:cs="宋体"/>
                <w:color w:val="auto"/>
                <w:sz w:val="24"/>
              </w:rPr>
              <w:t>由上表可知，项目不违反《牛栏江流域（寻甸段）水环境保护规划》对</w:t>
            </w:r>
            <w:r>
              <w:rPr>
                <w:color w:val="auto"/>
                <w:kern w:val="0"/>
                <w:sz w:val="24"/>
              </w:rPr>
              <w:t>重点污染控制区</w:t>
            </w:r>
            <w:r>
              <w:rPr>
                <w:rFonts w:hint="eastAsia" w:ascii="宋体" w:hAnsi="宋体" w:cs="宋体"/>
                <w:color w:val="auto"/>
                <w:sz w:val="24"/>
              </w:rPr>
              <w:t>的相关要求。项目的建设与《牛栏江流域（寻甸段）水环境保护规划》相符。</w:t>
            </w:r>
          </w:p>
          <w:p w14:paraId="202E2932">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、《长江经济带发展负面清单指南》（试行，2022年版）的通知》的符合性分析</w:t>
            </w:r>
          </w:p>
          <w:p w14:paraId="49608E18">
            <w:pP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w:t>
            </w:r>
          </w:p>
          <w:p w14:paraId="657B20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eastAsia" w:cs="Times New Roman"/>
                <w:b/>
                <w:color w:val="auto"/>
                <w:szCs w:val="21"/>
                <w:highlight w:val="none"/>
                <w:lang w:val="en-US" w:eastAsia="zh-CN"/>
              </w:rPr>
              <w:t>8</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6"/>
              <w:tblW w:w="8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7"/>
              <w:gridCol w:w="2680"/>
              <w:gridCol w:w="930"/>
            </w:tblGrid>
            <w:tr w14:paraId="6E01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647" w:type="dxa"/>
                  <w:noWrap w:val="0"/>
                  <w:vAlign w:val="center"/>
                </w:tcPr>
                <w:p w14:paraId="77CD5CB4">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2680" w:type="dxa"/>
                  <w:noWrap w:val="0"/>
                  <w:vAlign w:val="center"/>
                </w:tcPr>
                <w:p w14:paraId="68AF005D">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930" w:type="dxa"/>
                  <w:noWrap w:val="0"/>
                  <w:vAlign w:val="center"/>
                </w:tcPr>
                <w:p w14:paraId="122656C1">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14:paraId="6413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4647" w:type="dxa"/>
                  <w:noWrap w:val="0"/>
                  <w:vAlign w:val="center"/>
                </w:tcPr>
                <w:p w14:paraId="1890881F">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w:t>
                  </w:r>
                  <w:r>
                    <w:rPr>
                      <w:rFonts w:hint="eastAsia" w:cs="Times New Roman"/>
                      <w:color w:val="auto"/>
                      <w:sz w:val="21"/>
                      <w:szCs w:val="21"/>
                      <w:highlight w:val="none"/>
                      <w:lang w:val="zh-CN"/>
                    </w:rPr>
                    <w:t>总体规划</w:t>
                  </w:r>
                  <w:r>
                    <w:rPr>
                      <w:rFonts w:hint="default" w:ascii="Times New Roman" w:hAnsi="Times New Roman" w:eastAsia="宋体" w:cs="Times New Roman"/>
                      <w:color w:val="auto"/>
                      <w:sz w:val="21"/>
                      <w:szCs w:val="21"/>
                      <w:highlight w:val="none"/>
                      <w:lang w:val="zh-CN"/>
                    </w:rPr>
                    <w:t>的码头项目，禁止建设不符合《长江</w:t>
                  </w:r>
                  <w:r>
                    <w:rPr>
                      <w:rFonts w:hint="eastAsia" w:cs="Times New Roman"/>
                      <w:color w:val="auto"/>
                      <w:sz w:val="21"/>
                      <w:szCs w:val="21"/>
                      <w:highlight w:val="none"/>
                      <w:lang w:val="zh-CN"/>
                    </w:rPr>
                    <w:t>干线</w:t>
                  </w:r>
                  <w:r>
                    <w:rPr>
                      <w:rFonts w:hint="default" w:ascii="Times New Roman" w:hAnsi="Times New Roman" w:eastAsia="宋体" w:cs="Times New Roman"/>
                      <w:color w:val="auto"/>
                      <w:sz w:val="21"/>
                      <w:szCs w:val="21"/>
                      <w:highlight w:val="none"/>
                      <w:lang w:val="zh-CN"/>
                    </w:rPr>
                    <w:t>过江通道布局规划》的过长江通道项目。</w:t>
                  </w:r>
                </w:p>
              </w:tc>
              <w:tc>
                <w:tcPr>
                  <w:tcW w:w="2680" w:type="dxa"/>
                  <w:noWrap w:val="0"/>
                  <w:vAlign w:val="center"/>
                </w:tcPr>
                <w:p w14:paraId="03402C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sz w:val="21"/>
                      <w:szCs w:val="21"/>
                      <w:highlight w:val="none"/>
                    </w:rPr>
                    <w:t>，不属于码头或过长江通道项目。</w:t>
                  </w:r>
                </w:p>
              </w:tc>
              <w:tc>
                <w:tcPr>
                  <w:tcW w:w="930" w:type="dxa"/>
                  <w:noWrap w:val="0"/>
                  <w:vAlign w:val="center"/>
                </w:tcPr>
                <w:p w14:paraId="577C5FF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77E5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647" w:type="dxa"/>
                  <w:noWrap w:val="0"/>
                  <w:vAlign w:val="center"/>
                </w:tcPr>
                <w:p w14:paraId="53510EE7">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2680" w:type="dxa"/>
                  <w:noWrap w:val="0"/>
                  <w:vAlign w:val="center"/>
                </w:tcPr>
                <w:p w14:paraId="6F5BFAA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930" w:type="dxa"/>
                  <w:noWrap w:val="0"/>
                  <w:vAlign w:val="center"/>
                </w:tcPr>
                <w:p w14:paraId="1090604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6F67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647" w:type="dxa"/>
                  <w:noWrap w:val="0"/>
                  <w:vAlign w:val="center"/>
                </w:tcPr>
                <w:p w14:paraId="141C2767">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680" w:type="dxa"/>
                  <w:noWrap w:val="0"/>
                  <w:vAlign w:val="center"/>
                </w:tcPr>
                <w:p w14:paraId="4861165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930" w:type="dxa"/>
                  <w:noWrap w:val="0"/>
                  <w:vAlign w:val="center"/>
                </w:tcPr>
                <w:p w14:paraId="2646805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0848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4647" w:type="dxa"/>
                  <w:noWrap w:val="0"/>
                  <w:vAlign w:val="center"/>
                </w:tcPr>
                <w:p w14:paraId="1F75A44C">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680" w:type="dxa"/>
                  <w:noWrap w:val="0"/>
                  <w:vAlign w:val="center"/>
                </w:tcPr>
                <w:p w14:paraId="358BF557">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930" w:type="dxa"/>
                  <w:noWrap w:val="0"/>
                  <w:vAlign w:val="center"/>
                </w:tcPr>
                <w:p w14:paraId="375CED2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1BBB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4647" w:type="dxa"/>
                  <w:noWrap w:val="0"/>
                  <w:vAlign w:val="center"/>
                </w:tcPr>
                <w:p w14:paraId="15405642">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680" w:type="dxa"/>
                  <w:noWrap w:val="0"/>
                  <w:vAlign w:val="center"/>
                </w:tcPr>
                <w:p w14:paraId="1D4CE33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930" w:type="dxa"/>
                  <w:noWrap w:val="0"/>
                  <w:vAlign w:val="center"/>
                </w:tcPr>
                <w:p w14:paraId="5C1B7E4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4F58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7" w:type="dxa"/>
                  <w:noWrap w:val="0"/>
                  <w:vAlign w:val="center"/>
                </w:tcPr>
                <w:p w14:paraId="7F2DB9DB">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2680" w:type="dxa"/>
                  <w:noWrap w:val="0"/>
                  <w:vAlign w:val="center"/>
                </w:tcPr>
                <w:p w14:paraId="3E3A4D2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w:t>
                  </w:r>
                  <w:r>
                    <w:rPr>
                      <w:rFonts w:hint="default" w:ascii="Times New Roman" w:hAnsi="Times New Roman" w:eastAsia="宋体" w:cs="Times New Roman"/>
                      <w:color w:val="auto"/>
                      <w:szCs w:val="21"/>
                      <w:highlight w:val="none"/>
                      <w:lang w:val="en-US" w:eastAsia="zh-CN"/>
                    </w:rPr>
                    <w:t>为间接排放</w:t>
                  </w:r>
                  <w:r>
                    <w:rPr>
                      <w:rFonts w:hint="default" w:ascii="Times New Roman" w:hAnsi="Times New Roman" w:eastAsia="宋体" w:cs="Times New Roman"/>
                      <w:color w:val="auto"/>
                      <w:szCs w:val="21"/>
                      <w:highlight w:val="none"/>
                    </w:rPr>
                    <w:t>。</w:t>
                  </w:r>
                </w:p>
              </w:tc>
              <w:tc>
                <w:tcPr>
                  <w:tcW w:w="930" w:type="dxa"/>
                  <w:noWrap w:val="0"/>
                  <w:vAlign w:val="center"/>
                </w:tcPr>
                <w:p w14:paraId="08A5362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2D0A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7" w:type="dxa"/>
                  <w:noWrap w:val="0"/>
                  <w:vAlign w:val="center"/>
                </w:tcPr>
                <w:p w14:paraId="4C068465">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2680" w:type="dxa"/>
                  <w:noWrap w:val="0"/>
                  <w:vAlign w:val="center"/>
                </w:tcPr>
                <w:p w14:paraId="0E4B200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930" w:type="dxa"/>
                  <w:noWrap w:val="0"/>
                  <w:vAlign w:val="center"/>
                </w:tcPr>
                <w:p w14:paraId="7D7A1EE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1DDF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647" w:type="dxa"/>
                  <w:noWrap w:val="0"/>
                  <w:vAlign w:val="center"/>
                </w:tcPr>
                <w:p w14:paraId="194B5A8A">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680" w:type="dxa"/>
                  <w:noWrap w:val="0"/>
                  <w:vAlign w:val="center"/>
                </w:tcPr>
                <w:p w14:paraId="7D59F8A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云南寻甸产业园区羊街片区非烟轻工产业区内</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930" w:type="dxa"/>
                  <w:noWrap w:val="0"/>
                  <w:vAlign w:val="center"/>
                </w:tcPr>
                <w:p w14:paraId="57EFC0A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53AE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647" w:type="dxa"/>
                  <w:noWrap w:val="0"/>
                  <w:vAlign w:val="center"/>
                </w:tcPr>
                <w:p w14:paraId="5D77D322">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2680" w:type="dxa"/>
                  <w:noWrap w:val="0"/>
                  <w:vAlign w:val="center"/>
                </w:tcPr>
                <w:p w14:paraId="509164E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930" w:type="dxa"/>
                  <w:noWrap w:val="0"/>
                  <w:vAlign w:val="center"/>
                </w:tcPr>
                <w:p w14:paraId="55949DD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14:paraId="748A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4647" w:type="dxa"/>
                  <w:noWrap w:val="0"/>
                  <w:vAlign w:val="center"/>
                </w:tcPr>
                <w:p w14:paraId="3FC50679">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2680" w:type="dxa"/>
                  <w:noWrap w:val="0"/>
                  <w:vAlign w:val="center"/>
                </w:tcPr>
                <w:p w14:paraId="04FDC19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930" w:type="dxa"/>
                  <w:noWrap w:val="0"/>
                  <w:vAlign w:val="center"/>
                </w:tcPr>
                <w:p w14:paraId="36BBEFA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14:paraId="3FCFFDB9">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0" w:firstLineChars="200"/>
              <w:jc w:val="both"/>
              <w:textAlignment w:val="auto"/>
              <w:outlineLvl w:val="2"/>
              <w:rPr>
                <w:rFonts w:hint="default" w:ascii="Times New Roman" w:hAnsi="Times New Roman" w:eastAsia="宋体" w:cs="Times New Roman"/>
                <w:b w:val="0"/>
                <w:bCs w:val="0"/>
                <w:color w:val="auto"/>
                <w:kern w:val="0"/>
                <w:sz w:val="24"/>
                <w:szCs w:val="24"/>
                <w:highlight w:val="none"/>
                <w:lang w:val="en-US" w:eastAsia="zh-CN"/>
              </w:rPr>
            </w:pPr>
            <w:bookmarkStart w:id="11" w:name="_Toc15006"/>
            <w:r>
              <w:rPr>
                <w:rFonts w:hint="default" w:ascii="Times New Roman" w:hAnsi="Times New Roman" w:eastAsia="宋体" w:cs="Times New Roman"/>
                <w:b w:val="0"/>
                <w:bCs w:val="0"/>
                <w:color w:val="auto"/>
                <w:kern w:val="0"/>
                <w:sz w:val="24"/>
                <w:szCs w:val="24"/>
                <w:highlight w:val="none"/>
                <w:lang w:val="en-US" w:eastAsia="zh-CN"/>
              </w:rPr>
              <w:t>综上，本项目的建设与</w:t>
            </w:r>
            <w:r>
              <w:rPr>
                <w:rFonts w:hint="default" w:ascii="Times New Roman" w:hAnsi="Times New Roman" w:eastAsia="宋体" w:cs="Times New Roman"/>
                <w:b w:val="0"/>
                <w:bCs w:val="0"/>
                <w:color w:val="auto"/>
                <w:sz w:val="24"/>
                <w:szCs w:val="24"/>
                <w:highlight w:val="none"/>
                <w:lang w:val="en-US" w:eastAsia="zh-CN"/>
              </w:rPr>
              <w:t>《长江经济带发展负面清单指南》（试行，2022年版）的通知》相符。</w:t>
            </w:r>
          </w:p>
          <w:p w14:paraId="71DA2D62">
            <w:pPr>
              <w:keepNext w:val="0"/>
              <w:keepLines w:val="0"/>
              <w:pageBreakBefore w:val="0"/>
              <w:widowControl w:val="0"/>
              <w:numPr>
                <w:ilvl w:val="0"/>
                <w:numId w:val="0"/>
              </w:numP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sz w:val="21"/>
                <w:szCs w:val="21"/>
                <w:highlight w:val="none"/>
              </w:rPr>
            </w:pPr>
            <w:r>
              <w:rPr>
                <w:rFonts w:hint="eastAsia"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lang w:val="en-US" w:eastAsia="zh-CN"/>
              </w:rPr>
              <w:t>、与《云南省长江经济带发展负面清单指南实施细则（试行，2022年版）》的符合性分析</w:t>
            </w:r>
            <w:bookmarkEnd w:id="11"/>
          </w:p>
          <w:p w14:paraId="5CADF127">
            <w:pPr>
              <w:keepNext w:val="0"/>
              <w:keepLines w:val="0"/>
              <w:pageBreakBefore w:val="0"/>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《云南省长江经济带发展负面清单指南实施细则（试行</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2022年版</w:t>
            </w:r>
            <w:r>
              <w:rPr>
                <w:rFonts w:hint="default" w:ascii="Times New Roman" w:hAnsi="Times New Roman" w:eastAsia="宋体" w:cs="Times New Roman"/>
                <w:b/>
                <w:bCs/>
                <w:color w:val="auto"/>
                <w:sz w:val="21"/>
                <w:szCs w:val="21"/>
                <w:highlight w:val="none"/>
              </w:rPr>
              <w:t>）》符合性分析</w:t>
            </w:r>
          </w:p>
          <w:tbl>
            <w:tblPr>
              <w:tblStyle w:val="26"/>
              <w:tblW w:w="82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06"/>
              <w:gridCol w:w="2367"/>
              <w:gridCol w:w="683"/>
            </w:tblGrid>
            <w:tr w14:paraId="7410E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15BFD53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shd w:val="clear" w:color="auto" w:fill="FFFFFF"/>
                    </w:rPr>
                    <w:t>规范要求</w:t>
                  </w:r>
                </w:p>
              </w:tc>
              <w:tc>
                <w:tcPr>
                  <w:tcW w:w="2367" w:type="dxa"/>
                  <w:noWrap w:val="0"/>
                  <w:vAlign w:val="center"/>
                </w:tcPr>
                <w:p w14:paraId="6915B90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rPr>
                    <w:t>项目实际情况</w:t>
                  </w:r>
                </w:p>
              </w:tc>
              <w:tc>
                <w:tcPr>
                  <w:tcW w:w="683" w:type="dxa"/>
                  <w:noWrap w:val="0"/>
                  <w:vAlign w:val="center"/>
                </w:tcPr>
                <w:p w14:paraId="4A922A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rPr>
                    <w:t>相符性</w:t>
                  </w:r>
                </w:p>
              </w:tc>
            </w:tr>
            <w:tr w14:paraId="3F907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44D0DEC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禁止新建、改建和扩建不符合《全国内河航道与港</w:t>
                  </w:r>
                </w:p>
                <w:p w14:paraId="00EED24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2367" w:type="dxa"/>
                  <w:noWrap w:val="0"/>
                  <w:vAlign w:val="center"/>
                </w:tcPr>
                <w:p w14:paraId="25C34D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不属于港口布局规划以及港口总体规划的码头项目。</w:t>
                  </w:r>
                </w:p>
              </w:tc>
              <w:tc>
                <w:tcPr>
                  <w:tcW w:w="683" w:type="dxa"/>
                  <w:noWrap w:val="0"/>
                  <w:vAlign w:val="center"/>
                </w:tcPr>
                <w:p w14:paraId="4BED9FC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7886C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50486EA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禁止在自然保护区核心区、缓冲区的岸线和河段范</w:t>
                  </w:r>
                </w:p>
                <w:p w14:paraId="6643A6D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367" w:type="dxa"/>
                  <w:noWrap w:val="0"/>
                  <w:vAlign w:val="center"/>
                </w:tcPr>
                <w:p w14:paraId="7B93132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w:t>
                  </w:r>
                  <w:r>
                    <w:rPr>
                      <w:rFonts w:hint="default" w:ascii="Times New Roman" w:hAnsi="Times New Roman" w:eastAsia="宋体" w:cs="Times New Roman"/>
                      <w:color w:val="auto"/>
                      <w:sz w:val="21"/>
                      <w:szCs w:val="21"/>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shd w:val="clear" w:color="auto" w:fill="FFFFFF"/>
                      <w:lang w:eastAsia="zh-CN"/>
                    </w:rPr>
                    <w:t>。本项目不属于旅游项目，不</w:t>
                  </w:r>
                  <w:r>
                    <w:rPr>
                      <w:rFonts w:hint="default" w:ascii="Times New Roman" w:hAnsi="Times New Roman" w:eastAsia="宋体" w:cs="Times New Roman"/>
                      <w:color w:val="auto"/>
                      <w:sz w:val="21"/>
                      <w:szCs w:val="21"/>
                      <w:shd w:val="clear" w:color="auto" w:fill="FFFFFF"/>
                    </w:rPr>
                    <w:t>进行开矿、采石、挖沙等活动</w:t>
                  </w:r>
                  <w:r>
                    <w:rPr>
                      <w:rFonts w:hint="default" w:ascii="Times New Roman" w:hAnsi="Times New Roman" w:eastAsia="宋体" w:cs="Times New Roman"/>
                      <w:color w:val="auto"/>
                      <w:sz w:val="21"/>
                      <w:szCs w:val="21"/>
                      <w:shd w:val="clear" w:color="auto" w:fill="FFFFFF"/>
                      <w:lang w:eastAsia="zh-CN"/>
                    </w:rPr>
                    <w:t>；本项目不属于自然保护区的核心区、缓冲区和试验区内。</w:t>
                  </w:r>
                </w:p>
              </w:tc>
              <w:tc>
                <w:tcPr>
                  <w:tcW w:w="683" w:type="dxa"/>
                  <w:noWrap w:val="0"/>
                  <w:vAlign w:val="center"/>
                </w:tcPr>
                <w:p w14:paraId="2D71821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6CA76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5E76C7C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禁止在风景名胜区核心景区的岸线和河段范围内</w:t>
                  </w:r>
                </w:p>
                <w:p w14:paraId="1BA711A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367" w:type="dxa"/>
                  <w:noWrap w:val="0"/>
                  <w:vAlign w:val="center"/>
                </w:tcPr>
                <w:p w14:paraId="3D079DB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用地不涉及</w:t>
                  </w:r>
                  <w:r>
                    <w:rPr>
                      <w:rFonts w:hint="default" w:ascii="Times New Roman" w:hAnsi="Times New Roman" w:eastAsia="宋体" w:cs="Times New Roman"/>
                      <w:color w:val="auto"/>
                      <w:sz w:val="21"/>
                      <w:szCs w:val="21"/>
                      <w:lang w:eastAsia="zh-CN"/>
                    </w:rPr>
                    <w:t>风景名胜区。</w:t>
                  </w:r>
                </w:p>
              </w:tc>
              <w:tc>
                <w:tcPr>
                  <w:tcW w:w="683" w:type="dxa"/>
                  <w:noWrap w:val="0"/>
                  <w:vAlign w:val="center"/>
                </w:tcPr>
                <w:p w14:paraId="55D4C03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7D4FB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7510B06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禁止在饮用水水源一级保护区的岸线和河段范围</w:t>
                  </w:r>
                </w:p>
                <w:p w14:paraId="4D2F66A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367" w:type="dxa"/>
                  <w:noWrap w:val="0"/>
                  <w:vAlign w:val="center"/>
                </w:tcPr>
                <w:p w14:paraId="1307E0B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涉及饮用水水源一级保护区</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shd w:val="clear" w:color="auto" w:fill="FFFFFF"/>
                    </w:rPr>
                    <w:t>饮用水水源二级保护区</w:t>
                  </w:r>
                  <w:r>
                    <w:rPr>
                      <w:rFonts w:hint="default" w:ascii="Times New Roman" w:hAnsi="Times New Roman" w:eastAsia="宋体" w:cs="Times New Roman"/>
                      <w:color w:val="auto"/>
                      <w:sz w:val="21"/>
                      <w:szCs w:val="21"/>
                      <w:lang w:eastAsia="zh-CN"/>
                    </w:rPr>
                    <w:t>。</w:t>
                  </w:r>
                </w:p>
              </w:tc>
              <w:tc>
                <w:tcPr>
                  <w:tcW w:w="683" w:type="dxa"/>
                  <w:noWrap w:val="0"/>
                  <w:vAlign w:val="center"/>
                </w:tcPr>
                <w:p w14:paraId="36E04E6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39FAF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1009618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禁止在水产种质资源保护区的岸线和河段范围内</w:t>
                  </w:r>
                </w:p>
                <w:p w14:paraId="2396C7D5">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367" w:type="dxa"/>
                  <w:noWrap w:val="0"/>
                  <w:vAlign w:val="center"/>
                </w:tcPr>
                <w:p w14:paraId="1F520BC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w:t>
                  </w:r>
                  <w:r>
                    <w:rPr>
                      <w:rFonts w:hint="default" w:ascii="Times New Roman" w:hAnsi="Times New Roman" w:eastAsia="宋体" w:cs="Times New Roman"/>
                      <w:color w:val="auto"/>
                      <w:sz w:val="21"/>
                      <w:szCs w:val="21"/>
                      <w:lang w:eastAsia="zh-CN"/>
                    </w:rPr>
                    <w:t>涉及水产种质资源保护区的岸线或河段范围；本项目不涉及国家湿地公园的土地。</w:t>
                  </w:r>
                </w:p>
              </w:tc>
              <w:tc>
                <w:tcPr>
                  <w:tcW w:w="683" w:type="dxa"/>
                  <w:noWrap w:val="0"/>
                  <w:vAlign w:val="center"/>
                </w:tcPr>
                <w:p w14:paraId="38F51AA6">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1EE8E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135B4A1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禁止违法利用、占用长江流域河湖岸线。禁止在金</w:t>
                  </w:r>
                </w:p>
                <w:p w14:paraId="05408D5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367" w:type="dxa"/>
                  <w:noWrap w:val="0"/>
                  <w:vAlign w:val="center"/>
                </w:tcPr>
                <w:p w14:paraId="00B4E7B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shd w:val="clear" w:color="auto" w:fill="FFFFFF"/>
                    </w:rPr>
                    <w:t>占用长江流域河湖岸线</w:t>
                  </w:r>
                  <w:r>
                    <w:rPr>
                      <w:rFonts w:hint="default" w:ascii="Times New Roman" w:hAnsi="Times New Roman" w:eastAsia="宋体" w:cs="Times New Roman"/>
                      <w:color w:val="auto"/>
                      <w:sz w:val="21"/>
                      <w:szCs w:val="21"/>
                      <w:shd w:val="clear" w:color="auto" w:fill="FFFFFF"/>
                      <w:lang w:eastAsia="zh-CN"/>
                    </w:rPr>
                    <w:t>项目。</w:t>
                  </w:r>
                </w:p>
              </w:tc>
              <w:tc>
                <w:tcPr>
                  <w:tcW w:w="683" w:type="dxa"/>
                  <w:noWrap w:val="0"/>
                  <w:vAlign w:val="center"/>
                </w:tcPr>
                <w:p w14:paraId="37E9405A">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0FA96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058E704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367" w:type="dxa"/>
                  <w:noWrap w:val="0"/>
                  <w:vAlign w:val="center"/>
                </w:tcPr>
                <w:p w14:paraId="0B0DA76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eastAsia="zh-CN"/>
                    </w:rPr>
                    <w:t>项目不属于过江基础设施项目，</w:t>
                  </w:r>
                  <w:r>
                    <w:rPr>
                      <w:rFonts w:hint="default" w:ascii="Times New Roman" w:hAnsi="Times New Roman" w:eastAsia="宋体" w:cs="Times New Roman"/>
                      <w:color w:val="auto"/>
                      <w:szCs w:val="21"/>
                      <w:lang w:val="en-US" w:eastAsia="zh-CN"/>
                    </w:rPr>
                    <w:t>本项目废水为间接排放，</w:t>
                  </w:r>
                  <w:r>
                    <w:rPr>
                      <w:rFonts w:hint="default" w:ascii="Times New Roman" w:hAnsi="Times New Roman" w:eastAsia="宋体" w:cs="Times New Roman"/>
                      <w:color w:val="auto"/>
                      <w:szCs w:val="21"/>
                      <w:lang w:eastAsia="zh-CN"/>
                    </w:rPr>
                    <w:t>不涉及</w:t>
                  </w:r>
                  <w:r>
                    <w:rPr>
                      <w:rFonts w:hint="default" w:ascii="Times New Roman" w:hAnsi="Times New Roman" w:eastAsia="宋体" w:cs="Times New Roman"/>
                      <w:color w:val="auto"/>
                      <w:szCs w:val="21"/>
                    </w:rPr>
                    <w:t>在金沙江干流、长江一级支流、九大高原湖泊流域新设、改设或扩大排污口</w:t>
                  </w:r>
                  <w:r>
                    <w:rPr>
                      <w:rFonts w:hint="default" w:ascii="Times New Roman" w:hAnsi="Times New Roman" w:eastAsia="宋体" w:cs="Times New Roman"/>
                      <w:color w:val="auto"/>
                      <w:szCs w:val="21"/>
                      <w:lang w:eastAsia="zh-CN"/>
                    </w:rPr>
                    <w:t>。</w:t>
                  </w:r>
                </w:p>
              </w:tc>
              <w:tc>
                <w:tcPr>
                  <w:tcW w:w="683" w:type="dxa"/>
                  <w:noWrap w:val="0"/>
                  <w:vAlign w:val="center"/>
                </w:tcPr>
                <w:p w14:paraId="2D8B50A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48417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37B0427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禁止在金沙江干流、长江一级支流、水生生物保护区和长江流域禁捕水域开展天然渔业资源生产性捕捞。</w:t>
                  </w:r>
                </w:p>
              </w:tc>
              <w:tc>
                <w:tcPr>
                  <w:tcW w:w="2367" w:type="dxa"/>
                  <w:noWrap w:val="0"/>
                  <w:vAlign w:val="center"/>
                </w:tcPr>
                <w:p w14:paraId="01C31CC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本项目不涉及</w:t>
                  </w:r>
                  <w:r>
                    <w:rPr>
                      <w:rFonts w:hint="default" w:ascii="Times New Roman" w:hAnsi="Times New Roman" w:eastAsia="宋体" w:cs="Times New Roman"/>
                      <w:color w:val="auto"/>
                      <w:sz w:val="21"/>
                      <w:szCs w:val="21"/>
                      <w:shd w:val="clear" w:color="auto" w:fill="FFFFFF"/>
                    </w:rPr>
                    <w:t>天然渔业资源生产性捕捞</w:t>
                  </w:r>
                  <w:r>
                    <w:rPr>
                      <w:rFonts w:hint="default" w:ascii="Times New Roman" w:hAnsi="Times New Roman" w:eastAsia="宋体" w:cs="Times New Roman"/>
                      <w:color w:val="auto"/>
                      <w:sz w:val="21"/>
                      <w:szCs w:val="21"/>
                      <w:lang w:eastAsia="zh-CN"/>
                    </w:rPr>
                    <w:t>。</w:t>
                  </w:r>
                </w:p>
              </w:tc>
              <w:tc>
                <w:tcPr>
                  <w:tcW w:w="683" w:type="dxa"/>
                  <w:noWrap w:val="0"/>
                  <w:vAlign w:val="center"/>
                </w:tcPr>
                <w:p w14:paraId="704A68A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1A802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0C5677EF">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367" w:type="dxa"/>
                  <w:noWrap w:val="0"/>
                  <w:vAlign w:val="center"/>
                </w:tcPr>
                <w:p w14:paraId="05CBDD58">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所在区域不属于</w:t>
                  </w:r>
                  <w:r>
                    <w:rPr>
                      <w:rFonts w:hint="default" w:ascii="Times New Roman" w:hAnsi="Times New Roman" w:eastAsia="宋体" w:cs="Times New Roman"/>
                      <w:color w:val="auto"/>
                      <w:sz w:val="21"/>
                      <w:szCs w:val="21"/>
                      <w:shd w:val="clear" w:color="auto" w:fill="FFFFFF"/>
                    </w:rPr>
                    <w:t>金沙江干流、长江一级支流、水生生物保护区</w:t>
                  </w:r>
                  <w:r>
                    <w:rPr>
                      <w:rFonts w:hint="default" w:ascii="Times New Roman" w:hAnsi="Times New Roman" w:eastAsia="宋体"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shd w:val="clear" w:color="auto" w:fill="FFFFFF"/>
                    </w:rPr>
                    <w:t>九大高原湖泊岸线一公里范围</w:t>
                  </w:r>
                  <w:r>
                    <w:rPr>
                      <w:rFonts w:hint="default" w:ascii="Times New Roman" w:hAnsi="Times New Roman" w:eastAsia="宋体" w:cs="Times New Roman"/>
                      <w:color w:val="auto"/>
                      <w:sz w:val="21"/>
                      <w:szCs w:val="21"/>
                      <w:shd w:val="clear" w:color="auto" w:fill="FFFFFF"/>
                      <w:lang w:eastAsia="zh-CN"/>
                    </w:rPr>
                    <w:t>。</w:t>
                  </w:r>
                </w:p>
              </w:tc>
              <w:tc>
                <w:tcPr>
                  <w:tcW w:w="683" w:type="dxa"/>
                  <w:noWrap w:val="0"/>
                  <w:vAlign w:val="center"/>
                </w:tcPr>
                <w:p w14:paraId="72E4C43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785C1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55DCFC99">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禁止在合规园区外新建、扩建钢铁、石化、化工、焦化、建材、有色、制浆造纸行业中的高污染项目。</w:t>
                  </w:r>
                </w:p>
              </w:tc>
              <w:tc>
                <w:tcPr>
                  <w:tcW w:w="2367" w:type="dxa"/>
                  <w:noWrap w:val="0"/>
                  <w:vAlign w:val="center"/>
                </w:tcPr>
                <w:p w14:paraId="4952E80E">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683" w:type="dxa"/>
                  <w:noWrap w:val="0"/>
                  <w:vAlign w:val="center"/>
                </w:tcPr>
                <w:p w14:paraId="45FAFAF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4839E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425FF65D">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shd w:val="clear" w:color="auto" w:fill="FFFFFF"/>
                      <w:lang w:eastAsia="zh-CN"/>
                    </w:rPr>
                    <w:t>。</w:t>
                  </w:r>
                </w:p>
              </w:tc>
              <w:tc>
                <w:tcPr>
                  <w:tcW w:w="2367" w:type="dxa"/>
                  <w:noWrap w:val="0"/>
                  <w:vAlign w:val="center"/>
                </w:tcPr>
                <w:p w14:paraId="6FE0DF5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shd w:val="clear" w:color="auto" w:fill="FFFFFF"/>
                    </w:rPr>
                    <w:t>石化、现代煤化工等产业布局规划项目</w:t>
                  </w:r>
                  <w:r>
                    <w:rPr>
                      <w:rFonts w:hint="default" w:ascii="Times New Roman" w:hAnsi="Times New Roman" w:eastAsia="宋体" w:cs="Times New Roman"/>
                      <w:color w:val="auto"/>
                      <w:sz w:val="21"/>
                      <w:szCs w:val="21"/>
                      <w:shd w:val="clear" w:color="auto" w:fill="FFFFFF"/>
                      <w:lang w:eastAsia="zh-CN"/>
                    </w:rPr>
                    <w:t>；本项目不属于危险化学品生产项目。</w:t>
                  </w:r>
                </w:p>
              </w:tc>
              <w:tc>
                <w:tcPr>
                  <w:tcW w:w="683" w:type="dxa"/>
                  <w:noWrap w:val="0"/>
                  <w:vAlign w:val="center"/>
                </w:tcPr>
                <w:p w14:paraId="5774254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r w14:paraId="4A8BA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06" w:type="dxa"/>
                  <w:noWrap w:val="0"/>
                  <w:vAlign w:val="center"/>
                </w:tcPr>
                <w:p w14:paraId="0C9A92CB">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367" w:type="dxa"/>
                  <w:noWrap w:val="0"/>
                  <w:vAlign w:val="center"/>
                </w:tcPr>
                <w:p w14:paraId="4F85C25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shd w:val="clear" w:color="auto" w:fill="FFFFFF"/>
                    </w:rPr>
                    <w:t>高毒高残留以及对环境影响大的农药原药生产装置，</w:t>
                  </w:r>
                  <w:r>
                    <w:rPr>
                      <w:rFonts w:hint="default" w:ascii="Times New Roman" w:hAnsi="Times New Roman" w:eastAsia="宋体" w:cs="Times New Roman"/>
                      <w:color w:val="auto"/>
                      <w:sz w:val="21"/>
                      <w:szCs w:val="21"/>
                      <w:shd w:val="clear" w:color="auto" w:fill="FFFFFF"/>
                      <w:lang w:eastAsia="zh-CN"/>
                    </w:rPr>
                    <w:t>不属于</w:t>
                  </w:r>
                  <w:r>
                    <w:rPr>
                      <w:rFonts w:hint="default" w:ascii="Times New Roman" w:hAnsi="Times New Roman" w:eastAsia="宋体" w:cs="Times New Roman"/>
                      <w:color w:val="auto"/>
                      <w:sz w:val="21"/>
                      <w:szCs w:val="21"/>
                      <w:shd w:val="clear" w:color="auto" w:fill="FFFFFF"/>
                    </w:rPr>
                    <w:t>尿素、磷铵、电石、焦炭、黄磷、烧碱、纯碱、聚氯乙烯等行业。</w:t>
                  </w:r>
                </w:p>
              </w:tc>
              <w:tc>
                <w:tcPr>
                  <w:tcW w:w="683" w:type="dxa"/>
                  <w:noWrap w:val="0"/>
                  <w:vAlign w:val="center"/>
                </w:tcPr>
                <w:p w14:paraId="524D4F4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相符</w:t>
                  </w:r>
                </w:p>
              </w:tc>
            </w:tr>
          </w:tbl>
          <w:p w14:paraId="59D11AB8">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rPr>
              <w:t>规定的内容相符合。</w:t>
            </w:r>
          </w:p>
          <w:p w14:paraId="1AF0C469">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eastAsia" w:cs="Times New Roman"/>
                <w:b/>
                <w:color w:val="auto"/>
                <w:spacing w:val="4"/>
                <w:kern w:val="24"/>
                <w:sz w:val="24"/>
                <w:highlight w:val="none"/>
                <w:lang w:val="en-US" w:eastAsia="zh-CN" w:bidi="ar"/>
              </w:rPr>
              <w:t>8</w:t>
            </w:r>
            <w:r>
              <w:rPr>
                <w:rFonts w:hint="default" w:ascii="Times New Roman" w:hAnsi="Times New Roman" w:eastAsia="宋体" w:cs="Times New Roman"/>
                <w:b/>
                <w:color w:val="auto"/>
                <w:spacing w:val="4"/>
                <w:kern w:val="24"/>
                <w:sz w:val="24"/>
                <w:highlight w:val="none"/>
                <w:lang w:val="en-US" w:eastAsia="zh-CN" w:bidi="ar"/>
              </w:rPr>
              <w:t>、</w:t>
            </w:r>
            <w:r>
              <w:rPr>
                <w:rFonts w:hint="default" w:ascii="Times New Roman" w:hAnsi="Times New Roman" w:eastAsia="宋体" w:cs="Times New Roman"/>
                <w:b/>
                <w:color w:val="auto"/>
                <w:spacing w:val="4"/>
                <w:kern w:val="24"/>
                <w:sz w:val="24"/>
                <w:highlight w:val="none"/>
                <w:lang w:bidi="ar"/>
              </w:rPr>
              <w:t>与《昆明市大气污染防治条例》相符性分析</w:t>
            </w:r>
          </w:p>
          <w:p w14:paraId="73BC1A54">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eastAsia" w:cs="Times New Roman"/>
                <w:b/>
                <w:color w:val="auto"/>
                <w:spacing w:val="4"/>
                <w:kern w:val="24"/>
                <w:szCs w:val="21"/>
                <w:highlight w:val="none"/>
                <w:lang w:val="en-US" w:eastAsia="zh-CN" w:bidi="ar"/>
              </w:rPr>
              <w:t>10</w:t>
            </w:r>
            <w:r>
              <w:rPr>
                <w:rFonts w:hint="default" w:ascii="Times New Roman" w:hAnsi="Times New Roman" w:eastAsia="宋体" w:cs="Times New Roman"/>
                <w:b/>
                <w:color w:val="auto"/>
                <w:spacing w:val="4"/>
                <w:kern w:val="24"/>
                <w:szCs w:val="21"/>
                <w:highlight w:val="none"/>
                <w:lang w:val="en-US" w:eastAsia="zh-CN" w:bidi="ar"/>
              </w:rPr>
              <w:t xml:space="preserve">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6"/>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2"/>
              <w:gridCol w:w="2404"/>
              <w:gridCol w:w="669"/>
            </w:tblGrid>
            <w:tr w14:paraId="5928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142" w:type="dxa"/>
                  <w:vAlign w:val="center"/>
                </w:tcPr>
                <w:p w14:paraId="27CE066D">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2404" w:type="dxa"/>
                  <w:vAlign w:val="center"/>
                </w:tcPr>
                <w:p w14:paraId="1ABF2ACB">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669" w:type="dxa"/>
                  <w:vAlign w:val="center"/>
                </w:tcPr>
                <w:p w14:paraId="458A3CF2">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14:paraId="4FA7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14:paraId="4EA9395D">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2404" w:type="dxa"/>
                  <w:vMerge w:val="restart"/>
                  <w:vAlign w:val="center"/>
                </w:tcPr>
                <w:p w14:paraId="7A0BB8C0">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废气经1套“高温布袋除尘器”处理达标后由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bCs/>
                      <w:color w:val="auto"/>
                      <w:spacing w:val="-10"/>
                      <w:szCs w:val="21"/>
                      <w:lang w:val="en-US" w:eastAsia="zh-CN"/>
                    </w:rPr>
                    <w:t>1套“</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bCs/>
                      <w:color w:val="auto"/>
                      <w:spacing w:val="-10"/>
                      <w:szCs w:val="21"/>
                      <w:lang w:val="en-US" w:eastAsia="zh-CN"/>
                    </w:rPr>
                    <w:t>”</w:t>
                  </w:r>
                  <w:r>
                    <w:rPr>
                      <w:rFonts w:hint="default" w:ascii="Times New Roman" w:hAnsi="Times New Roman" w:eastAsia="宋体" w:cs="Times New Roman"/>
                      <w:color w:val="auto"/>
                      <w:sz w:val="21"/>
                      <w:szCs w:val="21"/>
                      <w:highlight w:val="none"/>
                      <w:lang w:val="en-US" w:eastAsia="zh-CN"/>
                    </w:rPr>
                    <w:t>处理达标后由</w:t>
                  </w:r>
                  <w:r>
                    <w:rPr>
                      <w:rFonts w:hint="default" w:ascii="Times New Roman" w:hAnsi="Times New Roman" w:eastAsia="宋体" w:cs="Times New Roman"/>
                      <w:color w:val="auto"/>
                      <w:sz w:val="21"/>
                      <w:szCs w:val="21"/>
                      <w:highlight w:val="none"/>
                    </w:rPr>
                    <w:t>1根</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高排气筒（</w:t>
                  </w: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lang w:val="en-US" w:eastAsia="zh-CN"/>
                    </w:rPr>
                    <w:t>；</w:t>
                  </w:r>
                  <w:r>
                    <w:rPr>
                      <w:rFonts w:hint="eastAsia"/>
                      <w:bCs/>
                      <w:color w:val="auto"/>
                      <w:spacing w:val="-10"/>
                      <w:szCs w:val="21"/>
                    </w:rPr>
                    <w:t>脱酸脱臭</w:t>
                  </w:r>
                  <w:r>
                    <w:rPr>
                      <w:rFonts w:hint="eastAsia"/>
                      <w:bCs/>
                      <w:color w:val="auto"/>
                      <w:spacing w:val="-10"/>
                      <w:szCs w:val="21"/>
                      <w:lang w:eastAsia="zh-CN"/>
                    </w:rPr>
                    <w:t>废气经一套“</w:t>
                  </w:r>
                  <w:r>
                    <w:rPr>
                      <w:rFonts w:hint="eastAsia"/>
                      <w:color w:val="auto"/>
                    </w:rPr>
                    <w:t>捕集器+冷凝回收装置</w:t>
                  </w:r>
                  <w:r>
                    <w:rPr>
                      <w:rFonts w:hint="eastAsia"/>
                      <w:bCs/>
                      <w:color w:val="auto"/>
                      <w:spacing w:val="-10"/>
                      <w:szCs w:val="21"/>
                      <w:lang w:eastAsia="zh-CN"/>
                    </w:rPr>
                    <w:t>”处理后排放；生产车间异味通过</w:t>
                  </w:r>
                  <w:r>
                    <w:rPr>
                      <w:rFonts w:hint="eastAsia" w:ascii="Times New Roman" w:hAnsi="Times New Roman" w:eastAsia="宋体" w:cs="Times New Roman"/>
                      <w:color w:val="auto"/>
                      <w:kern w:val="0"/>
                      <w:sz w:val="21"/>
                      <w:szCs w:val="21"/>
                      <w:lang w:val="en-US" w:eastAsia="zh-CN" w:bidi="ar-SA"/>
                    </w:rPr>
                    <w:t>对生产车间地坪进行冲洗和消毒、加强管理来控制；</w:t>
                  </w:r>
                  <w:r>
                    <w:rPr>
                      <w:rFonts w:hint="default" w:ascii="Times New Roman" w:hAnsi="Times New Roman" w:eastAsia="宋体" w:cs="Times New Roman"/>
                      <w:bCs/>
                      <w:color w:val="auto"/>
                      <w:sz w:val="21"/>
                      <w:szCs w:val="21"/>
                      <w:highlight w:val="none"/>
                      <w:lang w:val="en-US" w:eastAsia="zh-CN"/>
                    </w:rPr>
                    <w:t>化粪池及污水处理设施定期喷洒复合微生物除臭剂进行除臭</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669" w:type="dxa"/>
                  <w:vAlign w:val="center"/>
                </w:tcPr>
                <w:p w14:paraId="0E25BE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1349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14:paraId="15CC4124">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2404" w:type="dxa"/>
                  <w:vMerge w:val="continue"/>
                  <w:vAlign w:val="center"/>
                </w:tcPr>
                <w:p w14:paraId="0ECBAA5D">
                  <w:pPr>
                    <w:widowControl/>
                    <w:jc w:val="center"/>
                    <w:rPr>
                      <w:rFonts w:hint="default" w:ascii="Times New Roman" w:hAnsi="Times New Roman" w:eastAsia="宋体" w:cs="Times New Roman"/>
                      <w:color w:val="auto"/>
                      <w:sz w:val="21"/>
                      <w:szCs w:val="21"/>
                      <w:highlight w:val="none"/>
                    </w:rPr>
                  </w:pPr>
                </w:p>
              </w:tc>
              <w:tc>
                <w:tcPr>
                  <w:tcW w:w="669" w:type="dxa"/>
                  <w:vAlign w:val="center"/>
                </w:tcPr>
                <w:p w14:paraId="3A7846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14:paraId="4BF4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14:paraId="1B05A19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2404" w:type="dxa"/>
                  <w:vAlign w:val="center"/>
                </w:tcPr>
                <w:p w14:paraId="319FE28E">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使用的原辅料及生产的产品均不</w:t>
                  </w:r>
                  <w:r>
                    <w:rPr>
                      <w:rFonts w:hint="default" w:ascii="Times New Roman" w:hAnsi="Times New Roman" w:eastAsia="宋体" w:cs="Times New Roman"/>
                      <w:color w:val="auto"/>
                      <w:highlight w:val="none"/>
                    </w:rPr>
                    <w:t>含挥发性有机物。</w:t>
                  </w:r>
                </w:p>
              </w:tc>
              <w:tc>
                <w:tcPr>
                  <w:tcW w:w="669" w:type="dxa"/>
                  <w:vAlign w:val="center"/>
                </w:tcPr>
                <w:p w14:paraId="3226AB00">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14:paraId="53E1EA20">
            <w:pPr>
              <w:pStyle w:val="15"/>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14:paraId="3595991D">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9</w:t>
            </w:r>
            <w:r>
              <w:rPr>
                <w:rFonts w:hint="default" w:ascii="Times New Roman" w:hAnsi="Times New Roman" w:eastAsia="宋体" w:cs="Times New Roman"/>
                <w:b/>
                <w:bCs w:val="0"/>
                <w:color w:val="auto"/>
                <w:sz w:val="24"/>
                <w:szCs w:val="24"/>
                <w:highlight w:val="none"/>
                <w:lang w:val="en-US" w:eastAsia="zh-CN"/>
              </w:rPr>
              <w:t>、选址合理性分析</w:t>
            </w:r>
          </w:p>
          <w:p w14:paraId="1E35BC3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w:t>
            </w:r>
            <w:r>
              <w:rPr>
                <w:rFonts w:hint="eastAsia" w:cs="Times New Roman"/>
                <w:color w:val="auto"/>
                <w:sz w:val="24"/>
                <w:szCs w:val="24"/>
                <w:highlight w:val="none"/>
                <w:lang w:val="zh-CN"/>
              </w:rPr>
              <w:t>牛油、牛干巴</w:t>
            </w:r>
            <w:r>
              <w:rPr>
                <w:rFonts w:hint="default" w:ascii="Times New Roman" w:hAnsi="Times New Roman" w:eastAsia="宋体" w:cs="Times New Roman"/>
                <w:color w:val="auto"/>
                <w:sz w:val="24"/>
                <w:szCs w:val="24"/>
                <w:highlight w:val="none"/>
                <w:lang w:val="zh-CN"/>
              </w:rPr>
              <w:t>及</w:t>
            </w:r>
            <w:r>
              <w:rPr>
                <w:rFonts w:hint="eastAsia" w:cs="Times New Roman"/>
                <w:color w:val="auto"/>
                <w:sz w:val="24"/>
                <w:szCs w:val="24"/>
                <w:highlight w:val="none"/>
                <w:lang w:val="zh-CN"/>
              </w:rPr>
              <w:t>饲料油脂</w:t>
            </w:r>
            <w:r>
              <w:rPr>
                <w:rFonts w:hint="default" w:ascii="Times New Roman" w:hAnsi="Times New Roman" w:eastAsia="宋体" w:cs="Times New Roman"/>
                <w:color w:val="auto"/>
                <w:sz w:val="24"/>
                <w:szCs w:val="24"/>
                <w:highlight w:val="none"/>
                <w:lang w:val="zh-CN"/>
              </w:rPr>
              <w:t>加工项目</w:t>
            </w:r>
            <w:r>
              <w:rPr>
                <w:rFonts w:hint="default" w:ascii="Times New Roman" w:hAnsi="Times New Roman" w:eastAsia="宋体" w:cs="Times New Roman"/>
                <w:b w:val="0"/>
                <w:bCs w:val="0"/>
                <w:color w:val="auto"/>
                <w:kern w:val="0"/>
                <w:sz w:val="24"/>
                <w:szCs w:val="24"/>
                <w:highlight w:val="none"/>
                <w:lang w:val="en-US" w:eastAsia="zh-CN" w:bidi="ar"/>
              </w:rPr>
              <w:t>，位于</w:t>
            </w:r>
            <w:r>
              <w:rPr>
                <w:rFonts w:hint="default" w:ascii="Times New Roman" w:hAnsi="Times New Roman" w:eastAsia="宋体" w:cs="Times New Roman"/>
                <w:color w:val="auto"/>
                <w:sz w:val="24"/>
                <w:szCs w:val="24"/>
                <w:highlight w:val="none"/>
                <w:u w:val="none"/>
                <w:lang w:val="en-US" w:eastAsia="zh-CN"/>
              </w:rPr>
              <w:t>云南寻甸产业园区羊街片区非烟轻工产</w:t>
            </w:r>
            <w:r>
              <w:rPr>
                <w:rFonts w:hint="eastAsia" w:cs="Times New Roman"/>
                <w:color w:val="auto"/>
                <w:sz w:val="24"/>
                <w:szCs w:val="24"/>
                <w:highlight w:val="none"/>
                <w:u w:val="none"/>
                <w:lang w:val="en-US" w:eastAsia="zh-CN"/>
              </w:rPr>
              <w:t>业园</w:t>
            </w:r>
            <w:r>
              <w:rPr>
                <w:rFonts w:hint="default" w:ascii="Times New Roman" w:hAnsi="Times New Roman" w:eastAsia="宋体" w:cs="Times New Roman"/>
                <w:color w:val="auto"/>
                <w:sz w:val="24"/>
                <w:szCs w:val="24"/>
                <w:highlight w:val="none"/>
                <w:u w:val="none"/>
                <w:lang w:val="en-US" w:eastAsia="zh-CN"/>
              </w:rPr>
              <w:t>区内</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达标排放，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14:paraId="1BC7B47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14:paraId="2788A31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eastAsia" w:cs="Times New Roman"/>
                <w:b/>
                <w:bCs w:val="0"/>
                <w:color w:val="auto"/>
                <w:sz w:val="24"/>
                <w:szCs w:val="24"/>
                <w:highlight w:val="none"/>
                <w:lang w:val="en-US" w:eastAsia="zh-CN"/>
              </w:rPr>
              <w:t>10</w:t>
            </w:r>
            <w:r>
              <w:rPr>
                <w:rFonts w:hint="default" w:ascii="Times New Roman" w:hAnsi="Times New Roman" w:eastAsia="宋体" w:cs="Times New Roman"/>
                <w:b/>
                <w:bCs w:val="0"/>
                <w:color w:val="auto"/>
                <w:sz w:val="24"/>
                <w:szCs w:val="24"/>
                <w:highlight w:val="none"/>
                <w:lang w:val="en-US" w:eastAsia="zh-CN"/>
              </w:rPr>
              <w:t>、本项目与</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kern w:val="2"/>
                <w:sz w:val="24"/>
                <w:szCs w:val="24"/>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4"/>
                <w:highlight w:val="none"/>
                <w:lang w:bidi="ar-SA"/>
              </w:rPr>
              <w:t>》</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GB14881-2013</w:t>
            </w:r>
            <w:r>
              <w:rPr>
                <w:rFonts w:hint="default" w:ascii="Times New Roman" w:hAnsi="Times New Roman" w:eastAsia="宋体" w:cs="Times New Roman"/>
                <w:b/>
                <w:color w:val="auto"/>
                <w:spacing w:val="0"/>
                <w:kern w:val="2"/>
                <w:sz w:val="24"/>
                <w:highlight w:val="none"/>
                <w:lang w:eastAsia="zh-CN" w:bidi="ar-SA"/>
              </w:rPr>
              <w:t>）</w:t>
            </w:r>
            <w:r>
              <w:rPr>
                <w:rFonts w:hint="default" w:ascii="Times New Roman" w:hAnsi="Times New Roman" w:eastAsia="宋体" w:cs="Times New Roman"/>
                <w:b/>
                <w:color w:val="auto"/>
                <w:spacing w:val="0"/>
                <w:kern w:val="2"/>
                <w:sz w:val="24"/>
                <w:highlight w:val="none"/>
                <w:lang w:val="en-US" w:eastAsia="zh-CN" w:bidi="ar-SA"/>
              </w:rPr>
              <w:t>的符合性分析</w:t>
            </w:r>
          </w:p>
          <w:p w14:paraId="47E57B81">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根据</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szCs w:val="24"/>
                <w:highlight w:val="none"/>
                <w:lang w:val="en-US" w:eastAsia="zh-CN" w:bidi="ar"/>
              </w:rPr>
              <w:t>对选址的要求，项目选址与规范要求比较见表1-</w:t>
            </w:r>
            <w:r>
              <w:rPr>
                <w:rFonts w:hint="eastAsia" w:ascii="Times New Roman" w:hAnsi="Times New Roman" w:eastAsia="宋体" w:cs="Times New Roman"/>
                <w:color w:val="auto"/>
                <w:kern w:val="0"/>
                <w:sz w:val="24"/>
                <w:szCs w:val="24"/>
                <w:highlight w:val="none"/>
                <w:lang w:val="en-US" w:eastAsia="zh-CN" w:bidi="ar"/>
              </w:rPr>
              <w:t>1</w:t>
            </w:r>
            <w:r>
              <w:rPr>
                <w:rFonts w:hint="eastAsia"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p>
          <w:p w14:paraId="293480A5">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表1-</w:t>
            </w:r>
            <w:r>
              <w:rPr>
                <w:rFonts w:hint="eastAsia" w:ascii="Times New Roman" w:hAnsi="Times New Roman" w:eastAsia="宋体" w:cs="Times New Roman"/>
                <w:b/>
                <w:bCs w:val="0"/>
                <w:color w:val="auto"/>
                <w:sz w:val="21"/>
                <w:szCs w:val="21"/>
                <w:highlight w:val="none"/>
                <w:lang w:val="en-US" w:eastAsia="zh-CN"/>
              </w:rPr>
              <w:t>1</w:t>
            </w:r>
            <w:r>
              <w:rPr>
                <w:rFonts w:hint="eastAsia" w:ascii="Times New Roman" w:hAnsi="Times New Roman" w:cs="Times New Roman"/>
                <w:b/>
                <w:bCs w:val="0"/>
                <w:color w:val="auto"/>
                <w:sz w:val="21"/>
                <w:szCs w:val="21"/>
                <w:highlight w:val="none"/>
                <w:lang w:val="en-US" w:eastAsia="zh-CN"/>
              </w:rPr>
              <w:t>1</w:t>
            </w:r>
            <w:r>
              <w:rPr>
                <w:rFonts w:hint="default" w:ascii="Times New Roman" w:hAnsi="Times New Roman" w:eastAsia="宋体" w:cs="Times New Roman"/>
                <w:b/>
                <w:bCs w:val="0"/>
                <w:color w:val="auto"/>
                <w:sz w:val="21"/>
                <w:szCs w:val="21"/>
                <w:highlight w:val="none"/>
                <w:lang w:val="en-US" w:eastAsia="zh-CN"/>
              </w:rPr>
              <w:t xml:space="preserve">  项目与</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kern w:val="2"/>
                <w:sz w:val="21"/>
                <w:szCs w:val="21"/>
                <w:highlight w:val="none"/>
                <w:lang w:val="en-US" w:eastAsia="zh-CN" w:bidi="ar-SA"/>
              </w:rPr>
              <w:t>食品安全国家标准 食品生产通用卫生规范</w:t>
            </w:r>
            <w:r>
              <w:rPr>
                <w:rFonts w:hint="default" w:ascii="Times New Roman" w:hAnsi="Times New Roman" w:eastAsia="宋体" w:cs="Times New Roman"/>
                <w:b/>
                <w:color w:val="auto"/>
                <w:spacing w:val="0"/>
                <w:kern w:val="2"/>
                <w:sz w:val="21"/>
                <w:szCs w:val="21"/>
                <w:highlight w:val="none"/>
                <w:lang w:bidi="ar-SA"/>
              </w:rPr>
              <w:t>》</w:t>
            </w:r>
            <w:r>
              <w:rPr>
                <w:rFonts w:hint="default" w:ascii="Times New Roman" w:hAnsi="Times New Roman" w:eastAsia="宋体" w:cs="Times New Roman"/>
                <w:b/>
                <w:color w:val="auto"/>
                <w:spacing w:val="0"/>
                <w:kern w:val="2"/>
                <w:sz w:val="21"/>
                <w:szCs w:val="21"/>
                <w:highlight w:val="none"/>
                <w:lang w:val="en-US" w:eastAsia="zh-CN" w:bidi="ar-SA"/>
              </w:rPr>
              <w:t>选址的符合性分析</w:t>
            </w:r>
          </w:p>
          <w:tbl>
            <w:tblPr>
              <w:tblStyle w:val="26"/>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9"/>
              <w:gridCol w:w="3348"/>
              <w:gridCol w:w="920"/>
            </w:tblGrid>
            <w:tr w14:paraId="6FAD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9" w:type="dxa"/>
                  <w:noWrap w:val="0"/>
                  <w:vAlign w:val="center"/>
                </w:tcPr>
                <w:p w14:paraId="2DA276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要求</w:t>
                  </w:r>
                </w:p>
              </w:tc>
              <w:tc>
                <w:tcPr>
                  <w:tcW w:w="3348" w:type="dxa"/>
                  <w:noWrap w:val="0"/>
                  <w:vAlign w:val="center"/>
                </w:tcPr>
                <w:p w14:paraId="0D128C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本项目选址</w:t>
                  </w:r>
                </w:p>
              </w:tc>
              <w:tc>
                <w:tcPr>
                  <w:tcW w:w="920" w:type="dxa"/>
                  <w:noWrap w:val="0"/>
                  <w:vAlign w:val="center"/>
                </w:tcPr>
                <w:p w14:paraId="575981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符合性</w:t>
                  </w:r>
                </w:p>
              </w:tc>
            </w:tr>
            <w:tr w14:paraId="7A7E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9" w:type="dxa"/>
                  <w:noWrap w:val="0"/>
                  <w:vAlign w:val="center"/>
                </w:tcPr>
                <w:p w14:paraId="486068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厂区不应选择对食品有显著污染的区域。如某地对食品安全和食品宜食用性存在明显的不利影响，且无法通过采取措施加以改善，应避免在该地址建厂</w:t>
                  </w:r>
                  <w:r>
                    <w:rPr>
                      <w:rFonts w:hint="default" w:ascii="Times New Roman" w:hAnsi="Times New Roman" w:eastAsia="宋体" w:cs="Times New Roman"/>
                      <w:color w:val="auto"/>
                      <w:sz w:val="21"/>
                      <w:szCs w:val="21"/>
                      <w:highlight w:val="none"/>
                      <w:lang w:eastAsia="zh-CN"/>
                    </w:rPr>
                    <w:t>。</w:t>
                  </w:r>
                </w:p>
              </w:tc>
              <w:tc>
                <w:tcPr>
                  <w:tcW w:w="3348" w:type="dxa"/>
                  <w:noWrap w:val="0"/>
                  <w:vAlign w:val="center"/>
                </w:tcPr>
                <w:p w14:paraId="6DA35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本项目选址位于</w:t>
                  </w:r>
                  <w:r>
                    <w:rPr>
                      <w:rFonts w:hint="default" w:ascii="Times New Roman" w:hAnsi="Times New Roman" w:eastAsia="宋体" w:cs="Times New Roman"/>
                      <w:color w:val="auto"/>
                      <w:sz w:val="21"/>
                      <w:szCs w:val="21"/>
                      <w:highlight w:val="none"/>
                      <w:lang w:eastAsia="zh-CN"/>
                    </w:rPr>
                    <w:t>云南寻甸产业园区羊街片区非烟轻工产业区内，非烟轻工产业区</w:t>
                  </w:r>
                  <w:r>
                    <w:rPr>
                      <w:rFonts w:hint="default" w:ascii="Times New Roman" w:hAnsi="Times New Roman" w:eastAsia="宋体" w:cs="Times New Roman"/>
                      <w:color w:val="auto"/>
                      <w:sz w:val="21"/>
                      <w:szCs w:val="21"/>
                      <w:highlight w:val="none"/>
                      <w:lang w:val="en-US" w:eastAsia="zh-CN"/>
                    </w:rPr>
                    <w:t>主要为食品制造产业，主要</w:t>
                  </w:r>
                  <w:r>
                    <w:rPr>
                      <w:rFonts w:hint="default" w:ascii="Times New Roman" w:hAnsi="Times New Roman" w:eastAsia="宋体" w:cs="Times New Roman"/>
                      <w:color w:val="auto"/>
                      <w:sz w:val="21"/>
                      <w:szCs w:val="21"/>
                      <w:highlight w:val="none"/>
                    </w:rPr>
                    <w:t>打造农副产品产业集群，重点发展绿色食品、特色食品和农副产品精深加工。</w:t>
                  </w:r>
                  <w:r>
                    <w:rPr>
                      <w:rFonts w:hint="default" w:ascii="Times New Roman" w:hAnsi="Times New Roman" w:eastAsia="宋体" w:cs="Times New Roman"/>
                      <w:color w:val="auto"/>
                      <w:sz w:val="21"/>
                      <w:szCs w:val="21"/>
                      <w:highlight w:val="none"/>
                      <w:lang w:val="en-US" w:eastAsia="zh-CN"/>
                    </w:rPr>
                    <w:t>本项目选址位于</w:t>
                  </w:r>
                  <w:r>
                    <w:rPr>
                      <w:rFonts w:hint="default" w:ascii="Times New Roman" w:hAnsi="Times New Roman" w:eastAsia="宋体" w:cs="Times New Roman"/>
                      <w:color w:val="auto"/>
                      <w:sz w:val="21"/>
                      <w:szCs w:val="21"/>
                      <w:highlight w:val="none"/>
                    </w:rPr>
                    <w:t>食品</w:t>
                  </w:r>
                  <w:r>
                    <w:rPr>
                      <w:rFonts w:hint="default" w:ascii="Times New Roman" w:hAnsi="Times New Roman" w:eastAsia="宋体" w:cs="Times New Roman"/>
                      <w:color w:val="auto"/>
                      <w:sz w:val="21"/>
                      <w:szCs w:val="21"/>
                      <w:highlight w:val="none"/>
                      <w:lang w:val="en-US" w:eastAsia="zh-CN"/>
                    </w:rPr>
                    <w:t>加工片区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对项目生产食品宜食用性无不利影响。</w:t>
                  </w:r>
                </w:p>
              </w:tc>
              <w:tc>
                <w:tcPr>
                  <w:tcW w:w="920" w:type="dxa"/>
                  <w:noWrap w:val="0"/>
                  <w:vAlign w:val="center"/>
                </w:tcPr>
                <w:p w14:paraId="04FB5F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741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9" w:type="dxa"/>
                  <w:noWrap w:val="0"/>
                  <w:vAlign w:val="center"/>
                </w:tcPr>
                <w:p w14:paraId="530DC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厂区不应选择有害废弃物以及粉尘、有害气体、放射性物质和其他扩散性污染源不能有效清除的地址。</w:t>
                  </w:r>
                </w:p>
              </w:tc>
              <w:tc>
                <w:tcPr>
                  <w:tcW w:w="3348" w:type="dxa"/>
                  <w:noWrap w:val="0"/>
                  <w:vAlign w:val="center"/>
                </w:tcPr>
                <w:p w14:paraId="63EDE9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w:t>
                  </w:r>
                  <w:r>
                    <w:rPr>
                      <w:rFonts w:hint="default" w:ascii="Times New Roman" w:hAnsi="Times New Roman" w:eastAsia="宋体" w:cs="Times New Roman"/>
                      <w:color w:val="auto"/>
                      <w:spacing w:val="6"/>
                      <w:kern w:val="0"/>
                      <w:sz w:val="21"/>
                      <w:szCs w:val="21"/>
                      <w:highlight w:val="none"/>
                    </w:rPr>
                    <w:t>周围</w:t>
                  </w:r>
                  <w:r>
                    <w:rPr>
                      <w:rFonts w:hint="default" w:ascii="Times New Roman" w:hAnsi="Times New Roman" w:eastAsia="宋体" w:cs="Times New Roman"/>
                      <w:color w:val="auto"/>
                      <w:spacing w:val="6"/>
                      <w:kern w:val="0"/>
                      <w:sz w:val="21"/>
                      <w:szCs w:val="21"/>
                      <w:highlight w:val="none"/>
                      <w:lang w:val="en-US" w:eastAsia="zh-CN"/>
                    </w:rPr>
                    <w:t>主要为</w:t>
                  </w:r>
                  <w:r>
                    <w:rPr>
                      <w:rFonts w:hint="default" w:ascii="Times New Roman" w:hAnsi="Times New Roman" w:eastAsia="宋体" w:cs="Times New Roman"/>
                      <w:color w:val="auto"/>
                      <w:spacing w:val="6"/>
                      <w:kern w:val="0"/>
                      <w:sz w:val="21"/>
                      <w:szCs w:val="21"/>
                      <w:highlight w:val="none"/>
                      <w:lang w:eastAsia="zh-CN"/>
                    </w:rPr>
                    <w:t>食品加工类企业</w:t>
                  </w:r>
                  <w:r>
                    <w:rPr>
                      <w:rFonts w:hint="default" w:ascii="Times New Roman" w:hAnsi="Times New Roman" w:eastAsia="宋体" w:cs="Times New Roman"/>
                      <w:color w:val="auto"/>
                      <w:spacing w:val="6"/>
                      <w:kern w:val="0"/>
                      <w:sz w:val="21"/>
                      <w:szCs w:val="21"/>
                      <w:highlight w:val="none"/>
                      <w:lang w:val="en-US" w:eastAsia="zh-CN"/>
                    </w:rPr>
                    <w:t>及空地</w:t>
                  </w:r>
                  <w:r>
                    <w:rPr>
                      <w:rFonts w:hint="default" w:ascii="Times New Roman" w:hAnsi="Times New Roman" w:eastAsia="宋体" w:cs="Times New Roman"/>
                      <w:color w:val="auto"/>
                      <w:spacing w:val="6"/>
                      <w:kern w:val="0"/>
                      <w:sz w:val="21"/>
                      <w:szCs w:val="21"/>
                      <w:highlight w:val="none"/>
                      <w:lang w:eastAsia="zh-CN"/>
                    </w:rPr>
                    <w:t>，</w:t>
                  </w:r>
                  <w:r>
                    <w:rPr>
                      <w:rFonts w:hint="default" w:ascii="Times New Roman" w:hAnsi="Times New Roman" w:eastAsia="宋体" w:cs="Times New Roman"/>
                      <w:color w:val="auto"/>
                      <w:spacing w:val="6"/>
                      <w:kern w:val="0"/>
                      <w:sz w:val="21"/>
                      <w:szCs w:val="21"/>
                      <w:highlight w:val="none"/>
                      <w:lang w:val="en-US" w:eastAsia="zh-CN"/>
                    </w:rPr>
                    <w:t>不属于</w:t>
                  </w:r>
                  <w:r>
                    <w:rPr>
                      <w:rFonts w:hint="default" w:ascii="Times New Roman" w:hAnsi="Times New Roman" w:eastAsia="宋体" w:cs="Times New Roman"/>
                      <w:color w:val="auto"/>
                      <w:sz w:val="21"/>
                      <w:szCs w:val="21"/>
                      <w:highlight w:val="none"/>
                    </w:rPr>
                    <w:t>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6"/>
                      <w:kern w:val="0"/>
                      <w:sz w:val="21"/>
                      <w:szCs w:val="21"/>
                      <w:highlight w:val="none"/>
                    </w:rPr>
                    <w:t>粉尘、有害气体、放射性物质和其他扩散性污染源</w:t>
                  </w:r>
                  <w:r>
                    <w:rPr>
                      <w:rFonts w:hint="default" w:ascii="Times New Roman" w:hAnsi="Times New Roman" w:eastAsia="宋体" w:cs="Times New Roman"/>
                      <w:color w:val="auto"/>
                      <w:spacing w:val="6"/>
                      <w:kern w:val="0"/>
                      <w:sz w:val="21"/>
                      <w:szCs w:val="21"/>
                      <w:highlight w:val="none"/>
                      <w:lang w:eastAsia="zh-CN"/>
                    </w:rPr>
                    <w:t>不能有效清除的</w:t>
                  </w:r>
                  <w:r>
                    <w:rPr>
                      <w:rFonts w:hint="default" w:ascii="Times New Roman" w:hAnsi="Times New Roman" w:eastAsia="宋体" w:cs="Times New Roman"/>
                      <w:color w:val="auto"/>
                      <w:spacing w:val="6"/>
                      <w:kern w:val="0"/>
                      <w:sz w:val="21"/>
                      <w:szCs w:val="21"/>
                      <w:highlight w:val="none"/>
                      <w:lang w:val="en-US" w:eastAsia="zh-CN"/>
                    </w:rPr>
                    <w:t>区域</w:t>
                  </w:r>
                  <w:r>
                    <w:rPr>
                      <w:rFonts w:hint="default" w:ascii="Times New Roman" w:hAnsi="Times New Roman" w:eastAsia="宋体" w:cs="Times New Roman"/>
                      <w:color w:val="auto"/>
                      <w:spacing w:val="6"/>
                      <w:kern w:val="0"/>
                      <w:sz w:val="21"/>
                      <w:szCs w:val="21"/>
                      <w:highlight w:val="none"/>
                    </w:rPr>
                    <w:t>。</w:t>
                  </w:r>
                </w:p>
              </w:tc>
              <w:tc>
                <w:tcPr>
                  <w:tcW w:w="920" w:type="dxa"/>
                  <w:noWrap w:val="0"/>
                  <w:vAlign w:val="center"/>
                </w:tcPr>
                <w:p w14:paraId="113617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D04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9" w:type="dxa"/>
                  <w:noWrap w:val="0"/>
                  <w:vAlign w:val="center"/>
                </w:tcPr>
                <w:p w14:paraId="2B3F0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厂区不宜择易发生洪涝灾害的地区，难以避开时应设计必要的防范措施。</w:t>
                  </w:r>
                </w:p>
              </w:tc>
              <w:tc>
                <w:tcPr>
                  <w:tcW w:w="3348" w:type="dxa"/>
                  <w:noWrap w:val="0"/>
                  <w:vAlign w:val="center"/>
                </w:tcPr>
                <w:p w14:paraId="16B10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w:t>
                  </w:r>
                  <w:r>
                    <w:rPr>
                      <w:rFonts w:hint="default" w:ascii="Times New Roman" w:hAnsi="Times New Roman" w:eastAsia="宋体" w:cs="Times New Roman"/>
                      <w:color w:val="auto"/>
                      <w:sz w:val="21"/>
                      <w:szCs w:val="21"/>
                      <w:highlight w:val="none"/>
                      <w:lang w:eastAsia="zh-CN"/>
                    </w:rPr>
                    <w:t>所在地</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易发生洪涝灾害的地区。</w:t>
                  </w:r>
                </w:p>
              </w:tc>
              <w:tc>
                <w:tcPr>
                  <w:tcW w:w="920" w:type="dxa"/>
                  <w:noWrap w:val="0"/>
                  <w:vAlign w:val="center"/>
                </w:tcPr>
                <w:p w14:paraId="4A780B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E1B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9" w:type="dxa"/>
                  <w:noWrap w:val="0"/>
                  <w:vAlign w:val="center"/>
                </w:tcPr>
                <w:p w14:paraId="692437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厂区周围不宜有虫害大量</w:t>
                  </w:r>
                  <w:r>
                    <w:rPr>
                      <w:rFonts w:hint="eastAsia" w:cs="Times New Roman"/>
                      <w:color w:val="auto"/>
                      <w:sz w:val="21"/>
                      <w:szCs w:val="21"/>
                      <w:highlight w:val="none"/>
                      <w:lang w:eastAsia="zh-CN"/>
                    </w:rPr>
                    <w:t>滋生</w:t>
                  </w:r>
                  <w:r>
                    <w:rPr>
                      <w:rFonts w:hint="default" w:ascii="Times New Roman" w:hAnsi="Times New Roman" w:eastAsia="宋体" w:cs="Times New Roman"/>
                      <w:color w:val="auto"/>
                      <w:sz w:val="21"/>
                      <w:szCs w:val="21"/>
                      <w:highlight w:val="none"/>
                    </w:rPr>
                    <w:t>的潜在场所，难以避开时应设计必要的防范措施</w:t>
                  </w:r>
                  <w:r>
                    <w:rPr>
                      <w:rFonts w:hint="default" w:ascii="Times New Roman" w:hAnsi="Times New Roman" w:eastAsia="宋体" w:cs="Times New Roman"/>
                      <w:color w:val="auto"/>
                      <w:sz w:val="21"/>
                      <w:szCs w:val="21"/>
                      <w:highlight w:val="none"/>
                      <w:lang w:eastAsia="zh-CN"/>
                    </w:rPr>
                    <w:t>。</w:t>
                  </w:r>
                </w:p>
              </w:tc>
              <w:tc>
                <w:tcPr>
                  <w:tcW w:w="3348" w:type="dxa"/>
                  <w:noWrap w:val="0"/>
                  <w:vAlign w:val="center"/>
                </w:tcPr>
                <w:p w14:paraId="02E4D0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kern w:val="0"/>
                      <w:sz w:val="21"/>
                      <w:szCs w:val="21"/>
                      <w:highlight w:val="none"/>
                      <w:lang w:val="en-US" w:eastAsia="zh-CN"/>
                    </w:rPr>
                    <w:t>本项目选址周边</w:t>
                  </w:r>
                  <w:r>
                    <w:rPr>
                      <w:rFonts w:hint="default" w:ascii="Times New Roman" w:hAnsi="Times New Roman" w:eastAsia="宋体" w:cs="Times New Roman"/>
                      <w:color w:val="auto"/>
                      <w:spacing w:val="6"/>
                      <w:kern w:val="0"/>
                      <w:sz w:val="21"/>
                      <w:szCs w:val="21"/>
                      <w:highlight w:val="none"/>
                    </w:rPr>
                    <w:t>没有昆虫大量</w:t>
                  </w:r>
                  <w:r>
                    <w:rPr>
                      <w:rFonts w:hint="eastAsia" w:cs="Times New Roman"/>
                      <w:color w:val="auto"/>
                      <w:spacing w:val="6"/>
                      <w:kern w:val="0"/>
                      <w:sz w:val="21"/>
                      <w:szCs w:val="21"/>
                      <w:highlight w:val="none"/>
                      <w:lang w:eastAsia="zh-CN"/>
                    </w:rPr>
                    <w:t>滋生</w:t>
                  </w:r>
                  <w:r>
                    <w:rPr>
                      <w:rFonts w:hint="default" w:ascii="Times New Roman" w:hAnsi="Times New Roman" w:eastAsia="宋体" w:cs="Times New Roman"/>
                      <w:color w:val="auto"/>
                      <w:spacing w:val="6"/>
                      <w:kern w:val="0"/>
                      <w:sz w:val="21"/>
                      <w:szCs w:val="21"/>
                      <w:highlight w:val="none"/>
                    </w:rPr>
                    <w:t>的潜在场所。</w:t>
                  </w:r>
                </w:p>
              </w:tc>
              <w:tc>
                <w:tcPr>
                  <w:tcW w:w="920" w:type="dxa"/>
                  <w:noWrap w:val="0"/>
                  <w:vAlign w:val="center"/>
                </w:tcPr>
                <w:p w14:paraId="13B93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5199CC16">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highlight w:val="none"/>
                <w:lang w:eastAsia="zh-CN" w:bidi="ar"/>
              </w:rPr>
              <w:t>根据上表分析</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szCs w:val="24"/>
                <w:highlight w:val="none"/>
                <w:lang w:val="en-US" w:eastAsia="zh-CN" w:bidi="ar"/>
              </w:rPr>
              <w:t>本项目选址位于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kern w:val="0"/>
                <w:sz w:val="24"/>
                <w:szCs w:val="24"/>
                <w:highlight w:val="none"/>
                <w:lang w:eastAsia="zh-CN" w:bidi="ar"/>
              </w:rPr>
              <w:t>，</w:t>
            </w:r>
            <w:r>
              <w:rPr>
                <w:rFonts w:hint="default" w:ascii="Times New Roman" w:hAnsi="Times New Roman" w:eastAsia="宋体" w:cs="Times New Roman"/>
                <w:color w:val="auto"/>
                <w:kern w:val="0"/>
                <w:sz w:val="24"/>
                <w:highlight w:val="none"/>
                <w:lang w:bidi="ar"/>
              </w:rPr>
              <w:t>项目选址符合</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kern w:val="0"/>
                <w:sz w:val="24"/>
                <w:szCs w:val="24"/>
                <w:highlight w:val="none"/>
                <w:lang w:val="en-US" w:eastAsia="zh-CN" w:bidi="ar"/>
              </w:rPr>
              <w:t>食品安全国家标准 食品生产通用卫生规范</w:t>
            </w:r>
            <w:r>
              <w:rPr>
                <w:rFonts w:hint="default" w:ascii="Times New Roman" w:hAnsi="Times New Roman" w:eastAsia="宋体" w:cs="Times New Roman"/>
                <w:b w:val="0"/>
                <w:color w:val="auto"/>
                <w:spacing w:val="0"/>
                <w:kern w:val="0"/>
                <w:sz w:val="24"/>
                <w:highlight w:val="none"/>
                <w:lang w:bidi="ar"/>
              </w:rPr>
              <w:t>》</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b w:val="0"/>
                <w:color w:val="auto"/>
                <w:spacing w:val="0"/>
                <w:kern w:val="0"/>
                <w:sz w:val="24"/>
                <w:highlight w:val="none"/>
                <w:lang w:val="en-US" w:eastAsia="zh-CN" w:bidi="ar"/>
              </w:rPr>
              <w:t>GB14881-2013</w:t>
            </w:r>
            <w:r>
              <w:rPr>
                <w:rFonts w:hint="default" w:ascii="Times New Roman" w:hAnsi="Times New Roman" w:eastAsia="宋体" w:cs="Times New Roman"/>
                <w:b w:val="0"/>
                <w:color w:val="auto"/>
                <w:spacing w:val="0"/>
                <w:kern w:val="0"/>
                <w:sz w:val="24"/>
                <w:highlight w:val="none"/>
                <w:lang w:eastAsia="zh-CN" w:bidi="ar"/>
              </w:rPr>
              <w:t>）</w:t>
            </w:r>
            <w:r>
              <w:rPr>
                <w:rFonts w:hint="default" w:ascii="Times New Roman" w:hAnsi="Times New Roman" w:eastAsia="宋体" w:cs="Times New Roman"/>
                <w:color w:val="auto"/>
                <w:kern w:val="0"/>
                <w:sz w:val="24"/>
                <w:highlight w:val="none"/>
                <w:lang w:val="en-US" w:eastAsia="zh-CN" w:bidi="ar"/>
              </w:rPr>
              <w:t>中的相关要求</w:t>
            </w:r>
            <w:r>
              <w:rPr>
                <w:rFonts w:hint="default" w:ascii="Times New Roman" w:hAnsi="Times New Roman" w:eastAsia="宋体" w:cs="Times New Roman"/>
                <w:color w:val="auto"/>
                <w:kern w:val="0"/>
                <w:sz w:val="24"/>
                <w:highlight w:val="none"/>
                <w:lang w:eastAsia="zh-CN" w:bidi="ar"/>
              </w:rPr>
              <w:t>。</w:t>
            </w:r>
          </w:p>
          <w:p w14:paraId="702100F0">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w:t>
            </w:r>
            <w:r>
              <w:rPr>
                <w:rFonts w:hint="eastAsia" w:ascii="Times New Roman" w:hAnsi="Times New Roman"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val="en-US" w:eastAsia="zh-CN"/>
              </w:rPr>
              <w:t>、项目平面布置合理性分析</w:t>
            </w:r>
          </w:p>
          <w:p w14:paraId="615A988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本项目位于云南寻甸产业园区羊街片区非烟轻工产业区内，项目周边主要为空地</w:t>
            </w:r>
            <w:r>
              <w:rPr>
                <w:rFonts w:hint="eastAsia" w:cs="Times New Roman"/>
                <w:b w:val="0"/>
                <w:bCs w:val="0"/>
                <w:color w:val="auto"/>
                <w:kern w:val="0"/>
                <w:sz w:val="24"/>
                <w:szCs w:val="24"/>
                <w:highlight w:val="none"/>
                <w:lang w:val="en-US" w:eastAsia="zh-CN" w:bidi="ar"/>
              </w:rPr>
              <w:t>及食品类加工企业</w:t>
            </w:r>
            <w:r>
              <w:rPr>
                <w:rFonts w:hint="default" w:ascii="Times New Roman" w:hAnsi="Times New Roman" w:eastAsia="宋体" w:cs="Times New Roman"/>
                <w:b w:val="0"/>
                <w:bCs w:val="0"/>
                <w:color w:val="auto"/>
                <w:kern w:val="0"/>
                <w:sz w:val="24"/>
                <w:szCs w:val="24"/>
                <w:highlight w:val="none"/>
                <w:lang w:val="en-US" w:eastAsia="zh-CN" w:bidi="ar"/>
              </w:rPr>
              <w:t>；厂区总</w:t>
            </w:r>
            <w:r>
              <w:rPr>
                <w:rFonts w:hint="eastAsia" w:cs="Times New Roman"/>
                <w:b w:val="0"/>
                <w:bCs w:val="0"/>
                <w:color w:val="auto"/>
                <w:kern w:val="0"/>
                <w:sz w:val="24"/>
                <w:szCs w:val="24"/>
                <w:highlight w:val="none"/>
                <w:lang w:val="en-US" w:eastAsia="zh-CN" w:bidi="ar"/>
              </w:rPr>
              <w:t>体</w:t>
            </w:r>
            <w:r>
              <w:rPr>
                <w:rFonts w:hint="default" w:ascii="Times New Roman" w:hAnsi="Times New Roman" w:eastAsia="宋体" w:cs="Times New Roman"/>
                <w:b w:val="0"/>
                <w:bCs w:val="0"/>
                <w:color w:val="auto"/>
                <w:kern w:val="0"/>
                <w:sz w:val="24"/>
                <w:szCs w:val="24"/>
                <w:highlight w:val="none"/>
                <w:lang w:val="en-US" w:eastAsia="zh-CN" w:bidi="ar"/>
              </w:rPr>
              <w:t>方案功能分区明确，总体划分为两个主要区域，即办公生活区及生产加工区。项目区场地呈东西向，根据项目区地形特点及生产生活的需求，在项目区靠近道路厂界一侧设置1个总入口及1个总出口，方便物料运进和产品运出；共设置</w:t>
            </w:r>
            <w:r>
              <w:rPr>
                <w:rFonts w:hint="eastAsia" w:cs="Times New Roman"/>
                <w:b w:val="0"/>
                <w:bCs w:val="0"/>
                <w:color w:val="auto"/>
                <w:kern w:val="0"/>
                <w:sz w:val="24"/>
                <w:szCs w:val="24"/>
                <w:highlight w:val="none"/>
                <w:lang w:val="en-US" w:eastAsia="zh-CN" w:bidi="ar"/>
              </w:rPr>
              <w:t>3</w:t>
            </w:r>
            <w:r>
              <w:rPr>
                <w:rFonts w:hint="default" w:ascii="Times New Roman" w:hAnsi="Times New Roman" w:eastAsia="宋体" w:cs="Times New Roman"/>
                <w:b w:val="0"/>
                <w:bCs w:val="0"/>
                <w:color w:val="auto"/>
                <w:kern w:val="0"/>
                <w:sz w:val="24"/>
                <w:szCs w:val="24"/>
                <w:highlight w:val="none"/>
                <w:lang w:val="en-US" w:eastAsia="zh-CN" w:bidi="ar"/>
              </w:rPr>
              <w:t>个生产厂房，</w:t>
            </w:r>
            <w:r>
              <w:rPr>
                <w:rFonts w:hint="eastAsia" w:cs="Times New Roman"/>
                <w:b w:val="0"/>
                <w:bCs w:val="0"/>
                <w:color w:val="auto"/>
                <w:kern w:val="0"/>
                <w:sz w:val="24"/>
                <w:szCs w:val="24"/>
                <w:highlight w:val="none"/>
                <w:lang w:val="en-US" w:eastAsia="zh-CN" w:bidi="ar"/>
              </w:rPr>
              <w:t>1个冷库，牛油加工车间</w:t>
            </w:r>
            <w:r>
              <w:rPr>
                <w:rFonts w:hint="default" w:ascii="Times New Roman" w:hAnsi="Times New Roman" w:eastAsia="宋体" w:cs="Times New Roman"/>
                <w:b w:val="0"/>
                <w:bCs w:val="0"/>
                <w:color w:val="auto"/>
                <w:kern w:val="0"/>
                <w:sz w:val="24"/>
                <w:szCs w:val="24"/>
                <w:highlight w:val="none"/>
                <w:lang w:val="en-US" w:eastAsia="zh-CN" w:bidi="ar"/>
              </w:rPr>
              <w:t>位于项目区</w:t>
            </w:r>
            <w:r>
              <w:rPr>
                <w:rFonts w:hint="eastAsia" w:cs="Times New Roman"/>
                <w:b w:val="0"/>
                <w:bCs w:val="0"/>
                <w:color w:val="auto"/>
                <w:kern w:val="0"/>
                <w:sz w:val="24"/>
                <w:szCs w:val="24"/>
                <w:highlight w:val="none"/>
                <w:lang w:val="en-US" w:eastAsia="zh-CN" w:bidi="ar"/>
              </w:rPr>
              <w:t>西南侧，牛干巴加工车间位于项目区东南侧，饲料油脂加工车间位于项目区西北侧；冷库位于项目区东北侧，冷库北侧为冰池；锅炉房设置于项目中间位置，即油脂加工车间和牛干巴加工车间中间；配套设施辅助房位于项目区北侧；调度配送、研发楼位于项目区西南侧，</w:t>
            </w:r>
            <w:r>
              <w:rPr>
                <w:rFonts w:hint="default" w:ascii="Times New Roman" w:hAnsi="Times New Roman" w:eastAsia="宋体" w:cs="Times New Roman"/>
                <w:b w:val="0"/>
                <w:bCs w:val="0"/>
                <w:color w:val="auto"/>
                <w:kern w:val="0"/>
                <w:sz w:val="24"/>
                <w:szCs w:val="24"/>
                <w:highlight w:val="none"/>
                <w:lang w:val="en-US" w:eastAsia="zh-CN" w:bidi="ar"/>
              </w:rPr>
              <w:t>综合</w:t>
            </w:r>
            <w:r>
              <w:rPr>
                <w:rFonts w:hint="eastAsia" w:cs="Times New Roman"/>
                <w:b w:val="0"/>
                <w:bCs w:val="0"/>
                <w:color w:val="auto"/>
                <w:kern w:val="0"/>
                <w:sz w:val="24"/>
                <w:szCs w:val="24"/>
                <w:highlight w:val="none"/>
                <w:lang w:val="en-US" w:eastAsia="zh-CN" w:bidi="ar"/>
              </w:rPr>
              <w:t>办公</w:t>
            </w:r>
            <w:r>
              <w:rPr>
                <w:rFonts w:hint="default" w:ascii="Times New Roman" w:hAnsi="Times New Roman" w:eastAsia="宋体" w:cs="Times New Roman"/>
                <w:b w:val="0"/>
                <w:bCs w:val="0"/>
                <w:color w:val="auto"/>
                <w:kern w:val="0"/>
                <w:sz w:val="24"/>
                <w:szCs w:val="24"/>
                <w:highlight w:val="none"/>
                <w:lang w:val="en-US" w:eastAsia="zh-CN" w:bidi="ar"/>
              </w:rPr>
              <w:t>楼</w:t>
            </w:r>
            <w:r>
              <w:rPr>
                <w:rFonts w:hint="eastAsia" w:cs="Times New Roman"/>
                <w:b w:val="0"/>
                <w:bCs w:val="0"/>
                <w:color w:val="auto"/>
                <w:kern w:val="0"/>
                <w:sz w:val="24"/>
                <w:szCs w:val="24"/>
                <w:highlight w:val="none"/>
                <w:lang w:val="en-US" w:eastAsia="zh-CN" w:bidi="ar"/>
              </w:rPr>
              <w:t>、消防水泵房</w:t>
            </w:r>
            <w:r>
              <w:rPr>
                <w:rFonts w:hint="default" w:ascii="Times New Roman" w:hAnsi="Times New Roman" w:eastAsia="宋体" w:cs="Times New Roman"/>
                <w:b w:val="0"/>
                <w:bCs w:val="0"/>
                <w:color w:val="auto"/>
                <w:kern w:val="0"/>
                <w:sz w:val="24"/>
                <w:szCs w:val="24"/>
                <w:highlight w:val="none"/>
                <w:lang w:val="en-US" w:eastAsia="zh-CN" w:bidi="ar"/>
              </w:rPr>
              <w:t>位于项目区</w:t>
            </w:r>
            <w:r>
              <w:rPr>
                <w:rFonts w:hint="eastAsia" w:cs="Times New Roman"/>
                <w:b w:val="0"/>
                <w:bCs w:val="0"/>
                <w:color w:val="auto"/>
                <w:kern w:val="0"/>
                <w:sz w:val="24"/>
                <w:szCs w:val="24"/>
                <w:highlight w:val="none"/>
                <w:lang w:val="en-US" w:eastAsia="zh-CN" w:bidi="ar"/>
              </w:rPr>
              <w:t>东南</w:t>
            </w:r>
            <w:r>
              <w:rPr>
                <w:rFonts w:hint="default" w:ascii="Times New Roman" w:hAnsi="Times New Roman" w:eastAsia="宋体" w:cs="Times New Roman"/>
                <w:b w:val="0"/>
                <w:bCs w:val="0"/>
                <w:color w:val="auto"/>
                <w:kern w:val="0"/>
                <w:sz w:val="24"/>
                <w:szCs w:val="24"/>
                <w:highlight w:val="none"/>
                <w:lang w:val="en-US" w:eastAsia="zh-CN" w:bidi="ar"/>
              </w:rPr>
              <w:t>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14:paraId="7944553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14:paraId="5EA4DC25">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w:t>
            </w:r>
            <w:r>
              <w:rPr>
                <w:rFonts w:hint="eastAsia" w:ascii="Times New Roman" w:hAnsi="Times New Roman"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、环境相容性分析</w:t>
            </w:r>
          </w:p>
          <w:p w14:paraId="2A7AC5B5">
            <w:pPr>
              <w:pStyle w:val="72"/>
              <w:keepNext w:val="0"/>
              <w:keepLines w:val="0"/>
              <w:pageBreakBefore w:val="0"/>
              <w:kinsoku/>
              <w:wordWrap/>
              <w:overflowPunct/>
              <w:topLinePunct w:val="0"/>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云南寻甸产业园区羊街片区非烟轻工产业区内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项目周边500m范围内企业具体分布情况见下表。</w:t>
            </w:r>
          </w:p>
          <w:p w14:paraId="7563BBBB">
            <w:pPr>
              <w:keepNext w:val="0"/>
              <w:keepLines w:val="0"/>
              <w:pageBreakBefore w:val="0"/>
              <w:widowControl/>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1-</w:t>
            </w:r>
            <w:r>
              <w:rPr>
                <w:rFonts w:hint="eastAsia" w:ascii="Times New Roman" w:hAnsi="Times New Roman" w:eastAsia="宋体" w:cs="Times New Roman"/>
                <w:b/>
                <w:bCs/>
                <w:color w:val="auto"/>
                <w:spacing w:val="-2"/>
                <w:sz w:val="21"/>
                <w:szCs w:val="21"/>
                <w:highlight w:val="none"/>
                <w:lang w:val="en-US" w:eastAsia="zh-CN"/>
              </w:rPr>
              <w:t>1</w:t>
            </w:r>
            <w:r>
              <w:rPr>
                <w:rFonts w:hint="eastAsia" w:cs="Times New Roman"/>
                <w:b/>
                <w:bCs/>
                <w:color w:val="auto"/>
                <w:spacing w:val="-2"/>
                <w:sz w:val="21"/>
                <w:szCs w:val="21"/>
                <w:highlight w:val="none"/>
                <w:lang w:val="en-US" w:eastAsia="zh-CN"/>
              </w:rPr>
              <w:t>2</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pacing w:val="-2"/>
                <w:sz w:val="21"/>
                <w:szCs w:val="21"/>
                <w:highlight w:val="none"/>
              </w:rPr>
              <w:t>本项目周边</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6"/>
              <w:tblW w:w="8176"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378"/>
              <w:gridCol w:w="1526"/>
              <w:gridCol w:w="1189"/>
              <w:gridCol w:w="2207"/>
              <w:gridCol w:w="2876"/>
            </w:tblGrid>
            <w:tr w14:paraId="5A9AF78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78" w:type="dxa"/>
                  <w:tcBorders>
                    <w:tl2br w:val="nil"/>
                    <w:tr2bl w:val="nil"/>
                  </w:tcBorders>
                  <w:noWrap w:val="0"/>
                  <w:vAlign w:val="center"/>
                </w:tcPr>
                <w:p w14:paraId="1AF2D1F0">
                  <w:pPr>
                    <w:pStyle w:val="7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526" w:type="dxa"/>
                  <w:tcBorders>
                    <w:tl2br w:val="nil"/>
                    <w:tr2bl w:val="nil"/>
                  </w:tcBorders>
                  <w:noWrap w:val="0"/>
                  <w:vAlign w:val="center"/>
                </w:tcPr>
                <w:p w14:paraId="2DED27DA">
                  <w:pPr>
                    <w:pStyle w:val="7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1189" w:type="dxa"/>
                  <w:tcBorders>
                    <w:tl2br w:val="nil"/>
                    <w:tr2bl w:val="nil"/>
                  </w:tcBorders>
                  <w:noWrap w:val="0"/>
                  <w:vAlign w:val="center"/>
                </w:tcPr>
                <w:p w14:paraId="005C41FD">
                  <w:pPr>
                    <w:pStyle w:val="7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2207" w:type="dxa"/>
                  <w:tcBorders>
                    <w:tl2br w:val="nil"/>
                    <w:tr2bl w:val="nil"/>
                  </w:tcBorders>
                  <w:noWrap w:val="0"/>
                  <w:vAlign w:val="center"/>
                </w:tcPr>
                <w:p w14:paraId="518D0522">
                  <w:pPr>
                    <w:pStyle w:val="78"/>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2876" w:type="dxa"/>
                  <w:tcBorders>
                    <w:tl2br w:val="nil"/>
                    <w:tr2bl w:val="nil"/>
                  </w:tcBorders>
                  <w:noWrap w:val="0"/>
                  <w:vAlign w:val="center"/>
                </w:tcPr>
                <w:p w14:paraId="653BD76D">
                  <w:pPr>
                    <w:pStyle w:val="78"/>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14:paraId="5121E9D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78" w:type="dxa"/>
                  <w:tcBorders>
                    <w:tl2br w:val="nil"/>
                    <w:tr2bl w:val="nil"/>
                  </w:tcBorders>
                  <w:noWrap w:val="0"/>
                  <w:vAlign w:val="center"/>
                </w:tcPr>
                <w:p w14:paraId="0A177DE3">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526" w:type="dxa"/>
                  <w:tcBorders>
                    <w:tl2br w:val="nil"/>
                    <w:tr2bl w:val="nil"/>
                  </w:tcBorders>
                  <w:noWrap w:val="0"/>
                  <w:vAlign w:val="center"/>
                </w:tcPr>
                <w:p w14:paraId="31F4E3EC">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寻甸水井人农业发展有限公司富泓蔬菜</w:t>
                  </w:r>
                </w:p>
              </w:tc>
              <w:tc>
                <w:tcPr>
                  <w:tcW w:w="1189" w:type="dxa"/>
                  <w:tcBorders>
                    <w:tl2br w:val="nil"/>
                    <w:tr2bl w:val="nil"/>
                  </w:tcBorders>
                  <w:noWrap w:val="0"/>
                  <w:vAlign w:val="center"/>
                </w:tcPr>
                <w:p w14:paraId="3ACE4579">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w:t>
                  </w:r>
                  <w:r>
                    <w:rPr>
                      <w:rFonts w:hint="eastAsia" w:cs="Times New Roman"/>
                      <w:b w:val="0"/>
                      <w:bCs w:val="0"/>
                      <w:color w:val="auto"/>
                      <w:sz w:val="21"/>
                      <w:szCs w:val="21"/>
                      <w:highlight w:val="none"/>
                      <w:lang w:val="en-US" w:eastAsia="zh-CN"/>
                    </w:rPr>
                    <w:t>15</w:t>
                  </w:r>
                  <w:r>
                    <w:rPr>
                      <w:rFonts w:hint="default" w:ascii="Times New Roman" w:hAnsi="Times New Roman" w:eastAsia="宋体" w:cs="Times New Roman"/>
                      <w:b w:val="0"/>
                      <w:bCs w:val="0"/>
                      <w:color w:val="auto"/>
                      <w:sz w:val="21"/>
                      <w:szCs w:val="21"/>
                      <w:highlight w:val="none"/>
                      <w:lang w:val="en-US" w:eastAsia="zh-CN"/>
                    </w:rPr>
                    <w:t>m</w:t>
                  </w:r>
                </w:p>
              </w:tc>
              <w:tc>
                <w:tcPr>
                  <w:tcW w:w="2207" w:type="dxa"/>
                  <w:tcBorders>
                    <w:tl2br w:val="nil"/>
                    <w:tr2bl w:val="nil"/>
                  </w:tcBorders>
                  <w:noWrap w:val="0"/>
                  <w:vAlign w:val="center"/>
                </w:tcPr>
                <w:p w14:paraId="744A5CB7">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SA"/>
                    </w:rPr>
                    <w:t>蔬菜、农作物种植、加工、冷藏及销售；农副产品销售；预包装食品兼散装食品加工；冷库服务，普通货物仓储</w:t>
                  </w:r>
                  <w:r>
                    <w:rPr>
                      <w:rFonts w:hint="eastAsia" w:cs="Times New Roman"/>
                      <w:b w:val="0"/>
                      <w:bCs w:val="0"/>
                      <w:color w:val="auto"/>
                      <w:kern w:val="2"/>
                      <w:sz w:val="21"/>
                      <w:szCs w:val="21"/>
                      <w:highlight w:val="none"/>
                      <w:lang w:val="en-US" w:eastAsia="zh-CN" w:bidi="ar-SA"/>
                    </w:rPr>
                    <w:t>。</w:t>
                  </w:r>
                </w:p>
              </w:tc>
              <w:tc>
                <w:tcPr>
                  <w:tcW w:w="2876" w:type="dxa"/>
                  <w:tcBorders>
                    <w:tl2br w:val="nil"/>
                    <w:tr2bl w:val="nil"/>
                  </w:tcBorders>
                  <w:noWrap w:val="0"/>
                  <w:vAlign w:val="center"/>
                </w:tcPr>
                <w:p w14:paraId="68435E40">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废水：生产废水、生活污水；废气：异味；噪声；固废；</w:t>
                  </w:r>
                </w:p>
              </w:tc>
            </w:tr>
            <w:tr w14:paraId="1A422AC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jc w:val="center"/>
              </w:trPr>
              <w:tc>
                <w:tcPr>
                  <w:tcW w:w="378" w:type="dxa"/>
                  <w:tcBorders>
                    <w:tl2br w:val="nil"/>
                    <w:tr2bl w:val="nil"/>
                  </w:tcBorders>
                  <w:noWrap w:val="0"/>
                  <w:vAlign w:val="center"/>
                </w:tcPr>
                <w:p w14:paraId="7E3F83A0">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526" w:type="dxa"/>
                  <w:tcBorders>
                    <w:tl2br w:val="nil"/>
                    <w:tr2bl w:val="nil"/>
                  </w:tcBorders>
                  <w:noWrap w:val="0"/>
                  <w:vAlign w:val="center"/>
                </w:tcPr>
                <w:p w14:paraId="603B0D0A">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寻甸县伊泰食品</w:t>
                  </w:r>
                  <w:r>
                    <w:rPr>
                      <w:rFonts w:hint="default" w:ascii="Times New Roman" w:hAnsi="Times New Roman" w:eastAsia="宋体" w:cs="Times New Roman"/>
                      <w:b w:val="0"/>
                      <w:bCs w:val="0"/>
                      <w:color w:val="auto"/>
                      <w:sz w:val="21"/>
                      <w:szCs w:val="21"/>
                      <w:highlight w:val="none"/>
                      <w:lang w:val="en-US" w:eastAsia="zh-CN"/>
                    </w:rPr>
                    <w:t>有限公司</w:t>
                  </w:r>
                </w:p>
              </w:tc>
              <w:tc>
                <w:tcPr>
                  <w:tcW w:w="1189" w:type="dxa"/>
                  <w:tcBorders>
                    <w:tl2br w:val="nil"/>
                    <w:tr2bl w:val="nil"/>
                  </w:tcBorders>
                  <w:noWrap w:val="0"/>
                  <w:vAlign w:val="center"/>
                </w:tcPr>
                <w:p w14:paraId="761A5669">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西侧20m</w:t>
                  </w:r>
                </w:p>
              </w:tc>
              <w:tc>
                <w:tcPr>
                  <w:tcW w:w="2207" w:type="dxa"/>
                  <w:tcBorders>
                    <w:tl2br w:val="nil"/>
                    <w:tr2bl w:val="nil"/>
                  </w:tcBorders>
                  <w:noWrap w:val="0"/>
                  <w:vAlign w:val="center"/>
                </w:tcPr>
                <w:p w14:paraId="4D7036C4">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烘焙食品、面包、休闲食品</w:t>
                  </w:r>
                </w:p>
              </w:tc>
              <w:tc>
                <w:tcPr>
                  <w:tcW w:w="2876" w:type="dxa"/>
                  <w:tcBorders>
                    <w:tl2br w:val="nil"/>
                    <w:tr2bl w:val="nil"/>
                  </w:tcBorders>
                  <w:noWrap w:val="0"/>
                  <w:vAlign w:val="center"/>
                </w:tcPr>
                <w:p w14:paraId="0289D396">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14:paraId="56448A6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78" w:type="dxa"/>
                  <w:tcBorders>
                    <w:tl2br w:val="nil"/>
                    <w:tr2bl w:val="nil"/>
                  </w:tcBorders>
                  <w:noWrap w:val="0"/>
                  <w:vAlign w:val="center"/>
                </w:tcPr>
                <w:p w14:paraId="39D9AE5B">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526" w:type="dxa"/>
                  <w:tcBorders>
                    <w:tl2br w:val="nil"/>
                    <w:tr2bl w:val="nil"/>
                  </w:tcBorders>
                  <w:noWrap w:val="0"/>
                  <w:vAlign w:val="center"/>
                </w:tcPr>
                <w:p w14:paraId="7F3B692C">
                  <w:pPr>
                    <w:jc w:val="center"/>
                    <w:rPr>
                      <w:rFonts w:hint="eastAsia" w:cs="Times New Roman"/>
                      <w:b w:val="0"/>
                      <w:bCs w:val="0"/>
                      <w:color w:val="auto"/>
                      <w:sz w:val="21"/>
                      <w:szCs w:val="21"/>
                      <w:highlight w:val="none"/>
                      <w:lang w:val="en-US" w:eastAsia="zh-CN"/>
                    </w:rPr>
                  </w:pPr>
                  <w:r>
                    <w:rPr>
                      <w:rFonts w:hint="eastAsia"/>
                      <w:color w:val="auto"/>
                      <w:sz w:val="21"/>
                      <w:szCs w:val="21"/>
                    </w:rPr>
                    <w:t>云南云味牛食品有限公司</w:t>
                  </w:r>
                </w:p>
              </w:tc>
              <w:tc>
                <w:tcPr>
                  <w:tcW w:w="1189" w:type="dxa"/>
                  <w:tcBorders>
                    <w:tl2br w:val="nil"/>
                    <w:tr2bl w:val="nil"/>
                  </w:tcBorders>
                  <w:noWrap w:val="0"/>
                  <w:vAlign w:val="center"/>
                </w:tcPr>
                <w:p w14:paraId="0E7B5BCF">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西北</w:t>
                  </w:r>
                  <w:r>
                    <w:rPr>
                      <w:rFonts w:hint="default" w:ascii="Times New Roman" w:hAnsi="Times New Roman" w:eastAsia="宋体" w:cs="Times New Roman"/>
                      <w:b w:val="0"/>
                      <w:bCs w:val="0"/>
                      <w:color w:val="auto"/>
                      <w:sz w:val="21"/>
                      <w:szCs w:val="21"/>
                      <w:highlight w:val="none"/>
                      <w:lang w:val="en-US" w:eastAsia="zh-CN"/>
                    </w:rPr>
                    <w:t>侧1</w:t>
                  </w:r>
                  <w:r>
                    <w:rPr>
                      <w:rFonts w:hint="eastAsia" w:cs="Times New Roman"/>
                      <w:b w:val="0"/>
                      <w:bCs w:val="0"/>
                      <w:color w:val="auto"/>
                      <w:sz w:val="21"/>
                      <w:szCs w:val="21"/>
                      <w:highlight w:val="none"/>
                      <w:lang w:val="en-US" w:eastAsia="zh-CN"/>
                    </w:rPr>
                    <w:t>23</w:t>
                  </w:r>
                  <w:r>
                    <w:rPr>
                      <w:rFonts w:hint="default" w:ascii="Times New Roman" w:hAnsi="Times New Roman" w:eastAsia="宋体" w:cs="Times New Roman"/>
                      <w:b w:val="0"/>
                      <w:bCs w:val="0"/>
                      <w:color w:val="auto"/>
                      <w:sz w:val="21"/>
                      <w:szCs w:val="21"/>
                      <w:highlight w:val="none"/>
                      <w:lang w:val="en-US" w:eastAsia="zh-CN"/>
                    </w:rPr>
                    <w:t>m</w:t>
                  </w:r>
                </w:p>
              </w:tc>
              <w:tc>
                <w:tcPr>
                  <w:tcW w:w="2207" w:type="dxa"/>
                  <w:tcBorders>
                    <w:tl2br w:val="nil"/>
                    <w:tr2bl w:val="nil"/>
                  </w:tcBorders>
                  <w:noWrap w:val="0"/>
                  <w:vAlign w:val="center"/>
                </w:tcPr>
                <w:p w14:paraId="50978A48">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牛油生产</w:t>
                  </w:r>
                </w:p>
              </w:tc>
              <w:tc>
                <w:tcPr>
                  <w:tcW w:w="2876" w:type="dxa"/>
                  <w:tcBorders>
                    <w:tl2br w:val="nil"/>
                    <w:tr2bl w:val="nil"/>
                  </w:tcBorders>
                  <w:noWrap w:val="0"/>
                  <w:vAlign w:val="center"/>
                </w:tcPr>
                <w:p w14:paraId="10C67230">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废水：生产废水、生活污水；废气：</w:t>
                  </w:r>
                  <w:r>
                    <w:rPr>
                      <w:rFonts w:hint="eastAsia"/>
                      <w:color w:val="auto"/>
                      <w:sz w:val="21"/>
                      <w:szCs w:val="21"/>
                    </w:rPr>
                    <w:t>颗粒物、SO</w:t>
                  </w:r>
                  <w:r>
                    <w:rPr>
                      <w:rFonts w:hint="eastAsia"/>
                      <w:color w:val="auto"/>
                      <w:sz w:val="21"/>
                      <w:szCs w:val="21"/>
                      <w:vertAlign w:val="subscript"/>
                    </w:rPr>
                    <w:t>2</w:t>
                  </w:r>
                  <w:r>
                    <w:rPr>
                      <w:rFonts w:hint="eastAsia"/>
                      <w:color w:val="auto"/>
                      <w:sz w:val="21"/>
                      <w:szCs w:val="21"/>
                    </w:rPr>
                    <w:t>、NOx</w:t>
                  </w:r>
                  <w:r>
                    <w:rPr>
                      <w:rFonts w:hint="eastAsia"/>
                      <w:color w:val="auto"/>
                      <w:sz w:val="21"/>
                      <w:szCs w:val="21"/>
                      <w:lang w:eastAsia="zh-CN"/>
                    </w:rPr>
                    <w:t>、</w:t>
                  </w:r>
                  <w:r>
                    <w:rPr>
                      <w:rFonts w:hint="default" w:ascii="Times New Roman" w:hAnsi="Times New Roman" w:eastAsia="宋体" w:cs="Times New Roman"/>
                      <w:b w:val="0"/>
                      <w:bCs w:val="0"/>
                      <w:color w:val="auto"/>
                      <w:sz w:val="21"/>
                      <w:szCs w:val="21"/>
                      <w:highlight w:val="none"/>
                      <w:lang w:val="en-US" w:eastAsia="zh-CN"/>
                    </w:rPr>
                    <w:t>异味；噪声；固废；</w:t>
                  </w:r>
                </w:p>
              </w:tc>
            </w:tr>
            <w:tr w14:paraId="740B2C9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78" w:type="dxa"/>
                  <w:tcBorders>
                    <w:tl2br w:val="nil"/>
                    <w:tr2bl w:val="nil"/>
                  </w:tcBorders>
                  <w:noWrap w:val="0"/>
                  <w:vAlign w:val="center"/>
                </w:tcPr>
                <w:p w14:paraId="7F712C5C">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526" w:type="dxa"/>
                  <w:tcBorders>
                    <w:tl2br w:val="nil"/>
                    <w:tr2bl w:val="nil"/>
                  </w:tcBorders>
                  <w:noWrap w:val="0"/>
                  <w:vAlign w:val="center"/>
                </w:tcPr>
                <w:p w14:paraId="0052A628">
                  <w:pPr>
                    <w:jc w:val="center"/>
                    <w:rPr>
                      <w:rFonts w:hint="default" w:ascii="Times New Roman" w:hAnsi="Times New Roman" w:eastAsia="宋体" w:cs="Times New Roman"/>
                      <w:b w:val="0"/>
                      <w:bCs w:val="0"/>
                      <w:color w:val="auto"/>
                      <w:sz w:val="21"/>
                      <w:szCs w:val="21"/>
                      <w:highlight w:val="none"/>
                      <w:lang w:val="en-US" w:eastAsia="zh-CN"/>
                    </w:rPr>
                  </w:pPr>
                  <w:r>
                    <w:rPr>
                      <w:rFonts w:hint="eastAsia"/>
                      <w:color w:val="auto"/>
                      <w:sz w:val="21"/>
                      <w:szCs w:val="21"/>
                      <w:lang w:eastAsia="zh-CN"/>
                    </w:rPr>
                    <w:t>云南锦翔食品</w:t>
                  </w:r>
                  <w:r>
                    <w:rPr>
                      <w:rFonts w:hint="eastAsia"/>
                      <w:color w:val="auto"/>
                      <w:sz w:val="21"/>
                      <w:szCs w:val="21"/>
                    </w:rPr>
                    <w:t>有限公司</w:t>
                  </w:r>
                </w:p>
              </w:tc>
              <w:tc>
                <w:tcPr>
                  <w:tcW w:w="1189" w:type="dxa"/>
                  <w:tcBorders>
                    <w:tl2br w:val="nil"/>
                    <w:tr2bl w:val="nil"/>
                  </w:tcBorders>
                  <w:noWrap w:val="0"/>
                  <w:vAlign w:val="center"/>
                </w:tcPr>
                <w:p w14:paraId="215838AE">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西北</w:t>
                  </w:r>
                  <w:r>
                    <w:rPr>
                      <w:rFonts w:hint="default" w:ascii="Times New Roman" w:hAnsi="Times New Roman" w:eastAsia="宋体" w:cs="Times New Roman"/>
                      <w:b w:val="0"/>
                      <w:bCs w:val="0"/>
                      <w:color w:val="auto"/>
                      <w:sz w:val="21"/>
                      <w:szCs w:val="21"/>
                      <w:highlight w:val="none"/>
                      <w:lang w:val="en-US" w:eastAsia="zh-CN"/>
                    </w:rPr>
                    <w:t>侧1</w:t>
                  </w:r>
                  <w:r>
                    <w:rPr>
                      <w:rFonts w:hint="eastAsia" w:cs="Times New Roman"/>
                      <w:b w:val="0"/>
                      <w:bCs w:val="0"/>
                      <w:color w:val="auto"/>
                      <w:sz w:val="21"/>
                      <w:szCs w:val="21"/>
                      <w:highlight w:val="none"/>
                      <w:lang w:val="en-US" w:eastAsia="zh-CN"/>
                    </w:rPr>
                    <w:t>94</w:t>
                  </w:r>
                  <w:r>
                    <w:rPr>
                      <w:rFonts w:hint="default" w:ascii="Times New Roman" w:hAnsi="Times New Roman" w:eastAsia="宋体" w:cs="Times New Roman"/>
                      <w:b w:val="0"/>
                      <w:bCs w:val="0"/>
                      <w:color w:val="auto"/>
                      <w:sz w:val="21"/>
                      <w:szCs w:val="21"/>
                      <w:highlight w:val="none"/>
                      <w:lang w:val="en-US" w:eastAsia="zh-CN"/>
                    </w:rPr>
                    <w:t>m</w:t>
                  </w:r>
                </w:p>
              </w:tc>
              <w:tc>
                <w:tcPr>
                  <w:tcW w:w="2207" w:type="dxa"/>
                  <w:tcBorders>
                    <w:tl2br w:val="nil"/>
                    <w:tr2bl w:val="nil"/>
                  </w:tcBorders>
                  <w:noWrap w:val="0"/>
                  <w:vAlign w:val="center"/>
                </w:tcPr>
                <w:p w14:paraId="31E2515A">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米、面制品</w:t>
                  </w:r>
                </w:p>
              </w:tc>
              <w:tc>
                <w:tcPr>
                  <w:tcW w:w="2876" w:type="dxa"/>
                  <w:tcBorders>
                    <w:tl2br w:val="nil"/>
                    <w:tr2bl w:val="nil"/>
                  </w:tcBorders>
                  <w:noWrap w:val="0"/>
                  <w:vAlign w:val="center"/>
                </w:tcPr>
                <w:p w14:paraId="7AE671DC">
                  <w:pPr>
                    <w:pStyle w:val="78"/>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14:paraId="55ED41D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78" w:type="dxa"/>
                  <w:tcBorders>
                    <w:tl2br w:val="nil"/>
                    <w:tr2bl w:val="nil"/>
                  </w:tcBorders>
                  <w:noWrap w:val="0"/>
                  <w:vAlign w:val="center"/>
                </w:tcPr>
                <w:p w14:paraId="7E4190B2">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526" w:type="dxa"/>
                  <w:tcBorders>
                    <w:tl2br w:val="nil"/>
                    <w:tr2bl w:val="nil"/>
                  </w:tcBorders>
                  <w:noWrap w:val="0"/>
                  <w:vAlign w:val="center"/>
                </w:tcPr>
                <w:p w14:paraId="7374D905">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寻甸豁达食品有限公司</w:t>
                  </w:r>
                </w:p>
              </w:tc>
              <w:tc>
                <w:tcPr>
                  <w:tcW w:w="1189" w:type="dxa"/>
                  <w:tcBorders>
                    <w:tl2br w:val="nil"/>
                    <w:tr2bl w:val="nil"/>
                  </w:tcBorders>
                  <w:noWrap w:val="0"/>
                  <w:vAlign w:val="center"/>
                </w:tcPr>
                <w:p w14:paraId="63A5F7DB">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西北侧261</w:t>
                  </w:r>
                  <w:r>
                    <w:rPr>
                      <w:rFonts w:hint="default" w:ascii="Times New Roman" w:hAnsi="Times New Roman" w:eastAsia="宋体" w:cs="Times New Roman"/>
                      <w:b w:val="0"/>
                      <w:bCs w:val="0"/>
                      <w:color w:val="auto"/>
                      <w:sz w:val="21"/>
                      <w:szCs w:val="21"/>
                      <w:highlight w:val="none"/>
                      <w:lang w:val="en-US" w:eastAsia="zh-CN"/>
                    </w:rPr>
                    <w:t>m</w:t>
                  </w:r>
                </w:p>
              </w:tc>
              <w:tc>
                <w:tcPr>
                  <w:tcW w:w="2207" w:type="dxa"/>
                  <w:tcBorders>
                    <w:tl2br w:val="nil"/>
                    <w:tr2bl w:val="nil"/>
                  </w:tcBorders>
                  <w:noWrap w:val="0"/>
                  <w:vAlign w:val="center"/>
                </w:tcPr>
                <w:p w14:paraId="266BB161">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米线生产</w:t>
                  </w:r>
                </w:p>
              </w:tc>
              <w:tc>
                <w:tcPr>
                  <w:tcW w:w="2876" w:type="dxa"/>
                  <w:tcBorders>
                    <w:tl2br w:val="nil"/>
                    <w:tr2bl w:val="nil"/>
                  </w:tcBorders>
                  <w:noWrap w:val="0"/>
                  <w:vAlign w:val="center"/>
                </w:tcPr>
                <w:p w14:paraId="563A30F0">
                  <w:pPr>
                    <w:pStyle w:val="78"/>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废水：生产废水、生活污水；废气：颗粒物；噪声；固废；</w:t>
                  </w:r>
                </w:p>
              </w:tc>
            </w:tr>
            <w:tr w14:paraId="3D90752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378" w:type="dxa"/>
                  <w:tcBorders>
                    <w:tl2br w:val="nil"/>
                    <w:tr2bl w:val="nil"/>
                  </w:tcBorders>
                  <w:noWrap w:val="0"/>
                  <w:vAlign w:val="center"/>
                </w:tcPr>
                <w:p w14:paraId="320E8EAA">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526" w:type="dxa"/>
                  <w:tcBorders>
                    <w:tl2br w:val="nil"/>
                    <w:tr2bl w:val="nil"/>
                  </w:tcBorders>
                  <w:noWrap w:val="0"/>
                  <w:vAlign w:val="center"/>
                </w:tcPr>
                <w:p w14:paraId="2A1ED96A">
                  <w:pPr>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中国石油寻甸羊街加油站</w:t>
                  </w:r>
                </w:p>
              </w:tc>
              <w:tc>
                <w:tcPr>
                  <w:tcW w:w="1189" w:type="dxa"/>
                  <w:tcBorders>
                    <w:tl2br w:val="nil"/>
                    <w:tr2bl w:val="nil"/>
                  </w:tcBorders>
                  <w:noWrap w:val="0"/>
                  <w:vAlign w:val="center"/>
                </w:tcPr>
                <w:p w14:paraId="7A568C66">
                  <w:pPr>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西侧202m</w:t>
                  </w:r>
                </w:p>
              </w:tc>
              <w:tc>
                <w:tcPr>
                  <w:tcW w:w="2207" w:type="dxa"/>
                  <w:tcBorders>
                    <w:tl2br w:val="nil"/>
                    <w:tr2bl w:val="nil"/>
                  </w:tcBorders>
                  <w:noWrap w:val="0"/>
                  <w:vAlign w:val="center"/>
                </w:tcPr>
                <w:p w14:paraId="594CFE4B">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加油站</w:t>
                  </w:r>
                </w:p>
              </w:tc>
              <w:tc>
                <w:tcPr>
                  <w:tcW w:w="2876" w:type="dxa"/>
                  <w:tcBorders>
                    <w:tl2br w:val="nil"/>
                    <w:tr2bl w:val="nil"/>
                  </w:tcBorders>
                  <w:noWrap w:val="0"/>
                  <w:vAlign w:val="center"/>
                </w:tcPr>
                <w:p w14:paraId="0ED79DE1">
                  <w:pPr>
                    <w:pStyle w:val="78"/>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废水：生活污水；噪声；固废；</w:t>
                  </w:r>
                </w:p>
              </w:tc>
            </w:tr>
          </w:tbl>
          <w:p w14:paraId="1A6048AE">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产生的废水、</w:t>
            </w:r>
            <w:r>
              <w:rPr>
                <w:rFonts w:hint="default" w:ascii="Times New Roman" w:hAnsi="Times New Roman" w:eastAsia="宋体" w:cs="Times New Roman"/>
                <w:color w:val="auto"/>
                <w:kern w:val="2"/>
                <w:sz w:val="24"/>
                <w:szCs w:val="24"/>
                <w:highlight w:val="none"/>
                <w:lang w:val="zh-CN" w:eastAsia="zh-CN" w:bidi="ar-SA"/>
              </w:rPr>
              <w:t>废气</w:t>
            </w:r>
            <w:r>
              <w:rPr>
                <w:rFonts w:hint="default"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zh-CN" w:eastAsia="zh-CN" w:bidi="ar-SA"/>
              </w:rPr>
              <w:t>噪声均能达标排放，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14:paraId="2916ED8E">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14:paraId="20B822BA">
            <w:pPr>
              <w:pStyle w:val="7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p>
          <w:p w14:paraId="2C5BA2BC">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62D8CCA9">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52CF4A2F">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0C5C6207">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3BE52933">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5C9DDF0C">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13B1CA6D">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76174C58">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3837714A">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3685ACED">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4D43A030">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4EBD68AA">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0A0E57BC">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79809890">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56540211">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71C1C109">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72ACA4D6">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062F2700">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1E85E5B0">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10C98D29">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3974968E">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4E9416A8">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1A632A9C">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33CDD438">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5A97E5A4">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cs="Times New Roman"/>
                <w:color w:val="auto"/>
                <w:kern w:val="0"/>
                <w:sz w:val="24"/>
                <w:szCs w:val="24"/>
                <w:highlight w:val="none"/>
                <w:lang w:eastAsia="zh-CN"/>
              </w:rPr>
            </w:pPr>
          </w:p>
          <w:p w14:paraId="58C295F4">
            <w:pPr>
              <w:pStyle w:val="7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hint="eastAsia" w:ascii="Times New Roman" w:hAnsi="Times New Roman" w:eastAsia="宋体" w:cs="Times New Roman"/>
                <w:color w:val="auto"/>
                <w:kern w:val="0"/>
                <w:sz w:val="24"/>
                <w:szCs w:val="24"/>
                <w:highlight w:val="none"/>
                <w:lang w:eastAsia="zh-CN"/>
              </w:rPr>
            </w:pPr>
          </w:p>
        </w:tc>
      </w:tr>
    </w:tbl>
    <w:p w14:paraId="636676A5">
      <w:pP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55CA08F">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2" w:name="_Toc22458"/>
      <w:bookmarkStart w:id="13" w:name="_Toc1587"/>
      <w:bookmarkStart w:id="14" w:name="_Toc30051"/>
      <w:bookmarkStart w:id="15" w:name="_Toc7404"/>
      <w:r>
        <w:rPr>
          <w:rFonts w:hint="default" w:ascii="Times New Roman" w:hAnsi="Times New Roman" w:eastAsia="宋体" w:cs="Times New Roman"/>
          <w:b/>
          <w:bCs/>
          <w:snapToGrid w:val="0"/>
          <w:color w:val="auto"/>
          <w:sz w:val="30"/>
          <w:szCs w:val="30"/>
          <w:highlight w:val="none"/>
        </w:rPr>
        <w:t>二、建设项目工程分析</w:t>
      </w:r>
      <w:bookmarkEnd w:id="12"/>
      <w:bookmarkEnd w:id="13"/>
    </w:p>
    <w:tbl>
      <w:tblPr>
        <w:tblStyle w:val="26"/>
        <w:tblW w:w="94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55"/>
      </w:tblGrid>
      <w:tr w14:paraId="04D8E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9" w:hRule="atLeast"/>
          <w:jc w:val="center"/>
        </w:trPr>
        <w:tc>
          <w:tcPr>
            <w:tcW w:w="456" w:type="dxa"/>
            <w:vAlign w:val="center"/>
          </w:tcPr>
          <w:p w14:paraId="3BC18EDE">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55" w:type="dxa"/>
            <w:vAlign w:val="top"/>
          </w:tcPr>
          <w:p w14:paraId="2F0159A1">
            <w:pPr>
              <w:pStyle w:val="15"/>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14:paraId="439B61A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云南</w:t>
            </w:r>
            <w:r>
              <w:rPr>
                <w:rFonts w:hint="eastAsia" w:ascii="Times New Roman" w:hAnsi="Times New Roman" w:eastAsia="宋体" w:cs="Times New Roman"/>
                <w:color w:val="auto"/>
                <w:sz w:val="24"/>
                <w:highlight w:val="none"/>
                <w:lang w:val="en-US" w:eastAsia="zh-CN"/>
              </w:rPr>
              <w:t>瀛瑞食品</w:t>
            </w:r>
            <w:r>
              <w:rPr>
                <w:rFonts w:hint="default" w:ascii="Times New Roman" w:hAnsi="Times New Roman" w:eastAsia="宋体" w:cs="Times New Roman"/>
                <w:color w:val="auto"/>
                <w:sz w:val="24"/>
                <w:highlight w:val="none"/>
                <w:lang w:val="en-US" w:eastAsia="zh-CN"/>
              </w:rPr>
              <w:t>有限公司成立于202</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07</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lang w:val="en-US" w:eastAsia="zh-CN"/>
              </w:rPr>
              <w:t>日，项目法人为</w:t>
            </w:r>
            <w:r>
              <w:rPr>
                <w:rFonts w:hint="eastAsia" w:ascii="Times New Roman" w:hAnsi="Times New Roman" w:eastAsia="宋体" w:cs="Times New Roman"/>
                <w:color w:val="auto"/>
                <w:sz w:val="24"/>
                <w:highlight w:val="none"/>
                <w:lang w:val="en-US" w:eastAsia="zh-CN"/>
              </w:rPr>
              <w:t>陈星钢</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highlight w:val="none"/>
                <w:lang w:val="en-US" w:eastAsia="zh-CN"/>
              </w:rPr>
              <w:t>经营范围主要为</w:t>
            </w:r>
            <w:r>
              <w:rPr>
                <w:rFonts w:hint="eastAsia" w:ascii="Times New Roman" w:hAnsi="Times New Roman" w:eastAsia="宋体" w:cs="Times New Roman"/>
                <w:color w:val="auto"/>
                <w:sz w:val="24"/>
                <w:highlight w:val="none"/>
                <w:lang w:val="en-US" w:eastAsia="zh-CN"/>
              </w:rPr>
              <w:t>粮食加工食品生产；豆制品制造；食用农产品初加工，农产品的生产、销售、加工、运输、贮藏及其他相关服务；低温仓储</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现</w:t>
            </w:r>
            <w:r>
              <w:rPr>
                <w:rFonts w:hint="default" w:ascii="Times New Roman" w:hAnsi="Times New Roman" w:eastAsia="宋体" w:cs="Times New Roman"/>
                <w:color w:val="auto"/>
                <w:sz w:val="24"/>
                <w:szCs w:val="24"/>
                <w:highlight w:val="none"/>
                <w:lang w:val="zh-CN"/>
              </w:rPr>
              <w:t>拟投资</w:t>
            </w:r>
            <w:r>
              <w:rPr>
                <w:rFonts w:hint="eastAsia" w:ascii="Times New Roman" w:hAnsi="Times New Roman" w:eastAsia="宋体" w:cs="Times New Roman"/>
                <w:color w:val="auto"/>
                <w:sz w:val="24"/>
                <w:szCs w:val="24"/>
                <w:highlight w:val="none"/>
                <w:lang w:val="en-US" w:eastAsia="zh-CN"/>
              </w:rPr>
              <w:t>15728.2</w:t>
            </w:r>
            <w:r>
              <w:rPr>
                <w:rFonts w:hint="default" w:ascii="Times New Roman" w:hAnsi="Times New Roman" w:eastAsia="宋体" w:cs="Times New Roman"/>
                <w:color w:val="auto"/>
                <w:sz w:val="24"/>
                <w:szCs w:val="24"/>
                <w:highlight w:val="none"/>
                <w:lang w:val="zh-CN"/>
              </w:rPr>
              <w:t>万元在</w:t>
            </w:r>
            <w:r>
              <w:rPr>
                <w:rFonts w:hint="default" w:ascii="Times New Roman" w:hAnsi="Times New Roman" w:eastAsia="宋体" w:cs="Times New Roman"/>
                <w:color w:val="auto"/>
                <w:sz w:val="24"/>
                <w:szCs w:val="24"/>
                <w:highlight w:val="none"/>
                <w:lang w:val="zh-CN" w:eastAsia="zh-CN"/>
              </w:rPr>
              <w:t>云南寻甸产业园区羊街片区非烟轻工产业区内</w:t>
            </w:r>
            <w:r>
              <w:rPr>
                <w:rFonts w:hint="default" w:ascii="Times New Roman" w:hAnsi="Times New Roman" w:eastAsia="宋体" w:cs="Times New Roman"/>
                <w:color w:val="auto"/>
                <w:sz w:val="24"/>
                <w:szCs w:val="24"/>
                <w:highlight w:val="none"/>
              </w:rPr>
              <w:t>建设“</w:t>
            </w:r>
            <w:r>
              <w:rPr>
                <w:rFonts w:hint="default" w:ascii="Times New Roman" w:hAnsi="Times New Roman" w:eastAsia="宋体" w:cs="Times New Roman"/>
                <w:color w:val="auto"/>
                <w:sz w:val="24"/>
                <w:szCs w:val="24"/>
                <w:highlight w:val="none"/>
                <w:lang w:val="en-US" w:eastAsia="zh-CN"/>
              </w:rPr>
              <w:t>寻甸县瀛瑞综合型农产品加工项目</w:t>
            </w:r>
            <w:r>
              <w:rPr>
                <w:rFonts w:hint="default" w:ascii="Times New Roman" w:hAnsi="Times New Roman" w:eastAsia="宋体" w:cs="Times New Roman"/>
                <w:color w:val="auto"/>
                <w:sz w:val="24"/>
                <w:szCs w:val="24"/>
                <w:highlight w:val="none"/>
              </w:rPr>
              <w:t>”。</w:t>
            </w:r>
          </w:p>
          <w:p w14:paraId="2D654EF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lang w:val="en-US" w:eastAsia="zh-CN"/>
              </w:rPr>
              <w:t>日取得了寻甸特色产业园区管理委员会出具的项目入园申请同意书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w:t>
            </w:r>
            <w:r>
              <w:rPr>
                <w:rFonts w:hint="eastAsia" w:cs="Times New Roman"/>
                <w:color w:val="auto"/>
                <w:sz w:val="24"/>
                <w:szCs w:val="24"/>
                <w:highlight w:val="none"/>
                <w:lang w:val="en-US" w:eastAsia="zh-CN"/>
              </w:rPr>
              <w:t>瀛瑞食品</w:t>
            </w:r>
            <w:r>
              <w:rPr>
                <w:rFonts w:hint="default" w:ascii="Times New Roman" w:hAnsi="Times New Roman" w:eastAsia="宋体" w:cs="Times New Roman"/>
                <w:color w:val="auto"/>
                <w:sz w:val="24"/>
                <w:szCs w:val="24"/>
                <w:highlight w:val="none"/>
                <w:lang w:val="en-US" w:eastAsia="zh-CN"/>
              </w:rPr>
              <w:t>有限公司寻甸县瀛瑞综合型农产品加工项目入驻</w:t>
            </w:r>
            <w:r>
              <w:rPr>
                <w:rFonts w:hint="eastAsia" w:cs="Times New Roman"/>
                <w:color w:val="auto"/>
                <w:sz w:val="24"/>
                <w:szCs w:val="24"/>
                <w:highlight w:val="none"/>
                <w:lang w:val="en-US" w:eastAsia="zh-CN"/>
              </w:rPr>
              <w:t>寻甸特色产业</w:t>
            </w:r>
            <w:r>
              <w:rPr>
                <w:rFonts w:hint="default" w:ascii="Times New Roman" w:hAnsi="Times New Roman" w:eastAsia="宋体" w:cs="Times New Roman"/>
                <w:color w:val="auto"/>
                <w:sz w:val="24"/>
                <w:szCs w:val="24"/>
                <w:highlight w:val="none"/>
                <w:lang w:val="en-US" w:eastAsia="zh-CN"/>
              </w:rPr>
              <w:t>园区</w:t>
            </w:r>
            <w:r>
              <w:rPr>
                <w:rFonts w:hint="eastAsia" w:cs="Times New Roman"/>
                <w:color w:val="auto"/>
                <w:sz w:val="24"/>
                <w:szCs w:val="24"/>
                <w:highlight w:val="none"/>
                <w:lang w:val="en-US" w:eastAsia="zh-CN"/>
              </w:rPr>
              <w:t>羊街片区</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en-US" w:eastAsia="zh-CN"/>
              </w:rPr>
              <w:t>云南</w:t>
            </w:r>
            <w:r>
              <w:rPr>
                <w:rFonts w:hint="eastAsia" w:ascii="Times New Roman" w:hAnsi="Times New Roman" w:eastAsia="宋体" w:cs="Times New Roman"/>
                <w:color w:val="auto"/>
                <w:sz w:val="24"/>
                <w:highlight w:val="none"/>
                <w:lang w:val="en-US" w:eastAsia="zh-CN"/>
              </w:rPr>
              <w:t>瀛瑞食品</w:t>
            </w:r>
            <w:r>
              <w:rPr>
                <w:rFonts w:hint="default" w:ascii="Times New Roman" w:hAnsi="Times New Roman" w:eastAsia="宋体" w:cs="Times New Roman"/>
                <w:color w:val="auto"/>
                <w:sz w:val="24"/>
                <w:highlight w:val="none"/>
                <w:lang w:val="en-US" w:eastAsia="zh-CN"/>
              </w:rPr>
              <w:t>有限公司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-530129-04-0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419636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2023年</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月1</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日项目登记信息进行了部分变更</w:t>
            </w:r>
            <w:r>
              <w:rPr>
                <w:rFonts w:hint="eastAsia" w:cs="Times New Roman"/>
                <w:color w:val="auto"/>
                <w:sz w:val="24"/>
                <w:szCs w:val="24"/>
                <w:highlight w:val="none"/>
                <w:lang w:val="en-US" w:eastAsia="zh-CN"/>
              </w:rPr>
              <w:t>。</w:t>
            </w:r>
            <w:r>
              <w:rPr>
                <w:rFonts w:hint="eastAsia"/>
                <w:color w:val="auto"/>
                <w:sz w:val="24"/>
              </w:rPr>
              <w:t>项目建成后主要以精炼牛油生产</w:t>
            </w:r>
            <w:r>
              <w:rPr>
                <w:rFonts w:hint="eastAsia" w:cs="Times New Roman"/>
                <w:color w:val="auto"/>
                <w:sz w:val="24"/>
                <w:szCs w:val="24"/>
                <w:highlight w:val="none"/>
                <w:lang w:val="zh-CN"/>
              </w:rPr>
              <w:t>、牛干巴</w:t>
            </w:r>
            <w:r>
              <w:rPr>
                <w:rFonts w:hint="default" w:ascii="Times New Roman" w:hAnsi="Times New Roman" w:eastAsia="宋体" w:cs="Times New Roman"/>
                <w:color w:val="auto"/>
                <w:sz w:val="24"/>
                <w:szCs w:val="24"/>
                <w:highlight w:val="none"/>
                <w:lang w:val="zh-CN"/>
              </w:rPr>
              <w:t>及</w:t>
            </w:r>
            <w:r>
              <w:rPr>
                <w:rFonts w:hint="eastAsia" w:cs="Times New Roman"/>
                <w:color w:val="auto"/>
                <w:sz w:val="24"/>
                <w:szCs w:val="24"/>
                <w:highlight w:val="none"/>
                <w:lang w:val="zh-CN"/>
              </w:rPr>
              <w:t>饲料油脂</w:t>
            </w:r>
            <w:r>
              <w:rPr>
                <w:rFonts w:hint="default" w:ascii="Times New Roman" w:hAnsi="Times New Roman" w:eastAsia="宋体" w:cs="Times New Roman"/>
                <w:color w:val="auto"/>
                <w:sz w:val="24"/>
                <w:szCs w:val="24"/>
                <w:highlight w:val="none"/>
                <w:lang w:val="zh-CN"/>
              </w:rPr>
              <w:t>加工</w:t>
            </w:r>
            <w:r>
              <w:rPr>
                <w:rFonts w:hint="eastAsia"/>
                <w:color w:val="auto"/>
                <w:sz w:val="24"/>
              </w:rPr>
              <w:t>为主。项目</w:t>
            </w:r>
            <w:r>
              <w:rPr>
                <w:rFonts w:hint="eastAsia"/>
                <w:color w:val="auto"/>
                <w:sz w:val="24"/>
                <w:lang w:eastAsia="zh-CN"/>
              </w:rPr>
              <w:t>总</w:t>
            </w:r>
            <w:r>
              <w:rPr>
                <w:rFonts w:hint="eastAsia"/>
                <w:color w:val="auto"/>
                <w:sz w:val="24"/>
              </w:rPr>
              <w:t>占地面积</w:t>
            </w:r>
            <w:r>
              <w:rPr>
                <w:rFonts w:hint="eastAsia" w:cs="Times New Roman"/>
                <w:color w:val="auto"/>
                <w:sz w:val="24"/>
                <w:szCs w:val="24"/>
                <w:highlight w:val="none"/>
                <w:lang w:val="en-US" w:eastAsia="zh-CN"/>
              </w:rPr>
              <w:t>32340</w:t>
            </w:r>
            <w:r>
              <w:rPr>
                <w:color w:val="auto"/>
                <w:sz w:val="24"/>
              </w:rPr>
              <w:t>m</w:t>
            </w:r>
            <w:r>
              <w:rPr>
                <w:color w:val="auto"/>
                <w:sz w:val="24"/>
                <w:vertAlign w:val="superscript"/>
              </w:rPr>
              <w:t>2</w:t>
            </w:r>
            <w:r>
              <w:rPr>
                <w:rFonts w:hint="eastAsia"/>
                <w:color w:val="auto"/>
                <w:sz w:val="24"/>
                <w:vertAlign w:val="baseline"/>
                <w:lang w:eastAsia="zh-CN"/>
              </w:rPr>
              <w:t>（</w:t>
            </w:r>
            <w:r>
              <w:rPr>
                <w:rFonts w:hint="eastAsia"/>
                <w:color w:val="auto"/>
                <w:sz w:val="24"/>
                <w:vertAlign w:val="baseline"/>
                <w:lang w:val="en-US" w:eastAsia="zh-CN"/>
              </w:rPr>
              <w:t>48.51亩</w:t>
            </w:r>
            <w:r>
              <w:rPr>
                <w:rFonts w:hint="eastAsia"/>
                <w:color w:val="auto"/>
                <w:sz w:val="24"/>
                <w:vertAlign w:val="baseline"/>
                <w:lang w:eastAsia="zh-CN"/>
              </w:rPr>
              <w:t>）</w:t>
            </w:r>
            <w:r>
              <w:rPr>
                <w:rFonts w:hint="eastAsia"/>
                <w:color w:val="auto"/>
                <w:sz w:val="24"/>
              </w:rPr>
              <w:t>，</w:t>
            </w:r>
            <w:r>
              <w:rPr>
                <w:rFonts w:hint="eastAsia"/>
                <w:color w:val="auto"/>
                <w:sz w:val="24"/>
                <w:lang w:eastAsia="zh-CN"/>
              </w:rPr>
              <w:t>总</w:t>
            </w:r>
            <w:r>
              <w:rPr>
                <w:rFonts w:hint="eastAsia"/>
                <w:color w:val="auto"/>
                <w:sz w:val="24"/>
              </w:rPr>
              <w:t>建筑面积约</w:t>
            </w:r>
            <w:r>
              <w:rPr>
                <w:rFonts w:hint="eastAsia"/>
                <w:color w:val="auto"/>
                <w:sz w:val="24"/>
                <w:lang w:val="en-US" w:eastAsia="zh-CN"/>
              </w:rPr>
              <w:t>27946.08</w:t>
            </w:r>
            <w:r>
              <w:rPr>
                <w:rFonts w:hint="eastAsia"/>
                <w:color w:val="auto"/>
                <w:sz w:val="24"/>
              </w:rPr>
              <w:t>m</w:t>
            </w:r>
            <w:r>
              <w:rPr>
                <w:color w:val="auto"/>
                <w:sz w:val="24"/>
                <w:vertAlign w:val="superscript"/>
              </w:rPr>
              <w:t>2</w:t>
            </w:r>
            <w:r>
              <w:rPr>
                <w:rFonts w:hint="eastAsia"/>
                <w:color w:val="auto"/>
                <w:sz w:val="24"/>
              </w:rPr>
              <w:t>。本项目建成后年</w:t>
            </w:r>
            <w:r>
              <w:rPr>
                <w:rFonts w:hint="eastAsia"/>
                <w:color w:val="auto"/>
                <w:sz w:val="24"/>
                <w:lang w:eastAsia="zh-CN"/>
              </w:rPr>
              <w:t>生产</w:t>
            </w:r>
            <w:r>
              <w:rPr>
                <w:rFonts w:hint="eastAsia"/>
                <w:color w:val="auto"/>
                <w:sz w:val="24"/>
              </w:rPr>
              <w:t>精炼牛油4000吨</w:t>
            </w:r>
            <w:r>
              <w:rPr>
                <w:rFonts w:hint="eastAsia"/>
                <w:color w:val="auto"/>
                <w:sz w:val="24"/>
                <w:lang w:eastAsia="zh-CN"/>
              </w:rPr>
              <w:t>、牛干巴</w:t>
            </w:r>
            <w:r>
              <w:rPr>
                <w:rFonts w:hint="eastAsia"/>
                <w:color w:val="auto"/>
                <w:sz w:val="24"/>
                <w:lang w:val="en-US" w:eastAsia="zh-CN"/>
              </w:rPr>
              <w:t>360吨、</w:t>
            </w:r>
            <w:r>
              <w:rPr>
                <w:rFonts w:hint="default" w:ascii="Times New Roman" w:hAnsi="Times New Roman" w:eastAsia="宋体" w:cs="Times New Roman"/>
                <w:color w:val="auto"/>
                <w:kern w:val="0"/>
                <w:sz w:val="24"/>
                <w:szCs w:val="24"/>
                <w:lang w:val="en-US" w:eastAsia="zh-CN" w:bidi="ar"/>
              </w:rPr>
              <w:t>3000</w:t>
            </w:r>
            <w:r>
              <w:rPr>
                <w:rFonts w:hint="eastAsia" w:ascii="宋体" w:hAnsi="宋体" w:eastAsia="宋体" w:cs="宋体"/>
                <w:color w:val="auto"/>
                <w:kern w:val="0"/>
                <w:sz w:val="24"/>
                <w:szCs w:val="24"/>
                <w:lang w:val="en-US" w:eastAsia="zh-CN" w:bidi="ar"/>
              </w:rPr>
              <w:t>吨动物饲料油脂</w:t>
            </w:r>
            <w:r>
              <w:rPr>
                <w:rFonts w:hint="eastAsia" w:ascii="Times New Roman" w:hAnsi="Times New Roman" w:eastAsia="宋体" w:cs="Times New Roman"/>
                <w:color w:val="auto"/>
                <w:kern w:val="0"/>
                <w:sz w:val="24"/>
                <w:szCs w:val="24"/>
                <w:lang w:val="en-US" w:eastAsia="zh-CN" w:bidi="ar"/>
              </w:rPr>
              <w:t>。</w:t>
            </w:r>
          </w:p>
          <w:p w14:paraId="01AE35C0">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default" w:ascii="Times New Roman" w:hAnsi="Times New Roman" w:eastAsia="宋体" w:cs="Times New Roman"/>
                <w:color w:val="auto"/>
                <w:sz w:val="24"/>
                <w:szCs w:val="24"/>
                <w:highlight w:val="none"/>
                <w:lang w:val="en-US" w:eastAsia="zh-CN"/>
              </w:rPr>
              <w:t>十、</w:t>
            </w:r>
            <w:r>
              <w:rPr>
                <w:rFonts w:hint="eastAsia" w:cs="Times New Roman"/>
                <w:color w:val="auto"/>
                <w:sz w:val="24"/>
                <w:szCs w:val="24"/>
                <w:highlight w:val="none"/>
                <w:lang w:val="en-US" w:eastAsia="zh-CN"/>
              </w:rPr>
              <w:t>农副食品加工</w:t>
            </w:r>
            <w:r>
              <w:rPr>
                <w:rFonts w:hint="default" w:ascii="Times New Roman" w:hAnsi="Times New Roman" w:eastAsia="宋体" w:cs="Times New Roman"/>
                <w:color w:val="auto"/>
                <w:sz w:val="24"/>
                <w:szCs w:val="24"/>
                <w:highlight w:val="none"/>
                <w:lang w:val="en-US" w:eastAsia="zh-CN"/>
              </w:rPr>
              <w:t>业</w:t>
            </w:r>
            <w:r>
              <w:rPr>
                <w:rFonts w:hint="eastAsia" w:cs="Times New Roman"/>
                <w:color w:val="auto"/>
                <w:sz w:val="24"/>
                <w:szCs w:val="24"/>
                <w:highlight w:val="none"/>
                <w:lang w:val="en-US" w:eastAsia="zh-CN"/>
              </w:rPr>
              <w:t>13-15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饲料加工</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lang w:val="en-US" w:eastAsia="zh-CN"/>
              </w:rPr>
              <w:t>十、</w:t>
            </w:r>
            <w:r>
              <w:rPr>
                <w:rFonts w:hint="eastAsia" w:cs="Times New Roman"/>
                <w:color w:val="auto"/>
                <w:sz w:val="24"/>
                <w:szCs w:val="24"/>
                <w:highlight w:val="none"/>
                <w:lang w:val="en-US" w:eastAsia="zh-CN"/>
              </w:rPr>
              <w:t>农副食品加工</w:t>
            </w:r>
            <w:r>
              <w:rPr>
                <w:rFonts w:hint="default" w:ascii="Times New Roman" w:hAnsi="Times New Roman" w:eastAsia="宋体" w:cs="Times New Roman"/>
                <w:color w:val="auto"/>
                <w:sz w:val="24"/>
                <w:szCs w:val="24"/>
                <w:highlight w:val="none"/>
                <w:lang w:val="en-US" w:eastAsia="zh-CN"/>
              </w:rPr>
              <w:t>业</w:t>
            </w:r>
            <w:r>
              <w:rPr>
                <w:rFonts w:hint="eastAsia" w:ascii="Times New Roman" w:hAnsi="Times New Roman" w:eastAsia="宋体" w:cs="Times New Roman"/>
                <w:color w:val="auto"/>
                <w:sz w:val="24"/>
                <w:szCs w:val="24"/>
                <w:highlight w:val="none"/>
                <w:lang w:val="en-US" w:eastAsia="zh-CN"/>
              </w:rPr>
              <w:t>13-18</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屠宰及肉类加工135</w:t>
            </w:r>
            <w:r>
              <w:rPr>
                <w:rFonts w:hint="default" w:ascii="Times New Roman" w:hAnsi="Times New Roman" w:eastAsia="宋体" w:cs="Times New Roman"/>
                <w:color w:val="auto"/>
                <w:kern w:val="0"/>
                <w:sz w:val="24"/>
                <w:szCs w:val="24"/>
                <w:highlight w:val="none"/>
                <w:lang w:val="en-US" w:eastAsia="zh-CN" w:bidi="ar"/>
              </w:rPr>
              <w:t>”及“</w:t>
            </w:r>
            <w:r>
              <w:rPr>
                <w:rFonts w:hint="default" w:ascii="Times New Roman" w:hAnsi="Times New Roman" w:eastAsia="宋体" w:cs="Times New Roman"/>
                <w:color w:val="auto"/>
                <w:sz w:val="24"/>
                <w:szCs w:val="24"/>
                <w:highlight w:val="none"/>
              </w:rPr>
              <w:t>四十一、电力、热力生产和供应业</w:t>
            </w:r>
            <w:r>
              <w:rPr>
                <w:rFonts w:hint="default" w:ascii="Times New Roman" w:hAnsi="Times New Roman" w:eastAsia="宋体" w:cs="Times New Roman"/>
                <w:color w:val="auto"/>
                <w:sz w:val="24"/>
                <w:szCs w:val="24"/>
                <w:highlight w:val="none"/>
                <w:lang w:val="en-US" w:eastAsia="zh-CN"/>
              </w:rPr>
              <w:t>-91、</w:t>
            </w:r>
            <w:r>
              <w:rPr>
                <w:rFonts w:hint="default" w:ascii="Times New Roman" w:hAnsi="Times New Roman" w:eastAsia="宋体" w:cs="Times New Roman"/>
                <w:color w:val="auto"/>
                <w:sz w:val="24"/>
                <w:szCs w:val="24"/>
                <w:highlight w:val="none"/>
              </w:rPr>
              <w:t>热力生产和供应工程（包括建设单位自建自用的供热工程）</w:t>
            </w:r>
            <w:r>
              <w:rPr>
                <w:rFonts w:hint="eastAsia"/>
                <w:color w:val="auto"/>
                <w:sz w:val="24"/>
                <w:lang w:val="en-US" w:eastAsia="zh-CN"/>
              </w:rPr>
              <w:t>燃煤、燃油锅炉总容量65吨/小时（45.5兆瓦）及以下的；天然气锅炉总容量1吨/小时 （0.7兆瓦）以上的；使用其他高污染燃料的</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
              </w:rPr>
              <w:t>需编制环境影响报告表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为此，</w:t>
            </w:r>
            <w:r>
              <w:rPr>
                <w:rFonts w:hint="default" w:ascii="Times New Roman" w:hAnsi="Times New Roman" w:eastAsia="宋体" w:cs="Times New Roman"/>
                <w:color w:val="auto"/>
                <w:sz w:val="24"/>
                <w:highlight w:val="none"/>
                <w:lang w:val="en-US" w:eastAsia="zh-CN"/>
              </w:rPr>
              <w:t>云南</w:t>
            </w:r>
            <w:r>
              <w:rPr>
                <w:rFonts w:hint="eastAsia" w:ascii="Times New Roman" w:hAnsi="Times New Roman" w:eastAsia="宋体" w:cs="Times New Roman"/>
                <w:color w:val="auto"/>
                <w:sz w:val="24"/>
                <w:highlight w:val="none"/>
                <w:lang w:val="en-US" w:eastAsia="zh-CN"/>
              </w:rPr>
              <w:t>瀛瑞食品</w:t>
            </w:r>
            <w:r>
              <w:rPr>
                <w:rFonts w:hint="default" w:ascii="Times New Roman" w:hAnsi="Times New Roman" w:eastAsia="宋体" w:cs="Times New Roman"/>
                <w:color w:val="auto"/>
                <w:sz w:val="24"/>
                <w:highlight w:val="none"/>
                <w:lang w:val="en-US" w:eastAsia="zh-CN"/>
              </w:rPr>
              <w:t>有限公司</w:t>
            </w:r>
            <w:r>
              <w:rPr>
                <w:rFonts w:hint="default" w:ascii="Times New Roman" w:hAnsi="Times New Roman" w:eastAsia="宋体" w:cs="Times New Roman"/>
                <w:color w:val="auto"/>
                <w:kern w:val="0"/>
                <w:sz w:val="24"/>
                <w:szCs w:val="24"/>
                <w:highlight w:val="none"/>
                <w:lang w:val="en-US" w:eastAsia="zh-CN" w:bidi="ar"/>
              </w:rPr>
              <w:t>委托云南</w:t>
            </w:r>
            <w:r>
              <w:rPr>
                <w:rFonts w:hint="eastAsia" w:cs="Times New Roman"/>
                <w:color w:val="auto"/>
                <w:kern w:val="0"/>
                <w:sz w:val="24"/>
                <w:szCs w:val="24"/>
                <w:highlight w:val="none"/>
                <w:lang w:val="en-US" w:eastAsia="zh-CN" w:bidi="ar"/>
              </w:rPr>
              <w:t>策润环保科技</w:t>
            </w:r>
            <w:r>
              <w:rPr>
                <w:rFonts w:hint="default" w:ascii="Times New Roman" w:hAnsi="Times New Roman" w:eastAsia="宋体" w:cs="Times New Roman"/>
                <w:color w:val="auto"/>
                <w:kern w:val="0"/>
                <w:sz w:val="24"/>
                <w:szCs w:val="24"/>
                <w:highlight w:val="none"/>
                <w:lang w:val="en-US" w:eastAsia="zh-CN" w:bidi="ar"/>
              </w:rPr>
              <w:t>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寻甸县瀛瑞综合型农产品加工项目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14:paraId="025FE9E9">
            <w:pPr>
              <w:pStyle w:val="10"/>
              <w:keepNext w:val="0"/>
              <w:keepLines w:val="0"/>
              <w:pageBreakBefore w:val="0"/>
              <w:widowControl w:val="0"/>
              <w:tabs>
                <w:tab w:val="center" w:pos="4360"/>
              </w:tabs>
              <w:kinsoku/>
              <w:wordWrap/>
              <w:overflowPunct/>
              <w:topLinePunct w:val="0"/>
              <w:autoSpaceDE/>
              <w:autoSpaceDN/>
              <w:bidi w:val="0"/>
              <w:spacing w:line="356"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14:paraId="4BD72FFF">
            <w:pPr>
              <w:pStyle w:val="10"/>
              <w:keepNext w:val="0"/>
              <w:keepLines w:val="0"/>
              <w:pageBreakBefore w:val="0"/>
              <w:widowControl w:val="0"/>
              <w:tabs>
                <w:tab w:val="center" w:pos="4360"/>
              </w:tabs>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color w:val="auto"/>
                <w:sz w:val="24"/>
                <w:lang w:eastAsia="zh-CN"/>
              </w:rPr>
            </w:pPr>
            <w:r>
              <w:rPr>
                <w:rFonts w:hint="default" w:ascii="Times New Roman" w:hAnsi="Times New Roman" w:eastAsia="宋体" w:cs="Times New Roman"/>
                <w:b/>
                <w:bCs w:val="0"/>
                <w:color w:val="auto"/>
                <w:sz w:val="24"/>
                <w:szCs w:val="24"/>
                <w:highlight w:val="none"/>
                <w:lang w:val="en-US" w:eastAsia="zh-CN"/>
              </w:rPr>
              <w:t>1、</w:t>
            </w:r>
            <w:r>
              <w:rPr>
                <w:rFonts w:hint="eastAsia" w:ascii="Times New Roman" w:hAnsi="Times New Roman" w:cs="Times New Roman"/>
                <w:b/>
                <w:color w:val="auto"/>
                <w:sz w:val="24"/>
                <w:lang w:eastAsia="zh-CN"/>
              </w:rPr>
              <w:t>项目概况</w:t>
            </w:r>
          </w:p>
          <w:p w14:paraId="29A23F7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color w:val="auto"/>
                <w:sz w:val="24"/>
              </w:rPr>
              <w:t>项目名称：</w:t>
            </w:r>
            <w:r>
              <w:rPr>
                <w:rFonts w:hint="default" w:ascii="Times New Roman" w:hAnsi="Times New Roman" w:eastAsia="宋体" w:cs="Times New Roman"/>
                <w:color w:val="auto"/>
                <w:sz w:val="24"/>
                <w:szCs w:val="24"/>
                <w:highlight w:val="none"/>
                <w:lang w:val="en-US" w:eastAsia="zh-CN"/>
              </w:rPr>
              <w:t>寻甸县瀛瑞综合型农产品加工项目</w:t>
            </w:r>
          </w:p>
          <w:p w14:paraId="0BB1CD4A">
            <w:pPr>
              <w:adjustRightInd w:val="0"/>
              <w:snapToGrid w:val="0"/>
              <w:spacing w:line="360" w:lineRule="auto"/>
              <w:ind w:firstLine="480" w:firstLineChars="200"/>
              <w:rPr>
                <w:color w:val="auto"/>
                <w:sz w:val="24"/>
              </w:rPr>
            </w:pPr>
            <w:r>
              <w:rPr>
                <w:color w:val="auto"/>
                <w:sz w:val="24"/>
              </w:rPr>
              <w:t>项目建设地点：</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eastAsia"/>
                <w:color w:val="auto"/>
                <w:sz w:val="24"/>
              </w:rPr>
              <w:t>，地理位置中心坐标东</w:t>
            </w:r>
            <w:r>
              <w:rPr>
                <w:color w:val="auto"/>
                <w:sz w:val="24"/>
              </w:rPr>
              <w:t>经</w:t>
            </w:r>
            <w:r>
              <w:rPr>
                <w:rFonts w:hint="eastAsia"/>
                <w:color w:val="auto"/>
                <w:sz w:val="24"/>
                <w:lang w:val="en-US" w:eastAsia="zh-CN"/>
              </w:rPr>
              <w:t>103</w:t>
            </w:r>
            <w:r>
              <w:rPr>
                <w:color w:val="auto"/>
                <w:sz w:val="24"/>
              </w:rPr>
              <w:t>°</w:t>
            </w:r>
            <w:r>
              <w:rPr>
                <w:rFonts w:hint="eastAsia"/>
                <w:color w:val="auto"/>
                <w:sz w:val="24"/>
                <w:lang w:val="en-US" w:eastAsia="zh-CN"/>
              </w:rPr>
              <w:t>07</w:t>
            </w:r>
            <w:r>
              <w:rPr>
                <w:color w:val="auto"/>
                <w:sz w:val="24"/>
              </w:rPr>
              <w:t>′</w:t>
            </w:r>
            <w:r>
              <w:rPr>
                <w:rFonts w:hint="eastAsia"/>
                <w:color w:val="auto"/>
                <w:sz w:val="24"/>
                <w:lang w:val="en-US" w:eastAsia="zh-CN"/>
              </w:rPr>
              <w:t>51.175</w:t>
            </w:r>
            <w:r>
              <w:rPr>
                <w:color w:val="auto"/>
                <w:sz w:val="24"/>
              </w:rPr>
              <w:t>″，北纬25°</w:t>
            </w:r>
            <w:r>
              <w:rPr>
                <w:rFonts w:hint="eastAsia"/>
                <w:color w:val="auto"/>
                <w:sz w:val="24"/>
              </w:rPr>
              <w:t>2</w:t>
            </w:r>
            <w:r>
              <w:rPr>
                <w:rFonts w:hint="eastAsia"/>
                <w:color w:val="auto"/>
                <w:sz w:val="24"/>
                <w:lang w:val="en-US" w:eastAsia="zh-CN"/>
              </w:rPr>
              <w:t>6</w:t>
            </w:r>
            <w:r>
              <w:rPr>
                <w:color w:val="auto"/>
                <w:sz w:val="24"/>
              </w:rPr>
              <w:t>′</w:t>
            </w:r>
            <w:r>
              <w:rPr>
                <w:rFonts w:hint="eastAsia"/>
                <w:color w:val="auto"/>
                <w:sz w:val="24"/>
                <w:lang w:val="en-US" w:eastAsia="zh-CN"/>
              </w:rPr>
              <w:t>6.137</w:t>
            </w:r>
            <w:r>
              <w:rPr>
                <w:color w:val="auto"/>
                <w:sz w:val="24"/>
              </w:rPr>
              <w:t>″。</w:t>
            </w:r>
          </w:p>
          <w:p w14:paraId="3589862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color w:val="auto"/>
                <w:sz w:val="24"/>
              </w:rPr>
              <w:t>建设单位：</w:t>
            </w:r>
            <w:r>
              <w:rPr>
                <w:rFonts w:hint="default" w:ascii="Times New Roman" w:hAnsi="Times New Roman" w:eastAsia="宋体" w:cs="Times New Roman"/>
                <w:color w:val="auto"/>
                <w:sz w:val="24"/>
                <w:highlight w:val="none"/>
                <w:lang w:val="en-US" w:eastAsia="zh-CN"/>
              </w:rPr>
              <w:t>云南</w:t>
            </w:r>
            <w:r>
              <w:rPr>
                <w:rFonts w:hint="eastAsia" w:ascii="Times New Roman" w:hAnsi="Times New Roman" w:eastAsia="宋体" w:cs="Times New Roman"/>
                <w:color w:val="auto"/>
                <w:sz w:val="24"/>
                <w:highlight w:val="none"/>
                <w:lang w:val="en-US" w:eastAsia="zh-CN"/>
              </w:rPr>
              <w:t>瀛瑞食品</w:t>
            </w:r>
            <w:r>
              <w:rPr>
                <w:rFonts w:hint="default" w:ascii="Times New Roman" w:hAnsi="Times New Roman" w:eastAsia="宋体" w:cs="Times New Roman"/>
                <w:color w:val="auto"/>
                <w:sz w:val="24"/>
                <w:highlight w:val="none"/>
                <w:lang w:val="en-US" w:eastAsia="zh-CN"/>
              </w:rPr>
              <w:t>有限公司</w:t>
            </w:r>
          </w:p>
          <w:p w14:paraId="62B63CB9">
            <w:pPr>
              <w:adjustRightInd w:val="0"/>
              <w:snapToGrid w:val="0"/>
              <w:spacing w:line="360" w:lineRule="auto"/>
              <w:ind w:firstLine="480" w:firstLineChars="200"/>
              <w:rPr>
                <w:color w:val="auto"/>
                <w:sz w:val="24"/>
              </w:rPr>
            </w:pPr>
            <w:r>
              <w:rPr>
                <w:color w:val="auto"/>
                <w:sz w:val="24"/>
              </w:rPr>
              <w:t>建设性质：新建</w:t>
            </w:r>
          </w:p>
          <w:p w14:paraId="4E78DE0E">
            <w:pPr>
              <w:adjustRightInd w:val="0"/>
              <w:snapToGrid w:val="0"/>
              <w:spacing w:line="360" w:lineRule="auto"/>
              <w:ind w:firstLine="480" w:firstLineChars="200"/>
              <w:rPr>
                <w:color w:val="auto"/>
                <w:sz w:val="24"/>
              </w:rPr>
            </w:pPr>
            <w:r>
              <w:rPr>
                <w:color w:val="auto"/>
                <w:sz w:val="24"/>
              </w:rPr>
              <w:t>项目投资：</w:t>
            </w:r>
            <w:r>
              <w:rPr>
                <w:rFonts w:hint="eastAsia" w:ascii="Times New Roman" w:hAnsi="Times New Roman" w:eastAsia="宋体" w:cs="Times New Roman"/>
                <w:color w:val="auto"/>
                <w:sz w:val="24"/>
                <w:szCs w:val="24"/>
                <w:highlight w:val="none"/>
                <w:lang w:val="en-US" w:eastAsia="zh-CN"/>
              </w:rPr>
              <w:t>15728.2</w:t>
            </w:r>
            <w:r>
              <w:rPr>
                <w:color w:val="auto"/>
                <w:sz w:val="24"/>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eastAsia" w:cs="Times New Roman"/>
                <w:color w:val="auto"/>
                <w:sz w:val="24"/>
                <w:highlight w:val="none"/>
                <w:lang w:val="en-US" w:eastAsia="zh-CN"/>
              </w:rPr>
              <w:t>68.1</w:t>
            </w:r>
            <w:r>
              <w:rPr>
                <w:rFonts w:hint="default" w:ascii="Times New Roman" w:hAnsi="Times New Roman" w:eastAsia="宋体" w:cs="Times New Roman"/>
                <w:color w:val="auto"/>
                <w:sz w:val="24"/>
                <w:highlight w:val="none"/>
              </w:rPr>
              <w:t>万元，占总投资的</w:t>
            </w:r>
            <w:r>
              <w:rPr>
                <w:rFonts w:hint="eastAsia" w:cs="Times New Roman"/>
                <w:color w:val="auto"/>
                <w:sz w:val="24"/>
                <w:highlight w:val="none"/>
                <w:lang w:val="en-US" w:eastAsia="zh-CN"/>
              </w:rPr>
              <w:t>0.43</w:t>
            </w:r>
            <w:r>
              <w:rPr>
                <w:rFonts w:hint="default" w:ascii="Times New Roman" w:hAnsi="Times New Roman" w:eastAsia="宋体" w:cs="Times New Roman"/>
                <w:color w:val="auto"/>
                <w:sz w:val="24"/>
                <w:highlight w:val="none"/>
              </w:rPr>
              <w:t>%</w:t>
            </w:r>
            <w:r>
              <w:rPr>
                <w:color w:val="auto"/>
                <w:sz w:val="24"/>
              </w:rPr>
              <w:t>。</w:t>
            </w:r>
          </w:p>
          <w:p w14:paraId="6DEE6E8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rFonts w:hint="eastAsia"/>
                <w:color w:val="auto"/>
                <w:sz w:val="24"/>
              </w:rPr>
              <w:t>建设规模：项目</w:t>
            </w:r>
            <w:r>
              <w:rPr>
                <w:rFonts w:hint="eastAsia"/>
                <w:color w:val="auto"/>
                <w:sz w:val="24"/>
                <w:lang w:eastAsia="zh-CN"/>
              </w:rPr>
              <w:t>总</w:t>
            </w:r>
            <w:r>
              <w:rPr>
                <w:rFonts w:hint="eastAsia"/>
                <w:color w:val="auto"/>
                <w:sz w:val="24"/>
              </w:rPr>
              <w:t>占地面积</w:t>
            </w:r>
            <w:r>
              <w:rPr>
                <w:rFonts w:hint="eastAsia" w:cs="Times New Roman"/>
                <w:color w:val="auto"/>
                <w:sz w:val="24"/>
                <w:szCs w:val="24"/>
                <w:highlight w:val="none"/>
                <w:lang w:val="en-US" w:eastAsia="zh-CN"/>
              </w:rPr>
              <w:t>32340</w:t>
            </w:r>
            <w:r>
              <w:rPr>
                <w:color w:val="auto"/>
                <w:sz w:val="24"/>
              </w:rPr>
              <w:t>m</w:t>
            </w:r>
            <w:r>
              <w:rPr>
                <w:color w:val="auto"/>
                <w:sz w:val="24"/>
                <w:vertAlign w:val="superscript"/>
              </w:rPr>
              <w:t>2</w:t>
            </w:r>
            <w:r>
              <w:rPr>
                <w:rFonts w:hint="eastAsia"/>
                <w:color w:val="auto"/>
                <w:sz w:val="24"/>
                <w:vertAlign w:val="baseline"/>
                <w:lang w:eastAsia="zh-CN"/>
              </w:rPr>
              <w:t>（</w:t>
            </w:r>
            <w:r>
              <w:rPr>
                <w:rFonts w:hint="eastAsia"/>
                <w:color w:val="auto"/>
                <w:sz w:val="24"/>
                <w:vertAlign w:val="baseline"/>
                <w:lang w:val="en-US" w:eastAsia="zh-CN"/>
              </w:rPr>
              <w:t>48.51亩</w:t>
            </w:r>
            <w:r>
              <w:rPr>
                <w:rFonts w:hint="eastAsia"/>
                <w:color w:val="auto"/>
                <w:sz w:val="24"/>
                <w:vertAlign w:val="baseline"/>
                <w:lang w:eastAsia="zh-CN"/>
              </w:rPr>
              <w:t>）</w:t>
            </w:r>
            <w:r>
              <w:rPr>
                <w:rFonts w:hint="eastAsia"/>
                <w:color w:val="auto"/>
                <w:sz w:val="24"/>
              </w:rPr>
              <w:t>，</w:t>
            </w:r>
            <w:r>
              <w:rPr>
                <w:rFonts w:hint="eastAsia"/>
                <w:color w:val="auto"/>
                <w:sz w:val="24"/>
                <w:lang w:eastAsia="zh-CN"/>
              </w:rPr>
              <w:t>总</w:t>
            </w:r>
            <w:r>
              <w:rPr>
                <w:rFonts w:hint="eastAsia"/>
                <w:color w:val="auto"/>
                <w:sz w:val="24"/>
              </w:rPr>
              <w:t>建筑面积约</w:t>
            </w:r>
            <w:r>
              <w:rPr>
                <w:rFonts w:hint="eastAsia"/>
                <w:color w:val="auto"/>
                <w:sz w:val="24"/>
                <w:lang w:val="en-US" w:eastAsia="zh-CN"/>
              </w:rPr>
              <w:t>27946.08</w:t>
            </w:r>
            <w:r>
              <w:rPr>
                <w:rFonts w:hint="eastAsia"/>
                <w:color w:val="auto"/>
                <w:sz w:val="24"/>
              </w:rPr>
              <w:t>m</w:t>
            </w:r>
            <w:r>
              <w:rPr>
                <w:color w:val="auto"/>
                <w:sz w:val="24"/>
                <w:vertAlign w:val="superscript"/>
              </w:rPr>
              <w:t>2</w:t>
            </w:r>
            <w:r>
              <w:rPr>
                <w:rFonts w:hint="eastAsia"/>
                <w:color w:val="auto"/>
                <w:sz w:val="24"/>
              </w:rPr>
              <w:t>。项目建成后年</w:t>
            </w:r>
            <w:r>
              <w:rPr>
                <w:rFonts w:hint="eastAsia"/>
                <w:color w:val="auto"/>
                <w:sz w:val="24"/>
                <w:lang w:eastAsia="zh-CN"/>
              </w:rPr>
              <w:t>生产</w:t>
            </w:r>
            <w:r>
              <w:rPr>
                <w:rFonts w:hint="eastAsia"/>
                <w:color w:val="auto"/>
                <w:sz w:val="24"/>
              </w:rPr>
              <w:t>精炼牛油4000吨</w:t>
            </w:r>
            <w:r>
              <w:rPr>
                <w:rFonts w:hint="eastAsia"/>
                <w:color w:val="auto"/>
                <w:sz w:val="24"/>
                <w:lang w:eastAsia="zh-CN"/>
              </w:rPr>
              <w:t>、牛干巴</w:t>
            </w:r>
            <w:r>
              <w:rPr>
                <w:rFonts w:hint="eastAsia"/>
                <w:color w:val="auto"/>
                <w:sz w:val="24"/>
                <w:lang w:val="en-US" w:eastAsia="zh-CN"/>
              </w:rPr>
              <w:t>360吨、</w:t>
            </w:r>
            <w:r>
              <w:rPr>
                <w:rFonts w:hint="default" w:ascii="Times New Roman" w:hAnsi="Times New Roman" w:eastAsia="宋体" w:cs="Times New Roman"/>
                <w:color w:val="auto"/>
                <w:kern w:val="0"/>
                <w:sz w:val="24"/>
                <w:szCs w:val="24"/>
                <w:lang w:val="en-US" w:eastAsia="zh-CN" w:bidi="ar"/>
              </w:rPr>
              <w:t>3000</w:t>
            </w:r>
            <w:r>
              <w:rPr>
                <w:rFonts w:hint="eastAsia" w:ascii="宋体" w:hAnsi="宋体" w:eastAsia="宋体" w:cs="宋体"/>
                <w:color w:val="auto"/>
                <w:kern w:val="0"/>
                <w:sz w:val="24"/>
                <w:szCs w:val="24"/>
                <w:lang w:val="en-US" w:eastAsia="zh-CN" w:bidi="ar"/>
              </w:rPr>
              <w:t>吨动物饲料油脂。</w:t>
            </w:r>
          </w:p>
          <w:p w14:paraId="35439C7A">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、项目建设内容及规模</w:t>
            </w:r>
          </w:p>
          <w:p w14:paraId="189FB7DA">
            <w:pPr>
              <w:widowControl/>
              <w:adjustRightInd w:val="0"/>
              <w:snapToGrid w:val="0"/>
              <w:spacing w:line="356"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项目主要新建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个标准生产厂房、</w:t>
            </w:r>
            <w:r>
              <w:rPr>
                <w:rFonts w:hint="eastAsia" w:cs="Times New Roman"/>
                <w:color w:val="auto"/>
                <w:sz w:val="24"/>
                <w:szCs w:val="24"/>
                <w:highlight w:val="none"/>
                <w:lang w:val="en-US" w:eastAsia="zh-CN"/>
              </w:rPr>
              <w:t>1个冷库、1栋</w:t>
            </w:r>
            <w:r>
              <w:rPr>
                <w:rFonts w:hint="eastAsia" w:cs="Times New Roman"/>
                <w:b w:val="0"/>
                <w:bCs w:val="0"/>
                <w:color w:val="auto"/>
                <w:kern w:val="0"/>
                <w:sz w:val="24"/>
                <w:szCs w:val="24"/>
                <w:highlight w:val="none"/>
                <w:lang w:val="en-US" w:eastAsia="zh-CN" w:bidi="ar"/>
              </w:rPr>
              <w:t>调度配送、</w:t>
            </w:r>
            <w:r>
              <w:rPr>
                <w:rFonts w:hint="eastAsia" w:cs="Times New Roman"/>
                <w:color w:val="auto"/>
                <w:sz w:val="24"/>
                <w:szCs w:val="24"/>
                <w:highlight w:val="none"/>
                <w:lang w:val="en-US" w:eastAsia="zh-CN"/>
              </w:rPr>
              <w:t>研发楼、</w:t>
            </w:r>
            <w:r>
              <w:rPr>
                <w:rFonts w:hint="default" w:ascii="Times New Roman" w:hAnsi="Times New Roman" w:eastAsia="宋体" w:cs="Times New Roman"/>
                <w:color w:val="auto"/>
                <w:sz w:val="24"/>
                <w:szCs w:val="24"/>
                <w:highlight w:val="none"/>
                <w:lang w:val="en-US" w:eastAsia="zh-CN"/>
              </w:rPr>
              <w:t>1栋综合楼及相关辅助设施，同时配套建设道路、停车场、围墙、绿化、环保设施、供配电、给排水、消防等。建设内容</w:t>
            </w:r>
            <w:r>
              <w:rPr>
                <w:rFonts w:hint="default" w:ascii="Times New Roman" w:hAnsi="Times New Roman" w:eastAsia="宋体" w:cs="Times New Roman"/>
                <w:color w:val="auto"/>
                <w:sz w:val="24"/>
                <w:szCs w:val="24"/>
                <w:highlight w:val="none"/>
              </w:rPr>
              <w:t>包括主体工程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辅助工程、公用工程、环保工</w:t>
            </w:r>
            <w:r>
              <w:rPr>
                <w:rFonts w:hint="default" w:ascii="Times New Roman" w:hAnsi="Times New Roman" w:eastAsia="宋体" w:cs="Times New Roman"/>
                <w:color w:val="auto"/>
                <w:sz w:val="24"/>
                <w:szCs w:val="24"/>
                <w:highlight w:val="none"/>
                <w:lang w:val="en-US" w:eastAsia="zh-CN"/>
              </w:rPr>
              <w:t>程。</w:t>
            </w:r>
          </w:p>
          <w:p w14:paraId="344EFC89">
            <w:pPr>
              <w:widowControl/>
              <w:adjustRightInd w:val="0"/>
              <w:snapToGrid w:val="0"/>
              <w:spacing w:line="356"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14:paraId="1D0F04DE">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本</w:t>
            </w:r>
            <w:r>
              <w:rPr>
                <w:rFonts w:hint="default" w:ascii="Times New Roman" w:hAnsi="Times New Roman" w:eastAsia="宋体" w:cs="Times New Roman"/>
                <w:b/>
                <w:bCs/>
                <w:color w:val="auto"/>
                <w:szCs w:val="21"/>
                <w:highlight w:val="none"/>
              </w:rPr>
              <w:t>项目组成一览表</w:t>
            </w:r>
          </w:p>
          <w:tbl>
            <w:tblPr>
              <w:tblStyle w:val="26"/>
              <w:tblW w:w="8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98"/>
              <w:gridCol w:w="42"/>
              <w:gridCol w:w="613"/>
              <w:gridCol w:w="610"/>
              <w:gridCol w:w="426"/>
              <w:gridCol w:w="4652"/>
              <w:gridCol w:w="656"/>
            </w:tblGrid>
            <w:tr w14:paraId="28D0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7" w:type="dxa"/>
                  <w:vMerge w:val="restart"/>
                  <w:vAlign w:val="center"/>
                </w:tcPr>
                <w:p w14:paraId="0CAB501D">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953" w:type="dxa"/>
                  <w:gridSpan w:val="3"/>
                  <w:vMerge w:val="restart"/>
                  <w:vAlign w:val="center"/>
                </w:tcPr>
                <w:p w14:paraId="1A47C770">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5688" w:type="dxa"/>
                  <w:gridSpan w:val="3"/>
                  <w:vMerge w:val="restart"/>
                  <w:vAlign w:val="center"/>
                </w:tcPr>
                <w:p w14:paraId="0A37E52D">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656" w:type="dxa"/>
                  <w:vMerge w:val="restart"/>
                  <w:vAlign w:val="center"/>
                </w:tcPr>
                <w:p w14:paraId="420462C0">
                  <w:pP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03D4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7" w:type="dxa"/>
                  <w:vMerge w:val="continue"/>
                  <w:vAlign w:val="center"/>
                </w:tcPr>
                <w:p w14:paraId="6851594E">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53" w:type="dxa"/>
                  <w:gridSpan w:val="3"/>
                  <w:vMerge w:val="continue"/>
                  <w:vAlign w:val="center"/>
                </w:tcPr>
                <w:p w14:paraId="028BECA1">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688" w:type="dxa"/>
                  <w:gridSpan w:val="3"/>
                  <w:vMerge w:val="continue"/>
                  <w:vAlign w:val="center"/>
                </w:tcPr>
                <w:p w14:paraId="65AC929C">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656" w:type="dxa"/>
                  <w:vMerge w:val="continue"/>
                  <w:vAlign w:val="center"/>
                </w:tcPr>
                <w:p w14:paraId="4F845EBF">
                  <w:pP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14:paraId="3E55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27" w:type="dxa"/>
                  <w:vMerge w:val="restart"/>
                  <w:vAlign w:val="center"/>
                </w:tcPr>
                <w:p w14:paraId="3282EB65">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1340" w:type="dxa"/>
                  <w:gridSpan w:val="2"/>
                  <w:vMerge w:val="restart"/>
                  <w:vAlign w:val="center"/>
                </w:tcPr>
                <w:p w14:paraId="43C8F95B">
                  <w:pPr>
                    <w:pStyle w:val="16"/>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2#生产厂房，占地面积为8787.12m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，为单</w:t>
                  </w:r>
                  <w:r>
                    <w:rPr>
                      <w:rFonts w:hint="eastAsia" w:ascii="Times New Roman" w:hAnsi="Times New Roman" w:eastAsia="宋体" w:cs="Times New Roman"/>
                      <w:color w:val="auto"/>
                      <w:sz w:val="21"/>
                      <w:szCs w:val="21"/>
                      <w:highlight w:val="none"/>
                      <w:lang w:val="en-US" w:eastAsia="zh-CN"/>
                    </w:rPr>
                    <w:t>层厂房，高度为10.15m</w:t>
                  </w:r>
                </w:p>
              </w:tc>
              <w:tc>
                <w:tcPr>
                  <w:tcW w:w="613" w:type="dxa"/>
                  <w:vMerge w:val="restart"/>
                  <w:vAlign w:val="center"/>
                </w:tcPr>
                <w:p w14:paraId="396C8063">
                  <w:pPr>
                    <w:pStyle w:val="16"/>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牛油加工车间</w:t>
                  </w:r>
                </w:p>
              </w:tc>
              <w:tc>
                <w:tcPr>
                  <w:tcW w:w="5688" w:type="dxa"/>
                  <w:gridSpan w:val="3"/>
                  <w:vAlign w:val="center"/>
                </w:tcPr>
                <w:p w14:paraId="51AC6D10">
                  <w:pPr>
                    <w:rPr>
                      <w:rFonts w:hint="eastAsia"/>
                      <w:color w:val="auto"/>
                      <w:kern w:val="0"/>
                      <w:szCs w:val="21"/>
                    </w:rPr>
                  </w:pPr>
                  <w:r>
                    <w:rPr>
                      <w:rFonts w:hint="eastAsia" w:ascii="Times New Roman" w:hAnsi="Times New Roman" w:eastAsia="宋体" w:cs="Times New Roman"/>
                      <w:color w:val="auto"/>
                      <w:kern w:val="0"/>
                      <w:szCs w:val="21"/>
                      <w:lang w:val="en-US" w:eastAsia="zh-CN"/>
                    </w:rPr>
                    <w:t>位于项目区西南侧</w:t>
                  </w:r>
                  <w:r>
                    <w:rPr>
                      <w:rFonts w:hint="eastAsia" w:ascii="Times New Roman" w:hAnsi="Times New Roman" w:eastAsia="宋体" w:cs="Times New Roman"/>
                      <w:color w:val="auto"/>
                      <w:kern w:val="0"/>
                      <w:szCs w:val="21"/>
                    </w:rPr>
                    <w:t>，</w:t>
                  </w:r>
                  <w:r>
                    <w:rPr>
                      <w:rFonts w:hint="eastAsia" w:ascii="Times New Roman" w:hAnsi="Times New Roman" w:eastAsia="宋体" w:cs="Times New Roman"/>
                      <w:color w:val="auto"/>
                      <w:kern w:val="0"/>
                      <w:sz w:val="21"/>
                      <w:szCs w:val="21"/>
                      <w:highlight w:val="none"/>
                      <w:lang w:eastAsia="zh-CN"/>
                    </w:rPr>
                    <w:t>占地面积</w:t>
                  </w:r>
                  <w:r>
                    <w:rPr>
                      <w:rFonts w:hint="eastAsia" w:cs="Times New Roman"/>
                      <w:color w:val="auto"/>
                      <w:sz w:val="21"/>
                      <w:szCs w:val="21"/>
                      <w:highlight w:val="none"/>
                      <w:lang w:val="en-US" w:eastAsia="zh-CN"/>
                    </w:rPr>
                    <w:t>4557.12</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2</w:t>
                  </w:r>
                  <w:r>
                    <w:rPr>
                      <w:color w:val="auto"/>
                      <w:kern w:val="0"/>
                      <w:szCs w:val="21"/>
                    </w:rPr>
                    <w:t>，</w:t>
                  </w:r>
                  <w:r>
                    <w:rPr>
                      <w:rFonts w:hint="eastAsia"/>
                      <w:color w:val="auto"/>
                      <w:kern w:val="0"/>
                      <w:szCs w:val="21"/>
                    </w:rPr>
                    <w:t>主要用于</w:t>
                  </w:r>
                  <w:r>
                    <w:rPr>
                      <w:rFonts w:hint="eastAsia"/>
                      <w:color w:val="auto"/>
                      <w:kern w:val="0"/>
                      <w:szCs w:val="21"/>
                      <w:lang w:eastAsia="zh-CN"/>
                    </w:rPr>
                    <w:t>精炼牛油加工生产。</w:t>
                  </w:r>
                </w:p>
              </w:tc>
              <w:tc>
                <w:tcPr>
                  <w:tcW w:w="656" w:type="dxa"/>
                  <w:vMerge w:val="restart"/>
                  <w:vAlign w:val="center"/>
                </w:tcPr>
                <w:p w14:paraId="6B9635F2">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新建</w:t>
                  </w:r>
                </w:p>
              </w:tc>
            </w:tr>
            <w:tr w14:paraId="2400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14:paraId="242F3C83">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340" w:type="dxa"/>
                  <w:gridSpan w:val="2"/>
                  <w:vMerge w:val="continue"/>
                  <w:vAlign w:val="center"/>
                </w:tcPr>
                <w:p w14:paraId="4C664D69">
                  <w:pPr>
                    <w:pStyle w:val="16"/>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13" w:type="dxa"/>
                  <w:vMerge w:val="continue"/>
                  <w:vAlign w:val="center"/>
                </w:tcPr>
                <w:p w14:paraId="64D1E054">
                  <w:pPr>
                    <w:pStyle w:val="16"/>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036" w:type="dxa"/>
                  <w:gridSpan w:val="2"/>
                  <w:vAlign w:val="center"/>
                </w:tcPr>
                <w:p w14:paraId="69C76ACA">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Cs w:val="21"/>
                    </w:rPr>
                    <w:t>主要生产区</w:t>
                  </w:r>
                </w:p>
              </w:tc>
              <w:tc>
                <w:tcPr>
                  <w:tcW w:w="4652" w:type="dxa"/>
                  <w:vAlign w:val="center"/>
                </w:tcPr>
                <w:p w14:paraId="473C5DDC">
                  <w:pPr>
                    <w:rPr>
                      <w:rFonts w:hint="default" w:ascii="Times New Roman" w:hAnsi="Times New Roman" w:eastAsia="宋体" w:cs="Times New Roman"/>
                      <w:color w:val="auto"/>
                      <w:sz w:val="21"/>
                      <w:szCs w:val="21"/>
                      <w:highlight w:val="none"/>
                      <w:lang w:val="en-US" w:eastAsia="zh-CN"/>
                    </w:rPr>
                  </w:pPr>
                  <w:r>
                    <w:rPr>
                      <w:rFonts w:hint="eastAsia"/>
                      <w:color w:val="auto"/>
                      <w:kern w:val="0"/>
                      <w:szCs w:val="21"/>
                    </w:rPr>
                    <w:t>位于</w:t>
                  </w:r>
                  <w:r>
                    <w:rPr>
                      <w:rFonts w:hint="eastAsia"/>
                      <w:color w:val="auto"/>
                      <w:kern w:val="0"/>
                      <w:szCs w:val="21"/>
                      <w:lang w:eastAsia="zh-CN"/>
                    </w:rPr>
                    <w:t>车间内东</w:t>
                  </w:r>
                  <w:r>
                    <w:rPr>
                      <w:rFonts w:hint="eastAsia"/>
                      <w:color w:val="auto"/>
                      <w:kern w:val="0"/>
                      <w:szCs w:val="21"/>
                    </w:rPr>
                    <w:t>侧，</w:t>
                  </w:r>
                  <w:r>
                    <w:rPr>
                      <w:rFonts w:hint="eastAsia"/>
                      <w:color w:val="auto"/>
                      <w:lang w:eastAsia="zh-CN"/>
                    </w:rPr>
                    <w:t>主要进行原料绞碎、负压熔炼、油渣分离、过滤、脱胶脱磷、脱色、脱酸脱臭等。</w:t>
                  </w:r>
                </w:p>
              </w:tc>
              <w:tc>
                <w:tcPr>
                  <w:tcW w:w="656" w:type="dxa"/>
                  <w:vMerge w:val="continue"/>
                  <w:vAlign w:val="center"/>
                </w:tcPr>
                <w:p w14:paraId="63F97F9B">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14:paraId="650D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27" w:type="dxa"/>
                  <w:vMerge w:val="continue"/>
                  <w:vAlign w:val="center"/>
                </w:tcPr>
                <w:p w14:paraId="3769D47D">
                  <w:pPr>
                    <w:keepNext w:val="0"/>
                    <w:keepLines w:val="0"/>
                    <w:widowControl w:val="0"/>
                    <w:suppressLineNumbers w:val="0"/>
                    <w:spacing w:before="0" w:beforeAutospacing="0" w:after="0" w:afterAutospacing="0"/>
                    <w:ind w:left="0" w:leftChars="0" w:right="0" w:rightChars="0"/>
                    <w:jc w:val="center"/>
                    <w:rPr>
                      <w:color w:val="auto"/>
                    </w:rPr>
                  </w:pPr>
                </w:p>
              </w:tc>
              <w:tc>
                <w:tcPr>
                  <w:tcW w:w="1340" w:type="dxa"/>
                  <w:gridSpan w:val="2"/>
                  <w:vMerge w:val="continue"/>
                  <w:vAlign w:val="center"/>
                </w:tcPr>
                <w:p w14:paraId="00AA6997">
                  <w:pPr>
                    <w:keepNext w:val="0"/>
                    <w:keepLines w:val="0"/>
                    <w:widowControl w:val="0"/>
                    <w:suppressLineNumbers w:val="0"/>
                    <w:spacing w:before="0" w:beforeAutospacing="0" w:after="0" w:afterAutospacing="0"/>
                    <w:ind w:left="0" w:leftChars="0" w:right="0" w:rightChars="0"/>
                    <w:jc w:val="center"/>
                    <w:rPr>
                      <w:color w:val="auto"/>
                    </w:rPr>
                  </w:pPr>
                </w:p>
              </w:tc>
              <w:tc>
                <w:tcPr>
                  <w:tcW w:w="613" w:type="dxa"/>
                  <w:vMerge w:val="continue"/>
                  <w:vAlign w:val="center"/>
                </w:tcPr>
                <w:p w14:paraId="7DF5F54F">
                  <w:pPr>
                    <w:keepNext w:val="0"/>
                    <w:keepLines w:val="0"/>
                    <w:widowControl w:val="0"/>
                    <w:suppressLineNumbers w:val="0"/>
                    <w:spacing w:before="0" w:beforeAutospacing="0" w:after="0" w:afterAutospacing="0"/>
                    <w:ind w:left="0" w:leftChars="0" w:right="0" w:rightChars="0"/>
                    <w:jc w:val="center"/>
                    <w:rPr>
                      <w:color w:val="auto"/>
                    </w:rPr>
                  </w:pPr>
                </w:p>
              </w:tc>
              <w:tc>
                <w:tcPr>
                  <w:tcW w:w="1036" w:type="dxa"/>
                  <w:gridSpan w:val="2"/>
                  <w:vAlign w:val="center"/>
                </w:tcPr>
                <w:p w14:paraId="3EEF2AB2">
                  <w:pPr>
                    <w:widowControl/>
                    <w:adjustRightInd w:val="0"/>
                    <w:snapToGrid w:val="0"/>
                    <w:jc w:val="center"/>
                    <w:rPr>
                      <w:rFonts w:hint="eastAsia" w:eastAsia="宋体"/>
                      <w:color w:val="auto"/>
                      <w:lang w:eastAsia="zh-CN"/>
                    </w:rPr>
                  </w:pPr>
                  <w:r>
                    <w:rPr>
                      <w:rFonts w:hint="eastAsia"/>
                      <w:color w:val="auto"/>
                      <w:kern w:val="0"/>
                      <w:szCs w:val="21"/>
                    </w:rPr>
                    <w:t>熟油化脂</w:t>
                  </w:r>
                  <w:r>
                    <w:rPr>
                      <w:rFonts w:hint="eastAsia"/>
                      <w:color w:val="auto"/>
                      <w:kern w:val="0"/>
                      <w:szCs w:val="21"/>
                      <w:lang w:eastAsia="zh-CN"/>
                    </w:rPr>
                    <w:t>区</w:t>
                  </w:r>
                </w:p>
              </w:tc>
              <w:tc>
                <w:tcPr>
                  <w:tcW w:w="4652" w:type="dxa"/>
                  <w:vAlign w:val="center"/>
                </w:tcPr>
                <w:p w14:paraId="11D5D55C">
                  <w:pPr>
                    <w:widowControl/>
                    <w:adjustRightInd w:val="0"/>
                    <w:snapToGrid w:val="0"/>
                    <w:rPr>
                      <w:color w:val="auto"/>
                    </w:rPr>
                  </w:pPr>
                  <w:r>
                    <w:rPr>
                      <w:color w:val="auto"/>
                      <w:kern w:val="0"/>
                      <w:szCs w:val="21"/>
                    </w:rPr>
                    <w:t>位于</w:t>
                  </w:r>
                  <w:r>
                    <w:rPr>
                      <w:rFonts w:hint="eastAsia"/>
                      <w:color w:val="auto"/>
                      <w:kern w:val="0"/>
                      <w:szCs w:val="21"/>
                      <w:lang w:eastAsia="zh-CN"/>
                    </w:rPr>
                    <w:t>车间内</w:t>
                  </w:r>
                  <w:r>
                    <w:rPr>
                      <w:rFonts w:hint="eastAsia"/>
                      <w:color w:val="auto"/>
                      <w:kern w:val="0"/>
                      <w:szCs w:val="21"/>
                    </w:rPr>
                    <w:t>北侧，主要用于购买进来的牛油化脂。</w:t>
                  </w:r>
                </w:p>
              </w:tc>
              <w:tc>
                <w:tcPr>
                  <w:tcW w:w="656" w:type="dxa"/>
                  <w:vMerge w:val="continue"/>
                  <w:vAlign w:val="center"/>
                </w:tcPr>
                <w:p w14:paraId="4612AA6D">
                  <w:pPr>
                    <w:keepNext w:val="0"/>
                    <w:keepLines w:val="0"/>
                    <w:widowControl w:val="0"/>
                    <w:suppressLineNumbers w:val="0"/>
                    <w:spacing w:before="0" w:beforeAutospacing="0" w:after="0" w:afterAutospacing="0"/>
                    <w:ind w:left="0" w:leftChars="0" w:right="0" w:rightChars="0"/>
                    <w:jc w:val="center"/>
                    <w:rPr>
                      <w:color w:val="auto"/>
                    </w:rPr>
                  </w:pPr>
                </w:p>
              </w:tc>
            </w:tr>
            <w:tr w14:paraId="3D92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14:paraId="5E4582FC">
                  <w:pPr>
                    <w:keepNext w:val="0"/>
                    <w:keepLines w:val="0"/>
                    <w:widowControl w:val="0"/>
                    <w:suppressLineNumbers w:val="0"/>
                    <w:spacing w:before="0" w:beforeAutospacing="0" w:after="0" w:afterAutospacing="0"/>
                    <w:ind w:left="0" w:leftChars="0" w:right="0" w:rightChars="0"/>
                    <w:jc w:val="center"/>
                    <w:rPr>
                      <w:color w:val="auto"/>
                    </w:rPr>
                  </w:pPr>
                </w:p>
              </w:tc>
              <w:tc>
                <w:tcPr>
                  <w:tcW w:w="1340" w:type="dxa"/>
                  <w:gridSpan w:val="2"/>
                  <w:vMerge w:val="continue"/>
                  <w:vAlign w:val="center"/>
                </w:tcPr>
                <w:p w14:paraId="592D9F13">
                  <w:pPr>
                    <w:keepNext w:val="0"/>
                    <w:keepLines w:val="0"/>
                    <w:widowControl w:val="0"/>
                    <w:suppressLineNumbers w:val="0"/>
                    <w:spacing w:before="0" w:beforeAutospacing="0" w:after="0" w:afterAutospacing="0"/>
                    <w:ind w:left="0" w:leftChars="0" w:right="0" w:rightChars="0"/>
                    <w:jc w:val="center"/>
                    <w:rPr>
                      <w:color w:val="auto"/>
                    </w:rPr>
                  </w:pPr>
                </w:p>
              </w:tc>
              <w:tc>
                <w:tcPr>
                  <w:tcW w:w="613" w:type="dxa"/>
                  <w:vMerge w:val="continue"/>
                  <w:vAlign w:val="center"/>
                </w:tcPr>
                <w:p w14:paraId="28EDFC95">
                  <w:pPr>
                    <w:keepNext w:val="0"/>
                    <w:keepLines w:val="0"/>
                    <w:widowControl w:val="0"/>
                    <w:suppressLineNumbers w:val="0"/>
                    <w:spacing w:before="0" w:beforeAutospacing="0" w:after="0" w:afterAutospacing="0"/>
                    <w:ind w:left="0" w:leftChars="0" w:right="0" w:rightChars="0"/>
                    <w:jc w:val="center"/>
                    <w:rPr>
                      <w:color w:val="auto"/>
                    </w:rPr>
                  </w:pPr>
                </w:p>
              </w:tc>
              <w:tc>
                <w:tcPr>
                  <w:tcW w:w="1036" w:type="dxa"/>
                  <w:gridSpan w:val="2"/>
                  <w:vAlign w:val="center"/>
                </w:tcPr>
                <w:p w14:paraId="2717160F">
                  <w:pPr>
                    <w:widowControl/>
                    <w:adjustRightInd w:val="0"/>
                    <w:snapToGrid w:val="0"/>
                    <w:jc w:val="center"/>
                    <w:rPr>
                      <w:rFonts w:hint="eastAsia" w:eastAsia="宋体"/>
                      <w:color w:val="auto"/>
                      <w:lang w:eastAsia="zh-CN"/>
                    </w:rPr>
                  </w:pPr>
                  <w:r>
                    <w:rPr>
                      <w:rFonts w:hint="eastAsia"/>
                      <w:color w:val="auto"/>
                      <w:kern w:val="0"/>
                      <w:szCs w:val="21"/>
                    </w:rPr>
                    <w:t>解冻拆包投料</w:t>
                  </w:r>
                  <w:r>
                    <w:rPr>
                      <w:rFonts w:hint="eastAsia"/>
                      <w:color w:val="auto"/>
                      <w:kern w:val="0"/>
                      <w:szCs w:val="21"/>
                      <w:lang w:eastAsia="zh-CN"/>
                    </w:rPr>
                    <w:t>区</w:t>
                  </w:r>
                </w:p>
              </w:tc>
              <w:tc>
                <w:tcPr>
                  <w:tcW w:w="4652" w:type="dxa"/>
                  <w:vAlign w:val="center"/>
                </w:tcPr>
                <w:p w14:paraId="51BE56A6">
                  <w:pPr>
                    <w:widowControl/>
                    <w:adjustRightInd w:val="0"/>
                    <w:snapToGrid w:val="0"/>
                    <w:rPr>
                      <w:color w:val="auto"/>
                    </w:rPr>
                  </w:pPr>
                  <w:r>
                    <w:rPr>
                      <w:rFonts w:hint="eastAsia"/>
                      <w:color w:val="auto"/>
                      <w:kern w:val="0"/>
                      <w:szCs w:val="21"/>
                    </w:rPr>
                    <w:t>位于</w:t>
                  </w:r>
                  <w:r>
                    <w:rPr>
                      <w:rFonts w:hint="eastAsia"/>
                      <w:color w:val="auto"/>
                      <w:kern w:val="0"/>
                      <w:szCs w:val="21"/>
                      <w:lang w:eastAsia="zh-CN"/>
                    </w:rPr>
                    <w:t>车间内北</w:t>
                  </w:r>
                  <w:r>
                    <w:rPr>
                      <w:rFonts w:hint="eastAsia"/>
                      <w:color w:val="auto"/>
                      <w:kern w:val="0"/>
                      <w:szCs w:val="21"/>
                    </w:rPr>
                    <w:t>侧</w:t>
                  </w:r>
                  <w:r>
                    <w:rPr>
                      <w:rFonts w:hint="eastAsia"/>
                      <w:color w:val="auto"/>
                      <w:kern w:val="0"/>
                      <w:szCs w:val="21"/>
                      <w:lang w:eastAsia="zh-CN"/>
                    </w:rPr>
                    <w:t>中部</w:t>
                  </w:r>
                  <w:r>
                    <w:rPr>
                      <w:rFonts w:hint="eastAsia"/>
                      <w:color w:val="auto"/>
                      <w:kern w:val="0"/>
                      <w:szCs w:val="21"/>
                    </w:rPr>
                    <w:t>，主要用于将购买进来的原材料进行自然解冻、人工拆包、投料等。</w:t>
                  </w:r>
                </w:p>
              </w:tc>
              <w:tc>
                <w:tcPr>
                  <w:tcW w:w="656" w:type="dxa"/>
                  <w:vMerge w:val="continue"/>
                  <w:vAlign w:val="center"/>
                </w:tcPr>
                <w:p w14:paraId="07C0A14C">
                  <w:pPr>
                    <w:keepNext w:val="0"/>
                    <w:keepLines w:val="0"/>
                    <w:widowControl w:val="0"/>
                    <w:suppressLineNumbers w:val="0"/>
                    <w:spacing w:before="0" w:beforeAutospacing="0" w:after="0" w:afterAutospacing="0"/>
                    <w:ind w:left="0" w:leftChars="0" w:right="0" w:rightChars="0"/>
                    <w:jc w:val="center"/>
                    <w:rPr>
                      <w:color w:val="auto"/>
                    </w:rPr>
                  </w:pPr>
                </w:p>
              </w:tc>
            </w:tr>
            <w:tr w14:paraId="3F42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14:paraId="1E16BFCC">
                  <w:pPr>
                    <w:keepNext w:val="0"/>
                    <w:keepLines w:val="0"/>
                    <w:widowControl w:val="0"/>
                    <w:suppressLineNumbers w:val="0"/>
                    <w:spacing w:before="0" w:beforeAutospacing="0" w:after="0" w:afterAutospacing="0"/>
                    <w:ind w:left="0" w:leftChars="0" w:right="0" w:rightChars="0"/>
                    <w:jc w:val="center"/>
                    <w:rPr>
                      <w:color w:val="auto"/>
                    </w:rPr>
                  </w:pPr>
                </w:p>
              </w:tc>
              <w:tc>
                <w:tcPr>
                  <w:tcW w:w="1340" w:type="dxa"/>
                  <w:gridSpan w:val="2"/>
                  <w:vMerge w:val="continue"/>
                  <w:vAlign w:val="center"/>
                </w:tcPr>
                <w:p w14:paraId="4FD41A93">
                  <w:pPr>
                    <w:keepNext w:val="0"/>
                    <w:keepLines w:val="0"/>
                    <w:widowControl w:val="0"/>
                    <w:suppressLineNumbers w:val="0"/>
                    <w:spacing w:before="0" w:beforeAutospacing="0" w:after="0" w:afterAutospacing="0"/>
                    <w:ind w:left="0" w:leftChars="0" w:right="0" w:rightChars="0"/>
                    <w:jc w:val="center"/>
                    <w:rPr>
                      <w:color w:val="auto"/>
                    </w:rPr>
                  </w:pPr>
                </w:p>
              </w:tc>
              <w:tc>
                <w:tcPr>
                  <w:tcW w:w="613" w:type="dxa"/>
                  <w:vMerge w:val="continue"/>
                  <w:vAlign w:val="center"/>
                </w:tcPr>
                <w:p w14:paraId="7B56120F">
                  <w:pPr>
                    <w:keepNext w:val="0"/>
                    <w:keepLines w:val="0"/>
                    <w:widowControl w:val="0"/>
                    <w:suppressLineNumbers w:val="0"/>
                    <w:spacing w:before="0" w:beforeAutospacing="0" w:after="0" w:afterAutospacing="0"/>
                    <w:ind w:left="0" w:leftChars="0" w:right="0" w:rightChars="0"/>
                    <w:jc w:val="center"/>
                    <w:rPr>
                      <w:color w:val="auto"/>
                    </w:rPr>
                  </w:pPr>
                </w:p>
              </w:tc>
              <w:tc>
                <w:tcPr>
                  <w:tcW w:w="1036" w:type="dxa"/>
                  <w:gridSpan w:val="2"/>
                  <w:vAlign w:val="center"/>
                </w:tcPr>
                <w:p w14:paraId="477D1C1A">
                  <w:pPr>
                    <w:widowControl/>
                    <w:adjustRightInd w:val="0"/>
                    <w:snapToGrid w:val="0"/>
                    <w:jc w:val="center"/>
                    <w:rPr>
                      <w:color w:val="auto"/>
                    </w:rPr>
                  </w:pPr>
                  <w:r>
                    <w:rPr>
                      <w:rFonts w:hint="eastAsia"/>
                      <w:color w:val="auto"/>
                      <w:kern w:val="0"/>
                      <w:szCs w:val="21"/>
                    </w:rPr>
                    <w:t>工作准备区</w:t>
                  </w:r>
                </w:p>
              </w:tc>
              <w:tc>
                <w:tcPr>
                  <w:tcW w:w="4652" w:type="dxa"/>
                  <w:vAlign w:val="center"/>
                </w:tcPr>
                <w:p w14:paraId="4977AF85">
                  <w:pPr>
                    <w:widowControl/>
                    <w:adjustRightInd w:val="0"/>
                    <w:snapToGrid w:val="0"/>
                    <w:rPr>
                      <w:color w:val="auto"/>
                    </w:rPr>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内</w:t>
                  </w:r>
                  <w:r>
                    <w:rPr>
                      <w:rFonts w:hint="eastAsia"/>
                      <w:color w:val="auto"/>
                      <w:kern w:val="0"/>
                      <w:szCs w:val="21"/>
                      <w:lang w:eastAsia="zh-CN"/>
                    </w:rPr>
                    <w:t>东侧中</w:t>
                  </w:r>
                  <w:r>
                    <w:rPr>
                      <w:rFonts w:hint="eastAsia"/>
                      <w:color w:val="auto"/>
                      <w:kern w:val="0"/>
                      <w:szCs w:val="21"/>
                    </w:rPr>
                    <w:t>部，分为更衣室、消毒间、洗手间、工具间等，主要用于员工做生产前的准备工作。</w:t>
                  </w:r>
                </w:p>
              </w:tc>
              <w:tc>
                <w:tcPr>
                  <w:tcW w:w="656" w:type="dxa"/>
                  <w:vMerge w:val="continue"/>
                  <w:vAlign w:val="center"/>
                </w:tcPr>
                <w:p w14:paraId="7EEA73B8">
                  <w:pPr>
                    <w:keepNext w:val="0"/>
                    <w:keepLines w:val="0"/>
                    <w:widowControl w:val="0"/>
                    <w:suppressLineNumbers w:val="0"/>
                    <w:spacing w:before="0" w:beforeAutospacing="0" w:after="0" w:afterAutospacing="0"/>
                    <w:ind w:left="0" w:leftChars="0" w:right="0" w:rightChars="0"/>
                    <w:jc w:val="center"/>
                    <w:rPr>
                      <w:color w:val="auto"/>
                    </w:rPr>
                  </w:pPr>
                </w:p>
              </w:tc>
            </w:tr>
            <w:tr w14:paraId="341C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14:paraId="57987984">
                  <w:pPr>
                    <w:keepNext w:val="0"/>
                    <w:keepLines w:val="0"/>
                    <w:widowControl w:val="0"/>
                    <w:suppressLineNumbers w:val="0"/>
                    <w:spacing w:before="0" w:beforeAutospacing="0" w:after="0" w:afterAutospacing="0"/>
                    <w:ind w:left="0" w:leftChars="0" w:right="0" w:rightChars="0"/>
                    <w:jc w:val="center"/>
                    <w:rPr>
                      <w:color w:val="auto"/>
                    </w:rPr>
                  </w:pPr>
                </w:p>
              </w:tc>
              <w:tc>
                <w:tcPr>
                  <w:tcW w:w="1340" w:type="dxa"/>
                  <w:gridSpan w:val="2"/>
                  <w:vMerge w:val="continue"/>
                  <w:vAlign w:val="center"/>
                </w:tcPr>
                <w:p w14:paraId="5E31A1A7">
                  <w:pPr>
                    <w:keepNext w:val="0"/>
                    <w:keepLines w:val="0"/>
                    <w:widowControl w:val="0"/>
                    <w:suppressLineNumbers w:val="0"/>
                    <w:spacing w:before="0" w:beforeAutospacing="0" w:after="0" w:afterAutospacing="0"/>
                    <w:ind w:left="0" w:leftChars="0" w:right="0" w:rightChars="0"/>
                    <w:jc w:val="center"/>
                    <w:rPr>
                      <w:color w:val="auto"/>
                    </w:rPr>
                  </w:pPr>
                </w:p>
              </w:tc>
              <w:tc>
                <w:tcPr>
                  <w:tcW w:w="613" w:type="dxa"/>
                  <w:vMerge w:val="continue"/>
                  <w:vAlign w:val="center"/>
                </w:tcPr>
                <w:p w14:paraId="3E0E6B9F">
                  <w:pPr>
                    <w:keepNext w:val="0"/>
                    <w:keepLines w:val="0"/>
                    <w:widowControl w:val="0"/>
                    <w:suppressLineNumbers w:val="0"/>
                    <w:spacing w:before="0" w:beforeAutospacing="0" w:after="0" w:afterAutospacing="0"/>
                    <w:ind w:left="0" w:leftChars="0" w:right="0" w:rightChars="0"/>
                    <w:jc w:val="center"/>
                    <w:rPr>
                      <w:color w:val="auto"/>
                    </w:rPr>
                  </w:pPr>
                </w:p>
              </w:tc>
              <w:tc>
                <w:tcPr>
                  <w:tcW w:w="1036" w:type="dxa"/>
                  <w:gridSpan w:val="2"/>
                  <w:vAlign w:val="center"/>
                </w:tcPr>
                <w:p w14:paraId="25648FBB">
                  <w:pPr>
                    <w:widowControl/>
                    <w:adjustRightInd w:val="0"/>
                    <w:snapToGrid w:val="0"/>
                    <w:jc w:val="center"/>
                    <w:rPr>
                      <w:rFonts w:hint="eastAsia" w:eastAsia="宋体"/>
                      <w:color w:val="auto"/>
                      <w:lang w:eastAsia="zh-CN"/>
                    </w:rPr>
                  </w:pPr>
                  <w:r>
                    <w:rPr>
                      <w:rFonts w:hint="eastAsia"/>
                      <w:color w:val="auto"/>
                      <w:kern w:val="0"/>
                      <w:szCs w:val="21"/>
                    </w:rPr>
                    <w:t>压榨饼暂存</w:t>
                  </w:r>
                  <w:r>
                    <w:rPr>
                      <w:rFonts w:hint="eastAsia"/>
                      <w:color w:val="auto"/>
                      <w:kern w:val="0"/>
                      <w:szCs w:val="21"/>
                      <w:lang w:eastAsia="zh-CN"/>
                    </w:rPr>
                    <w:t>区</w:t>
                  </w:r>
                </w:p>
              </w:tc>
              <w:tc>
                <w:tcPr>
                  <w:tcW w:w="4652" w:type="dxa"/>
                  <w:vAlign w:val="center"/>
                </w:tcPr>
                <w:p w14:paraId="28861928">
                  <w:pPr>
                    <w:widowControl/>
                    <w:adjustRightInd w:val="0"/>
                    <w:snapToGrid w:val="0"/>
                    <w:rPr>
                      <w:color w:val="auto"/>
                    </w:rPr>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内中部，主要用于压榨饼暂存。</w:t>
                  </w:r>
                </w:p>
              </w:tc>
              <w:tc>
                <w:tcPr>
                  <w:tcW w:w="656" w:type="dxa"/>
                  <w:vMerge w:val="continue"/>
                  <w:vAlign w:val="center"/>
                </w:tcPr>
                <w:p w14:paraId="7F6FAAA2">
                  <w:pPr>
                    <w:keepNext w:val="0"/>
                    <w:keepLines w:val="0"/>
                    <w:widowControl w:val="0"/>
                    <w:suppressLineNumbers w:val="0"/>
                    <w:spacing w:before="0" w:beforeAutospacing="0" w:after="0" w:afterAutospacing="0"/>
                    <w:ind w:left="0" w:leftChars="0" w:right="0" w:rightChars="0"/>
                    <w:jc w:val="center"/>
                    <w:rPr>
                      <w:color w:val="auto"/>
                    </w:rPr>
                  </w:pPr>
                </w:p>
              </w:tc>
            </w:tr>
            <w:tr w14:paraId="7E13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14:paraId="73BAADFE">
                  <w:pPr>
                    <w:keepNext w:val="0"/>
                    <w:keepLines w:val="0"/>
                    <w:widowControl w:val="0"/>
                    <w:suppressLineNumbers w:val="0"/>
                    <w:spacing w:before="0" w:beforeAutospacing="0" w:after="0" w:afterAutospacing="0"/>
                    <w:ind w:left="0" w:leftChars="0" w:right="0" w:rightChars="0"/>
                    <w:jc w:val="center"/>
                    <w:rPr>
                      <w:color w:val="auto"/>
                    </w:rPr>
                  </w:pPr>
                </w:p>
              </w:tc>
              <w:tc>
                <w:tcPr>
                  <w:tcW w:w="1340" w:type="dxa"/>
                  <w:gridSpan w:val="2"/>
                  <w:vMerge w:val="continue"/>
                  <w:vAlign w:val="center"/>
                </w:tcPr>
                <w:p w14:paraId="332E4D81">
                  <w:pPr>
                    <w:keepNext w:val="0"/>
                    <w:keepLines w:val="0"/>
                    <w:widowControl w:val="0"/>
                    <w:suppressLineNumbers w:val="0"/>
                    <w:spacing w:before="0" w:beforeAutospacing="0" w:after="0" w:afterAutospacing="0"/>
                    <w:ind w:left="0" w:leftChars="0" w:right="0" w:rightChars="0"/>
                    <w:jc w:val="center"/>
                    <w:rPr>
                      <w:color w:val="auto"/>
                    </w:rPr>
                  </w:pPr>
                </w:p>
              </w:tc>
              <w:tc>
                <w:tcPr>
                  <w:tcW w:w="613" w:type="dxa"/>
                  <w:vMerge w:val="continue"/>
                  <w:vAlign w:val="center"/>
                </w:tcPr>
                <w:p w14:paraId="0EB5685B">
                  <w:pPr>
                    <w:keepNext w:val="0"/>
                    <w:keepLines w:val="0"/>
                    <w:widowControl w:val="0"/>
                    <w:suppressLineNumbers w:val="0"/>
                    <w:spacing w:before="0" w:beforeAutospacing="0" w:after="0" w:afterAutospacing="0"/>
                    <w:ind w:left="0" w:leftChars="0" w:right="0" w:rightChars="0"/>
                    <w:jc w:val="center"/>
                    <w:rPr>
                      <w:color w:val="auto"/>
                    </w:rPr>
                  </w:pPr>
                </w:p>
              </w:tc>
              <w:tc>
                <w:tcPr>
                  <w:tcW w:w="1036" w:type="dxa"/>
                  <w:gridSpan w:val="2"/>
                  <w:vAlign w:val="center"/>
                </w:tcPr>
                <w:p w14:paraId="790E8084">
                  <w:pPr>
                    <w:widowControl/>
                    <w:adjustRightInd w:val="0"/>
                    <w:snapToGrid w:val="0"/>
                    <w:jc w:val="center"/>
                    <w:rPr>
                      <w:color w:val="auto"/>
                    </w:rPr>
                  </w:pPr>
                  <w:r>
                    <w:rPr>
                      <w:rFonts w:hint="eastAsia"/>
                      <w:color w:val="auto"/>
                      <w:kern w:val="0"/>
                      <w:szCs w:val="21"/>
                    </w:rPr>
                    <w:t>包装区域</w:t>
                  </w:r>
                </w:p>
              </w:tc>
              <w:tc>
                <w:tcPr>
                  <w:tcW w:w="4652" w:type="dxa"/>
                  <w:vAlign w:val="center"/>
                </w:tcPr>
                <w:p w14:paraId="568E0030">
                  <w:pPr>
                    <w:widowControl/>
                    <w:adjustRightInd w:val="0"/>
                    <w:snapToGrid w:val="0"/>
                    <w:rPr>
                      <w:color w:val="auto"/>
                    </w:rPr>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内</w:t>
                  </w:r>
                  <w:r>
                    <w:rPr>
                      <w:rFonts w:hint="eastAsia"/>
                      <w:color w:val="auto"/>
                      <w:kern w:val="0"/>
                      <w:szCs w:val="21"/>
                      <w:lang w:eastAsia="zh-CN"/>
                    </w:rPr>
                    <w:t>南侧</w:t>
                  </w:r>
                  <w:r>
                    <w:rPr>
                      <w:rFonts w:hint="eastAsia"/>
                      <w:color w:val="auto"/>
                      <w:kern w:val="0"/>
                      <w:szCs w:val="21"/>
                    </w:rPr>
                    <w:t>，分为包材间、包装车间、包装成品车间、包装冷却车间，主要用于</w:t>
                  </w:r>
                  <w:r>
                    <w:rPr>
                      <w:rFonts w:hint="eastAsia"/>
                      <w:color w:val="auto"/>
                      <w:kern w:val="0"/>
                      <w:szCs w:val="21"/>
                      <w:lang w:eastAsia="zh-CN"/>
                    </w:rPr>
                    <w:t>部分</w:t>
                  </w:r>
                  <w:r>
                    <w:rPr>
                      <w:rFonts w:hint="eastAsia"/>
                      <w:color w:val="auto"/>
                      <w:kern w:val="0"/>
                      <w:szCs w:val="21"/>
                    </w:rPr>
                    <w:t>产品的包装及暂存冷却等。</w:t>
                  </w:r>
                  <w:r>
                    <w:rPr>
                      <w:rFonts w:hint="eastAsia"/>
                      <w:color w:val="auto"/>
                      <w:kern w:val="0"/>
                      <w:szCs w:val="21"/>
                      <w:lang w:eastAsia="zh-CN"/>
                    </w:rPr>
                    <w:t>根据客户要求，需要进行纸箱包装，在此包装区域进行。</w:t>
                  </w:r>
                </w:p>
              </w:tc>
              <w:tc>
                <w:tcPr>
                  <w:tcW w:w="656" w:type="dxa"/>
                  <w:vMerge w:val="continue"/>
                  <w:vAlign w:val="center"/>
                </w:tcPr>
                <w:p w14:paraId="5CDDBA42">
                  <w:pPr>
                    <w:keepNext w:val="0"/>
                    <w:keepLines w:val="0"/>
                    <w:widowControl w:val="0"/>
                    <w:suppressLineNumbers w:val="0"/>
                    <w:spacing w:before="0" w:beforeAutospacing="0" w:after="0" w:afterAutospacing="0"/>
                    <w:ind w:left="0" w:leftChars="0" w:right="0" w:rightChars="0"/>
                    <w:jc w:val="center"/>
                    <w:rPr>
                      <w:color w:val="auto"/>
                    </w:rPr>
                  </w:pPr>
                </w:p>
              </w:tc>
            </w:tr>
            <w:tr w14:paraId="79BC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27" w:type="dxa"/>
                  <w:vMerge w:val="continue"/>
                  <w:vAlign w:val="center"/>
                </w:tcPr>
                <w:p w14:paraId="6E94CEA0">
                  <w:pPr>
                    <w:keepNext w:val="0"/>
                    <w:keepLines w:val="0"/>
                    <w:widowControl w:val="0"/>
                    <w:suppressLineNumbers w:val="0"/>
                    <w:spacing w:before="0" w:beforeAutospacing="0" w:after="0" w:afterAutospacing="0"/>
                    <w:ind w:left="0" w:leftChars="0" w:right="0" w:rightChars="0"/>
                    <w:jc w:val="center"/>
                    <w:rPr>
                      <w:color w:val="auto"/>
                    </w:rPr>
                  </w:pPr>
                </w:p>
              </w:tc>
              <w:tc>
                <w:tcPr>
                  <w:tcW w:w="1340" w:type="dxa"/>
                  <w:gridSpan w:val="2"/>
                  <w:vMerge w:val="continue"/>
                  <w:vAlign w:val="center"/>
                </w:tcPr>
                <w:p w14:paraId="4794FEF1">
                  <w:pPr>
                    <w:keepNext w:val="0"/>
                    <w:keepLines w:val="0"/>
                    <w:widowControl w:val="0"/>
                    <w:suppressLineNumbers w:val="0"/>
                    <w:spacing w:before="0" w:beforeAutospacing="0" w:after="0" w:afterAutospacing="0"/>
                    <w:ind w:left="0" w:leftChars="0" w:right="0" w:rightChars="0"/>
                    <w:jc w:val="center"/>
                    <w:rPr>
                      <w:color w:val="auto"/>
                    </w:rPr>
                  </w:pPr>
                </w:p>
              </w:tc>
              <w:tc>
                <w:tcPr>
                  <w:tcW w:w="613" w:type="dxa"/>
                  <w:vMerge w:val="continue"/>
                  <w:vAlign w:val="center"/>
                </w:tcPr>
                <w:p w14:paraId="22A69AD2">
                  <w:pPr>
                    <w:keepNext w:val="0"/>
                    <w:keepLines w:val="0"/>
                    <w:widowControl w:val="0"/>
                    <w:suppressLineNumbers w:val="0"/>
                    <w:spacing w:before="0" w:beforeAutospacing="0" w:after="0" w:afterAutospacing="0"/>
                    <w:ind w:left="0" w:leftChars="0" w:right="0" w:rightChars="0"/>
                    <w:jc w:val="center"/>
                    <w:rPr>
                      <w:color w:val="auto"/>
                    </w:rPr>
                  </w:pPr>
                </w:p>
              </w:tc>
              <w:tc>
                <w:tcPr>
                  <w:tcW w:w="1036" w:type="dxa"/>
                  <w:gridSpan w:val="2"/>
                  <w:vAlign w:val="center"/>
                </w:tcPr>
                <w:p w14:paraId="0E5190FB">
                  <w:pPr>
                    <w:keepNext w:val="0"/>
                    <w:keepLines w:val="0"/>
                    <w:widowControl w:val="0"/>
                    <w:suppressLineNumbers w:val="0"/>
                    <w:spacing w:before="0" w:beforeAutospacing="0" w:after="0" w:afterAutospacing="0"/>
                    <w:ind w:left="0" w:leftChars="0" w:right="0" w:rightChars="0"/>
                    <w:jc w:val="center"/>
                    <w:rPr>
                      <w:color w:val="auto"/>
                    </w:rPr>
                  </w:pPr>
                  <w:r>
                    <w:rPr>
                      <w:rFonts w:hint="eastAsia"/>
                      <w:color w:val="auto"/>
                      <w:kern w:val="0"/>
                      <w:szCs w:val="21"/>
                    </w:rPr>
                    <w:t>成品油罐区</w:t>
                  </w:r>
                </w:p>
              </w:tc>
              <w:tc>
                <w:tcPr>
                  <w:tcW w:w="4652" w:type="dxa"/>
                  <w:vAlign w:val="center"/>
                </w:tcPr>
                <w:p w14:paraId="12F2EAFF">
                  <w:pPr>
                    <w:keepNext w:val="0"/>
                    <w:keepLines w:val="0"/>
                    <w:widowControl w:val="0"/>
                    <w:suppressLineNumbers w:val="0"/>
                    <w:spacing w:before="0" w:beforeAutospacing="0" w:after="0" w:afterAutospacing="0"/>
                    <w:ind w:left="0" w:leftChars="0" w:right="0" w:rightChars="0"/>
                    <w:jc w:val="center"/>
                    <w:rPr>
                      <w:color w:val="auto"/>
                    </w:rPr>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北侧，为1个成品油罐，容积为80t，用于暂存成品牛油。</w:t>
                  </w:r>
                  <w:r>
                    <w:rPr>
                      <w:rFonts w:hint="eastAsia"/>
                      <w:color w:val="auto"/>
                      <w:kern w:val="0"/>
                      <w:szCs w:val="21"/>
                      <w:lang w:eastAsia="zh-CN"/>
                    </w:rPr>
                    <w:t>该成品油罐主要根据客户要求，所求量较大的，不进行箱体打包，直接由客户自带油罐从成品油罐中抽走成品油。该成品油罐为地面式双层油罐，平时储油罐内油脂为固体，抽油时进行电加热。</w:t>
                  </w:r>
                </w:p>
              </w:tc>
              <w:tc>
                <w:tcPr>
                  <w:tcW w:w="656" w:type="dxa"/>
                  <w:vMerge w:val="continue"/>
                  <w:vAlign w:val="center"/>
                </w:tcPr>
                <w:p w14:paraId="23BBE24A">
                  <w:pPr>
                    <w:keepNext w:val="0"/>
                    <w:keepLines w:val="0"/>
                    <w:widowControl w:val="0"/>
                    <w:suppressLineNumbers w:val="0"/>
                    <w:spacing w:before="0" w:beforeAutospacing="0" w:after="0" w:afterAutospacing="0"/>
                    <w:ind w:left="0" w:leftChars="0" w:right="0" w:rightChars="0"/>
                    <w:jc w:val="center"/>
                    <w:rPr>
                      <w:color w:val="auto"/>
                    </w:rPr>
                  </w:pPr>
                </w:p>
              </w:tc>
            </w:tr>
            <w:tr w14:paraId="6612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dxa"/>
                  <w:vMerge w:val="continue"/>
                  <w:vAlign w:val="center"/>
                </w:tcPr>
                <w:p w14:paraId="59F06EDB">
                  <w:pPr>
                    <w:adjustRightInd w:val="0"/>
                    <w:snapToGrid w:val="0"/>
                    <w:spacing w:line="0" w:lineRule="atLeast"/>
                    <w:jc w:val="center"/>
                    <w:rPr>
                      <w:color w:val="auto"/>
                    </w:rPr>
                  </w:pPr>
                </w:p>
              </w:tc>
              <w:tc>
                <w:tcPr>
                  <w:tcW w:w="1340" w:type="dxa"/>
                  <w:gridSpan w:val="2"/>
                  <w:vMerge w:val="continue"/>
                  <w:vAlign w:val="center"/>
                </w:tcPr>
                <w:p w14:paraId="75FA1B49">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613" w:type="dxa"/>
                  <w:vMerge w:val="restart"/>
                  <w:vAlign w:val="center"/>
                </w:tcPr>
                <w:p w14:paraId="0D12CEC2">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牛干巴加工车间</w:t>
                  </w:r>
                </w:p>
              </w:tc>
              <w:tc>
                <w:tcPr>
                  <w:tcW w:w="5688" w:type="dxa"/>
                  <w:gridSpan w:val="3"/>
                  <w:vAlign w:val="center"/>
                </w:tcPr>
                <w:p w14:paraId="1D8263E6">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Cs w:val="21"/>
                      <w:lang w:val="en-US" w:eastAsia="zh-CN"/>
                    </w:rPr>
                    <w:t>位于项目区东南侧</w:t>
                  </w:r>
                  <w:r>
                    <w:rPr>
                      <w:rFonts w:hint="eastAsia" w:ascii="Times New Roman" w:hAnsi="Times New Roman" w:eastAsia="宋体" w:cs="Times New Roman"/>
                      <w:color w:val="auto"/>
                      <w:kern w:val="0"/>
                      <w:szCs w:val="21"/>
                    </w:rPr>
                    <w:t>，占</w:t>
                  </w:r>
                  <w:r>
                    <w:rPr>
                      <w:rFonts w:hint="eastAsia"/>
                      <w:color w:val="auto"/>
                      <w:kern w:val="0"/>
                      <w:szCs w:val="21"/>
                    </w:rPr>
                    <w:t>地面积为</w:t>
                  </w:r>
                  <w:r>
                    <w:rPr>
                      <w:rFonts w:hint="eastAsia"/>
                      <w:color w:val="auto"/>
                      <w:kern w:val="0"/>
                      <w:szCs w:val="21"/>
                      <w:lang w:val="en-US" w:eastAsia="zh-CN"/>
                    </w:rPr>
                    <w:t>4230.00</w:t>
                  </w:r>
                  <w:r>
                    <w:rPr>
                      <w:color w:val="auto"/>
                      <w:kern w:val="0"/>
                      <w:szCs w:val="21"/>
                    </w:rPr>
                    <w:t>m</w:t>
                  </w:r>
                  <w:r>
                    <w:rPr>
                      <w:color w:val="auto"/>
                      <w:kern w:val="0"/>
                      <w:szCs w:val="21"/>
                      <w:vertAlign w:val="superscript"/>
                    </w:rPr>
                    <w:t>2</w:t>
                  </w:r>
                  <w:r>
                    <w:rPr>
                      <w:color w:val="auto"/>
                      <w:kern w:val="0"/>
                      <w:szCs w:val="21"/>
                    </w:rPr>
                    <w:t>，</w:t>
                  </w:r>
                  <w:r>
                    <w:rPr>
                      <w:rFonts w:hint="eastAsia"/>
                      <w:color w:val="auto"/>
                      <w:kern w:val="0"/>
                      <w:szCs w:val="21"/>
                    </w:rPr>
                    <w:t>主要用于</w:t>
                  </w:r>
                  <w:r>
                    <w:rPr>
                      <w:rFonts w:hint="eastAsia"/>
                      <w:color w:val="auto"/>
                      <w:kern w:val="0"/>
                      <w:szCs w:val="21"/>
                      <w:lang w:eastAsia="zh-CN"/>
                    </w:rPr>
                    <w:t>牛干巴生产，牛干巴为半成品。</w:t>
                  </w:r>
                </w:p>
              </w:tc>
              <w:tc>
                <w:tcPr>
                  <w:tcW w:w="656" w:type="dxa"/>
                  <w:vMerge w:val="restart"/>
                  <w:vAlign w:val="center"/>
                </w:tcPr>
                <w:p w14:paraId="7B35D02B">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3504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427" w:type="dxa"/>
                  <w:vMerge w:val="continue"/>
                  <w:vAlign w:val="center"/>
                </w:tcPr>
                <w:p w14:paraId="57BFF0A5">
                  <w:pPr>
                    <w:adjustRightInd w:val="0"/>
                    <w:snapToGrid w:val="0"/>
                    <w:spacing w:line="0" w:lineRule="atLeast"/>
                    <w:jc w:val="center"/>
                    <w:rPr>
                      <w:color w:val="auto"/>
                    </w:rPr>
                  </w:pPr>
                </w:p>
              </w:tc>
              <w:tc>
                <w:tcPr>
                  <w:tcW w:w="1340" w:type="dxa"/>
                  <w:gridSpan w:val="2"/>
                  <w:vMerge w:val="continue"/>
                  <w:vAlign w:val="center"/>
                </w:tcPr>
                <w:p w14:paraId="021E375A">
                  <w:pPr>
                    <w:adjustRightInd w:val="0"/>
                    <w:snapToGrid w:val="0"/>
                    <w:spacing w:line="0" w:lineRule="atLeast"/>
                    <w:jc w:val="center"/>
                    <w:rPr>
                      <w:color w:val="auto"/>
                    </w:rPr>
                  </w:pPr>
                </w:p>
              </w:tc>
              <w:tc>
                <w:tcPr>
                  <w:tcW w:w="613" w:type="dxa"/>
                  <w:vMerge w:val="continue"/>
                  <w:vAlign w:val="center"/>
                </w:tcPr>
                <w:p w14:paraId="76FDE40E">
                  <w:pPr>
                    <w:adjustRightInd w:val="0"/>
                    <w:snapToGrid w:val="0"/>
                    <w:spacing w:line="0" w:lineRule="atLeast"/>
                    <w:jc w:val="center"/>
                    <w:rPr>
                      <w:color w:val="auto"/>
                    </w:rPr>
                  </w:pPr>
                </w:p>
              </w:tc>
              <w:tc>
                <w:tcPr>
                  <w:tcW w:w="1036" w:type="dxa"/>
                  <w:gridSpan w:val="2"/>
                  <w:vAlign w:val="center"/>
                </w:tcPr>
                <w:p w14:paraId="69B20781">
                  <w:pPr>
                    <w:adjustRightInd w:val="0"/>
                    <w:snapToGrid w:val="0"/>
                    <w:spacing w:line="0" w:lineRule="atLeast"/>
                    <w:jc w:val="center"/>
                    <w:rPr>
                      <w:color w:val="auto"/>
                    </w:rPr>
                  </w:pPr>
                  <w:r>
                    <w:rPr>
                      <w:rFonts w:hint="eastAsia"/>
                      <w:color w:val="auto"/>
                      <w:kern w:val="0"/>
                      <w:szCs w:val="21"/>
                      <w:lang w:eastAsia="zh-CN"/>
                    </w:rPr>
                    <w:t>抹</w:t>
                  </w:r>
                  <w:r>
                    <w:rPr>
                      <w:rFonts w:hint="eastAsia" w:ascii="Times New Roman" w:hAnsi="Times New Roman" w:eastAsia="宋体" w:cs="Times New Roman"/>
                      <w:color w:val="auto"/>
                      <w:kern w:val="0"/>
                      <w:szCs w:val="21"/>
                      <w:u w:val="none" w:color="auto"/>
                      <w:vertAlign w:val="baseline"/>
                      <w:lang w:val="en-US" w:eastAsia="zh-CN"/>
                    </w:rPr>
                    <w:t>料</w:t>
                  </w:r>
                  <w:r>
                    <w:rPr>
                      <w:rFonts w:hint="eastAsia" w:cs="Times New Roman"/>
                      <w:color w:val="auto"/>
                      <w:kern w:val="0"/>
                      <w:szCs w:val="21"/>
                      <w:u w:val="none" w:color="auto"/>
                      <w:vertAlign w:val="baseline"/>
                      <w:lang w:val="en-US" w:eastAsia="zh-CN"/>
                    </w:rPr>
                    <w:t>、腌制</w:t>
                  </w:r>
                  <w:r>
                    <w:rPr>
                      <w:rFonts w:hint="eastAsia" w:ascii="Times New Roman" w:hAnsi="Times New Roman" w:eastAsia="宋体" w:cs="Times New Roman"/>
                      <w:color w:val="auto"/>
                      <w:kern w:val="0"/>
                      <w:szCs w:val="21"/>
                      <w:u w:val="none" w:color="auto"/>
                      <w:vertAlign w:val="baseline"/>
                      <w:lang w:val="en-US" w:eastAsia="zh-CN"/>
                    </w:rPr>
                    <w:t>区域</w:t>
                  </w:r>
                </w:p>
              </w:tc>
              <w:tc>
                <w:tcPr>
                  <w:tcW w:w="4652" w:type="dxa"/>
                  <w:vAlign w:val="center"/>
                </w:tcPr>
                <w:p w14:paraId="119F0540">
                  <w:pPr>
                    <w:adjustRightInd w:val="0"/>
                    <w:snapToGrid w:val="0"/>
                    <w:spacing w:line="0" w:lineRule="atLeast"/>
                    <w:jc w:val="center"/>
                    <w:rPr>
                      <w:rFonts w:hint="eastAsia" w:eastAsia="宋体"/>
                      <w:color w:val="auto"/>
                      <w:lang w:eastAsia="zh-CN"/>
                    </w:rPr>
                  </w:pPr>
                  <w:r>
                    <w:rPr>
                      <w:rFonts w:hint="eastAsia"/>
                      <w:color w:val="auto"/>
                      <w:lang w:eastAsia="zh-CN"/>
                    </w:rPr>
                    <w:t>位于车间内东北侧，主要用于将新鲜的牛肉涂抹上腌料，放入腌制罐进行腌制。</w:t>
                  </w:r>
                </w:p>
              </w:tc>
              <w:tc>
                <w:tcPr>
                  <w:tcW w:w="656" w:type="dxa"/>
                  <w:vMerge w:val="continue"/>
                  <w:vAlign w:val="center"/>
                </w:tcPr>
                <w:p w14:paraId="6304E3E7">
                  <w:pPr>
                    <w:adjustRightInd w:val="0"/>
                    <w:snapToGrid w:val="0"/>
                    <w:spacing w:line="0" w:lineRule="atLeast"/>
                    <w:jc w:val="center"/>
                    <w:rPr>
                      <w:color w:val="auto"/>
                    </w:rPr>
                  </w:pPr>
                </w:p>
              </w:tc>
            </w:tr>
            <w:tr w14:paraId="43D3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27" w:type="dxa"/>
                  <w:vMerge w:val="continue"/>
                  <w:vAlign w:val="center"/>
                </w:tcPr>
                <w:p w14:paraId="70FEDAB6">
                  <w:pPr>
                    <w:adjustRightInd w:val="0"/>
                    <w:snapToGrid w:val="0"/>
                    <w:spacing w:line="0" w:lineRule="atLeast"/>
                    <w:jc w:val="center"/>
                    <w:rPr>
                      <w:color w:val="auto"/>
                    </w:rPr>
                  </w:pPr>
                </w:p>
              </w:tc>
              <w:tc>
                <w:tcPr>
                  <w:tcW w:w="1340" w:type="dxa"/>
                  <w:gridSpan w:val="2"/>
                  <w:vMerge w:val="continue"/>
                  <w:vAlign w:val="center"/>
                </w:tcPr>
                <w:p w14:paraId="6337F98E">
                  <w:pPr>
                    <w:adjustRightInd w:val="0"/>
                    <w:snapToGrid w:val="0"/>
                    <w:spacing w:line="0" w:lineRule="atLeast"/>
                    <w:jc w:val="center"/>
                    <w:rPr>
                      <w:color w:val="auto"/>
                    </w:rPr>
                  </w:pPr>
                </w:p>
              </w:tc>
              <w:tc>
                <w:tcPr>
                  <w:tcW w:w="613" w:type="dxa"/>
                  <w:vMerge w:val="continue"/>
                  <w:vAlign w:val="center"/>
                </w:tcPr>
                <w:p w14:paraId="07E0E60D">
                  <w:pPr>
                    <w:adjustRightInd w:val="0"/>
                    <w:snapToGrid w:val="0"/>
                    <w:spacing w:line="0" w:lineRule="atLeast"/>
                    <w:jc w:val="center"/>
                    <w:rPr>
                      <w:color w:val="auto"/>
                    </w:rPr>
                  </w:pPr>
                </w:p>
              </w:tc>
              <w:tc>
                <w:tcPr>
                  <w:tcW w:w="1036" w:type="dxa"/>
                  <w:gridSpan w:val="2"/>
                  <w:vAlign w:val="center"/>
                </w:tcPr>
                <w:p w14:paraId="5001156A">
                  <w:pPr>
                    <w:adjustRightInd w:val="0"/>
                    <w:snapToGrid w:val="0"/>
                    <w:spacing w:line="0" w:lineRule="atLeast"/>
                    <w:jc w:val="center"/>
                    <w:rPr>
                      <w:color w:val="auto"/>
                    </w:rPr>
                  </w:pPr>
                  <w:r>
                    <w:rPr>
                      <w:rFonts w:hint="eastAsia" w:ascii="Times New Roman" w:hAnsi="Times New Roman" w:eastAsia="宋体" w:cs="Times New Roman"/>
                      <w:color w:val="auto"/>
                      <w:kern w:val="0"/>
                      <w:szCs w:val="21"/>
                      <w:u w:val="none" w:color="auto"/>
                      <w:vertAlign w:val="baseline"/>
                      <w:lang w:val="en-US" w:eastAsia="zh-CN"/>
                    </w:rPr>
                    <w:t>晾晒区域</w:t>
                  </w:r>
                </w:p>
              </w:tc>
              <w:tc>
                <w:tcPr>
                  <w:tcW w:w="4652" w:type="dxa"/>
                  <w:vAlign w:val="center"/>
                </w:tcPr>
                <w:p w14:paraId="25B2AECC">
                  <w:pPr>
                    <w:adjustRightInd w:val="0"/>
                    <w:snapToGrid w:val="0"/>
                    <w:spacing w:line="0" w:lineRule="atLeast"/>
                    <w:jc w:val="both"/>
                    <w:rPr>
                      <w:rFonts w:hint="eastAsia" w:eastAsia="宋体"/>
                      <w:color w:val="auto"/>
                      <w:lang w:eastAsia="zh-CN"/>
                    </w:rPr>
                  </w:pPr>
                  <w:r>
                    <w:rPr>
                      <w:rFonts w:hint="eastAsia"/>
                      <w:color w:val="auto"/>
                      <w:lang w:eastAsia="zh-CN"/>
                    </w:rPr>
                    <w:t>位于车间内东侧，主要用于自然晾晒腌制后的牛肉。</w:t>
                  </w:r>
                </w:p>
              </w:tc>
              <w:tc>
                <w:tcPr>
                  <w:tcW w:w="656" w:type="dxa"/>
                  <w:vMerge w:val="continue"/>
                  <w:vAlign w:val="center"/>
                </w:tcPr>
                <w:p w14:paraId="7F69745A">
                  <w:pPr>
                    <w:adjustRightInd w:val="0"/>
                    <w:snapToGrid w:val="0"/>
                    <w:spacing w:line="0" w:lineRule="atLeast"/>
                    <w:jc w:val="center"/>
                    <w:rPr>
                      <w:color w:val="auto"/>
                    </w:rPr>
                  </w:pPr>
                </w:p>
              </w:tc>
            </w:tr>
            <w:tr w14:paraId="495F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27" w:type="dxa"/>
                  <w:vMerge w:val="continue"/>
                  <w:vAlign w:val="center"/>
                </w:tcPr>
                <w:p w14:paraId="6225FE67">
                  <w:pPr>
                    <w:adjustRightInd w:val="0"/>
                    <w:snapToGrid w:val="0"/>
                    <w:spacing w:line="0" w:lineRule="atLeast"/>
                    <w:jc w:val="center"/>
                    <w:rPr>
                      <w:color w:val="auto"/>
                    </w:rPr>
                  </w:pPr>
                </w:p>
              </w:tc>
              <w:tc>
                <w:tcPr>
                  <w:tcW w:w="1340" w:type="dxa"/>
                  <w:gridSpan w:val="2"/>
                  <w:vMerge w:val="continue"/>
                  <w:vAlign w:val="center"/>
                </w:tcPr>
                <w:p w14:paraId="0D08B362">
                  <w:pPr>
                    <w:adjustRightInd w:val="0"/>
                    <w:snapToGrid w:val="0"/>
                    <w:spacing w:line="0" w:lineRule="atLeast"/>
                    <w:jc w:val="center"/>
                    <w:rPr>
                      <w:color w:val="auto"/>
                    </w:rPr>
                  </w:pPr>
                </w:p>
              </w:tc>
              <w:tc>
                <w:tcPr>
                  <w:tcW w:w="613" w:type="dxa"/>
                  <w:vMerge w:val="continue"/>
                  <w:vAlign w:val="center"/>
                </w:tcPr>
                <w:p w14:paraId="79E0A316">
                  <w:pPr>
                    <w:adjustRightInd w:val="0"/>
                    <w:snapToGrid w:val="0"/>
                    <w:spacing w:line="0" w:lineRule="atLeast"/>
                    <w:jc w:val="center"/>
                    <w:rPr>
                      <w:color w:val="auto"/>
                    </w:rPr>
                  </w:pPr>
                </w:p>
              </w:tc>
              <w:tc>
                <w:tcPr>
                  <w:tcW w:w="1036" w:type="dxa"/>
                  <w:gridSpan w:val="2"/>
                  <w:vAlign w:val="center"/>
                </w:tcPr>
                <w:p w14:paraId="1E16B5FE">
                  <w:pPr>
                    <w:adjustRightInd w:val="0"/>
                    <w:snapToGrid w:val="0"/>
                    <w:spacing w:line="0" w:lineRule="atLeast"/>
                    <w:jc w:val="center"/>
                    <w:rPr>
                      <w:color w:val="auto"/>
                    </w:rPr>
                  </w:pPr>
                  <w:r>
                    <w:rPr>
                      <w:rFonts w:hint="eastAsia" w:ascii="Times New Roman" w:hAnsi="Times New Roman" w:eastAsia="宋体" w:cs="Times New Roman"/>
                      <w:color w:val="auto"/>
                      <w:kern w:val="0"/>
                      <w:szCs w:val="21"/>
                      <w:u w:val="none" w:color="auto"/>
                      <w:vertAlign w:val="baseline"/>
                      <w:lang w:val="en-US" w:eastAsia="zh-CN"/>
                    </w:rPr>
                    <w:t>包装区域</w:t>
                  </w:r>
                </w:p>
              </w:tc>
              <w:tc>
                <w:tcPr>
                  <w:tcW w:w="4652" w:type="dxa"/>
                  <w:vAlign w:val="center"/>
                </w:tcPr>
                <w:p w14:paraId="6730FECD">
                  <w:pPr>
                    <w:adjustRightInd w:val="0"/>
                    <w:snapToGrid w:val="0"/>
                    <w:spacing w:line="0" w:lineRule="atLeast"/>
                    <w:jc w:val="both"/>
                    <w:rPr>
                      <w:rFonts w:hint="eastAsia" w:eastAsia="宋体"/>
                      <w:color w:val="auto"/>
                      <w:lang w:eastAsia="zh-CN"/>
                    </w:rPr>
                  </w:pPr>
                  <w:r>
                    <w:rPr>
                      <w:rFonts w:hint="eastAsia"/>
                      <w:color w:val="auto"/>
                      <w:lang w:eastAsia="zh-CN"/>
                    </w:rPr>
                    <w:t>位于车间内西侧，主要用于将晾晒后的牛干巴进行打包、分装。</w:t>
                  </w:r>
                </w:p>
              </w:tc>
              <w:tc>
                <w:tcPr>
                  <w:tcW w:w="656" w:type="dxa"/>
                  <w:vMerge w:val="continue"/>
                  <w:vAlign w:val="center"/>
                </w:tcPr>
                <w:p w14:paraId="077EFCA5">
                  <w:pPr>
                    <w:adjustRightInd w:val="0"/>
                    <w:snapToGrid w:val="0"/>
                    <w:spacing w:line="0" w:lineRule="atLeast"/>
                    <w:jc w:val="center"/>
                    <w:rPr>
                      <w:color w:val="auto"/>
                    </w:rPr>
                  </w:pPr>
                </w:p>
              </w:tc>
            </w:tr>
            <w:tr w14:paraId="7B55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27" w:type="dxa"/>
                  <w:vMerge w:val="continue"/>
                  <w:vAlign w:val="center"/>
                </w:tcPr>
                <w:p w14:paraId="7C0D1E00">
                  <w:pPr>
                    <w:adjustRightInd w:val="0"/>
                    <w:snapToGrid w:val="0"/>
                    <w:spacing w:line="0" w:lineRule="atLeast"/>
                    <w:jc w:val="center"/>
                    <w:rPr>
                      <w:color w:val="auto"/>
                    </w:rPr>
                  </w:pPr>
                </w:p>
              </w:tc>
              <w:tc>
                <w:tcPr>
                  <w:tcW w:w="1340" w:type="dxa"/>
                  <w:gridSpan w:val="2"/>
                  <w:vMerge w:val="continue"/>
                  <w:vAlign w:val="center"/>
                </w:tcPr>
                <w:p w14:paraId="10689224">
                  <w:pPr>
                    <w:adjustRightInd w:val="0"/>
                    <w:snapToGrid w:val="0"/>
                    <w:spacing w:line="0" w:lineRule="atLeast"/>
                    <w:jc w:val="center"/>
                    <w:rPr>
                      <w:color w:val="auto"/>
                    </w:rPr>
                  </w:pPr>
                </w:p>
              </w:tc>
              <w:tc>
                <w:tcPr>
                  <w:tcW w:w="613" w:type="dxa"/>
                  <w:vMerge w:val="continue"/>
                  <w:vAlign w:val="center"/>
                </w:tcPr>
                <w:p w14:paraId="6CD67AF3">
                  <w:pPr>
                    <w:adjustRightInd w:val="0"/>
                    <w:snapToGrid w:val="0"/>
                    <w:spacing w:line="0" w:lineRule="atLeast"/>
                    <w:jc w:val="center"/>
                    <w:rPr>
                      <w:color w:val="auto"/>
                    </w:rPr>
                  </w:pPr>
                </w:p>
              </w:tc>
              <w:tc>
                <w:tcPr>
                  <w:tcW w:w="1036" w:type="dxa"/>
                  <w:gridSpan w:val="2"/>
                  <w:vAlign w:val="center"/>
                </w:tcPr>
                <w:p w14:paraId="7DEA5BE6">
                  <w:pPr>
                    <w:adjustRightInd w:val="0"/>
                    <w:snapToGrid w:val="0"/>
                    <w:spacing w:line="0" w:lineRule="atLeast"/>
                    <w:jc w:val="center"/>
                    <w:rPr>
                      <w:color w:val="auto"/>
                    </w:rPr>
                  </w:pPr>
                  <w:r>
                    <w:rPr>
                      <w:rFonts w:hint="eastAsia" w:ascii="Times New Roman" w:hAnsi="Times New Roman" w:eastAsia="宋体" w:cs="Times New Roman"/>
                      <w:color w:val="auto"/>
                      <w:kern w:val="0"/>
                      <w:szCs w:val="21"/>
                      <w:u w:val="none" w:color="auto"/>
                      <w:vertAlign w:val="baseline"/>
                      <w:lang w:val="en-US" w:eastAsia="zh-CN"/>
                    </w:rPr>
                    <w:t>成品区域</w:t>
                  </w:r>
                </w:p>
              </w:tc>
              <w:tc>
                <w:tcPr>
                  <w:tcW w:w="4652" w:type="dxa"/>
                  <w:vAlign w:val="center"/>
                </w:tcPr>
                <w:p w14:paraId="3EDB9D18">
                  <w:pPr>
                    <w:adjustRightInd w:val="0"/>
                    <w:snapToGrid w:val="0"/>
                    <w:spacing w:line="0" w:lineRule="atLeast"/>
                    <w:jc w:val="center"/>
                    <w:rPr>
                      <w:rFonts w:hint="eastAsia" w:eastAsia="宋体"/>
                      <w:color w:val="auto"/>
                      <w:lang w:eastAsia="zh-CN"/>
                    </w:rPr>
                  </w:pPr>
                  <w:r>
                    <w:rPr>
                      <w:rFonts w:hint="eastAsia"/>
                      <w:color w:val="auto"/>
                      <w:lang w:eastAsia="zh-CN"/>
                    </w:rPr>
                    <w:t>位于车间内西南侧，主要用于成品牛干巴的暂存。</w:t>
                  </w:r>
                </w:p>
              </w:tc>
              <w:tc>
                <w:tcPr>
                  <w:tcW w:w="656" w:type="dxa"/>
                  <w:vMerge w:val="continue"/>
                  <w:vAlign w:val="center"/>
                </w:tcPr>
                <w:p w14:paraId="57C32F93">
                  <w:pPr>
                    <w:adjustRightInd w:val="0"/>
                    <w:snapToGrid w:val="0"/>
                    <w:spacing w:line="0" w:lineRule="atLeast"/>
                    <w:jc w:val="center"/>
                    <w:rPr>
                      <w:color w:val="auto"/>
                    </w:rPr>
                  </w:pPr>
                </w:p>
              </w:tc>
            </w:tr>
            <w:tr w14:paraId="69E0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continue"/>
                  <w:vAlign w:val="center"/>
                </w:tcPr>
                <w:p w14:paraId="2A73567E">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340" w:type="dxa"/>
                  <w:gridSpan w:val="2"/>
                  <w:vMerge w:val="restart"/>
                  <w:vAlign w:val="center"/>
                </w:tcPr>
                <w:p w14:paraId="79C214C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1#生产厂房，占地面积为8888.68m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，为单</w:t>
                  </w:r>
                  <w:r>
                    <w:rPr>
                      <w:rFonts w:hint="eastAsia" w:ascii="Times New Roman" w:hAnsi="Times New Roman" w:eastAsia="宋体" w:cs="Times New Roman"/>
                      <w:color w:val="auto"/>
                      <w:sz w:val="21"/>
                      <w:szCs w:val="21"/>
                      <w:highlight w:val="none"/>
                      <w:lang w:val="en-US" w:eastAsia="zh-CN"/>
                    </w:rPr>
                    <w:t>层厂房，高度为10.15m</w:t>
                  </w:r>
                </w:p>
              </w:tc>
              <w:tc>
                <w:tcPr>
                  <w:tcW w:w="613" w:type="dxa"/>
                  <w:vMerge w:val="restart"/>
                  <w:vAlign w:val="center"/>
                </w:tcPr>
                <w:p w14:paraId="25B0A58B">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饲料油脂加工车间</w:t>
                  </w:r>
                </w:p>
              </w:tc>
              <w:tc>
                <w:tcPr>
                  <w:tcW w:w="5688" w:type="dxa"/>
                  <w:gridSpan w:val="3"/>
                  <w:vAlign w:val="center"/>
                </w:tcPr>
                <w:p w14:paraId="589EC130">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Cs w:val="21"/>
                      <w:lang w:val="en-US" w:eastAsia="zh-CN"/>
                    </w:rPr>
                    <w:t>位于项目区东南侧</w:t>
                  </w:r>
                  <w:r>
                    <w:rPr>
                      <w:rFonts w:hint="eastAsia" w:ascii="Times New Roman" w:hAnsi="Times New Roman" w:eastAsia="宋体" w:cs="Times New Roman"/>
                      <w:color w:val="auto"/>
                      <w:kern w:val="0"/>
                      <w:szCs w:val="21"/>
                    </w:rPr>
                    <w:t>，占</w:t>
                  </w:r>
                  <w:r>
                    <w:rPr>
                      <w:rFonts w:hint="eastAsia"/>
                      <w:color w:val="auto"/>
                      <w:kern w:val="0"/>
                      <w:szCs w:val="21"/>
                    </w:rPr>
                    <w:t>地面积为</w:t>
                  </w:r>
                  <w:r>
                    <w:rPr>
                      <w:rFonts w:hint="eastAsia"/>
                      <w:color w:val="auto"/>
                      <w:kern w:val="0"/>
                      <w:szCs w:val="21"/>
                      <w:lang w:val="en-US" w:eastAsia="zh-CN"/>
                    </w:rPr>
                    <w:t>4438.99</w:t>
                  </w:r>
                  <w:r>
                    <w:rPr>
                      <w:color w:val="auto"/>
                      <w:kern w:val="0"/>
                      <w:szCs w:val="21"/>
                    </w:rPr>
                    <w:t>m</w:t>
                  </w:r>
                  <w:r>
                    <w:rPr>
                      <w:color w:val="auto"/>
                      <w:kern w:val="0"/>
                      <w:szCs w:val="21"/>
                      <w:vertAlign w:val="superscript"/>
                    </w:rPr>
                    <w:t>2</w:t>
                  </w:r>
                  <w:r>
                    <w:rPr>
                      <w:color w:val="auto"/>
                      <w:kern w:val="0"/>
                      <w:szCs w:val="21"/>
                    </w:rPr>
                    <w:t>，</w:t>
                  </w:r>
                  <w:r>
                    <w:rPr>
                      <w:rFonts w:hint="eastAsia"/>
                      <w:color w:val="auto"/>
                      <w:kern w:val="0"/>
                      <w:szCs w:val="21"/>
                    </w:rPr>
                    <w:t>主要用于</w:t>
                  </w:r>
                  <w:r>
                    <w:rPr>
                      <w:rFonts w:hint="eastAsia"/>
                      <w:color w:val="auto"/>
                      <w:kern w:val="0"/>
                      <w:szCs w:val="21"/>
                      <w:lang w:eastAsia="zh-CN"/>
                    </w:rPr>
                    <w:t>动物饲料油脂生产。</w:t>
                  </w:r>
                </w:p>
              </w:tc>
              <w:tc>
                <w:tcPr>
                  <w:tcW w:w="656" w:type="dxa"/>
                  <w:vMerge w:val="restart"/>
                  <w:vAlign w:val="center"/>
                </w:tcPr>
                <w:p w14:paraId="70ADF238">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185D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14:paraId="22CB216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340" w:type="dxa"/>
                  <w:gridSpan w:val="2"/>
                  <w:vMerge w:val="continue"/>
                  <w:vAlign w:val="center"/>
                </w:tcPr>
                <w:p w14:paraId="0865F5FE">
                  <w:pPr>
                    <w:adjustRightInd w:val="0"/>
                    <w:snapToGrid w:val="0"/>
                    <w:spacing w:line="0" w:lineRule="atLeast"/>
                    <w:jc w:val="center"/>
                    <w:rPr>
                      <w:rFonts w:hint="eastAsia" w:cs="Times New Roman"/>
                      <w:color w:val="auto"/>
                      <w:sz w:val="21"/>
                      <w:szCs w:val="21"/>
                      <w:highlight w:val="none"/>
                      <w:lang w:val="en-US" w:eastAsia="zh-CN"/>
                    </w:rPr>
                  </w:pPr>
                </w:p>
              </w:tc>
              <w:tc>
                <w:tcPr>
                  <w:tcW w:w="613" w:type="dxa"/>
                  <w:vMerge w:val="continue"/>
                  <w:vAlign w:val="center"/>
                </w:tcPr>
                <w:p w14:paraId="4F6EF314">
                  <w:pPr>
                    <w:adjustRightInd w:val="0"/>
                    <w:snapToGrid w:val="0"/>
                    <w:spacing w:line="0" w:lineRule="atLeast"/>
                    <w:jc w:val="center"/>
                    <w:rPr>
                      <w:rFonts w:hint="eastAsia" w:cs="Times New Roman"/>
                      <w:color w:val="auto"/>
                      <w:sz w:val="21"/>
                      <w:szCs w:val="21"/>
                      <w:highlight w:val="none"/>
                      <w:lang w:val="en-US" w:eastAsia="zh-CN"/>
                    </w:rPr>
                  </w:pPr>
                </w:p>
              </w:tc>
              <w:tc>
                <w:tcPr>
                  <w:tcW w:w="1036" w:type="dxa"/>
                  <w:gridSpan w:val="2"/>
                  <w:vAlign w:val="center"/>
                </w:tcPr>
                <w:p w14:paraId="5EC28DEC">
                  <w:pPr>
                    <w:widowControl/>
                    <w:adjustRightInd w:val="0"/>
                    <w:snapToGrid w:val="0"/>
                    <w:jc w:val="center"/>
                    <w:rPr>
                      <w:rFonts w:hint="eastAsia" w:ascii="Times New Roman" w:hAnsi="Times New Roman" w:eastAsia="宋体" w:cs="Times New Roman"/>
                      <w:color w:val="auto"/>
                      <w:kern w:val="0"/>
                      <w:szCs w:val="21"/>
                      <w:lang w:val="en-US" w:eastAsia="zh-CN"/>
                    </w:rPr>
                  </w:pPr>
                  <w:r>
                    <w:rPr>
                      <w:rFonts w:hint="eastAsia"/>
                      <w:color w:val="auto"/>
                      <w:kern w:val="0"/>
                      <w:szCs w:val="21"/>
                    </w:rPr>
                    <w:t>解冻拆包投料</w:t>
                  </w:r>
                  <w:r>
                    <w:rPr>
                      <w:rFonts w:hint="eastAsia"/>
                      <w:color w:val="auto"/>
                      <w:kern w:val="0"/>
                      <w:szCs w:val="21"/>
                      <w:lang w:eastAsia="zh-CN"/>
                    </w:rPr>
                    <w:t>区</w:t>
                  </w:r>
                </w:p>
              </w:tc>
              <w:tc>
                <w:tcPr>
                  <w:tcW w:w="4652" w:type="dxa"/>
                  <w:vAlign w:val="center"/>
                </w:tcPr>
                <w:p w14:paraId="39EE3F9B">
                  <w:pPr>
                    <w:keepNext w:val="0"/>
                    <w:keepLines w:val="0"/>
                    <w:widowControl/>
                    <w:suppressLineNumbers w:val="0"/>
                    <w:jc w:val="left"/>
                    <w:rPr>
                      <w:rFonts w:hint="eastAsia" w:ascii="Times New Roman" w:hAnsi="Times New Roman" w:eastAsia="宋体" w:cs="Times New Roman"/>
                      <w:color w:val="auto"/>
                      <w:kern w:val="0"/>
                      <w:szCs w:val="21"/>
                      <w:lang w:val="en-US" w:eastAsia="zh-CN"/>
                    </w:rPr>
                  </w:pPr>
                  <w:r>
                    <w:rPr>
                      <w:rFonts w:hint="eastAsia" w:ascii="宋体" w:hAnsi="宋体" w:eastAsia="宋体" w:cs="宋体"/>
                      <w:color w:val="auto"/>
                      <w:kern w:val="0"/>
                      <w:sz w:val="20"/>
                      <w:szCs w:val="20"/>
                      <w:lang w:val="en-US" w:eastAsia="zh-CN" w:bidi="ar"/>
                    </w:rPr>
                    <w:t>位于车间</w:t>
                  </w:r>
                  <w:r>
                    <w:rPr>
                      <w:rFonts w:hint="eastAsia" w:ascii="宋体" w:hAnsi="宋体" w:cs="宋体"/>
                      <w:color w:val="auto"/>
                      <w:kern w:val="0"/>
                      <w:sz w:val="20"/>
                      <w:szCs w:val="20"/>
                      <w:lang w:val="en-US" w:eastAsia="zh-CN" w:bidi="ar"/>
                    </w:rPr>
                    <w:t>内东侧</w:t>
                  </w:r>
                  <w:r>
                    <w:rPr>
                      <w:rFonts w:hint="eastAsia" w:ascii="宋体" w:hAnsi="宋体" w:eastAsia="宋体" w:cs="宋体"/>
                      <w:color w:val="auto"/>
                      <w:kern w:val="0"/>
                      <w:sz w:val="20"/>
                      <w:szCs w:val="20"/>
                      <w:lang w:val="en-US" w:eastAsia="zh-CN" w:bidi="ar"/>
                    </w:rPr>
                    <w:t>，</w:t>
                  </w:r>
                  <w:r>
                    <w:rPr>
                      <w:rFonts w:hint="eastAsia" w:ascii="宋体" w:hAnsi="宋体" w:cs="宋体"/>
                      <w:color w:val="auto"/>
                      <w:kern w:val="0"/>
                      <w:sz w:val="20"/>
                      <w:szCs w:val="20"/>
                      <w:lang w:val="en-US" w:eastAsia="zh-CN" w:bidi="ar"/>
                    </w:rPr>
                    <w:t>设</w:t>
                  </w:r>
                  <w:r>
                    <w:rPr>
                      <w:rFonts w:hint="default" w:ascii="Times New Roman" w:hAnsi="Times New Roman" w:eastAsia="宋体" w:cs="Times New Roman"/>
                      <w:color w:val="auto"/>
                      <w:kern w:val="0"/>
                      <w:sz w:val="20"/>
                      <w:szCs w:val="20"/>
                      <w:lang w:val="en-US" w:eastAsia="zh-CN" w:bidi="ar"/>
                    </w:rPr>
                    <w:t>1</w:t>
                  </w:r>
                  <w:r>
                    <w:rPr>
                      <w:rFonts w:hint="eastAsia" w:ascii="宋体" w:hAnsi="宋体" w:eastAsia="宋体" w:cs="宋体"/>
                      <w:color w:val="auto"/>
                      <w:kern w:val="0"/>
                      <w:sz w:val="20"/>
                      <w:szCs w:val="20"/>
                      <w:lang w:val="en-US" w:eastAsia="zh-CN" w:bidi="ar"/>
                    </w:rPr>
                    <w:t>个解冻槽，将需要解冻的原料存放在解冻槽内，解冻槽连接运输带</w:t>
                  </w:r>
                  <w:r>
                    <w:rPr>
                      <w:rFonts w:hint="eastAsia" w:ascii="宋体" w:hAnsi="宋体" w:cs="宋体"/>
                      <w:color w:val="auto"/>
                      <w:kern w:val="0"/>
                      <w:sz w:val="20"/>
                      <w:szCs w:val="20"/>
                      <w:lang w:val="en-US" w:eastAsia="zh-CN" w:bidi="ar"/>
                    </w:rPr>
                    <w:t>，解冻方式为自然解冻。</w:t>
                  </w:r>
                </w:p>
              </w:tc>
              <w:tc>
                <w:tcPr>
                  <w:tcW w:w="656" w:type="dxa"/>
                  <w:vMerge w:val="continue"/>
                  <w:vAlign w:val="center"/>
                </w:tcPr>
                <w:p w14:paraId="48E00811">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640B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14:paraId="76B665AA">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340" w:type="dxa"/>
                  <w:gridSpan w:val="2"/>
                  <w:vMerge w:val="continue"/>
                  <w:vAlign w:val="center"/>
                </w:tcPr>
                <w:p w14:paraId="55225F7E">
                  <w:pPr>
                    <w:adjustRightInd w:val="0"/>
                    <w:snapToGrid w:val="0"/>
                    <w:spacing w:line="0" w:lineRule="atLeast"/>
                    <w:jc w:val="center"/>
                    <w:rPr>
                      <w:rFonts w:hint="eastAsia" w:cs="Times New Roman"/>
                      <w:color w:val="auto"/>
                      <w:sz w:val="21"/>
                      <w:szCs w:val="21"/>
                      <w:highlight w:val="none"/>
                      <w:lang w:val="en-US" w:eastAsia="zh-CN"/>
                    </w:rPr>
                  </w:pPr>
                </w:p>
              </w:tc>
              <w:tc>
                <w:tcPr>
                  <w:tcW w:w="613" w:type="dxa"/>
                  <w:vMerge w:val="continue"/>
                  <w:vAlign w:val="center"/>
                </w:tcPr>
                <w:p w14:paraId="5DA55716">
                  <w:pPr>
                    <w:adjustRightInd w:val="0"/>
                    <w:snapToGrid w:val="0"/>
                    <w:spacing w:line="0" w:lineRule="atLeast"/>
                    <w:jc w:val="center"/>
                    <w:rPr>
                      <w:rFonts w:hint="eastAsia" w:cs="Times New Roman"/>
                      <w:color w:val="auto"/>
                      <w:sz w:val="21"/>
                      <w:szCs w:val="21"/>
                      <w:highlight w:val="none"/>
                      <w:lang w:val="en-US" w:eastAsia="zh-CN"/>
                    </w:rPr>
                  </w:pPr>
                </w:p>
              </w:tc>
              <w:tc>
                <w:tcPr>
                  <w:tcW w:w="1036" w:type="dxa"/>
                  <w:gridSpan w:val="2"/>
                  <w:vAlign w:val="center"/>
                </w:tcPr>
                <w:p w14:paraId="23A285A4">
                  <w:pPr>
                    <w:widowControl/>
                    <w:adjustRightInd w:val="0"/>
                    <w:snapToGrid w:val="0"/>
                    <w:jc w:val="center"/>
                    <w:rPr>
                      <w:rFonts w:hint="eastAsia"/>
                      <w:color w:val="auto"/>
                      <w:kern w:val="0"/>
                      <w:szCs w:val="21"/>
                    </w:rPr>
                  </w:pPr>
                  <w:r>
                    <w:rPr>
                      <w:rFonts w:hint="eastAsia"/>
                      <w:color w:val="auto"/>
                      <w:kern w:val="0"/>
                      <w:szCs w:val="21"/>
                      <w:lang w:eastAsia="zh-CN"/>
                    </w:rPr>
                    <w:t>绞肉</w:t>
                  </w:r>
                  <w:r>
                    <w:rPr>
                      <w:rFonts w:hint="eastAsia"/>
                      <w:color w:val="auto"/>
                      <w:kern w:val="0"/>
                      <w:szCs w:val="21"/>
                    </w:rPr>
                    <w:t>区</w:t>
                  </w:r>
                </w:p>
              </w:tc>
              <w:tc>
                <w:tcPr>
                  <w:tcW w:w="4652" w:type="dxa"/>
                  <w:vAlign w:val="center"/>
                </w:tcPr>
                <w:p w14:paraId="02D57F4C">
                  <w:pPr>
                    <w:rPr>
                      <w:rFonts w:hint="eastAsia"/>
                      <w:color w:val="auto"/>
                      <w:kern w:val="0"/>
                      <w:szCs w:val="21"/>
                    </w:rPr>
                  </w:pPr>
                  <w:r>
                    <w:rPr>
                      <w:rFonts w:hint="eastAsia"/>
                      <w:color w:val="auto"/>
                      <w:kern w:val="0"/>
                      <w:szCs w:val="21"/>
                    </w:rPr>
                    <w:t>位于</w:t>
                  </w:r>
                  <w:r>
                    <w:rPr>
                      <w:rFonts w:hint="eastAsia"/>
                      <w:color w:val="auto"/>
                      <w:kern w:val="0"/>
                      <w:szCs w:val="21"/>
                      <w:lang w:eastAsia="zh-CN"/>
                    </w:rPr>
                    <w:t>车间内东北</w:t>
                  </w:r>
                  <w:r>
                    <w:rPr>
                      <w:rFonts w:hint="eastAsia"/>
                      <w:color w:val="auto"/>
                      <w:kern w:val="0"/>
                      <w:szCs w:val="21"/>
                    </w:rPr>
                    <w:t>侧，</w:t>
                  </w:r>
                  <w:r>
                    <w:rPr>
                      <w:rFonts w:hint="eastAsia"/>
                      <w:color w:val="auto"/>
                      <w:lang w:eastAsia="zh-CN"/>
                    </w:rPr>
                    <w:t>主要进行解冻后的原料绞碎，设有一台破碎机。</w:t>
                  </w:r>
                </w:p>
              </w:tc>
              <w:tc>
                <w:tcPr>
                  <w:tcW w:w="656" w:type="dxa"/>
                  <w:vMerge w:val="continue"/>
                  <w:vAlign w:val="center"/>
                </w:tcPr>
                <w:p w14:paraId="47539EC4">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6A68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14:paraId="309296F2">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340" w:type="dxa"/>
                  <w:gridSpan w:val="2"/>
                  <w:vMerge w:val="continue"/>
                  <w:vAlign w:val="center"/>
                </w:tcPr>
                <w:p w14:paraId="625A5F97">
                  <w:pPr>
                    <w:adjustRightInd w:val="0"/>
                    <w:snapToGrid w:val="0"/>
                    <w:spacing w:line="0" w:lineRule="atLeast"/>
                    <w:jc w:val="center"/>
                    <w:rPr>
                      <w:rFonts w:hint="eastAsia" w:cs="Times New Roman"/>
                      <w:color w:val="auto"/>
                      <w:sz w:val="21"/>
                      <w:szCs w:val="21"/>
                      <w:highlight w:val="none"/>
                      <w:lang w:val="en-US" w:eastAsia="zh-CN"/>
                    </w:rPr>
                  </w:pPr>
                </w:p>
              </w:tc>
              <w:tc>
                <w:tcPr>
                  <w:tcW w:w="613" w:type="dxa"/>
                  <w:vMerge w:val="continue"/>
                  <w:vAlign w:val="center"/>
                </w:tcPr>
                <w:p w14:paraId="5401D582">
                  <w:pPr>
                    <w:adjustRightInd w:val="0"/>
                    <w:snapToGrid w:val="0"/>
                    <w:spacing w:line="0" w:lineRule="atLeast"/>
                    <w:jc w:val="center"/>
                    <w:rPr>
                      <w:rFonts w:hint="eastAsia" w:cs="Times New Roman"/>
                      <w:color w:val="auto"/>
                      <w:sz w:val="21"/>
                      <w:szCs w:val="21"/>
                      <w:highlight w:val="none"/>
                      <w:lang w:val="en-US" w:eastAsia="zh-CN"/>
                    </w:rPr>
                  </w:pPr>
                </w:p>
              </w:tc>
              <w:tc>
                <w:tcPr>
                  <w:tcW w:w="1036" w:type="dxa"/>
                  <w:gridSpan w:val="2"/>
                  <w:vAlign w:val="center"/>
                </w:tcPr>
                <w:p w14:paraId="6751ABCC">
                  <w:pPr>
                    <w:widowControl/>
                    <w:adjustRightInd w:val="0"/>
                    <w:snapToGrid w:val="0"/>
                    <w:jc w:val="center"/>
                    <w:rPr>
                      <w:rFonts w:hint="eastAsia" w:eastAsia="宋体"/>
                      <w:color w:val="auto"/>
                      <w:kern w:val="0"/>
                      <w:szCs w:val="21"/>
                      <w:lang w:eastAsia="zh-CN"/>
                    </w:rPr>
                  </w:pPr>
                  <w:r>
                    <w:rPr>
                      <w:rFonts w:hint="eastAsia"/>
                      <w:color w:val="auto"/>
                      <w:kern w:val="0"/>
                      <w:szCs w:val="21"/>
                      <w:lang w:eastAsia="zh-CN"/>
                    </w:rPr>
                    <w:t>熬炼区</w:t>
                  </w:r>
                </w:p>
              </w:tc>
              <w:tc>
                <w:tcPr>
                  <w:tcW w:w="4652" w:type="dxa"/>
                  <w:vAlign w:val="center"/>
                </w:tcPr>
                <w:p w14:paraId="3385101A">
                  <w:pP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位于车间内中部，主要进行油脂熬炼，本项目采用负压熬炼的方式，设有一台真空负压的密闭熔炼锅。</w:t>
                  </w:r>
                </w:p>
              </w:tc>
              <w:tc>
                <w:tcPr>
                  <w:tcW w:w="656" w:type="dxa"/>
                  <w:vMerge w:val="continue"/>
                  <w:vAlign w:val="center"/>
                </w:tcPr>
                <w:p w14:paraId="252E4E56">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56F9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14:paraId="650B1C87">
                  <w:pPr>
                    <w:adjustRightInd w:val="0"/>
                    <w:snapToGrid w:val="0"/>
                    <w:spacing w:line="0" w:lineRule="atLeast"/>
                    <w:jc w:val="center"/>
                    <w:rPr>
                      <w:color w:val="auto"/>
                    </w:rPr>
                  </w:pPr>
                </w:p>
              </w:tc>
              <w:tc>
                <w:tcPr>
                  <w:tcW w:w="1340" w:type="dxa"/>
                  <w:gridSpan w:val="2"/>
                  <w:vMerge w:val="continue"/>
                  <w:vAlign w:val="center"/>
                </w:tcPr>
                <w:p w14:paraId="1370D68F">
                  <w:pPr>
                    <w:adjustRightInd w:val="0"/>
                    <w:snapToGrid w:val="0"/>
                    <w:spacing w:line="0" w:lineRule="atLeast"/>
                    <w:jc w:val="center"/>
                    <w:rPr>
                      <w:color w:val="auto"/>
                    </w:rPr>
                  </w:pPr>
                </w:p>
              </w:tc>
              <w:tc>
                <w:tcPr>
                  <w:tcW w:w="613" w:type="dxa"/>
                  <w:vMerge w:val="continue"/>
                  <w:vAlign w:val="center"/>
                </w:tcPr>
                <w:p w14:paraId="281F93C5">
                  <w:pPr>
                    <w:adjustRightInd w:val="0"/>
                    <w:snapToGrid w:val="0"/>
                    <w:spacing w:line="0" w:lineRule="atLeast"/>
                    <w:jc w:val="center"/>
                    <w:rPr>
                      <w:color w:val="auto"/>
                    </w:rPr>
                  </w:pPr>
                </w:p>
              </w:tc>
              <w:tc>
                <w:tcPr>
                  <w:tcW w:w="1036" w:type="dxa"/>
                  <w:gridSpan w:val="2"/>
                  <w:vAlign w:val="center"/>
                </w:tcPr>
                <w:p w14:paraId="00FE4BA9">
                  <w:pPr>
                    <w:widowControl/>
                    <w:adjustRightInd w:val="0"/>
                    <w:snapToGrid w:val="0"/>
                    <w:jc w:val="center"/>
                    <w:rPr>
                      <w:rFonts w:hint="eastAsia" w:eastAsia="宋体"/>
                      <w:color w:val="auto"/>
                      <w:lang w:eastAsia="zh-CN"/>
                    </w:rPr>
                  </w:pPr>
                  <w:r>
                    <w:rPr>
                      <w:rFonts w:hint="eastAsia"/>
                      <w:color w:val="auto"/>
                      <w:kern w:val="0"/>
                      <w:szCs w:val="21"/>
                      <w:lang w:eastAsia="zh-CN"/>
                    </w:rPr>
                    <w:t>油渣分离过滤区</w:t>
                  </w:r>
                </w:p>
              </w:tc>
              <w:tc>
                <w:tcPr>
                  <w:tcW w:w="4652" w:type="dxa"/>
                  <w:vAlign w:val="center"/>
                </w:tcPr>
                <w:p w14:paraId="6EEE1EBD">
                  <w:pPr>
                    <w:widowControl/>
                    <w:adjustRightInd w:val="0"/>
                    <w:snapToGrid w:val="0"/>
                    <w:rPr>
                      <w:rFonts w:hint="eastAsia" w:eastAsia="宋体"/>
                      <w:color w:val="auto"/>
                      <w:lang w:eastAsia="zh-CN"/>
                    </w:rPr>
                  </w:pPr>
                  <w:r>
                    <w:rPr>
                      <w:color w:val="auto"/>
                      <w:kern w:val="0"/>
                      <w:szCs w:val="21"/>
                    </w:rPr>
                    <w:t>位于</w:t>
                  </w:r>
                  <w:r>
                    <w:rPr>
                      <w:rFonts w:hint="eastAsia"/>
                      <w:color w:val="auto"/>
                      <w:kern w:val="0"/>
                      <w:szCs w:val="21"/>
                      <w:lang w:eastAsia="zh-CN"/>
                    </w:rPr>
                    <w:t>车间内西</w:t>
                  </w:r>
                  <w:r>
                    <w:rPr>
                      <w:rFonts w:hint="eastAsia"/>
                      <w:color w:val="auto"/>
                      <w:kern w:val="0"/>
                      <w:szCs w:val="21"/>
                    </w:rPr>
                    <w:t>侧，主要用于</w:t>
                  </w:r>
                  <w:r>
                    <w:rPr>
                      <w:rFonts w:hint="eastAsia"/>
                      <w:color w:val="auto"/>
                      <w:kern w:val="0"/>
                      <w:szCs w:val="21"/>
                      <w:lang w:eastAsia="zh-CN"/>
                    </w:rPr>
                    <w:t>将熬炼后的油脂与油渣进行分离以及过滤。</w:t>
                  </w:r>
                </w:p>
              </w:tc>
              <w:tc>
                <w:tcPr>
                  <w:tcW w:w="656" w:type="dxa"/>
                  <w:vMerge w:val="continue"/>
                  <w:vAlign w:val="center"/>
                </w:tcPr>
                <w:p w14:paraId="3CAE0279">
                  <w:pPr>
                    <w:adjustRightInd w:val="0"/>
                    <w:snapToGrid w:val="0"/>
                    <w:spacing w:line="0" w:lineRule="atLeast"/>
                    <w:jc w:val="center"/>
                    <w:rPr>
                      <w:color w:val="auto"/>
                    </w:rPr>
                  </w:pPr>
                </w:p>
              </w:tc>
            </w:tr>
            <w:tr w14:paraId="0808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14:paraId="25CA0ECE">
                  <w:pPr>
                    <w:adjustRightInd w:val="0"/>
                    <w:snapToGrid w:val="0"/>
                    <w:spacing w:line="0" w:lineRule="atLeast"/>
                    <w:jc w:val="center"/>
                    <w:rPr>
                      <w:color w:val="auto"/>
                    </w:rPr>
                  </w:pPr>
                </w:p>
              </w:tc>
              <w:tc>
                <w:tcPr>
                  <w:tcW w:w="1340" w:type="dxa"/>
                  <w:gridSpan w:val="2"/>
                  <w:vMerge w:val="continue"/>
                  <w:vAlign w:val="center"/>
                </w:tcPr>
                <w:p w14:paraId="2D724317">
                  <w:pPr>
                    <w:adjustRightInd w:val="0"/>
                    <w:snapToGrid w:val="0"/>
                    <w:spacing w:line="0" w:lineRule="atLeast"/>
                    <w:jc w:val="center"/>
                    <w:rPr>
                      <w:color w:val="auto"/>
                    </w:rPr>
                  </w:pPr>
                </w:p>
              </w:tc>
              <w:tc>
                <w:tcPr>
                  <w:tcW w:w="613" w:type="dxa"/>
                  <w:vMerge w:val="continue"/>
                  <w:vAlign w:val="center"/>
                </w:tcPr>
                <w:p w14:paraId="673369AD">
                  <w:pPr>
                    <w:adjustRightInd w:val="0"/>
                    <w:snapToGrid w:val="0"/>
                    <w:spacing w:line="0" w:lineRule="atLeast"/>
                    <w:jc w:val="center"/>
                    <w:rPr>
                      <w:color w:val="auto"/>
                    </w:rPr>
                  </w:pPr>
                </w:p>
              </w:tc>
              <w:tc>
                <w:tcPr>
                  <w:tcW w:w="1036" w:type="dxa"/>
                  <w:gridSpan w:val="2"/>
                  <w:vAlign w:val="center"/>
                </w:tcPr>
                <w:p w14:paraId="4278E9A3">
                  <w:pPr>
                    <w:widowControl/>
                    <w:adjustRightInd w:val="0"/>
                    <w:snapToGrid w:val="0"/>
                    <w:jc w:val="center"/>
                    <w:rPr>
                      <w:color w:val="auto"/>
                    </w:rPr>
                  </w:pPr>
                  <w:r>
                    <w:rPr>
                      <w:rFonts w:hint="eastAsia"/>
                      <w:color w:val="auto"/>
                      <w:kern w:val="0"/>
                      <w:szCs w:val="21"/>
                      <w:lang w:eastAsia="zh-CN"/>
                    </w:rPr>
                    <w:t>油渣</w:t>
                  </w:r>
                  <w:r>
                    <w:rPr>
                      <w:rFonts w:hint="eastAsia"/>
                      <w:color w:val="auto"/>
                      <w:kern w:val="0"/>
                      <w:szCs w:val="21"/>
                    </w:rPr>
                    <w:t>暂存</w:t>
                  </w:r>
                  <w:r>
                    <w:rPr>
                      <w:rFonts w:hint="eastAsia"/>
                      <w:color w:val="auto"/>
                      <w:kern w:val="0"/>
                      <w:szCs w:val="21"/>
                      <w:lang w:eastAsia="zh-CN"/>
                    </w:rPr>
                    <w:t>区</w:t>
                  </w:r>
                </w:p>
              </w:tc>
              <w:tc>
                <w:tcPr>
                  <w:tcW w:w="4652" w:type="dxa"/>
                  <w:vAlign w:val="center"/>
                </w:tcPr>
                <w:p w14:paraId="316190C6">
                  <w:pPr>
                    <w:widowControl/>
                    <w:adjustRightInd w:val="0"/>
                    <w:snapToGrid w:val="0"/>
                    <w:rPr>
                      <w:color w:val="auto"/>
                    </w:rPr>
                  </w:pPr>
                  <w:r>
                    <w:rPr>
                      <w:rFonts w:hint="eastAsia"/>
                      <w:color w:val="auto"/>
                      <w:kern w:val="0"/>
                      <w:szCs w:val="21"/>
                    </w:rPr>
                    <w:t>位于</w:t>
                  </w:r>
                  <w:r>
                    <w:rPr>
                      <w:rFonts w:hint="eastAsia"/>
                      <w:color w:val="auto"/>
                      <w:kern w:val="0"/>
                      <w:szCs w:val="21"/>
                      <w:lang w:eastAsia="zh-CN"/>
                    </w:rPr>
                    <w:t>车间</w:t>
                  </w:r>
                  <w:r>
                    <w:rPr>
                      <w:rFonts w:hint="eastAsia"/>
                      <w:color w:val="auto"/>
                      <w:kern w:val="0"/>
                      <w:szCs w:val="21"/>
                    </w:rPr>
                    <w:t>内</w:t>
                  </w:r>
                  <w:r>
                    <w:rPr>
                      <w:rFonts w:hint="eastAsia"/>
                      <w:color w:val="auto"/>
                      <w:kern w:val="0"/>
                      <w:szCs w:val="21"/>
                      <w:lang w:eastAsia="zh-CN"/>
                    </w:rPr>
                    <w:t>西南侧</w:t>
                  </w:r>
                  <w:r>
                    <w:rPr>
                      <w:rFonts w:hint="eastAsia"/>
                      <w:color w:val="auto"/>
                      <w:kern w:val="0"/>
                      <w:szCs w:val="21"/>
                    </w:rPr>
                    <w:t>，主要用于暂存</w:t>
                  </w:r>
                  <w:r>
                    <w:rPr>
                      <w:rFonts w:hint="eastAsia"/>
                      <w:color w:val="auto"/>
                      <w:kern w:val="0"/>
                      <w:szCs w:val="21"/>
                      <w:lang w:eastAsia="zh-CN"/>
                    </w:rPr>
                    <w:t>分离后的油渣</w:t>
                  </w:r>
                  <w:r>
                    <w:rPr>
                      <w:rFonts w:hint="eastAsia"/>
                      <w:color w:val="auto"/>
                      <w:kern w:val="0"/>
                      <w:szCs w:val="21"/>
                    </w:rPr>
                    <w:t>。</w:t>
                  </w:r>
                </w:p>
              </w:tc>
              <w:tc>
                <w:tcPr>
                  <w:tcW w:w="656" w:type="dxa"/>
                  <w:vMerge w:val="continue"/>
                  <w:vAlign w:val="center"/>
                </w:tcPr>
                <w:p w14:paraId="7778C469">
                  <w:pPr>
                    <w:adjustRightInd w:val="0"/>
                    <w:snapToGrid w:val="0"/>
                    <w:spacing w:line="0" w:lineRule="atLeast"/>
                    <w:jc w:val="center"/>
                    <w:rPr>
                      <w:color w:val="auto"/>
                    </w:rPr>
                  </w:pPr>
                </w:p>
              </w:tc>
            </w:tr>
            <w:tr w14:paraId="4CB1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vMerge w:val="continue"/>
                  <w:vAlign w:val="center"/>
                </w:tcPr>
                <w:p w14:paraId="0E585155">
                  <w:pPr>
                    <w:adjustRightInd w:val="0"/>
                    <w:snapToGrid w:val="0"/>
                    <w:spacing w:line="0" w:lineRule="atLeast"/>
                    <w:jc w:val="center"/>
                    <w:rPr>
                      <w:color w:val="auto"/>
                    </w:rPr>
                  </w:pPr>
                </w:p>
              </w:tc>
              <w:tc>
                <w:tcPr>
                  <w:tcW w:w="1340" w:type="dxa"/>
                  <w:gridSpan w:val="2"/>
                  <w:vMerge w:val="continue"/>
                  <w:vAlign w:val="center"/>
                </w:tcPr>
                <w:p w14:paraId="4B378C93">
                  <w:pPr>
                    <w:adjustRightInd w:val="0"/>
                    <w:snapToGrid w:val="0"/>
                    <w:spacing w:line="0" w:lineRule="atLeast"/>
                    <w:jc w:val="center"/>
                    <w:rPr>
                      <w:color w:val="auto"/>
                    </w:rPr>
                  </w:pPr>
                </w:p>
              </w:tc>
              <w:tc>
                <w:tcPr>
                  <w:tcW w:w="613" w:type="dxa"/>
                  <w:vMerge w:val="continue"/>
                  <w:vAlign w:val="center"/>
                </w:tcPr>
                <w:p w14:paraId="5FFA7501">
                  <w:pPr>
                    <w:adjustRightInd w:val="0"/>
                    <w:snapToGrid w:val="0"/>
                    <w:spacing w:line="0" w:lineRule="atLeast"/>
                    <w:jc w:val="center"/>
                    <w:rPr>
                      <w:color w:val="auto"/>
                    </w:rPr>
                  </w:pPr>
                </w:p>
              </w:tc>
              <w:tc>
                <w:tcPr>
                  <w:tcW w:w="1036" w:type="dxa"/>
                  <w:gridSpan w:val="2"/>
                  <w:vAlign w:val="center"/>
                </w:tcPr>
                <w:p w14:paraId="2FA43115">
                  <w:pPr>
                    <w:keepNext w:val="0"/>
                    <w:keepLines w:val="0"/>
                    <w:widowControl w:val="0"/>
                    <w:suppressLineNumbers w:val="0"/>
                    <w:spacing w:before="0" w:beforeAutospacing="0" w:after="0" w:afterAutospacing="0"/>
                    <w:ind w:left="0" w:leftChars="0" w:right="0" w:rightChars="0"/>
                    <w:jc w:val="center"/>
                    <w:rPr>
                      <w:color w:val="auto"/>
                    </w:rPr>
                  </w:pPr>
                  <w:r>
                    <w:rPr>
                      <w:rFonts w:hint="eastAsia"/>
                      <w:color w:val="auto"/>
                      <w:kern w:val="0"/>
                      <w:szCs w:val="21"/>
                    </w:rPr>
                    <w:t>成品油罐区</w:t>
                  </w:r>
                </w:p>
              </w:tc>
              <w:tc>
                <w:tcPr>
                  <w:tcW w:w="4652" w:type="dxa"/>
                  <w:vAlign w:val="center"/>
                </w:tcPr>
                <w:p w14:paraId="2CE1FFB9">
                  <w:pPr>
                    <w:keepNext w:val="0"/>
                    <w:keepLines w:val="0"/>
                    <w:widowControl w:val="0"/>
                    <w:suppressLineNumbers w:val="0"/>
                    <w:spacing w:before="0" w:beforeAutospacing="0" w:after="0" w:afterAutospacing="0"/>
                    <w:ind w:left="0" w:leftChars="0" w:right="0" w:rightChars="0"/>
                    <w:jc w:val="center"/>
                    <w:rPr>
                      <w:color w:val="auto"/>
                    </w:rPr>
                  </w:pPr>
                  <w:r>
                    <w:rPr>
                      <w:rFonts w:hint="eastAsia"/>
                      <w:color w:val="auto"/>
                      <w:kern w:val="0"/>
                      <w:szCs w:val="21"/>
                    </w:rPr>
                    <w:t>位于</w:t>
                  </w:r>
                  <w:r>
                    <w:rPr>
                      <w:rFonts w:hint="eastAsia"/>
                      <w:color w:val="auto"/>
                      <w:kern w:val="0"/>
                      <w:szCs w:val="21"/>
                      <w:lang w:eastAsia="zh-CN"/>
                    </w:rPr>
                    <w:t>车间北</w:t>
                  </w:r>
                  <w:r>
                    <w:rPr>
                      <w:rFonts w:hint="eastAsia"/>
                      <w:color w:val="auto"/>
                      <w:kern w:val="0"/>
                      <w:szCs w:val="21"/>
                    </w:rPr>
                    <w:t>侧，为</w:t>
                  </w:r>
                  <w:r>
                    <w:rPr>
                      <w:rFonts w:hint="eastAsia"/>
                      <w:color w:val="auto"/>
                      <w:kern w:val="0"/>
                      <w:szCs w:val="21"/>
                      <w:lang w:val="en-US" w:eastAsia="zh-CN"/>
                    </w:rPr>
                    <w:t>2</w:t>
                  </w:r>
                  <w:r>
                    <w:rPr>
                      <w:rFonts w:hint="eastAsia"/>
                      <w:color w:val="auto"/>
                      <w:kern w:val="0"/>
                      <w:szCs w:val="21"/>
                    </w:rPr>
                    <w:t>个成品油罐，</w:t>
                  </w:r>
                  <w:r>
                    <w:rPr>
                      <w:rFonts w:hint="eastAsia"/>
                      <w:color w:val="auto"/>
                      <w:kern w:val="0"/>
                      <w:szCs w:val="21"/>
                      <w:lang w:eastAsia="zh-CN"/>
                    </w:rPr>
                    <w:t>单个</w:t>
                  </w:r>
                  <w:r>
                    <w:rPr>
                      <w:rFonts w:hint="eastAsia"/>
                      <w:color w:val="auto"/>
                      <w:kern w:val="0"/>
                      <w:szCs w:val="21"/>
                    </w:rPr>
                    <w:t>容积为</w:t>
                  </w:r>
                  <w:r>
                    <w:rPr>
                      <w:rFonts w:hint="eastAsia"/>
                      <w:color w:val="auto"/>
                      <w:kern w:val="0"/>
                      <w:szCs w:val="21"/>
                      <w:lang w:val="en-US" w:eastAsia="zh-CN"/>
                    </w:rPr>
                    <w:t>2</w:t>
                  </w:r>
                  <w:r>
                    <w:rPr>
                      <w:rFonts w:hint="eastAsia"/>
                      <w:color w:val="auto"/>
                      <w:kern w:val="0"/>
                      <w:szCs w:val="21"/>
                    </w:rPr>
                    <w:t>0t，用于暂存</w:t>
                  </w:r>
                  <w:r>
                    <w:rPr>
                      <w:rFonts w:hint="eastAsia"/>
                      <w:color w:val="auto"/>
                      <w:kern w:val="0"/>
                      <w:szCs w:val="21"/>
                      <w:lang w:eastAsia="zh-CN"/>
                    </w:rPr>
                    <w:t>成品饲料油脂</w:t>
                  </w:r>
                  <w:r>
                    <w:rPr>
                      <w:rFonts w:hint="eastAsia"/>
                      <w:color w:val="auto"/>
                      <w:kern w:val="0"/>
                      <w:szCs w:val="21"/>
                    </w:rPr>
                    <w:t>。</w:t>
                  </w:r>
                  <w:r>
                    <w:rPr>
                      <w:rFonts w:hint="eastAsia"/>
                      <w:color w:val="auto"/>
                      <w:kern w:val="0"/>
                      <w:szCs w:val="21"/>
                      <w:lang w:eastAsia="zh-CN"/>
                    </w:rPr>
                    <w:t>该成品油罐直接由客户自带油罐从成品油罐中抽走成品油。该成品油罐为地面式双层油罐，平时储油罐内油脂为固体，抽油时进行电加热。</w:t>
                  </w:r>
                </w:p>
              </w:tc>
              <w:tc>
                <w:tcPr>
                  <w:tcW w:w="656" w:type="dxa"/>
                  <w:vMerge w:val="continue"/>
                  <w:vAlign w:val="center"/>
                </w:tcPr>
                <w:p w14:paraId="54726BD6">
                  <w:pPr>
                    <w:adjustRightInd w:val="0"/>
                    <w:snapToGrid w:val="0"/>
                    <w:spacing w:line="0" w:lineRule="atLeast"/>
                    <w:jc w:val="center"/>
                    <w:rPr>
                      <w:color w:val="auto"/>
                    </w:rPr>
                  </w:pPr>
                </w:p>
              </w:tc>
            </w:tr>
            <w:tr w14:paraId="3729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continue"/>
                  <w:vAlign w:val="center"/>
                </w:tcPr>
                <w:p w14:paraId="7844AAA1">
                  <w:pPr>
                    <w:adjustRightInd w:val="0"/>
                    <w:snapToGrid w:val="0"/>
                    <w:spacing w:line="0" w:lineRule="atLeast"/>
                    <w:jc w:val="center"/>
                    <w:rPr>
                      <w:color w:val="auto"/>
                    </w:rPr>
                  </w:pPr>
                </w:p>
              </w:tc>
              <w:tc>
                <w:tcPr>
                  <w:tcW w:w="1340" w:type="dxa"/>
                  <w:gridSpan w:val="2"/>
                  <w:vMerge w:val="continue"/>
                  <w:vAlign w:val="center"/>
                </w:tcPr>
                <w:p w14:paraId="1BB0CBF8">
                  <w:pPr>
                    <w:adjustRightInd w:val="0"/>
                    <w:snapToGrid w:val="0"/>
                    <w:spacing w:line="0" w:lineRule="atLeast"/>
                    <w:jc w:val="center"/>
                    <w:rPr>
                      <w:rFonts w:hint="eastAsia" w:cs="Times New Roman"/>
                      <w:color w:val="auto"/>
                      <w:sz w:val="21"/>
                      <w:szCs w:val="21"/>
                      <w:highlight w:val="none"/>
                      <w:lang w:val="en-US" w:eastAsia="zh-CN"/>
                    </w:rPr>
                  </w:pPr>
                </w:p>
              </w:tc>
              <w:tc>
                <w:tcPr>
                  <w:tcW w:w="613" w:type="dxa"/>
                  <w:vAlign w:val="center"/>
                </w:tcPr>
                <w:p w14:paraId="6C3ADF6A">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冷库</w:t>
                  </w:r>
                </w:p>
              </w:tc>
              <w:tc>
                <w:tcPr>
                  <w:tcW w:w="5688" w:type="dxa"/>
                  <w:gridSpan w:val="3"/>
                  <w:vAlign w:val="center"/>
                </w:tcPr>
                <w:p w14:paraId="2A4FA506">
                  <w:pPr>
                    <w:adjustRightInd w:val="0"/>
                    <w:snapToGrid w:val="0"/>
                    <w:spacing w:line="0" w:lineRule="atLeast"/>
                    <w:jc w:val="both"/>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位于项目区东北侧，占地面积为</w:t>
                  </w:r>
                  <w:r>
                    <w:rPr>
                      <w:rFonts w:hint="eastAsia"/>
                      <w:color w:val="auto"/>
                      <w:kern w:val="0"/>
                      <w:szCs w:val="21"/>
                      <w:lang w:val="en-US" w:eastAsia="zh-CN"/>
                    </w:rPr>
                    <w:t>4449.69</w:t>
                  </w:r>
                  <w:r>
                    <w:rPr>
                      <w:color w:val="auto"/>
                      <w:kern w:val="0"/>
                      <w:szCs w:val="21"/>
                    </w:rPr>
                    <w:t>m</w:t>
                  </w:r>
                  <w:r>
                    <w:rPr>
                      <w:color w:val="auto"/>
                      <w:kern w:val="0"/>
                      <w:szCs w:val="21"/>
                      <w:vertAlign w:val="superscript"/>
                    </w:rPr>
                    <w:t>2</w:t>
                  </w:r>
                  <w:r>
                    <w:rPr>
                      <w:color w:val="auto"/>
                      <w:kern w:val="0"/>
                      <w:szCs w:val="21"/>
                    </w:rPr>
                    <w:t>，</w:t>
                  </w:r>
                  <w:r>
                    <w:rPr>
                      <w:rFonts w:hint="eastAsia"/>
                      <w:color w:val="auto"/>
                      <w:kern w:val="0"/>
                      <w:szCs w:val="21"/>
                    </w:rPr>
                    <w:t>主要用于原材料的暂存。</w:t>
                  </w:r>
                </w:p>
              </w:tc>
              <w:tc>
                <w:tcPr>
                  <w:tcW w:w="656" w:type="dxa"/>
                  <w:vAlign w:val="center"/>
                </w:tcPr>
                <w:p w14:paraId="1994EF95">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6947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continue"/>
                  <w:vAlign w:val="center"/>
                </w:tcPr>
                <w:p w14:paraId="236503AE">
                  <w:pPr>
                    <w:adjustRightInd w:val="0"/>
                    <w:snapToGrid w:val="0"/>
                    <w:spacing w:line="0" w:lineRule="atLeast"/>
                    <w:jc w:val="center"/>
                    <w:rPr>
                      <w:color w:val="auto"/>
                    </w:rPr>
                  </w:pPr>
                </w:p>
              </w:tc>
              <w:tc>
                <w:tcPr>
                  <w:tcW w:w="1953" w:type="dxa"/>
                  <w:gridSpan w:val="3"/>
                  <w:vAlign w:val="center"/>
                </w:tcPr>
                <w:p w14:paraId="29798C04">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冰池</w:t>
                  </w:r>
                </w:p>
              </w:tc>
              <w:tc>
                <w:tcPr>
                  <w:tcW w:w="5688" w:type="dxa"/>
                  <w:gridSpan w:val="3"/>
                  <w:vAlign w:val="center"/>
                </w:tcPr>
                <w:p w14:paraId="62E4077D">
                  <w:pPr>
                    <w:adjustRightInd w:val="0"/>
                    <w:snapToGrid w:val="0"/>
                    <w:spacing w:line="0" w:lineRule="atLeast"/>
                    <w:jc w:val="center"/>
                    <w:rPr>
                      <w:rFonts w:hint="eastAsia" w:cs="Times New Roman"/>
                      <w:color w:val="auto"/>
                      <w:sz w:val="21"/>
                      <w:szCs w:val="21"/>
                      <w:highlight w:val="none"/>
                      <w:lang w:val="en-US" w:eastAsia="zh-CN"/>
                    </w:rPr>
                  </w:pPr>
                  <w:r>
                    <w:rPr>
                      <w:rFonts w:hint="eastAsia"/>
                      <w:color w:val="auto"/>
                      <w:kern w:val="0"/>
                      <w:szCs w:val="21"/>
                    </w:rPr>
                    <w:t>位于</w:t>
                  </w:r>
                  <w:r>
                    <w:rPr>
                      <w:rFonts w:hint="eastAsia" w:ascii="Times New Roman" w:hAnsi="Times New Roman" w:eastAsia="宋体" w:cs="Times New Roman"/>
                      <w:color w:val="auto"/>
                      <w:kern w:val="0"/>
                      <w:szCs w:val="21"/>
                      <w:lang w:val="en-US" w:eastAsia="zh-CN"/>
                    </w:rPr>
                    <w:t>冷库北侧</w:t>
                  </w:r>
                  <w:r>
                    <w:rPr>
                      <w:rFonts w:hint="eastAsia" w:ascii="Times New Roman" w:hAnsi="Times New Roman" w:eastAsia="宋体" w:cs="Times New Roman"/>
                      <w:color w:val="auto"/>
                      <w:kern w:val="0"/>
                      <w:szCs w:val="21"/>
                    </w:rPr>
                    <w:t>，</w:t>
                  </w:r>
                  <w:r>
                    <w:rPr>
                      <w:rFonts w:hint="eastAsia"/>
                      <w:color w:val="auto"/>
                      <w:kern w:val="0"/>
                      <w:szCs w:val="21"/>
                    </w:rPr>
                    <w:t>占地面积</w:t>
                  </w:r>
                  <w:r>
                    <w:rPr>
                      <w:rFonts w:hint="eastAsia"/>
                      <w:color w:val="auto"/>
                      <w:kern w:val="0"/>
                      <w:szCs w:val="21"/>
                      <w:lang w:eastAsia="zh-CN"/>
                    </w:rPr>
                    <w:t>约</w:t>
                  </w:r>
                  <w:r>
                    <w:rPr>
                      <w:rFonts w:hint="eastAsia"/>
                      <w:color w:val="auto"/>
                      <w:kern w:val="0"/>
                      <w:szCs w:val="21"/>
                    </w:rPr>
                    <w:t>为</w:t>
                  </w:r>
                  <w:r>
                    <w:rPr>
                      <w:rFonts w:hint="eastAsia"/>
                      <w:color w:val="auto"/>
                      <w:kern w:val="0"/>
                      <w:szCs w:val="21"/>
                      <w:lang w:val="en-US" w:eastAsia="zh-CN"/>
                    </w:rPr>
                    <w:t>860.60</w:t>
                  </w:r>
                  <w:r>
                    <w:rPr>
                      <w:color w:val="auto"/>
                      <w:kern w:val="0"/>
                      <w:szCs w:val="21"/>
                    </w:rPr>
                    <w:t>m</w:t>
                  </w:r>
                  <w:r>
                    <w:rPr>
                      <w:color w:val="auto"/>
                      <w:kern w:val="0"/>
                      <w:szCs w:val="21"/>
                      <w:vertAlign w:val="superscript"/>
                    </w:rPr>
                    <w:t>2</w:t>
                  </w:r>
                  <w:r>
                    <w:rPr>
                      <w:rFonts w:hint="eastAsia"/>
                      <w:color w:val="auto"/>
                      <w:shd w:val="clear" w:color="auto" w:fill="auto"/>
                      <w:lang w:val="en-US" w:eastAsia="zh-CN"/>
                    </w:rPr>
                    <w:t>（长71.7m、宽12m、深10.15m&lt;地下2.15m、地上8m&gt;）</w:t>
                  </w:r>
                  <w:r>
                    <w:rPr>
                      <w:color w:val="auto"/>
                      <w:kern w:val="0"/>
                      <w:szCs w:val="21"/>
                    </w:rPr>
                    <w:t>，</w:t>
                  </w:r>
                  <w:r>
                    <w:rPr>
                      <w:rFonts w:hint="eastAsia"/>
                      <w:color w:val="auto"/>
                      <w:kern w:val="0"/>
                      <w:szCs w:val="21"/>
                    </w:rPr>
                    <w:t>主要用于</w:t>
                  </w:r>
                  <w:r>
                    <w:rPr>
                      <w:rFonts w:hint="eastAsia"/>
                      <w:color w:val="auto"/>
                      <w:kern w:val="0"/>
                      <w:szCs w:val="21"/>
                      <w:lang w:eastAsia="zh-CN"/>
                    </w:rPr>
                    <w:t>制冰，购买冰瓶放进冰池，冰瓶结冰后用于产品及部分原料运输时的保存</w:t>
                  </w:r>
                  <w:r>
                    <w:rPr>
                      <w:rFonts w:hint="eastAsia"/>
                      <w:color w:val="auto"/>
                      <w:kern w:val="0"/>
                      <w:szCs w:val="21"/>
                    </w:rPr>
                    <w:t>工作。</w:t>
                  </w:r>
                </w:p>
              </w:tc>
              <w:tc>
                <w:tcPr>
                  <w:tcW w:w="656" w:type="dxa"/>
                  <w:vAlign w:val="center"/>
                </w:tcPr>
                <w:p w14:paraId="5A0E5C8E">
                  <w:pPr>
                    <w:adjustRightInd w:val="0"/>
                    <w:snapToGrid w:val="0"/>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27F8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7" w:type="dxa"/>
                  <w:vMerge w:val="restart"/>
                  <w:vAlign w:val="center"/>
                </w:tcPr>
                <w:p w14:paraId="6796AE50">
                  <w:pP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1953" w:type="dxa"/>
                  <w:gridSpan w:val="3"/>
                  <w:vAlign w:val="center"/>
                </w:tcPr>
                <w:p w14:paraId="1CED5998">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综合办公</w:t>
                  </w:r>
                  <w:r>
                    <w:rPr>
                      <w:rFonts w:hint="default" w:ascii="Times New Roman" w:hAnsi="Times New Roman" w:eastAsia="宋体" w:cs="Times New Roman"/>
                      <w:color w:val="auto"/>
                      <w:kern w:val="0"/>
                      <w:sz w:val="21"/>
                      <w:szCs w:val="21"/>
                      <w:highlight w:val="none"/>
                    </w:rPr>
                    <w:t>楼</w:t>
                  </w:r>
                </w:p>
              </w:tc>
              <w:tc>
                <w:tcPr>
                  <w:tcW w:w="5688" w:type="dxa"/>
                  <w:gridSpan w:val="3"/>
                  <w:vAlign w:val="center"/>
                </w:tcPr>
                <w:p w14:paraId="66075C9A">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位于项目区</w:t>
                  </w:r>
                  <w:r>
                    <w:rPr>
                      <w:rFonts w:hint="eastAsia" w:cs="Times New Roman"/>
                      <w:color w:val="auto"/>
                      <w:kern w:val="0"/>
                      <w:sz w:val="21"/>
                      <w:szCs w:val="21"/>
                      <w:highlight w:val="none"/>
                      <w:lang w:val="en-US" w:eastAsia="zh-CN"/>
                    </w:rPr>
                    <w:t>东南</w:t>
                  </w:r>
                  <w:r>
                    <w:rPr>
                      <w:rFonts w:hint="default" w:ascii="Times New Roman" w:hAnsi="Times New Roman" w:eastAsia="宋体" w:cs="Times New Roman"/>
                      <w:color w:val="auto"/>
                      <w:kern w:val="0"/>
                      <w:sz w:val="21"/>
                      <w:szCs w:val="21"/>
                      <w:highlight w:val="none"/>
                      <w:lang w:val="en-US" w:eastAsia="zh-CN"/>
                    </w:rPr>
                    <w:t>侧</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栋</w:t>
                  </w:r>
                  <w:r>
                    <w:rPr>
                      <w:rFonts w:hint="eastAsia"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砖混结构综合办公</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eastAsia="zh-CN"/>
                    </w:rPr>
                    <w:t>高度为</w:t>
                  </w:r>
                  <w:r>
                    <w:rPr>
                      <w:rFonts w:hint="eastAsia" w:cs="Times New Roman"/>
                      <w:color w:val="auto"/>
                      <w:kern w:val="0"/>
                      <w:sz w:val="21"/>
                      <w:szCs w:val="21"/>
                      <w:highlight w:val="none"/>
                      <w:lang w:val="en-US" w:eastAsia="zh-CN"/>
                    </w:rPr>
                    <w:t>17.85m，</w:t>
                  </w:r>
                  <w:r>
                    <w:rPr>
                      <w:rFonts w:hint="default" w:ascii="Times New Roman" w:hAnsi="Times New Roman" w:eastAsia="宋体" w:cs="Times New Roman"/>
                      <w:color w:val="auto"/>
                      <w:kern w:val="0"/>
                      <w:sz w:val="21"/>
                      <w:szCs w:val="21"/>
                      <w:highlight w:val="none"/>
                      <w:lang w:val="en-US" w:eastAsia="zh-CN"/>
                    </w:rPr>
                    <w:t>占地面积为</w:t>
                  </w:r>
                  <w:r>
                    <w:rPr>
                      <w:rFonts w:hint="eastAsia" w:cs="Times New Roman"/>
                      <w:color w:val="auto"/>
                      <w:kern w:val="0"/>
                      <w:sz w:val="21"/>
                      <w:szCs w:val="21"/>
                      <w:highlight w:val="none"/>
                      <w:lang w:val="en-US" w:eastAsia="zh-CN"/>
                    </w:rPr>
                    <w:t>990.116</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建筑面积为</w:t>
                  </w:r>
                  <w:r>
                    <w:rPr>
                      <w:rFonts w:hint="eastAsia" w:cs="Times New Roman"/>
                      <w:color w:val="auto"/>
                      <w:kern w:val="0"/>
                      <w:sz w:val="21"/>
                      <w:szCs w:val="21"/>
                      <w:highlight w:val="none"/>
                      <w:lang w:val="en-US" w:eastAsia="zh-CN"/>
                    </w:rPr>
                    <w:t>3967.60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会议室、</w:t>
                  </w:r>
                  <w:r>
                    <w:rPr>
                      <w:rFonts w:hint="default" w:ascii="Times New Roman" w:hAnsi="Times New Roman" w:eastAsia="宋体" w:cs="Times New Roman"/>
                      <w:color w:val="auto"/>
                      <w:kern w:val="0"/>
                      <w:sz w:val="21"/>
                      <w:szCs w:val="21"/>
                      <w:highlight w:val="none"/>
                    </w:rPr>
                    <w:t>员工</w:t>
                  </w:r>
                  <w:r>
                    <w:rPr>
                      <w:rFonts w:hint="default" w:ascii="Times New Roman" w:hAnsi="Times New Roman" w:eastAsia="宋体" w:cs="Times New Roman"/>
                      <w:color w:val="auto"/>
                      <w:kern w:val="0"/>
                      <w:sz w:val="21"/>
                      <w:szCs w:val="21"/>
                      <w:highlight w:val="none"/>
                      <w:lang w:val="en-US" w:eastAsia="zh-CN"/>
                    </w:rPr>
                    <w:t>食堂、宿舍等</w:t>
                  </w:r>
                  <w:r>
                    <w:rPr>
                      <w:rFonts w:hint="default" w:ascii="Times New Roman" w:hAnsi="Times New Roman" w:eastAsia="宋体" w:cs="Times New Roman"/>
                      <w:color w:val="auto"/>
                      <w:kern w:val="0"/>
                      <w:sz w:val="21"/>
                      <w:szCs w:val="21"/>
                      <w:highlight w:val="none"/>
                    </w:rPr>
                    <w:t>。</w:t>
                  </w:r>
                </w:p>
              </w:tc>
              <w:tc>
                <w:tcPr>
                  <w:tcW w:w="656" w:type="dxa"/>
                  <w:vAlign w:val="center"/>
                </w:tcPr>
                <w:p w14:paraId="73F5AA91">
                  <w:pP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14:paraId="62C6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27" w:type="dxa"/>
                  <w:vMerge w:val="continue"/>
                  <w:vAlign w:val="center"/>
                </w:tcPr>
                <w:p w14:paraId="2A2C431B">
                  <w:pPr>
                    <w:adjustRightInd w:val="0"/>
                    <w:snapToGrid w:val="0"/>
                    <w:spacing w:line="0" w:lineRule="atLeast"/>
                    <w:jc w:val="center"/>
                    <w:rPr>
                      <w:color w:val="auto"/>
                    </w:rPr>
                  </w:pPr>
                </w:p>
              </w:tc>
              <w:tc>
                <w:tcPr>
                  <w:tcW w:w="1953" w:type="dxa"/>
                  <w:gridSpan w:val="3"/>
                  <w:vAlign w:val="center"/>
                </w:tcPr>
                <w:p w14:paraId="3DA6A21C">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调度配送、研发楼</w:t>
                  </w:r>
                </w:p>
              </w:tc>
              <w:tc>
                <w:tcPr>
                  <w:tcW w:w="5688" w:type="dxa"/>
                  <w:gridSpan w:val="3"/>
                  <w:vAlign w:val="center"/>
                </w:tcPr>
                <w:p w14:paraId="15E966D7">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位于项目区</w:t>
                  </w:r>
                  <w:r>
                    <w:rPr>
                      <w:rFonts w:hint="eastAsia" w:cs="Times New Roman"/>
                      <w:color w:val="auto"/>
                      <w:kern w:val="0"/>
                      <w:sz w:val="21"/>
                      <w:szCs w:val="21"/>
                      <w:highlight w:val="none"/>
                      <w:lang w:val="en-US" w:eastAsia="zh-CN"/>
                    </w:rPr>
                    <w:t>西南</w:t>
                  </w:r>
                  <w:r>
                    <w:rPr>
                      <w:rFonts w:hint="default" w:ascii="Times New Roman" w:hAnsi="Times New Roman" w:eastAsia="宋体" w:cs="Times New Roman"/>
                      <w:color w:val="auto"/>
                      <w:kern w:val="0"/>
                      <w:sz w:val="21"/>
                      <w:szCs w:val="21"/>
                      <w:highlight w:val="none"/>
                      <w:lang w:val="en-US" w:eastAsia="zh-CN"/>
                    </w:rPr>
                    <w:t>侧</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栋</w:t>
                  </w:r>
                  <w:r>
                    <w:rPr>
                      <w:rFonts w:hint="eastAsia"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砖混结构综合办公</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占地面积为</w:t>
                  </w:r>
                  <w:r>
                    <w:rPr>
                      <w:rFonts w:hint="eastAsia" w:cs="Times New Roman"/>
                      <w:color w:val="auto"/>
                      <w:kern w:val="0"/>
                      <w:sz w:val="21"/>
                      <w:szCs w:val="21"/>
                      <w:highlight w:val="none"/>
                      <w:lang w:val="en-US" w:eastAsia="zh-CN"/>
                    </w:rPr>
                    <w:t>793.52</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eastAsia="zh-CN"/>
                    </w:rPr>
                    <w:t>高度为</w:t>
                  </w:r>
                  <w:r>
                    <w:rPr>
                      <w:rFonts w:hint="eastAsia" w:cs="Times New Roman"/>
                      <w:color w:val="auto"/>
                      <w:kern w:val="0"/>
                      <w:sz w:val="21"/>
                      <w:szCs w:val="21"/>
                      <w:highlight w:val="none"/>
                      <w:lang w:val="en-US" w:eastAsia="zh-CN"/>
                    </w:rPr>
                    <w:t>17.85m，</w:t>
                  </w:r>
                  <w:r>
                    <w:rPr>
                      <w:rFonts w:hint="default" w:ascii="Times New Roman" w:hAnsi="Times New Roman" w:eastAsia="宋体" w:cs="Times New Roman"/>
                      <w:color w:val="auto"/>
                      <w:kern w:val="0"/>
                      <w:sz w:val="21"/>
                      <w:szCs w:val="21"/>
                      <w:highlight w:val="none"/>
                    </w:rPr>
                    <w:t>建筑面积为</w:t>
                  </w:r>
                  <w:r>
                    <w:rPr>
                      <w:rFonts w:hint="eastAsia" w:cs="Times New Roman"/>
                      <w:color w:val="auto"/>
                      <w:kern w:val="0"/>
                      <w:sz w:val="21"/>
                      <w:szCs w:val="21"/>
                      <w:highlight w:val="none"/>
                      <w:lang w:val="en-US" w:eastAsia="zh-CN"/>
                    </w:rPr>
                    <w:t>4950.58</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；主要包含</w:t>
                  </w:r>
                  <w:r>
                    <w:rPr>
                      <w:rFonts w:hint="eastAsia" w:ascii="Times New Roman" w:hAnsi="Times New Roman" w:eastAsia="宋体" w:cs="Times New Roman"/>
                      <w:color w:val="auto"/>
                      <w:kern w:val="0"/>
                      <w:sz w:val="21"/>
                      <w:szCs w:val="21"/>
                      <w:highlight w:val="none"/>
                      <w:lang w:eastAsia="zh-CN"/>
                    </w:rPr>
                    <w:t>生产调度室以及研发会议室</w:t>
                  </w:r>
                  <w:r>
                    <w:rPr>
                      <w:rFonts w:hint="default" w:ascii="Times New Roman" w:hAnsi="Times New Roman" w:eastAsia="宋体" w:cs="Times New Roman"/>
                      <w:color w:val="auto"/>
                      <w:kern w:val="0"/>
                      <w:sz w:val="21"/>
                      <w:szCs w:val="21"/>
                      <w:highlight w:val="none"/>
                      <w:lang w:val="en-US" w:eastAsia="zh-CN"/>
                    </w:rPr>
                    <w:t>等</w:t>
                  </w:r>
                  <w:r>
                    <w:rPr>
                      <w:rFonts w:hint="eastAsia" w:ascii="Times New Roman" w:hAnsi="Times New Roman" w:eastAsia="宋体" w:cs="Times New Roman"/>
                      <w:color w:val="auto"/>
                      <w:kern w:val="0"/>
                      <w:sz w:val="21"/>
                      <w:szCs w:val="21"/>
                      <w:highlight w:val="none"/>
                      <w:lang w:val="en-US" w:eastAsia="zh-CN"/>
                    </w:rPr>
                    <w:t>，不设检验室</w:t>
                  </w:r>
                  <w:r>
                    <w:rPr>
                      <w:rFonts w:hint="default" w:ascii="Times New Roman" w:hAnsi="Times New Roman" w:eastAsia="宋体" w:cs="Times New Roman"/>
                      <w:color w:val="auto"/>
                      <w:kern w:val="0"/>
                      <w:sz w:val="21"/>
                      <w:szCs w:val="21"/>
                      <w:highlight w:val="none"/>
                    </w:rPr>
                    <w:t>。</w:t>
                  </w:r>
                </w:p>
              </w:tc>
              <w:tc>
                <w:tcPr>
                  <w:tcW w:w="656" w:type="dxa"/>
                  <w:vAlign w:val="center"/>
                </w:tcPr>
                <w:p w14:paraId="1CE2BF6A">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14:paraId="237A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dxa"/>
                  <w:vMerge w:val="continue"/>
                  <w:vAlign w:val="center"/>
                </w:tcPr>
                <w:p w14:paraId="2CAEA160">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p>
              </w:tc>
              <w:tc>
                <w:tcPr>
                  <w:tcW w:w="1953" w:type="dxa"/>
                  <w:gridSpan w:val="3"/>
                  <w:vAlign w:val="center"/>
                </w:tcPr>
                <w:p w14:paraId="4DA33AAC">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配套辅助设施配电室设备房</w:t>
                  </w:r>
                </w:p>
              </w:tc>
              <w:tc>
                <w:tcPr>
                  <w:tcW w:w="5688" w:type="dxa"/>
                  <w:gridSpan w:val="3"/>
                  <w:vAlign w:val="center"/>
                </w:tcPr>
                <w:p w14:paraId="61D92C42">
                  <w:pPr>
                    <w:adjustRightInd w:val="0"/>
                    <w:snapToGrid w:val="0"/>
                    <w:spacing w:line="0" w:lineRule="atLeast"/>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位于项目区北侧，</w:t>
                  </w:r>
                  <w:r>
                    <w:rPr>
                      <w:rFonts w:hint="default" w:ascii="Times New Roman" w:hAnsi="Times New Roman" w:eastAsia="宋体" w:cs="Times New Roman"/>
                      <w:color w:val="auto"/>
                      <w:kern w:val="0"/>
                      <w:sz w:val="21"/>
                      <w:szCs w:val="21"/>
                      <w:highlight w:val="none"/>
                      <w:lang w:val="en-US" w:eastAsia="zh-CN"/>
                    </w:rPr>
                    <w:t>占地面积为</w:t>
                  </w:r>
                  <w:r>
                    <w:rPr>
                      <w:rFonts w:hint="eastAsia" w:cs="Times New Roman"/>
                      <w:color w:val="auto"/>
                      <w:kern w:val="0"/>
                      <w:sz w:val="21"/>
                      <w:szCs w:val="21"/>
                      <w:highlight w:val="none"/>
                      <w:lang w:val="en-US" w:eastAsia="zh-CN"/>
                    </w:rPr>
                    <w:t>461.50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eastAsia="zh-CN"/>
                    </w:rPr>
                    <w:t>高度为</w:t>
                  </w:r>
                  <w:r>
                    <w:rPr>
                      <w:rFonts w:hint="eastAsia" w:cs="Times New Roman"/>
                      <w:color w:val="auto"/>
                      <w:kern w:val="0"/>
                      <w:sz w:val="21"/>
                      <w:szCs w:val="21"/>
                      <w:highlight w:val="none"/>
                      <w:lang w:val="en-US" w:eastAsia="zh-CN"/>
                    </w:rPr>
                    <w:t>10.15m，</w:t>
                  </w:r>
                  <w:r>
                    <w:rPr>
                      <w:rFonts w:hint="default" w:ascii="Times New Roman" w:hAnsi="Times New Roman" w:eastAsia="宋体" w:cs="Times New Roman"/>
                      <w:color w:val="auto"/>
                      <w:kern w:val="0"/>
                      <w:sz w:val="21"/>
                      <w:szCs w:val="21"/>
                      <w:highlight w:val="none"/>
                    </w:rPr>
                    <w:t>主要</w:t>
                  </w:r>
                  <w:r>
                    <w:rPr>
                      <w:rFonts w:hint="eastAsia" w:ascii="Times New Roman" w:hAnsi="Times New Roman" w:eastAsia="宋体" w:cs="Times New Roman"/>
                      <w:color w:val="auto"/>
                      <w:kern w:val="0"/>
                      <w:sz w:val="21"/>
                      <w:szCs w:val="21"/>
                      <w:highlight w:val="none"/>
                      <w:lang w:eastAsia="zh-CN"/>
                    </w:rPr>
                    <w:t>用于项目区配套设施配电设备使用。</w:t>
                  </w:r>
                </w:p>
              </w:tc>
              <w:tc>
                <w:tcPr>
                  <w:tcW w:w="656" w:type="dxa"/>
                  <w:vAlign w:val="center"/>
                </w:tcPr>
                <w:p w14:paraId="4472AF0D">
                  <w:pPr>
                    <w:adjustRightInd w:val="0"/>
                    <w:snapToGrid w:val="0"/>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14:paraId="3E38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dxa"/>
                  <w:vMerge w:val="continue"/>
                  <w:vAlign w:val="center"/>
                </w:tcPr>
                <w:p w14:paraId="5A05EB0F">
                  <w:pPr>
                    <w:adjustRightInd w:val="0"/>
                    <w:snapToGrid w:val="0"/>
                    <w:spacing w:line="0" w:lineRule="atLeast"/>
                    <w:jc w:val="center"/>
                    <w:rPr>
                      <w:color w:val="auto"/>
                    </w:rPr>
                  </w:pPr>
                </w:p>
              </w:tc>
              <w:tc>
                <w:tcPr>
                  <w:tcW w:w="1953" w:type="dxa"/>
                  <w:gridSpan w:val="3"/>
                  <w:vAlign w:val="center"/>
                </w:tcPr>
                <w:p w14:paraId="51191A07">
                  <w:pPr>
                    <w:adjustRightInd w:val="0"/>
                    <w:snapToGrid w:val="0"/>
                    <w:spacing w:line="0" w:lineRule="atLeast"/>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消防水泵房</w:t>
                  </w:r>
                </w:p>
              </w:tc>
              <w:tc>
                <w:tcPr>
                  <w:tcW w:w="5688" w:type="dxa"/>
                  <w:gridSpan w:val="3"/>
                  <w:vAlign w:val="center"/>
                </w:tcPr>
                <w:p w14:paraId="45F2D2F3">
                  <w:pPr>
                    <w:adjustRightInd w:val="0"/>
                    <w:snapToGrid w:val="0"/>
                    <w:spacing w:line="0" w:lineRule="atLeast"/>
                    <w:jc w:val="center"/>
                    <w:rPr>
                      <w:rFonts w:hint="eastAsia"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位于项目区</w:t>
                  </w:r>
                  <w:r>
                    <w:rPr>
                      <w:rFonts w:hint="eastAsia" w:cs="Times New Roman"/>
                      <w:color w:val="auto"/>
                      <w:kern w:val="0"/>
                      <w:sz w:val="21"/>
                      <w:szCs w:val="21"/>
                      <w:highlight w:val="none"/>
                      <w:lang w:val="en-US" w:eastAsia="zh-CN"/>
                    </w:rPr>
                    <w:t>东南</w:t>
                  </w:r>
                  <w:r>
                    <w:rPr>
                      <w:rFonts w:hint="default" w:ascii="Times New Roman" w:hAnsi="Times New Roman" w:eastAsia="宋体" w:cs="Times New Roman"/>
                      <w:color w:val="auto"/>
                      <w:kern w:val="0"/>
                      <w:sz w:val="21"/>
                      <w:szCs w:val="21"/>
                      <w:highlight w:val="none"/>
                      <w:lang w:val="en-US" w:eastAsia="zh-CN"/>
                    </w:rPr>
                    <w:t>侧</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占地面积为</w:t>
                  </w:r>
                  <w:r>
                    <w:rPr>
                      <w:rFonts w:hint="eastAsia" w:cs="Times New Roman"/>
                      <w:color w:val="auto"/>
                      <w:kern w:val="0"/>
                      <w:sz w:val="21"/>
                      <w:szCs w:val="21"/>
                      <w:highlight w:val="none"/>
                      <w:lang w:val="en-US" w:eastAsia="zh-CN"/>
                    </w:rPr>
                    <w:t>210.00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eastAsia" w:ascii="Times New Roman" w:hAnsi="Times New Roman" w:eastAsia="宋体" w:cs="Times New Roman"/>
                      <w:color w:val="auto"/>
                      <w:kern w:val="0"/>
                      <w:sz w:val="21"/>
                      <w:szCs w:val="21"/>
                      <w:highlight w:val="none"/>
                      <w:lang w:eastAsia="zh-CN"/>
                    </w:rPr>
                    <w:t>。</w:t>
                  </w:r>
                </w:p>
              </w:tc>
              <w:tc>
                <w:tcPr>
                  <w:tcW w:w="656" w:type="dxa"/>
                  <w:vAlign w:val="center"/>
                </w:tcPr>
                <w:p w14:paraId="5F0C81A3">
                  <w:pPr>
                    <w:adjustRightInd w:val="0"/>
                    <w:snapToGrid w:val="0"/>
                    <w:spacing w:line="0" w:lineRule="atLeast"/>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新建</w:t>
                  </w:r>
                </w:p>
              </w:tc>
            </w:tr>
            <w:tr w14:paraId="6960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restart"/>
                  <w:vAlign w:val="center"/>
                </w:tcPr>
                <w:p w14:paraId="07131988">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1953" w:type="dxa"/>
                  <w:gridSpan w:val="3"/>
                  <w:vAlign w:val="center"/>
                </w:tcPr>
                <w:p w14:paraId="70E656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5688" w:type="dxa"/>
                  <w:gridSpan w:val="3"/>
                  <w:vAlign w:val="center"/>
                </w:tcPr>
                <w:p w14:paraId="42719F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656" w:type="dxa"/>
                  <w:vAlign w:val="center"/>
                </w:tcPr>
                <w:p w14:paraId="66C03031">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17F2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55739A59">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53" w:type="dxa"/>
                  <w:gridSpan w:val="3"/>
                  <w:vAlign w:val="center"/>
                </w:tcPr>
                <w:p w14:paraId="4E36CD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5688" w:type="dxa"/>
                  <w:gridSpan w:val="3"/>
                  <w:vAlign w:val="center"/>
                </w:tcPr>
                <w:p w14:paraId="51D97F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b w:val="0"/>
                      <w:bCs w:val="0"/>
                      <w:color w:val="auto"/>
                      <w:sz w:val="21"/>
                      <w:szCs w:val="21"/>
                      <w:highlight w:val="none"/>
                      <w:lang w:val="en-US" w:eastAsia="zh-CN"/>
                    </w:rPr>
                    <w:t>本项目实施雨污分流的排水体制，雨水经厂区雨水管收集后排入市政雨水管网；食堂含油废水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656" w:type="dxa"/>
                  <w:vMerge w:val="restart"/>
                  <w:vAlign w:val="center"/>
                </w:tcPr>
                <w:p w14:paraId="77F2D25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4452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7BE4FB52">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53" w:type="dxa"/>
                  <w:gridSpan w:val="3"/>
                  <w:vAlign w:val="center"/>
                </w:tcPr>
                <w:p w14:paraId="2A75B4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5688" w:type="dxa"/>
                  <w:gridSpan w:val="3"/>
                  <w:vAlign w:val="center"/>
                </w:tcPr>
                <w:p w14:paraId="4CB1B5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656" w:type="dxa"/>
                  <w:vMerge w:val="continue"/>
                  <w:vAlign w:val="center"/>
                </w:tcPr>
                <w:p w14:paraId="08C8923B">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255D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78248DF1">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53" w:type="dxa"/>
                  <w:gridSpan w:val="3"/>
                  <w:vAlign w:val="center"/>
                </w:tcPr>
                <w:p w14:paraId="6437AB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5688" w:type="dxa"/>
                  <w:gridSpan w:val="3"/>
                  <w:vAlign w:val="center"/>
                </w:tcPr>
                <w:p w14:paraId="0C8EC1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项目生产过程中能量主要为蒸汽，</w:t>
                  </w:r>
                  <w:r>
                    <w:rPr>
                      <w:rFonts w:hint="default" w:ascii="Times New Roman" w:hAnsi="Times New Roman" w:eastAsia="宋体" w:cs="Times New Roman"/>
                      <w:bCs/>
                      <w:color w:val="auto"/>
                      <w:spacing w:val="6"/>
                      <w:sz w:val="21"/>
                      <w:szCs w:val="21"/>
                      <w:highlight w:val="none"/>
                    </w:rPr>
                    <w:t>本项目</w:t>
                  </w:r>
                  <w:r>
                    <w:rPr>
                      <w:rFonts w:hint="default" w:ascii="Times New Roman" w:hAnsi="Times New Roman" w:eastAsia="宋体" w:cs="Times New Roman"/>
                      <w:bCs/>
                      <w:color w:val="auto"/>
                      <w:spacing w:val="6"/>
                      <w:sz w:val="21"/>
                      <w:szCs w:val="21"/>
                      <w:highlight w:val="none"/>
                      <w:lang w:val="en-US" w:eastAsia="zh-CN"/>
                    </w:rPr>
                    <w:t>拟</w:t>
                  </w:r>
                  <w:r>
                    <w:rPr>
                      <w:rFonts w:hint="default" w:ascii="Times New Roman" w:hAnsi="Times New Roman" w:eastAsia="宋体" w:cs="Times New Roman"/>
                      <w:bCs/>
                      <w:color w:val="auto"/>
                      <w:spacing w:val="6"/>
                      <w:sz w:val="21"/>
                      <w:szCs w:val="21"/>
                      <w:highlight w:val="none"/>
                    </w:rPr>
                    <w:t>设置</w:t>
                  </w:r>
                  <w:r>
                    <w:rPr>
                      <w:rFonts w:hint="eastAsia" w:cs="Times New Roman"/>
                      <w:bCs/>
                      <w:color w:val="auto"/>
                      <w:spacing w:val="6"/>
                      <w:sz w:val="21"/>
                      <w:szCs w:val="21"/>
                      <w:highlight w:val="none"/>
                      <w:lang w:val="en-US" w:eastAsia="zh-CN"/>
                    </w:rPr>
                    <w:t>1</w:t>
                  </w:r>
                  <w:r>
                    <w:rPr>
                      <w:rFonts w:hint="default" w:ascii="Times New Roman" w:hAnsi="Times New Roman" w:eastAsia="宋体" w:cs="Times New Roman"/>
                      <w:bCs/>
                      <w:color w:val="auto"/>
                      <w:spacing w:val="6"/>
                      <w:sz w:val="21"/>
                      <w:szCs w:val="21"/>
                      <w:highlight w:val="none"/>
                      <w:lang w:val="en-US" w:eastAsia="zh-CN"/>
                    </w:rPr>
                    <w:t>台</w:t>
                  </w:r>
                  <w:r>
                    <w:rPr>
                      <w:rFonts w:hint="eastAsia" w:cs="Times New Roman"/>
                      <w:bCs/>
                      <w:color w:val="auto"/>
                      <w:spacing w:val="6"/>
                      <w:sz w:val="21"/>
                      <w:szCs w:val="21"/>
                      <w:highlight w:val="none"/>
                      <w:lang w:val="en-US" w:eastAsia="zh-CN"/>
                    </w:rPr>
                    <w:t>3</w:t>
                  </w:r>
                  <w:r>
                    <w:rPr>
                      <w:rFonts w:hint="default" w:ascii="Times New Roman" w:hAnsi="Times New Roman" w:eastAsia="宋体" w:cs="Times New Roman"/>
                      <w:bCs/>
                      <w:color w:val="auto"/>
                      <w:spacing w:val="6"/>
                      <w:sz w:val="21"/>
                      <w:szCs w:val="21"/>
                      <w:highlight w:val="none"/>
                      <w:lang w:val="en-US" w:eastAsia="zh-CN"/>
                    </w:rPr>
                    <w:t>t/h的蒸汽锅炉</w:t>
                  </w:r>
                  <w:r>
                    <w:rPr>
                      <w:rFonts w:hint="eastAsia" w:cs="Times New Roman"/>
                      <w:bCs/>
                      <w:color w:val="auto"/>
                      <w:spacing w:val="6"/>
                      <w:sz w:val="21"/>
                      <w:szCs w:val="21"/>
                      <w:highlight w:val="none"/>
                      <w:lang w:val="en-US" w:eastAsia="zh-CN"/>
                    </w:rPr>
                    <w:t>、2台导热油炉</w:t>
                  </w:r>
                  <w:r>
                    <w:rPr>
                      <w:rFonts w:hint="default" w:ascii="Times New Roman" w:hAnsi="Times New Roman" w:eastAsia="宋体" w:cs="Times New Roman"/>
                      <w:bCs/>
                      <w:color w:val="auto"/>
                      <w:spacing w:val="6"/>
                      <w:sz w:val="21"/>
                      <w:szCs w:val="21"/>
                      <w:highlight w:val="none"/>
                      <w:lang w:val="en-US" w:eastAsia="zh-CN"/>
                    </w:rPr>
                    <w:t>为生产过程提供热量</w:t>
                  </w: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656" w:type="dxa"/>
                  <w:vMerge w:val="continue"/>
                  <w:vAlign w:val="center"/>
                </w:tcPr>
                <w:p w14:paraId="62A58BA9">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7CDB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1917ED88">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53" w:type="dxa"/>
                  <w:gridSpan w:val="3"/>
                  <w:vAlign w:val="center"/>
                </w:tcPr>
                <w:p w14:paraId="058BCE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5688" w:type="dxa"/>
                  <w:gridSpan w:val="3"/>
                  <w:vAlign w:val="center"/>
                </w:tcPr>
                <w:p w14:paraId="001FB1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656" w:type="dxa"/>
                  <w:vMerge w:val="continue"/>
                  <w:vAlign w:val="center"/>
                </w:tcPr>
                <w:p w14:paraId="113B3A9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14:paraId="5E4F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427" w:type="dxa"/>
                  <w:vMerge w:val="restart"/>
                  <w:vAlign w:val="center"/>
                </w:tcPr>
                <w:p w14:paraId="20CBC2DC">
                  <w:pP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1298" w:type="dxa"/>
                  <w:vMerge w:val="restart"/>
                  <w:vAlign w:val="center"/>
                </w:tcPr>
                <w:p w14:paraId="724497CA">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1265" w:type="dxa"/>
                  <w:gridSpan w:val="3"/>
                  <w:vAlign w:val="center"/>
                </w:tcPr>
                <w:p w14:paraId="6AA4DD30">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w:t>
                  </w:r>
                  <w:r>
                    <w:rPr>
                      <w:rFonts w:hint="eastAsia" w:ascii="Times New Roman" w:hAnsi="Times New Roman" w:eastAsia="宋体" w:cs="Times New Roman"/>
                      <w:color w:val="auto"/>
                      <w:sz w:val="21"/>
                      <w:szCs w:val="21"/>
                      <w:highlight w:val="none"/>
                      <w:lang w:val="en-US" w:eastAsia="zh-CN"/>
                    </w:rPr>
                    <w:t>（DA001）</w:t>
                  </w:r>
                </w:p>
              </w:tc>
              <w:tc>
                <w:tcPr>
                  <w:tcW w:w="5078" w:type="dxa"/>
                  <w:gridSpan w:val="2"/>
                  <w:vAlign w:val="center"/>
                </w:tcPr>
                <w:p w14:paraId="0DD6E692">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t/h的生物质锅炉</w:t>
                  </w:r>
                  <w:r>
                    <w:rPr>
                      <w:rFonts w:hint="eastAsia"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和2台导热油炉燃料燃烧废气</w:t>
                  </w:r>
                  <w:r>
                    <w:rPr>
                      <w:rFonts w:hint="default" w:ascii="Times New Roman" w:hAnsi="Times New Roman" w:eastAsia="宋体" w:cs="Times New Roman"/>
                      <w:color w:val="auto"/>
                      <w:sz w:val="21"/>
                      <w:szCs w:val="21"/>
                      <w:highlight w:val="none"/>
                      <w:lang w:val="en-US" w:eastAsia="zh-CN"/>
                    </w:rPr>
                    <w:t>共同经1套“高温布袋除尘器”处理后+1根</w:t>
                  </w: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17450.3649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56" w:type="dxa"/>
                  <w:vAlign w:val="center"/>
                </w:tcPr>
                <w:p w14:paraId="2AABDE6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61DD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427" w:type="dxa"/>
                  <w:vMerge w:val="continue"/>
                  <w:vAlign w:val="center"/>
                </w:tcPr>
                <w:p w14:paraId="042CF8A9">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298" w:type="dxa"/>
                  <w:vMerge w:val="continue"/>
                  <w:vAlign w:val="center"/>
                </w:tcPr>
                <w:p w14:paraId="30FF6CD6">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265" w:type="dxa"/>
                  <w:gridSpan w:val="3"/>
                  <w:vAlign w:val="center"/>
                </w:tcPr>
                <w:p w14:paraId="42D7956D">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w:t>
                  </w:r>
                  <w:r>
                    <w:rPr>
                      <w:rFonts w:hint="eastAsia"/>
                      <w:bCs/>
                      <w:color w:val="auto"/>
                      <w:spacing w:val="-10"/>
                      <w:szCs w:val="21"/>
                      <w:lang w:val="en-US" w:eastAsia="zh-CN"/>
                    </w:rPr>
                    <w:t>DA002</w:t>
                  </w:r>
                  <w:r>
                    <w:rPr>
                      <w:rFonts w:hint="eastAsia"/>
                      <w:bCs/>
                      <w:color w:val="auto"/>
                      <w:spacing w:val="-10"/>
                      <w:szCs w:val="21"/>
                      <w:lang w:eastAsia="zh-CN"/>
                    </w:rPr>
                    <w:t>）</w:t>
                  </w:r>
                </w:p>
              </w:tc>
              <w:tc>
                <w:tcPr>
                  <w:tcW w:w="5078" w:type="dxa"/>
                  <w:gridSpan w:val="2"/>
                  <w:vAlign w:val="center"/>
                </w:tcPr>
                <w:p w14:paraId="2E5CE8DB">
                  <w:pPr>
                    <w:adjustRightInd w:val="0"/>
                    <w:snapToGrid w:val="0"/>
                    <w:jc w:val="center"/>
                    <w:rPr>
                      <w:rFonts w:hint="eastAsia"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DA002</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30000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56" w:type="dxa"/>
                  <w:vAlign w:val="center"/>
                </w:tcPr>
                <w:p w14:paraId="544740BC">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1E26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427" w:type="dxa"/>
                  <w:vMerge w:val="continue"/>
                  <w:vAlign w:val="center"/>
                </w:tcPr>
                <w:p w14:paraId="047910F0">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298" w:type="dxa"/>
                  <w:vMerge w:val="continue"/>
                  <w:vAlign w:val="center"/>
                </w:tcPr>
                <w:p w14:paraId="5A35BD70">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265" w:type="dxa"/>
                  <w:gridSpan w:val="3"/>
                  <w:vAlign w:val="center"/>
                </w:tcPr>
                <w:p w14:paraId="4FEB5A0D">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w:t>
                  </w:r>
                  <w:r>
                    <w:rPr>
                      <w:rFonts w:hint="eastAsia"/>
                      <w:bCs/>
                      <w:color w:val="auto"/>
                      <w:spacing w:val="-10"/>
                      <w:szCs w:val="21"/>
                      <w:lang w:val="en-US" w:eastAsia="zh-CN"/>
                    </w:rPr>
                    <w:t>DA003</w:t>
                  </w:r>
                  <w:r>
                    <w:rPr>
                      <w:rFonts w:hint="eastAsia"/>
                      <w:bCs/>
                      <w:color w:val="auto"/>
                      <w:spacing w:val="-10"/>
                      <w:szCs w:val="21"/>
                      <w:lang w:eastAsia="zh-CN"/>
                    </w:rPr>
                    <w:t>）</w:t>
                  </w:r>
                </w:p>
              </w:tc>
              <w:tc>
                <w:tcPr>
                  <w:tcW w:w="5078" w:type="dxa"/>
                  <w:gridSpan w:val="2"/>
                  <w:vAlign w:val="center"/>
                </w:tcPr>
                <w:p w14:paraId="43D184B7">
                  <w:pPr>
                    <w:adjustRightInd w:val="0"/>
                    <w:snapToGrid w:val="0"/>
                    <w:jc w:val="center"/>
                    <w:rPr>
                      <w:rFonts w:hint="eastAsia"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DA003</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20000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56" w:type="dxa"/>
                  <w:vAlign w:val="center"/>
                </w:tcPr>
                <w:p w14:paraId="48CB6BBE">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6F96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27" w:type="dxa"/>
                  <w:vMerge w:val="continue"/>
                  <w:vAlign w:val="center"/>
                </w:tcPr>
                <w:p w14:paraId="585B4E4C">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298" w:type="dxa"/>
                  <w:vMerge w:val="continue"/>
                  <w:vAlign w:val="center"/>
                </w:tcPr>
                <w:p w14:paraId="4D726DB0">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265" w:type="dxa"/>
                  <w:gridSpan w:val="3"/>
                  <w:vAlign w:val="center"/>
                </w:tcPr>
                <w:p w14:paraId="23932D6E">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rPr>
                    <w:t>脱酸脱臭</w:t>
                  </w:r>
                  <w:r>
                    <w:rPr>
                      <w:rFonts w:hint="eastAsia"/>
                      <w:bCs/>
                      <w:color w:val="auto"/>
                      <w:spacing w:val="-10"/>
                      <w:szCs w:val="21"/>
                      <w:lang w:eastAsia="zh-CN"/>
                    </w:rPr>
                    <w:t>废气</w:t>
                  </w:r>
                </w:p>
              </w:tc>
              <w:tc>
                <w:tcPr>
                  <w:tcW w:w="5078" w:type="dxa"/>
                  <w:gridSpan w:val="2"/>
                  <w:vAlign w:val="center"/>
                </w:tcPr>
                <w:p w14:paraId="2778A6E6">
                  <w:pPr>
                    <w:adjustRightInd w:val="0"/>
                    <w:snapToGrid w:val="0"/>
                    <w:spacing w:line="0" w:lineRule="atLeast"/>
                    <w:jc w:val="center"/>
                    <w:rPr>
                      <w:rFonts w:hint="eastAsia" w:cs="Times New Roman"/>
                      <w:color w:val="auto"/>
                      <w:sz w:val="21"/>
                      <w:szCs w:val="21"/>
                      <w:highlight w:val="none"/>
                      <w:lang w:val="en-US" w:eastAsia="zh-CN"/>
                    </w:rPr>
                  </w:pPr>
                  <w:r>
                    <w:rPr>
                      <w:rFonts w:hint="eastAsia"/>
                      <w:bCs/>
                      <w:color w:val="auto"/>
                      <w:spacing w:val="-10"/>
                      <w:szCs w:val="21"/>
                    </w:rPr>
                    <w:t>脱酸脱臭</w:t>
                  </w:r>
                  <w:r>
                    <w:rPr>
                      <w:rFonts w:hint="eastAsia"/>
                      <w:bCs/>
                      <w:color w:val="auto"/>
                      <w:spacing w:val="-10"/>
                      <w:szCs w:val="21"/>
                      <w:lang w:eastAsia="zh-CN"/>
                    </w:rPr>
                    <w:t>废气经“</w:t>
                  </w:r>
                  <w:r>
                    <w:rPr>
                      <w:rFonts w:hint="eastAsia"/>
                      <w:color w:val="auto"/>
                    </w:rPr>
                    <w:t>捕集器+冷凝回收装置</w:t>
                  </w:r>
                  <w:r>
                    <w:rPr>
                      <w:rFonts w:hint="eastAsia"/>
                      <w:bCs/>
                      <w:color w:val="auto"/>
                      <w:spacing w:val="-10"/>
                      <w:szCs w:val="21"/>
                      <w:lang w:eastAsia="zh-CN"/>
                    </w:rPr>
                    <w:t>”处理后</w:t>
                  </w:r>
                  <w:r>
                    <w:rPr>
                      <w:rFonts w:hint="eastAsia"/>
                      <w:color w:val="auto"/>
                    </w:rPr>
                    <w:t>少部分无组织</w:t>
                  </w:r>
                  <w:r>
                    <w:rPr>
                      <w:rFonts w:hint="eastAsia"/>
                      <w:color w:val="auto"/>
                      <w:lang w:eastAsia="zh-CN"/>
                    </w:rPr>
                    <w:t>排放</w:t>
                  </w:r>
                  <w:r>
                    <w:rPr>
                      <w:rFonts w:hint="eastAsia"/>
                      <w:color w:val="auto"/>
                      <w:kern w:val="0"/>
                      <w:szCs w:val="21"/>
                    </w:rPr>
                    <w:t>。</w:t>
                  </w:r>
                </w:p>
              </w:tc>
              <w:tc>
                <w:tcPr>
                  <w:tcW w:w="656" w:type="dxa"/>
                  <w:vAlign w:val="center"/>
                </w:tcPr>
                <w:p w14:paraId="64513616">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666D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27" w:type="dxa"/>
                  <w:vMerge w:val="continue"/>
                  <w:vAlign w:val="center"/>
                </w:tcPr>
                <w:p w14:paraId="1A583B83">
                  <w:pP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298" w:type="dxa"/>
                  <w:vMerge w:val="continue"/>
                  <w:vAlign w:val="center"/>
                </w:tcPr>
                <w:p w14:paraId="4D660C9B">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265" w:type="dxa"/>
                  <w:gridSpan w:val="3"/>
                  <w:vAlign w:val="center"/>
                </w:tcPr>
                <w:p w14:paraId="75B4783D">
                  <w:pPr>
                    <w:pStyle w:val="24"/>
                    <w:spacing w:after="0"/>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生产过程、化粪池、污水处理设施</w:t>
                  </w:r>
                </w:p>
              </w:tc>
              <w:tc>
                <w:tcPr>
                  <w:tcW w:w="5078" w:type="dxa"/>
                  <w:gridSpan w:val="2"/>
                  <w:vAlign w:val="center"/>
                </w:tcPr>
                <w:p w14:paraId="416D5F06">
                  <w:pPr>
                    <w:adjustRightInd w:val="0"/>
                    <w:snapToGrid w:val="0"/>
                    <w:spacing w:line="0" w:lineRule="atLeast"/>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lang w:val="en-US" w:eastAsia="zh-CN" w:bidi="ar-SA"/>
                    </w:rPr>
                    <w:t>对生产车间地坪进行冲洗和消毒、加强管理；</w:t>
                  </w: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定期喷洒复合微生物除臭剂进行除臭</w:t>
                  </w:r>
                  <w:r>
                    <w:rPr>
                      <w:rFonts w:hint="default" w:ascii="Times New Roman" w:hAnsi="Times New Roman" w:eastAsia="宋体" w:cs="Times New Roman"/>
                      <w:color w:val="auto"/>
                      <w:sz w:val="21"/>
                      <w:szCs w:val="21"/>
                      <w:highlight w:val="none"/>
                      <w:lang w:val="en-US" w:eastAsia="zh-CN"/>
                    </w:rPr>
                    <w:t>。</w:t>
                  </w:r>
                </w:p>
              </w:tc>
              <w:tc>
                <w:tcPr>
                  <w:tcW w:w="656" w:type="dxa"/>
                  <w:vAlign w:val="center"/>
                </w:tcPr>
                <w:p w14:paraId="5186D276">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6848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1C6183DE">
                  <w:pPr>
                    <w:adjustRightInd w:val="0"/>
                    <w:snapToGrid w:val="0"/>
                    <w:spacing w:line="0" w:lineRule="atLeast"/>
                    <w:jc w:val="center"/>
                    <w:rPr>
                      <w:rFonts w:hint="default" w:ascii="Times New Roman" w:hAnsi="Times New Roman" w:eastAsia="宋体" w:cs="Times New Roman"/>
                      <w:bCs/>
                      <w:color w:val="auto"/>
                      <w:sz w:val="21"/>
                      <w:szCs w:val="21"/>
                      <w:highlight w:val="yellow"/>
                    </w:rPr>
                  </w:pPr>
                </w:p>
              </w:tc>
              <w:tc>
                <w:tcPr>
                  <w:tcW w:w="1298" w:type="dxa"/>
                  <w:vMerge w:val="continue"/>
                  <w:vAlign w:val="center"/>
                </w:tcPr>
                <w:p w14:paraId="4ADD69B0">
                  <w:pPr>
                    <w:adjustRightInd w:val="0"/>
                    <w:snapToGrid w:val="0"/>
                    <w:spacing w:line="0" w:lineRule="atLeast"/>
                    <w:jc w:val="center"/>
                    <w:rPr>
                      <w:rFonts w:hint="default" w:ascii="Times New Roman" w:hAnsi="Times New Roman" w:eastAsia="宋体" w:cs="Times New Roman"/>
                      <w:color w:val="auto"/>
                      <w:sz w:val="21"/>
                      <w:szCs w:val="21"/>
                      <w:highlight w:val="yellow"/>
                      <w:lang w:val="en-US" w:eastAsia="zh-CN"/>
                    </w:rPr>
                  </w:pPr>
                </w:p>
              </w:tc>
              <w:tc>
                <w:tcPr>
                  <w:tcW w:w="1265" w:type="dxa"/>
                  <w:gridSpan w:val="3"/>
                  <w:vAlign w:val="center"/>
                </w:tcPr>
                <w:p w14:paraId="628AFCF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5078" w:type="dxa"/>
                  <w:gridSpan w:val="2"/>
                  <w:vAlign w:val="center"/>
                </w:tcPr>
                <w:p w14:paraId="532F8AE9">
                  <w:pPr>
                    <w:pStyle w:val="11"/>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656" w:type="dxa"/>
                  <w:vAlign w:val="center"/>
                </w:tcPr>
                <w:p w14:paraId="46E8D6C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6E25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443E41AF">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98" w:type="dxa"/>
                  <w:vMerge w:val="restart"/>
                  <w:vAlign w:val="center"/>
                </w:tcPr>
                <w:p w14:paraId="28E3D080">
                  <w:pPr>
                    <w:pStyle w:val="16"/>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处理设施</w:t>
                  </w:r>
                </w:p>
              </w:tc>
              <w:tc>
                <w:tcPr>
                  <w:tcW w:w="1265" w:type="dxa"/>
                  <w:gridSpan w:val="3"/>
                  <w:vAlign w:val="center"/>
                </w:tcPr>
                <w:p w14:paraId="3694F64B">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5078" w:type="dxa"/>
                  <w:gridSpan w:val="2"/>
                  <w:vAlign w:val="center"/>
                </w:tcPr>
                <w:p w14:paraId="2533BE6C">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项目实行雨污分流制，雨水经雨水管外排至</w:t>
                  </w:r>
                  <w:r>
                    <w:rPr>
                      <w:rFonts w:hint="default" w:ascii="Times New Roman" w:hAnsi="Times New Roman" w:eastAsia="宋体" w:cs="Times New Roman"/>
                      <w:color w:val="auto"/>
                      <w:sz w:val="21"/>
                      <w:szCs w:val="21"/>
                      <w:highlight w:val="none"/>
                      <w:lang w:val="en-US" w:eastAsia="zh-CN"/>
                    </w:rPr>
                    <w:t>附近雨水沟</w:t>
                  </w:r>
                  <w:r>
                    <w:rPr>
                      <w:rFonts w:hint="default" w:ascii="Times New Roman" w:hAnsi="Times New Roman" w:eastAsia="宋体" w:cs="Times New Roman"/>
                      <w:color w:val="auto"/>
                      <w:sz w:val="21"/>
                      <w:szCs w:val="21"/>
                      <w:highlight w:val="none"/>
                    </w:rPr>
                    <w:t>。</w:t>
                  </w:r>
                </w:p>
              </w:tc>
              <w:tc>
                <w:tcPr>
                  <w:tcW w:w="656" w:type="dxa"/>
                  <w:vAlign w:val="center"/>
                </w:tcPr>
                <w:p w14:paraId="08E77AA3">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7515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36B30356">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98" w:type="dxa"/>
                  <w:vMerge w:val="continue"/>
                  <w:vAlign w:val="center"/>
                </w:tcPr>
                <w:p w14:paraId="2A26299D">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65" w:type="dxa"/>
                  <w:gridSpan w:val="3"/>
                  <w:vAlign w:val="center"/>
                </w:tcPr>
                <w:p w14:paraId="7AD914E5">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5078" w:type="dxa"/>
                  <w:gridSpan w:val="2"/>
                  <w:vAlign w:val="center"/>
                </w:tcPr>
                <w:p w14:paraId="431B3170">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w:t>
                  </w:r>
                  <w:r>
                    <w:rPr>
                      <w:rFonts w:hint="eastAsia"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val="en-US" w:eastAsia="zh-CN"/>
                    </w:rPr>
                    <w:t>侧</w:t>
                  </w:r>
                  <w:r>
                    <w:rPr>
                      <w:rFonts w:hint="default" w:ascii="Times New Roman" w:hAnsi="Times New Roman" w:eastAsia="宋体" w:cs="Times New Roman"/>
                      <w:color w:val="auto"/>
                      <w:sz w:val="21"/>
                      <w:szCs w:val="21"/>
                      <w:highlight w:val="none"/>
                    </w:rPr>
                    <w:t>，用于处理食堂产生的含油废水。</w:t>
                  </w:r>
                </w:p>
              </w:tc>
              <w:tc>
                <w:tcPr>
                  <w:tcW w:w="656" w:type="dxa"/>
                  <w:vAlign w:val="center"/>
                </w:tcPr>
                <w:p w14:paraId="4B5C4838">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51C7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7530B5D0">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98" w:type="dxa"/>
                  <w:vMerge w:val="continue"/>
                  <w:vAlign w:val="center"/>
                </w:tcPr>
                <w:p w14:paraId="10C31940">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65" w:type="dxa"/>
                  <w:gridSpan w:val="3"/>
                  <w:vAlign w:val="center"/>
                </w:tcPr>
                <w:p w14:paraId="32B46436">
                  <w:pPr>
                    <w:widowControl/>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隔油池</w:t>
                  </w:r>
                </w:p>
              </w:tc>
              <w:tc>
                <w:tcPr>
                  <w:tcW w:w="5078" w:type="dxa"/>
                  <w:gridSpan w:val="2"/>
                  <w:vAlign w:val="center"/>
                </w:tcPr>
                <w:p w14:paraId="35ADC4C6">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的隔油池，用于</w:t>
                  </w:r>
                  <w:r>
                    <w:rPr>
                      <w:rFonts w:hint="eastAsia" w:ascii="Times New Roman" w:hAnsi="Times New Roman" w:eastAsia="宋体" w:cs="Times New Roman"/>
                      <w:color w:val="auto"/>
                      <w:sz w:val="21"/>
                      <w:szCs w:val="21"/>
                      <w:highlight w:val="none"/>
                      <w:lang w:eastAsia="zh-CN"/>
                    </w:rPr>
                    <w:t>预</w:t>
                  </w:r>
                  <w:r>
                    <w:rPr>
                      <w:rFonts w:hint="default" w:ascii="Times New Roman" w:hAnsi="Times New Roman" w:eastAsia="宋体" w:cs="Times New Roman"/>
                      <w:color w:val="auto"/>
                      <w:sz w:val="21"/>
                      <w:szCs w:val="21"/>
                      <w:highlight w:val="none"/>
                    </w:rPr>
                    <w:t>处理</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color w:val="auto"/>
                      <w:sz w:val="21"/>
                      <w:szCs w:val="21"/>
                      <w:highlight w:val="none"/>
                    </w:rPr>
                    <w:t>。</w:t>
                  </w:r>
                </w:p>
              </w:tc>
              <w:tc>
                <w:tcPr>
                  <w:tcW w:w="656" w:type="dxa"/>
                  <w:vAlign w:val="center"/>
                </w:tcPr>
                <w:p w14:paraId="7E6381D2">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571A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3DB1FC4F">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98" w:type="dxa"/>
                  <w:vMerge w:val="continue"/>
                  <w:vAlign w:val="center"/>
                </w:tcPr>
                <w:p w14:paraId="65AD1E3D">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265" w:type="dxa"/>
                  <w:gridSpan w:val="3"/>
                  <w:vAlign w:val="center"/>
                </w:tcPr>
                <w:p w14:paraId="2D4D9B7B">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5078" w:type="dxa"/>
                  <w:gridSpan w:val="2"/>
                  <w:vAlign w:val="center"/>
                </w:tcPr>
                <w:p w14:paraId="617106F3">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eastAsia"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rPr>
                    <w:t>侧，用于预处理项目内所有废水。</w:t>
                  </w:r>
                </w:p>
              </w:tc>
              <w:tc>
                <w:tcPr>
                  <w:tcW w:w="656" w:type="dxa"/>
                  <w:vAlign w:val="center"/>
                </w:tcPr>
                <w:p w14:paraId="046E16AE">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30B3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72B3DF22">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340" w:type="dxa"/>
                  <w:gridSpan w:val="2"/>
                  <w:vMerge w:val="restart"/>
                  <w:vAlign w:val="center"/>
                </w:tcPr>
                <w:p w14:paraId="08E88BDB">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49" w:type="dxa"/>
                  <w:gridSpan w:val="3"/>
                  <w:vAlign w:val="center"/>
                </w:tcPr>
                <w:p w14:paraId="6A78EBA7">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污水处理设施</w:t>
                  </w:r>
                </w:p>
              </w:tc>
              <w:tc>
                <w:tcPr>
                  <w:tcW w:w="4652" w:type="dxa"/>
                  <w:vAlign w:val="center"/>
                </w:tcPr>
                <w:p w14:paraId="43909A2E">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处理工艺为</w:t>
                  </w:r>
                  <w:r>
                    <w:rPr>
                      <w:rFonts w:hint="default" w:ascii="Times New Roman" w:hAnsi="Times New Roman" w:eastAsia="宋体" w:cs="Times New Roman"/>
                      <w:color w:val="auto"/>
                      <w:sz w:val="21"/>
                      <w:szCs w:val="21"/>
                      <w:highlight w:val="none"/>
                      <w:lang w:eastAsia="zh-CN"/>
                    </w:rPr>
                    <w:t>“调节池+</w:t>
                  </w:r>
                  <w:r>
                    <w:rPr>
                      <w:rFonts w:hint="eastAsia" w:cs="Times New Roman"/>
                      <w:color w:val="auto"/>
                      <w:sz w:val="21"/>
                      <w:szCs w:val="21"/>
                      <w:highlight w:val="none"/>
                      <w:lang w:eastAsia="zh-CN"/>
                    </w:rPr>
                    <w:t>气浮</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A/O处理+混凝沉淀”）</w:t>
                  </w:r>
                  <w:r>
                    <w:rPr>
                      <w:rFonts w:hint="default" w:ascii="Times New Roman" w:hAnsi="Times New Roman" w:eastAsia="宋体" w:cs="Times New Roman"/>
                      <w:color w:val="auto"/>
                      <w:sz w:val="21"/>
                      <w:szCs w:val="21"/>
                      <w:highlight w:val="none"/>
                    </w:rPr>
                    <w:t>，用于处理项目区产生的</w:t>
                  </w:r>
                  <w:r>
                    <w:rPr>
                      <w:rFonts w:hint="default" w:ascii="Times New Roman" w:hAnsi="Times New Roman" w:eastAsia="宋体" w:cs="Times New Roman"/>
                      <w:color w:val="auto"/>
                      <w:sz w:val="21"/>
                      <w:szCs w:val="21"/>
                      <w:highlight w:val="none"/>
                      <w:lang w:val="en-US" w:eastAsia="zh-CN"/>
                    </w:rPr>
                    <w:t>所有废水。</w:t>
                  </w:r>
                  <w:r>
                    <w:rPr>
                      <w:rFonts w:hint="default" w:ascii="Times New Roman" w:hAnsi="Times New Roman" w:eastAsia="宋体" w:cs="Times New Roman"/>
                      <w:b w:val="0"/>
                      <w:bCs w:val="0"/>
                      <w:color w:val="auto"/>
                      <w:sz w:val="21"/>
                      <w:szCs w:val="21"/>
                      <w:highlight w:val="none"/>
                      <w:lang w:val="en-US" w:eastAsia="zh-CN"/>
                    </w:rPr>
                    <w:t>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656" w:type="dxa"/>
                  <w:vAlign w:val="center"/>
                </w:tcPr>
                <w:p w14:paraId="7D9802D2">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6EB1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517EACAD">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340" w:type="dxa"/>
                  <w:gridSpan w:val="2"/>
                  <w:vMerge w:val="continue"/>
                  <w:vAlign w:val="center"/>
                </w:tcPr>
                <w:p w14:paraId="0690B2D1">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49" w:type="dxa"/>
                  <w:gridSpan w:val="3"/>
                  <w:vAlign w:val="center"/>
                </w:tcPr>
                <w:p w14:paraId="58621EC6">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4652" w:type="dxa"/>
                  <w:vAlign w:val="center"/>
                </w:tcPr>
                <w:p w14:paraId="4C1EBADD">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lang w:val="en-US" w:eastAsia="zh-CN"/>
                    </w:rPr>
                    <w:t>旁设置1个容积约为</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污水处理</w:t>
                  </w:r>
                  <w:r>
                    <w:rPr>
                      <w:rFonts w:hint="default" w:ascii="Times New Roman" w:hAnsi="Times New Roman" w:eastAsia="宋体" w:cs="Times New Roman"/>
                      <w:color w:val="auto"/>
                      <w:sz w:val="21"/>
                      <w:szCs w:val="21"/>
                      <w:highlight w:val="none"/>
                      <w:lang w:val="en-US" w:eastAsia="zh-CN"/>
                    </w:rPr>
                    <w:t>设施故障时的废水。</w:t>
                  </w:r>
                </w:p>
              </w:tc>
              <w:tc>
                <w:tcPr>
                  <w:tcW w:w="656" w:type="dxa"/>
                  <w:vAlign w:val="center"/>
                </w:tcPr>
                <w:p w14:paraId="1EBE1072">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189F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51B09A6E">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340" w:type="dxa"/>
                  <w:gridSpan w:val="2"/>
                  <w:vAlign w:val="center"/>
                </w:tcPr>
                <w:p w14:paraId="79CD020A">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301" w:type="dxa"/>
                  <w:gridSpan w:val="4"/>
                  <w:vAlign w:val="center"/>
                </w:tcPr>
                <w:p w14:paraId="4A75910D">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置于厂房内，高噪声设备安装消声、减振装置。</w:t>
                  </w:r>
                </w:p>
              </w:tc>
              <w:tc>
                <w:tcPr>
                  <w:tcW w:w="656" w:type="dxa"/>
                  <w:vAlign w:val="center"/>
                </w:tcPr>
                <w:p w14:paraId="772CBACD">
                  <w:pP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环评提出</w:t>
                  </w:r>
                </w:p>
              </w:tc>
            </w:tr>
            <w:tr w14:paraId="19FF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5F505996">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340" w:type="dxa"/>
                  <w:gridSpan w:val="2"/>
                  <w:vMerge w:val="restart"/>
                  <w:vAlign w:val="center"/>
                </w:tcPr>
                <w:p w14:paraId="50D4D41C">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1649" w:type="dxa"/>
                  <w:gridSpan w:val="3"/>
                  <w:vAlign w:val="center"/>
                </w:tcPr>
                <w:p w14:paraId="1FAFB1EA">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4652" w:type="dxa"/>
                  <w:vAlign w:val="center"/>
                </w:tcPr>
                <w:p w14:paraId="3FD8F743">
                  <w:pPr>
                    <w:widowControl/>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656" w:type="dxa"/>
                  <w:vMerge w:val="restart"/>
                  <w:vAlign w:val="center"/>
                </w:tcPr>
                <w:p w14:paraId="57BE17C3">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p w14:paraId="4A6399AD">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p w14:paraId="16702F5C">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47B5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4F2D3D34">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340" w:type="dxa"/>
                  <w:gridSpan w:val="2"/>
                  <w:vMerge w:val="continue"/>
                  <w:vAlign w:val="center"/>
                </w:tcPr>
                <w:p w14:paraId="42A2338C">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49" w:type="dxa"/>
                  <w:gridSpan w:val="3"/>
                  <w:vAlign w:val="center"/>
                </w:tcPr>
                <w:p w14:paraId="5648D165">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4652" w:type="dxa"/>
                  <w:vAlign w:val="center"/>
                </w:tcPr>
                <w:p w14:paraId="27EDF41D">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656" w:type="dxa"/>
                  <w:vMerge w:val="continue"/>
                  <w:vAlign w:val="center"/>
                </w:tcPr>
                <w:p w14:paraId="21C8A43B">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14:paraId="60D0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2849D4C1">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340" w:type="dxa"/>
                  <w:gridSpan w:val="2"/>
                  <w:vMerge w:val="continue"/>
                  <w:vAlign w:val="center"/>
                </w:tcPr>
                <w:p w14:paraId="702F3067">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49" w:type="dxa"/>
                  <w:gridSpan w:val="3"/>
                  <w:vAlign w:val="center"/>
                </w:tcPr>
                <w:p w14:paraId="4B17439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4652" w:type="dxa"/>
                  <w:vAlign w:val="center"/>
                </w:tcPr>
                <w:p w14:paraId="08CD2FC8">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656" w:type="dxa"/>
                  <w:vMerge w:val="continue"/>
                  <w:vAlign w:val="center"/>
                </w:tcPr>
                <w:p w14:paraId="0A6674EA">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14:paraId="674F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7EE8C0F0">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340" w:type="dxa"/>
                  <w:gridSpan w:val="2"/>
                  <w:vMerge w:val="continue"/>
                  <w:vAlign w:val="center"/>
                </w:tcPr>
                <w:p w14:paraId="6EC5E72A">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49" w:type="dxa"/>
                  <w:gridSpan w:val="3"/>
                  <w:vAlign w:val="center"/>
                </w:tcPr>
                <w:p w14:paraId="3FAC2C19">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4652" w:type="dxa"/>
                  <w:vAlign w:val="center"/>
                </w:tcPr>
                <w:p w14:paraId="20CBDA43">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656" w:type="dxa"/>
                  <w:vAlign w:val="center"/>
                </w:tcPr>
                <w:p w14:paraId="4238F5A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7FCE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6D6881BB">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340" w:type="dxa"/>
                  <w:gridSpan w:val="2"/>
                  <w:vMerge w:val="continue"/>
                  <w:vAlign w:val="center"/>
                </w:tcPr>
                <w:p w14:paraId="525E70FF">
                  <w:pPr>
                    <w:pStyle w:val="16"/>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649" w:type="dxa"/>
                  <w:gridSpan w:val="3"/>
                  <w:vAlign w:val="center"/>
                </w:tcPr>
                <w:p w14:paraId="5BDE8E7D">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4652" w:type="dxa"/>
                  <w:vAlign w:val="center"/>
                </w:tcPr>
                <w:p w14:paraId="7AD4D96A">
                  <w:pPr>
                    <w:widowControl/>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lang w:eastAsia="zh-CN"/>
                    </w:rPr>
                    <w:t>生产车间内</w:t>
                  </w:r>
                  <w:r>
                    <w:rPr>
                      <w:rFonts w:hint="default" w:ascii="Times New Roman" w:hAnsi="Times New Roman" w:eastAsia="宋体" w:cs="Times New Roman"/>
                      <w:color w:val="auto"/>
                      <w:sz w:val="21"/>
                      <w:szCs w:val="21"/>
                      <w:highlight w:val="none"/>
                    </w:rPr>
                    <w:t>设置1间占地面积为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个危险废物专用收集容器，用于收集暂存机修过程产生的废机油、</w:t>
                  </w:r>
                  <w:r>
                    <w:rPr>
                      <w:rFonts w:hint="default" w:ascii="Times New Roman" w:hAnsi="Times New Roman" w:eastAsia="宋体" w:cs="Times New Roman"/>
                      <w:color w:val="auto"/>
                      <w:sz w:val="21"/>
                      <w:szCs w:val="21"/>
                      <w:highlight w:val="none"/>
                      <w:lang w:val="en-US" w:eastAsia="zh-CN"/>
                    </w:rPr>
                    <w:t>机修废物</w:t>
                  </w:r>
                  <w:r>
                    <w:rPr>
                      <w:rFonts w:hint="eastAsia" w:cs="Times New Roman"/>
                      <w:color w:val="auto"/>
                      <w:sz w:val="21"/>
                      <w:szCs w:val="21"/>
                      <w:highlight w:val="none"/>
                      <w:lang w:val="en-US" w:eastAsia="zh-CN"/>
                    </w:rPr>
                    <w:t>、废导热油</w:t>
                  </w:r>
                  <w:r>
                    <w:rPr>
                      <w:rFonts w:hint="default" w:ascii="Times New Roman" w:hAnsi="Times New Roman" w:eastAsia="宋体" w:cs="Times New Roman"/>
                      <w:color w:val="auto"/>
                      <w:sz w:val="21"/>
                      <w:szCs w:val="21"/>
                      <w:highlight w:val="none"/>
                    </w:rPr>
                    <w:t>。危险废物暂存间地面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656" w:type="dxa"/>
                  <w:vAlign w:val="center"/>
                </w:tcPr>
                <w:p w14:paraId="467FC7B2">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0353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vAlign w:val="center"/>
                </w:tcPr>
                <w:p w14:paraId="6D428FA2">
                  <w:pP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2989" w:type="dxa"/>
                  <w:gridSpan w:val="5"/>
                  <w:vAlign w:val="center"/>
                </w:tcPr>
                <w:p w14:paraId="31CDF2C3">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4652" w:type="dxa"/>
                  <w:vAlign w:val="center"/>
                </w:tcPr>
                <w:p w14:paraId="0CC3C405">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重点防渗：</w:t>
                  </w:r>
                  <w:r>
                    <w:rPr>
                      <w:rFonts w:hint="default" w:ascii="Times New Roman" w:hAnsi="Times New Roman" w:eastAsia="宋体" w:cs="Times New Roman"/>
                      <w:color w:val="auto"/>
                      <w:lang w:val="zh-CN"/>
                    </w:rPr>
                    <w:t>危废暂存间地面及</w:t>
                  </w:r>
                  <w:r>
                    <w:rPr>
                      <w:rFonts w:hint="default" w:ascii="Times New Roman" w:hAnsi="Times New Roman" w:eastAsia="宋体" w:cs="Times New Roman"/>
                      <w:color w:val="auto"/>
                      <w:lang w:val="en-US" w:eastAsia="zh-CN"/>
                    </w:rPr>
                    <w:t>四周墙裙脚</w:t>
                  </w:r>
                  <w:r>
                    <w:rPr>
                      <w:rFonts w:hint="default" w:ascii="Times New Roman" w:hAnsi="Times New Roman" w:eastAsia="宋体" w:cs="Times New Roman"/>
                      <w:color w:val="auto"/>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lang w:val="zh-CN"/>
                    </w:rPr>
                    <w:t>+2mm厚HDPE+环氧树脂”</w:t>
                  </w:r>
                  <w:r>
                    <w:rPr>
                      <w:rFonts w:hint="default" w:ascii="Times New Roman" w:hAnsi="Times New Roman" w:eastAsia="宋体" w:cs="Times New Roman"/>
                      <w:color w:val="auto"/>
                      <w:lang w:val="en-US" w:eastAsia="zh-CN"/>
                    </w:rPr>
                    <w:t>进行重点防渗处理</w:t>
                  </w:r>
                  <w:r>
                    <w:rPr>
                      <w:rFonts w:hint="default" w:ascii="Times New Roman" w:hAnsi="Times New Roman" w:eastAsia="宋体" w:cs="Times New Roman"/>
                      <w:color w:val="auto"/>
                      <w:lang w:val="zh-CN"/>
                    </w:rPr>
                    <w:t>，渗透系数≤10</w:t>
                  </w:r>
                  <w:r>
                    <w:rPr>
                      <w:rFonts w:hint="default" w:ascii="Times New Roman" w:hAnsi="Times New Roman" w:eastAsia="宋体" w:cs="Times New Roman"/>
                      <w:color w:val="auto"/>
                      <w:vertAlign w:val="superscript"/>
                      <w:lang w:val="zh-CN"/>
                    </w:rPr>
                    <w:t>-10</w:t>
                  </w:r>
                  <w:r>
                    <w:rPr>
                      <w:rFonts w:hint="default" w:ascii="Times New Roman" w:hAnsi="Times New Roman" w:eastAsia="宋体" w:cs="Times New Roman"/>
                      <w:color w:val="auto"/>
                      <w:lang w:val="zh-CN"/>
                    </w:rPr>
                    <w:t>cm/s</w:t>
                  </w:r>
                  <w:r>
                    <w:rPr>
                      <w:rFonts w:hint="eastAsia" w:cs="Times New Roman"/>
                      <w:color w:val="auto"/>
                      <w:lang w:val="zh-CN"/>
                    </w:rPr>
                    <w:t>；</w:t>
                  </w:r>
                  <w:r>
                    <w:rPr>
                      <w:rFonts w:hint="eastAsia" w:cs="Times New Roman"/>
                      <w:color w:val="auto"/>
                      <w:sz w:val="21"/>
                      <w:szCs w:val="21"/>
                      <w:lang w:val="zh-CN"/>
                    </w:rPr>
                    <w:t>成品油罐区防渗要求</w:t>
                  </w:r>
                  <w:r>
                    <w:rPr>
                      <w:color w:val="auto"/>
                      <w:sz w:val="21"/>
                      <w:szCs w:val="21"/>
                    </w:rPr>
                    <w:t>等效黏土层Mb≥</w:t>
                  </w:r>
                  <w:r>
                    <w:rPr>
                      <w:rFonts w:hint="eastAsia"/>
                      <w:color w:val="auto"/>
                      <w:sz w:val="21"/>
                      <w:szCs w:val="21"/>
                      <w:lang w:val="en-US" w:eastAsia="zh-CN"/>
                    </w:rPr>
                    <w:t>6.0</w:t>
                  </w:r>
                  <w:r>
                    <w:rPr>
                      <w:color w:val="auto"/>
                      <w:sz w:val="21"/>
                      <w:szCs w:val="21"/>
                    </w:rPr>
                    <w:t>m，K≤1.0×10</w:t>
                  </w:r>
                  <w:r>
                    <w:rPr>
                      <w:color w:val="auto"/>
                      <w:sz w:val="21"/>
                      <w:szCs w:val="21"/>
                      <w:vertAlign w:val="superscript"/>
                    </w:rPr>
                    <w:t>-7</w:t>
                  </w:r>
                  <w:r>
                    <w:rPr>
                      <w:color w:val="auto"/>
                      <w:sz w:val="21"/>
                      <w:szCs w:val="21"/>
                    </w:rPr>
                    <w:t>cm/s</w:t>
                  </w:r>
                  <w:r>
                    <w:rPr>
                      <w:rFonts w:hint="eastAsia"/>
                      <w:color w:val="auto"/>
                      <w:sz w:val="21"/>
                      <w:szCs w:val="21"/>
                      <w:lang w:eastAsia="zh-CN"/>
                    </w:rPr>
                    <w:t>，</w:t>
                  </w:r>
                  <w:r>
                    <w:rPr>
                      <w:rFonts w:hint="default" w:ascii="Times New Roman" w:hAnsi="Times New Roman" w:eastAsia="宋体" w:cs="Times New Roman"/>
                      <w:color w:val="auto"/>
                    </w:rPr>
                    <w:t>并按照要求设置规范的标识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标牌</w:t>
                  </w:r>
                  <w:r>
                    <w:rPr>
                      <w:rFonts w:hint="default" w:ascii="Times New Roman" w:hAnsi="Times New Roman" w:eastAsia="宋体" w:cs="Times New Roman"/>
                      <w:b w:val="0"/>
                      <w:bCs w:val="0"/>
                      <w:color w:val="auto"/>
                      <w:sz w:val="21"/>
                      <w:szCs w:val="21"/>
                      <w:highlight w:val="none"/>
                      <w:lang w:val="en-US" w:eastAsia="zh-CN"/>
                    </w:rPr>
                    <w:t>。</w:t>
                  </w:r>
                </w:p>
                <w:p w14:paraId="1512AD26">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一般防渗区：</w:t>
                  </w:r>
                  <w:r>
                    <w:rPr>
                      <w:rFonts w:hint="default" w:ascii="Times New Roman" w:hAnsi="Times New Roman" w:eastAsia="宋体" w:cs="Times New Roman"/>
                      <w:b w:val="0"/>
                      <w:bCs w:val="0"/>
                      <w:color w:val="auto"/>
                      <w:lang w:val="en-US" w:eastAsia="zh-CN"/>
                    </w:rPr>
                    <w:t>隔油</w:t>
                  </w:r>
                  <w:r>
                    <w:rPr>
                      <w:rFonts w:hint="default" w:ascii="Times New Roman" w:hAnsi="Times New Roman" w:eastAsia="宋体" w:cs="Times New Roman"/>
                      <w:color w:val="auto"/>
                      <w:lang w:val="en-US" w:eastAsia="zh-CN"/>
                    </w:rPr>
                    <w:t>池、化粪池、污水处理设施、事故池、一般固体废物暂存区</w:t>
                  </w:r>
                  <w:r>
                    <w:rPr>
                      <w:rFonts w:hint="eastAsia" w:cs="Times New Roman"/>
                      <w:color w:val="auto"/>
                      <w:lang w:val="en-US" w:eastAsia="zh-CN"/>
                    </w:rPr>
                    <w:t>、冰池</w:t>
                  </w:r>
                  <w:r>
                    <w:rPr>
                      <w:rFonts w:hint="default" w:ascii="Times New Roman" w:hAnsi="Times New Roman" w:eastAsia="宋体" w:cs="Times New Roman"/>
                      <w:color w:val="auto"/>
                      <w:lang w:val="zh-CN"/>
                    </w:rPr>
                    <w:t>防渗技术要求达到等效黏土防渗层Mb≥1.5m，渗透系数≤10</w:t>
                  </w:r>
                  <w:r>
                    <w:rPr>
                      <w:rFonts w:hint="default" w:ascii="Times New Roman" w:hAnsi="Times New Roman" w:eastAsia="宋体" w:cs="Times New Roman"/>
                      <w:color w:val="auto"/>
                      <w:vertAlign w:val="superscript"/>
                      <w:lang w:val="zh-CN"/>
                    </w:rPr>
                    <w:t>-</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zh-CN"/>
                    </w:rPr>
                    <w:t>cm/s。</w:t>
                  </w:r>
                </w:p>
                <w:p w14:paraId="6C529F21">
                  <w:pPr>
                    <w:widowControl/>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简单防渗区：</w:t>
                  </w:r>
                  <w:r>
                    <w:rPr>
                      <w:rFonts w:hint="default" w:ascii="Times New Roman" w:hAnsi="Times New Roman" w:eastAsia="宋体" w:cs="Times New Roman"/>
                      <w:color w:val="auto"/>
                      <w:lang w:val="zh-CN"/>
                    </w:rPr>
                    <w:t>其余生产区、</w:t>
                  </w:r>
                  <w:r>
                    <w:rPr>
                      <w:rFonts w:hint="default" w:ascii="Times New Roman" w:hAnsi="Times New Roman" w:eastAsia="宋体" w:cs="Times New Roman"/>
                      <w:color w:val="auto"/>
                    </w:rPr>
                    <w:t>道路及</w:t>
                  </w:r>
                  <w:r>
                    <w:rPr>
                      <w:rFonts w:hint="default" w:ascii="Times New Roman" w:hAnsi="Times New Roman" w:eastAsia="宋体" w:cs="Times New Roman"/>
                      <w:color w:val="auto"/>
                      <w:lang w:val="en-US" w:eastAsia="zh-CN"/>
                    </w:rPr>
                    <w:t>办公</w:t>
                  </w:r>
                  <w:r>
                    <w:rPr>
                      <w:rFonts w:hint="default" w:ascii="Times New Roman" w:hAnsi="Times New Roman" w:eastAsia="宋体" w:cs="Times New Roman"/>
                      <w:color w:val="auto"/>
                    </w:rPr>
                    <w:t>区域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除绿化外</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zh-CN"/>
                    </w:rPr>
                    <w:t>进行一般</w:t>
                  </w:r>
                  <w:r>
                    <w:rPr>
                      <w:rFonts w:hint="default" w:ascii="Times New Roman" w:hAnsi="Times New Roman" w:eastAsia="宋体" w:cs="Times New Roman"/>
                      <w:color w:val="auto"/>
                      <w:lang w:val="en-US" w:eastAsia="zh-CN"/>
                    </w:rPr>
                    <w:t>硬化处理。</w:t>
                  </w:r>
                </w:p>
              </w:tc>
              <w:tc>
                <w:tcPr>
                  <w:tcW w:w="656" w:type="dxa"/>
                  <w:vAlign w:val="center"/>
                </w:tcPr>
                <w:p w14:paraId="038B37EB">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14:paraId="03B1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16" w:type="dxa"/>
                  <w:gridSpan w:val="6"/>
                  <w:vAlign w:val="center"/>
                </w:tcPr>
                <w:p w14:paraId="4432EF09">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16" w:name="_Toc5921"/>
                  <w:r>
                    <w:rPr>
                      <w:rFonts w:hint="default" w:ascii="Times New Roman" w:hAnsi="Times New Roman" w:eastAsia="宋体" w:cs="Times New Roman"/>
                      <w:color w:val="auto"/>
                      <w:sz w:val="21"/>
                      <w:szCs w:val="21"/>
                      <w:highlight w:val="none"/>
                      <w:lang w:val="en-US" w:eastAsia="zh-CN"/>
                    </w:rPr>
                    <w:t>绿化</w:t>
                  </w:r>
                </w:p>
              </w:tc>
              <w:tc>
                <w:tcPr>
                  <w:tcW w:w="4652" w:type="dxa"/>
                  <w:vAlign w:val="center"/>
                </w:tcPr>
                <w:p w14:paraId="1F2DBC76">
                  <w:pPr>
                    <w:widowControl/>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拟设置</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为1</w:t>
                  </w:r>
                  <w:r>
                    <w:rPr>
                      <w:rFonts w:hint="eastAsia" w:cs="Times New Roman"/>
                      <w:color w:val="auto"/>
                      <w:kern w:val="0"/>
                      <w:sz w:val="21"/>
                      <w:szCs w:val="21"/>
                      <w:highlight w:val="none"/>
                      <w:lang w:val="en-US" w:eastAsia="zh-CN"/>
                    </w:rPr>
                    <w:t>200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656" w:type="dxa"/>
                  <w:vAlign w:val="center"/>
                </w:tcPr>
                <w:p w14:paraId="5276B9B4">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bl>
          <w:p w14:paraId="12B5CC26">
            <w:pPr>
              <w:pStyle w:val="72"/>
              <w:adjustRightInd/>
              <w:ind w:firstLine="482"/>
              <w:rPr>
                <w:rFonts w:hint="default" w:ascii="Times New Roman" w:hAnsi="Times New Roman" w:eastAsia="宋体" w:cs="Times New Roman"/>
                <w:b/>
                <w:bCs w:val="0"/>
                <w:color w:val="auto"/>
                <w:sz w:val="24"/>
                <w:szCs w:val="24"/>
                <w:highlight w:val="none"/>
                <w:lang w:val="en-US" w:eastAsia="zh-CN"/>
              </w:rPr>
            </w:pPr>
            <w:r>
              <w:rPr>
                <w:rFonts w:hint="eastAsia"/>
                <w:b/>
                <w:bCs/>
                <w:color w:val="auto"/>
                <w:lang w:eastAsia="zh-CN"/>
              </w:rPr>
              <w:t>注：本项目不设置检验室，凡涉及检验均外委有相关的资质的机构进行检验。</w:t>
            </w:r>
          </w:p>
          <w:p w14:paraId="37926169">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lang w:val="en-US" w:eastAsia="zh-CN"/>
              </w:rPr>
              <w:t>、产品方案及规模</w:t>
            </w:r>
          </w:p>
          <w:p w14:paraId="663B952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建成后</w:t>
            </w:r>
            <w:r>
              <w:rPr>
                <w:rFonts w:hint="eastAsia"/>
                <w:color w:val="auto"/>
                <w:sz w:val="24"/>
              </w:rPr>
              <w:t>年</w:t>
            </w:r>
            <w:r>
              <w:rPr>
                <w:rFonts w:hint="eastAsia"/>
                <w:color w:val="auto"/>
                <w:sz w:val="24"/>
                <w:lang w:eastAsia="zh-CN"/>
              </w:rPr>
              <w:t>生产</w:t>
            </w:r>
            <w:r>
              <w:rPr>
                <w:rFonts w:hint="eastAsia"/>
                <w:color w:val="auto"/>
                <w:sz w:val="24"/>
              </w:rPr>
              <w:t>精炼牛油4000吨</w:t>
            </w:r>
            <w:r>
              <w:rPr>
                <w:rFonts w:hint="eastAsia"/>
                <w:color w:val="auto"/>
                <w:sz w:val="24"/>
                <w:lang w:eastAsia="zh-CN"/>
              </w:rPr>
              <w:t>、牛干巴</w:t>
            </w:r>
            <w:r>
              <w:rPr>
                <w:rFonts w:hint="eastAsia"/>
                <w:color w:val="auto"/>
                <w:sz w:val="24"/>
                <w:lang w:val="en-US" w:eastAsia="zh-CN"/>
              </w:rPr>
              <w:t>360吨、</w:t>
            </w:r>
            <w:r>
              <w:rPr>
                <w:rFonts w:hint="default" w:ascii="Times New Roman" w:hAnsi="Times New Roman" w:eastAsia="宋体" w:cs="Times New Roman"/>
                <w:color w:val="auto"/>
                <w:kern w:val="0"/>
                <w:sz w:val="24"/>
                <w:szCs w:val="24"/>
                <w:lang w:val="en-US" w:eastAsia="zh-CN" w:bidi="ar"/>
              </w:rPr>
              <w:t>3000</w:t>
            </w:r>
            <w:r>
              <w:rPr>
                <w:rFonts w:hint="eastAsia" w:ascii="宋体" w:hAnsi="宋体" w:eastAsia="宋体" w:cs="宋体"/>
                <w:color w:val="auto"/>
                <w:kern w:val="0"/>
                <w:sz w:val="24"/>
                <w:szCs w:val="24"/>
                <w:lang w:val="en-US" w:eastAsia="zh-CN" w:bidi="ar"/>
              </w:rPr>
              <w:t>吨动物饲料油脂</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highlight w:val="none"/>
                <w:lang w:val="en-US" w:eastAsia="zh-CN"/>
              </w:rPr>
              <w:t>项目主要产品见表2-2。</w:t>
            </w:r>
          </w:p>
          <w:p w14:paraId="77645A4B">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6"/>
              <w:tblW w:w="873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2462"/>
              <w:gridCol w:w="2435"/>
              <w:gridCol w:w="2435"/>
            </w:tblGrid>
            <w:tr w14:paraId="7EFCDA8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2" w:type="dxa"/>
                  <w:tcBorders>
                    <w:tl2br w:val="nil"/>
                    <w:tr2bl w:val="nil"/>
                  </w:tcBorders>
                  <w:noWrap w:val="0"/>
                  <w:vAlign w:val="center"/>
                </w:tcPr>
                <w:p w14:paraId="2D552E6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462" w:type="dxa"/>
                  <w:tcBorders>
                    <w:tl2br w:val="nil"/>
                    <w:tr2bl w:val="nil"/>
                  </w:tcBorders>
                  <w:noWrap w:val="0"/>
                  <w:vAlign w:val="center"/>
                </w:tcPr>
                <w:p w14:paraId="1E68B8E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产品名称</w:t>
                  </w:r>
                </w:p>
              </w:tc>
              <w:tc>
                <w:tcPr>
                  <w:tcW w:w="2435" w:type="dxa"/>
                  <w:tcBorders>
                    <w:tl2br w:val="nil"/>
                    <w:tr2bl w:val="nil"/>
                  </w:tcBorders>
                  <w:noWrap w:val="0"/>
                  <w:vAlign w:val="center"/>
                </w:tcPr>
                <w:p w14:paraId="69D4DE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产品产量</w:t>
                  </w:r>
                </w:p>
              </w:tc>
              <w:tc>
                <w:tcPr>
                  <w:tcW w:w="2435" w:type="dxa"/>
                  <w:tcBorders>
                    <w:tl2br w:val="nil"/>
                    <w:tr2bl w:val="nil"/>
                  </w:tcBorders>
                  <w:noWrap w:val="0"/>
                  <w:vAlign w:val="center"/>
                </w:tcPr>
                <w:p w14:paraId="07311F7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w:t>
                  </w:r>
                </w:p>
              </w:tc>
            </w:tr>
            <w:tr w14:paraId="7A0189F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02" w:type="dxa"/>
                  <w:tcBorders>
                    <w:tl2br w:val="nil"/>
                    <w:tr2bl w:val="nil"/>
                  </w:tcBorders>
                  <w:noWrap w:val="0"/>
                  <w:vAlign w:val="center"/>
                </w:tcPr>
                <w:p w14:paraId="30B2D9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62" w:type="dxa"/>
                  <w:tcBorders>
                    <w:tl2br w:val="nil"/>
                    <w:tr2bl w:val="nil"/>
                  </w:tcBorders>
                  <w:noWrap w:val="0"/>
                  <w:vAlign w:val="center"/>
                </w:tcPr>
                <w:p w14:paraId="3A16FC0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精炼牛油</w:t>
                  </w:r>
                </w:p>
              </w:tc>
              <w:tc>
                <w:tcPr>
                  <w:tcW w:w="2435" w:type="dxa"/>
                  <w:tcBorders>
                    <w:tl2br w:val="nil"/>
                    <w:tr2bl w:val="nil"/>
                  </w:tcBorders>
                  <w:noWrap w:val="0"/>
                  <w:vAlign w:val="center"/>
                </w:tcPr>
                <w:p w14:paraId="4FC9A2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4000t</w:t>
                  </w:r>
                </w:p>
              </w:tc>
              <w:tc>
                <w:tcPr>
                  <w:tcW w:w="2435" w:type="dxa"/>
                  <w:tcBorders>
                    <w:tl2br w:val="nil"/>
                    <w:tr2bl w:val="nil"/>
                  </w:tcBorders>
                  <w:noWrap w:val="0"/>
                  <w:vAlign w:val="center"/>
                </w:tcPr>
                <w:p w14:paraId="618E87A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26EE049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tcBorders>
                    <w:tl2br w:val="nil"/>
                    <w:tr2bl w:val="nil"/>
                  </w:tcBorders>
                  <w:noWrap w:val="0"/>
                  <w:vAlign w:val="center"/>
                </w:tcPr>
                <w:p w14:paraId="771B570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462" w:type="dxa"/>
                  <w:tcBorders>
                    <w:tl2br w:val="nil"/>
                    <w:tr2bl w:val="nil"/>
                  </w:tcBorders>
                  <w:noWrap w:val="0"/>
                  <w:vAlign w:val="center"/>
                </w:tcPr>
                <w:p w14:paraId="259CFBB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牛干巴</w:t>
                  </w:r>
                </w:p>
              </w:tc>
              <w:tc>
                <w:tcPr>
                  <w:tcW w:w="2435" w:type="dxa"/>
                  <w:tcBorders>
                    <w:tl2br w:val="nil"/>
                    <w:tr2bl w:val="nil"/>
                  </w:tcBorders>
                  <w:noWrap w:val="0"/>
                  <w:vAlign w:val="center"/>
                </w:tcPr>
                <w:p w14:paraId="6298308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w:t>
                  </w:r>
                  <w:r>
                    <w:rPr>
                      <w:rFonts w:hint="default" w:ascii="Times New Roman" w:hAnsi="Times New Roman" w:eastAsia="宋体" w:cs="Times New Roman"/>
                      <w:color w:val="auto"/>
                      <w:sz w:val="21"/>
                      <w:szCs w:val="21"/>
                      <w:highlight w:val="none"/>
                      <w:lang w:val="en-US" w:eastAsia="zh-CN"/>
                    </w:rPr>
                    <w:t>0t/a</w:t>
                  </w:r>
                </w:p>
              </w:tc>
              <w:tc>
                <w:tcPr>
                  <w:tcW w:w="2435" w:type="dxa"/>
                  <w:tcBorders>
                    <w:tl2br w:val="nil"/>
                    <w:tr2bl w:val="nil"/>
                  </w:tcBorders>
                  <w:noWrap w:val="0"/>
                  <w:vAlign w:val="center"/>
                </w:tcPr>
                <w:p w14:paraId="50E16A3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68DD047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02" w:type="dxa"/>
                  <w:tcBorders>
                    <w:tl2br w:val="nil"/>
                    <w:tr2bl w:val="nil"/>
                  </w:tcBorders>
                  <w:noWrap w:val="0"/>
                  <w:vAlign w:val="center"/>
                </w:tcPr>
                <w:p w14:paraId="5CC867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62" w:type="dxa"/>
                  <w:tcBorders>
                    <w:tl2br w:val="nil"/>
                    <w:tr2bl w:val="nil"/>
                  </w:tcBorders>
                  <w:noWrap w:val="0"/>
                  <w:vAlign w:val="center"/>
                </w:tcPr>
                <w:p w14:paraId="2E59EBDC">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动物饲料油脂</w:t>
                  </w:r>
                </w:p>
              </w:tc>
              <w:tc>
                <w:tcPr>
                  <w:tcW w:w="2435" w:type="dxa"/>
                  <w:tcBorders>
                    <w:tl2br w:val="nil"/>
                    <w:tr2bl w:val="nil"/>
                  </w:tcBorders>
                  <w:noWrap w:val="0"/>
                  <w:vAlign w:val="center"/>
                </w:tcPr>
                <w:p w14:paraId="4AC822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lang w:val="en-US" w:eastAsia="zh-CN"/>
                    </w:rPr>
                    <w:t>t/a</w:t>
                  </w:r>
                </w:p>
              </w:tc>
              <w:tc>
                <w:tcPr>
                  <w:tcW w:w="2435" w:type="dxa"/>
                  <w:tcBorders>
                    <w:tl2br w:val="nil"/>
                    <w:tr2bl w:val="nil"/>
                  </w:tcBorders>
                  <w:noWrap w:val="0"/>
                  <w:vAlign w:val="center"/>
                </w:tcPr>
                <w:p w14:paraId="0194035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含水率约2%</w:t>
                  </w:r>
                </w:p>
              </w:tc>
            </w:tr>
          </w:tbl>
          <w:p w14:paraId="69EFE6AC">
            <w:pPr>
              <w:widowControl/>
              <w:snapToGrid w:val="0"/>
              <w:spacing w:line="360" w:lineRule="auto"/>
              <w:ind w:firstLine="480" w:firstLineChars="200"/>
              <w:rPr>
                <w:b/>
                <w:snapToGrid w:val="0"/>
                <w:color w:val="auto"/>
                <w:kern w:val="0"/>
                <w:szCs w:val="21"/>
              </w:rPr>
            </w:pPr>
            <w:r>
              <w:rPr>
                <w:rFonts w:hint="eastAsia"/>
                <w:bCs/>
                <w:color w:val="auto"/>
                <w:sz w:val="24"/>
              </w:rPr>
              <w:t>精炼牛油</w:t>
            </w:r>
            <w:r>
              <w:rPr>
                <w:rFonts w:hint="eastAsia"/>
                <w:color w:val="auto"/>
                <w:sz w:val="24"/>
              </w:rPr>
              <w:t>产品质量执行《食品安全国家标准  食用动物油脂》</w:t>
            </w:r>
            <w:r>
              <w:rPr>
                <w:rFonts w:hint="eastAsia"/>
                <w:color w:val="auto"/>
                <w:sz w:val="24"/>
                <w:lang w:eastAsia="zh-CN"/>
              </w:rPr>
              <w:t>（</w:t>
            </w:r>
            <w:r>
              <w:rPr>
                <w:rFonts w:hint="eastAsia"/>
                <w:color w:val="auto"/>
                <w:sz w:val="24"/>
                <w:lang w:val="en-US" w:eastAsia="zh-CN"/>
              </w:rPr>
              <w:t>GB10146-2015</w:t>
            </w:r>
            <w:r>
              <w:rPr>
                <w:rFonts w:hint="eastAsia"/>
                <w:color w:val="auto"/>
                <w:sz w:val="24"/>
                <w:lang w:eastAsia="zh-CN"/>
              </w:rPr>
              <w:t>）</w:t>
            </w:r>
            <w:r>
              <w:rPr>
                <w:rFonts w:hint="eastAsia"/>
                <w:color w:val="auto"/>
                <w:sz w:val="24"/>
              </w:rPr>
              <w:t>中相关要求，具体要求见表2-</w:t>
            </w:r>
            <w:r>
              <w:rPr>
                <w:rFonts w:hint="eastAsia"/>
                <w:color w:val="auto"/>
                <w:sz w:val="24"/>
                <w:lang w:val="en-US" w:eastAsia="zh-CN"/>
              </w:rPr>
              <w:t>3</w:t>
            </w:r>
            <w:r>
              <w:rPr>
                <w:rFonts w:hint="eastAsia"/>
                <w:color w:val="auto"/>
                <w:sz w:val="24"/>
              </w:rPr>
              <w:t>。</w:t>
            </w:r>
          </w:p>
          <w:p w14:paraId="7A5CB31E">
            <w:pPr>
              <w:jc w:val="center"/>
              <w:rPr>
                <w:b/>
                <w:snapToGrid w:val="0"/>
                <w:color w:val="auto"/>
                <w:kern w:val="0"/>
                <w:szCs w:val="21"/>
              </w:rPr>
            </w:pPr>
            <w:r>
              <w:rPr>
                <w:b/>
                <w:snapToGrid w:val="0"/>
                <w:color w:val="auto"/>
                <w:kern w:val="0"/>
                <w:szCs w:val="21"/>
              </w:rPr>
              <w:t>表</w:t>
            </w:r>
            <w:r>
              <w:rPr>
                <w:rFonts w:hint="eastAsia"/>
                <w:b/>
                <w:snapToGrid w:val="0"/>
                <w:color w:val="auto"/>
                <w:kern w:val="0"/>
                <w:szCs w:val="21"/>
              </w:rPr>
              <w:t>2</w:t>
            </w:r>
            <w:r>
              <w:rPr>
                <w:b/>
                <w:snapToGrid w:val="0"/>
                <w:color w:val="auto"/>
                <w:kern w:val="0"/>
                <w:szCs w:val="21"/>
              </w:rPr>
              <w:t>-</w:t>
            </w:r>
            <w:r>
              <w:rPr>
                <w:rFonts w:hint="eastAsia"/>
                <w:b/>
                <w:snapToGrid w:val="0"/>
                <w:color w:val="auto"/>
                <w:kern w:val="0"/>
                <w:szCs w:val="21"/>
                <w:lang w:val="en-US" w:eastAsia="zh-CN"/>
              </w:rPr>
              <w:t>3</w:t>
            </w:r>
            <w:r>
              <w:rPr>
                <w:b/>
                <w:snapToGrid w:val="0"/>
                <w:color w:val="auto"/>
                <w:kern w:val="0"/>
                <w:szCs w:val="21"/>
              </w:rPr>
              <w:t xml:space="preserve"> </w:t>
            </w:r>
            <w:r>
              <w:rPr>
                <w:rFonts w:hint="eastAsia"/>
                <w:b/>
                <w:snapToGrid w:val="0"/>
                <w:color w:val="auto"/>
                <w:kern w:val="0"/>
                <w:szCs w:val="21"/>
              </w:rPr>
              <w:t xml:space="preserve"> 精炼牛油产品规格一览表</w:t>
            </w:r>
          </w:p>
          <w:tbl>
            <w:tblPr>
              <w:tblStyle w:val="26"/>
              <w:tblW w:w="87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5"/>
              <w:gridCol w:w="3545"/>
              <w:gridCol w:w="1168"/>
              <w:gridCol w:w="2868"/>
            </w:tblGrid>
            <w:tr w14:paraId="527463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tcPr>
                <w:p w14:paraId="0507D78D">
                  <w:pPr>
                    <w:jc w:val="center"/>
                    <w:rPr>
                      <w:b/>
                      <w:bCs/>
                      <w:color w:val="auto"/>
                      <w:szCs w:val="21"/>
                    </w:rPr>
                  </w:pPr>
                  <w:r>
                    <w:rPr>
                      <w:rFonts w:hint="eastAsia"/>
                      <w:b/>
                      <w:bCs/>
                      <w:color w:val="auto"/>
                      <w:szCs w:val="21"/>
                    </w:rPr>
                    <w:t>标准名称</w:t>
                  </w:r>
                </w:p>
              </w:tc>
              <w:tc>
                <w:tcPr>
                  <w:tcW w:w="3545" w:type="dxa"/>
                </w:tcPr>
                <w:p w14:paraId="6090DABB">
                  <w:pPr>
                    <w:jc w:val="center"/>
                    <w:rPr>
                      <w:b/>
                      <w:color w:val="auto"/>
                      <w:szCs w:val="21"/>
                    </w:rPr>
                  </w:pPr>
                  <w:r>
                    <w:rPr>
                      <w:rFonts w:hint="eastAsia"/>
                      <w:b/>
                      <w:bCs/>
                      <w:color w:val="auto"/>
                      <w:szCs w:val="21"/>
                    </w:rPr>
                    <w:t>食品安全国家标准  食用动物油脂</w:t>
                  </w:r>
                </w:p>
              </w:tc>
              <w:tc>
                <w:tcPr>
                  <w:tcW w:w="1168" w:type="dxa"/>
                  <w:vAlign w:val="top"/>
                </w:tcPr>
                <w:p w14:paraId="1C6C7E56">
                  <w:pPr>
                    <w:jc w:val="center"/>
                    <w:rPr>
                      <w:b/>
                      <w:color w:val="auto"/>
                      <w:szCs w:val="21"/>
                    </w:rPr>
                  </w:pPr>
                  <w:r>
                    <w:rPr>
                      <w:rFonts w:hint="eastAsia"/>
                      <w:b/>
                      <w:color w:val="auto"/>
                      <w:szCs w:val="21"/>
                    </w:rPr>
                    <w:t>标准号</w:t>
                  </w:r>
                </w:p>
              </w:tc>
              <w:tc>
                <w:tcPr>
                  <w:tcW w:w="2868" w:type="dxa"/>
                  <w:vAlign w:val="top"/>
                </w:tcPr>
                <w:p w14:paraId="7DB67287">
                  <w:pPr>
                    <w:jc w:val="center"/>
                    <w:rPr>
                      <w:rFonts w:hint="eastAsia"/>
                      <w:b/>
                      <w:color w:val="auto"/>
                      <w:szCs w:val="21"/>
                      <w:lang w:val="en-US" w:eastAsia="zh-CN"/>
                    </w:rPr>
                  </w:pPr>
                  <w:r>
                    <w:rPr>
                      <w:rFonts w:hint="eastAsia"/>
                      <w:b/>
                      <w:color w:val="auto"/>
                      <w:szCs w:val="21"/>
                      <w:lang w:val="en-US" w:eastAsia="zh-CN"/>
                    </w:rPr>
                    <w:t>GB10146-2015</w:t>
                  </w:r>
                </w:p>
              </w:tc>
            </w:tr>
            <w:tr w14:paraId="253CF8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vMerge w:val="restart"/>
                </w:tcPr>
                <w:p w14:paraId="070A8652">
                  <w:pPr>
                    <w:jc w:val="center"/>
                    <w:rPr>
                      <w:bCs/>
                      <w:color w:val="auto"/>
                      <w:szCs w:val="21"/>
                    </w:rPr>
                  </w:pPr>
                </w:p>
                <w:p w14:paraId="7F8059B8">
                  <w:pPr>
                    <w:jc w:val="center"/>
                    <w:rPr>
                      <w:bCs/>
                      <w:color w:val="auto"/>
                      <w:szCs w:val="21"/>
                    </w:rPr>
                  </w:pPr>
                </w:p>
                <w:p w14:paraId="6043A5FE">
                  <w:pPr>
                    <w:jc w:val="center"/>
                    <w:rPr>
                      <w:bCs/>
                      <w:color w:val="auto"/>
                      <w:szCs w:val="21"/>
                    </w:rPr>
                  </w:pPr>
                </w:p>
                <w:p w14:paraId="52085475">
                  <w:pPr>
                    <w:jc w:val="center"/>
                    <w:rPr>
                      <w:bCs/>
                      <w:color w:val="auto"/>
                      <w:szCs w:val="21"/>
                    </w:rPr>
                  </w:pPr>
                </w:p>
                <w:p w14:paraId="333B0762">
                  <w:pPr>
                    <w:jc w:val="center"/>
                    <w:rPr>
                      <w:bCs/>
                      <w:color w:val="auto"/>
                      <w:szCs w:val="21"/>
                    </w:rPr>
                  </w:pPr>
                </w:p>
                <w:p w14:paraId="0B3EE406">
                  <w:pPr>
                    <w:jc w:val="center"/>
                    <w:rPr>
                      <w:bCs/>
                      <w:color w:val="auto"/>
                      <w:szCs w:val="21"/>
                    </w:rPr>
                  </w:pPr>
                </w:p>
                <w:p w14:paraId="3466015F">
                  <w:pPr>
                    <w:jc w:val="center"/>
                    <w:rPr>
                      <w:bCs/>
                      <w:color w:val="auto"/>
                      <w:szCs w:val="21"/>
                    </w:rPr>
                  </w:pPr>
                </w:p>
                <w:p w14:paraId="7B288335">
                  <w:pPr>
                    <w:jc w:val="center"/>
                    <w:rPr>
                      <w:bCs/>
                      <w:color w:val="auto"/>
                      <w:szCs w:val="21"/>
                    </w:rPr>
                  </w:pPr>
                </w:p>
                <w:p w14:paraId="4287F20A">
                  <w:pPr>
                    <w:jc w:val="center"/>
                    <w:rPr>
                      <w:bCs/>
                      <w:color w:val="auto"/>
                      <w:szCs w:val="21"/>
                    </w:rPr>
                  </w:pPr>
                  <w:r>
                    <w:rPr>
                      <w:rFonts w:hint="eastAsia"/>
                      <w:bCs/>
                      <w:color w:val="auto"/>
                      <w:szCs w:val="21"/>
                    </w:rPr>
                    <w:t>控制要求</w:t>
                  </w:r>
                </w:p>
                <w:p w14:paraId="249868BC">
                  <w:pPr>
                    <w:jc w:val="center"/>
                    <w:rPr>
                      <w:bCs/>
                      <w:color w:val="auto"/>
                      <w:szCs w:val="21"/>
                    </w:rPr>
                  </w:pPr>
                </w:p>
              </w:tc>
              <w:tc>
                <w:tcPr>
                  <w:tcW w:w="7581" w:type="dxa"/>
                  <w:gridSpan w:val="3"/>
                </w:tcPr>
                <w:p w14:paraId="2E892A68">
                  <w:pPr>
                    <w:jc w:val="center"/>
                    <w:rPr>
                      <w:color w:val="auto"/>
                      <w:szCs w:val="21"/>
                    </w:rPr>
                  </w:pPr>
                  <w:r>
                    <w:rPr>
                      <w:rFonts w:hint="eastAsia"/>
                      <w:color w:val="auto"/>
                      <w:szCs w:val="21"/>
                    </w:rPr>
                    <w:t>感官要求</w:t>
                  </w:r>
                </w:p>
              </w:tc>
            </w:tr>
            <w:tr w14:paraId="1DE800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vMerge w:val="continue"/>
                </w:tcPr>
                <w:p w14:paraId="269CE05B">
                  <w:pPr>
                    <w:jc w:val="center"/>
                    <w:rPr>
                      <w:bCs/>
                      <w:color w:val="auto"/>
                      <w:szCs w:val="21"/>
                    </w:rPr>
                  </w:pPr>
                </w:p>
              </w:tc>
              <w:tc>
                <w:tcPr>
                  <w:tcW w:w="3545" w:type="dxa"/>
                </w:tcPr>
                <w:p w14:paraId="6DB7827C">
                  <w:pPr>
                    <w:jc w:val="center"/>
                    <w:rPr>
                      <w:color w:val="auto"/>
                      <w:szCs w:val="21"/>
                    </w:rPr>
                  </w:pPr>
                  <w:r>
                    <w:rPr>
                      <w:rFonts w:hint="eastAsia"/>
                      <w:bCs/>
                      <w:color w:val="auto"/>
                      <w:szCs w:val="21"/>
                    </w:rPr>
                    <w:t>项目</w:t>
                  </w:r>
                </w:p>
              </w:tc>
              <w:tc>
                <w:tcPr>
                  <w:tcW w:w="4036" w:type="dxa"/>
                  <w:gridSpan w:val="2"/>
                </w:tcPr>
                <w:p w14:paraId="100EB570">
                  <w:pPr>
                    <w:jc w:val="center"/>
                    <w:rPr>
                      <w:color w:val="auto"/>
                      <w:szCs w:val="21"/>
                    </w:rPr>
                  </w:pPr>
                  <w:r>
                    <w:rPr>
                      <w:rFonts w:hint="eastAsia"/>
                      <w:color w:val="auto"/>
                      <w:szCs w:val="21"/>
                    </w:rPr>
                    <w:t>要求</w:t>
                  </w:r>
                </w:p>
              </w:tc>
            </w:tr>
            <w:tr w14:paraId="0F7EC5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vMerge w:val="continue"/>
                </w:tcPr>
                <w:p w14:paraId="242CBF86">
                  <w:pPr>
                    <w:jc w:val="center"/>
                    <w:rPr>
                      <w:bCs/>
                      <w:color w:val="auto"/>
                      <w:szCs w:val="21"/>
                    </w:rPr>
                  </w:pPr>
                </w:p>
              </w:tc>
              <w:tc>
                <w:tcPr>
                  <w:tcW w:w="3545" w:type="dxa"/>
                </w:tcPr>
                <w:p w14:paraId="5E6D051E">
                  <w:pPr>
                    <w:jc w:val="center"/>
                    <w:rPr>
                      <w:rFonts w:hint="eastAsia" w:eastAsia="宋体"/>
                      <w:color w:val="auto"/>
                      <w:szCs w:val="21"/>
                      <w:lang w:eastAsia="zh-CN"/>
                    </w:rPr>
                  </w:pPr>
                  <w:r>
                    <w:rPr>
                      <w:rFonts w:hint="eastAsia"/>
                      <w:bCs/>
                      <w:color w:val="auto"/>
                      <w:szCs w:val="21"/>
                    </w:rPr>
                    <w:t>色泽</w:t>
                  </w:r>
                </w:p>
              </w:tc>
              <w:tc>
                <w:tcPr>
                  <w:tcW w:w="4036" w:type="dxa"/>
                  <w:gridSpan w:val="2"/>
                  <w:vAlign w:val="top"/>
                </w:tcPr>
                <w:p w14:paraId="314D92AE">
                  <w:pPr>
                    <w:jc w:val="center"/>
                    <w:rPr>
                      <w:color w:val="auto"/>
                      <w:szCs w:val="21"/>
                    </w:rPr>
                  </w:pPr>
                  <w:r>
                    <w:rPr>
                      <w:rFonts w:hint="eastAsia"/>
                      <w:color w:val="auto"/>
                      <w:szCs w:val="21"/>
                      <w:lang w:eastAsia="zh-CN"/>
                    </w:rPr>
                    <w:t>具有特有的色泽，</w:t>
                  </w:r>
                  <w:r>
                    <w:rPr>
                      <w:rFonts w:hint="eastAsia"/>
                      <w:color w:val="auto"/>
                      <w:szCs w:val="21"/>
                    </w:rPr>
                    <w:t>呈白色或</w:t>
                  </w:r>
                  <w:r>
                    <w:rPr>
                      <w:rFonts w:hint="eastAsia"/>
                      <w:color w:val="auto"/>
                      <w:szCs w:val="21"/>
                      <w:lang w:eastAsia="zh-CN"/>
                    </w:rPr>
                    <w:t>略带黄色、无霉斑</w:t>
                  </w:r>
                </w:p>
              </w:tc>
            </w:tr>
            <w:tr w14:paraId="72D062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vMerge w:val="continue"/>
                </w:tcPr>
                <w:p w14:paraId="1E77F23C">
                  <w:pPr>
                    <w:jc w:val="center"/>
                    <w:rPr>
                      <w:bCs/>
                      <w:color w:val="auto"/>
                      <w:szCs w:val="21"/>
                    </w:rPr>
                  </w:pPr>
                </w:p>
              </w:tc>
              <w:tc>
                <w:tcPr>
                  <w:tcW w:w="3545" w:type="dxa"/>
                </w:tcPr>
                <w:p w14:paraId="3FCE8B1E">
                  <w:pPr>
                    <w:jc w:val="center"/>
                    <w:rPr>
                      <w:rFonts w:hint="eastAsia" w:eastAsia="宋体"/>
                      <w:color w:val="auto"/>
                      <w:szCs w:val="21"/>
                      <w:lang w:eastAsia="zh-CN"/>
                    </w:rPr>
                  </w:pPr>
                  <w:r>
                    <w:rPr>
                      <w:rFonts w:hint="eastAsia"/>
                      <w:bCs/>
                      <w:color w:val="auto"/>
                      <w:szCs w:val="21"/>
                      <w:lang w:eastAsia="zh-CN"/>
                    </w:rPr>
                    <w:t>气味、滋味</w:t>
                  </w:r>
                </w:p>
              </w:tc>
              <w:tc>
                <w:tcPr>
                  <w:tcW w:w="4036" w:type="dxa"/>
                  <w:gridSpan w:val="2"/>
                  <w:vAlign w:val="top"/>
                </w:tcPr>
                <w:p w14:paraId="7D2976C7">
                  <w:pPr>
                    <w:jc w:val="center"/>
                    <w:rPr>
                      <w:color w:val="auto"/>
                      <w:szCs w:val="21"/>
                    </w:rPr>
                  </w:pPr>
                  <w:r>
                    <w:rPr>
                      <w:rFonts w:hint="eastAsia"/>
                      <w:color w:val="auto"/>
                      <w:szCs w:val="21"/>
                      <w:lang w:eastAsia="zh-CN"/>
                    </w:rPr>
                    <w:t>具有特有的气味、滋味，无酸败及其他异味</w:t>
                  </w:r>
                </w:p>
              </w:tc>
            </w:tr>
            <w:tr w14:paraId="4D1E24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vMerge w:val="continue"/>
                </w:tcPr>
                <w:p w14:paraId="1174B4FC">
                  <w:pPr>
                    <w:jc w:val="center"/>
                    <w:rPr>
                      <w:bCs/>
                      <w:color w:val="auto"/>
                      <w:szCs w:val="21"/>
                    </w:rPr>
                  </w:pPr>
                </w:p>
              </w:tc>
              <w:tc>
                <w:tcPr>
                  <w:tcW w:w="3545" w:type="dxa"/>
                </w:tcPr>
                <w:p w14:paraId="5B6DC0D2">
                  <w:pPr>
                    <w:jc w:val="center"/>
                    <w:rPr>
                      <w:rFonts w:hint="eastAsia"/>
                      <w:bCs/>
                      <w:color w:val="auto"/>
                      <w:szCs w:val="21"/>
                      <w:lang w:eastAsia="zh-CN"/>
                    </w:rPr>
                  </w:pPr>
                  <w:r>
                    <w:rPr>
                      <w:rFonts w:hint="eastAsia"/>
                      <w:bCs/>
                      <w:color w:val="auto"/>
                      <w:szCs w:val="21"/>
                      <w:lang w:eastAsia="zh-CN"/>
                    </w:rPr>
                    <w:t>状态</w:t>
                  </w:r>
                </w:p>
              </w:tc>
              <w:tc>
                <w:tcPr>
                  <w:tcW w:w="4036" w:type="dxa"/>
                  <w:gridSpan w:val="2"/>
                  <w:vAlign w:val="top"/>
                </w:tcPr>
                <w:p w14:paraId="0BE69EEE">
                  <w:pPr>
                    <w:jc w:val="center"/>
                    <w:rPr>
                      <w:rFonts w:hint="eastAsia"/>
                      <w:color w:val="auto"/>
                      <w:szCs w:val="21"/>
                      <w:lang w:eastAsia="zh-CN"/>
                    </w:rPr>
                  </w:pPr>
                  <w:r>
                    <w:rPr>
                      <w:rFonts w:hint="eastAsia"/>
                      <w:color w:val="auto"/>
                      <w:szCs w:val="21"/>
                      <w:lang w:eastAsia="zh-CN"/>
                    </w:rPr>
                    <w:t>无正常视力可见的外来异物</w:t>
                  </w:r>
                </w:p>
              </w:tc>
            </w:tr>
            <w:tr w14:paraId="535E14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vMerge w:val="continue"/>
                </w:tcPr>
                <w:p w14:paraId="0C20421A">
                  <w:pPr>
                    <w:jc w:val="center"/>
                    <w:rPr>
                      <w:bCs/>
                      <w:color w:val="auto"/>
                      <w:szCs w:val="21"/>
                    </w:rPr>
                  </w:pPr>
                </w:p>
              </w:tc>
              <w:tc>
                <w:tcPr>
                  <w:tcW w:w="7581" w:type="dxa"/>
                  <w:gridSpan w:val="3"/>
                </w:tcPr>
                <w:p w14:paraId="28C19CE3">
                  <w:pPr>
                    <w:jc w:val="center"/>
                    <w:rPr>
                      <w:color w:val="auto"/>
                      <w:szCs w:val="21"/>
                    </w:rPr>
                  </w:pPr>
                  <w:r>
                    <w:rPr>
                      <w:rFonts w:hint="eastAsia"/>
                      <w:color w:val="auto"/>
                      <w:szCs w:val="21"/>
                    </w:rPr>
                    <w:t>理化指标</w:t>
                  </w:r>
                </w:p>
              </w:tc>
            </w:tr>
            <w:tr w14:paraId="3F2B39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vMerge w:val="continue"/>
                </w:tcPr>
                <w:p w14:paraId="0E41F160">
                  <w:pPr>
                    <w:jc w:val="center"/>
                    <w:rPr>
                      <w:bCs/>
                      <w:color w:val="auto"/>
                      <w:szCs w:val="21"/>
                    </w:rPr>
                  </w:pPr>
                </w:p>
              </w:tc>
              <w:tc>
                <w:tcPr>
                  <w:tcW w:w="3545" w:type="dxa"/>
                  <w:vAlign w:val="top"/>
                </w:tcPr>
                <w:p w14:paraId="166245C9">
                  <w:pPr>
                    <w:jc w:val="center"/>
                    <w:rPr>
                      <w:color w:val="auto"/>
                      <w:szCs w:val="21"/>
                    </w:rPr>
                  </w:pPr>
                  <w:r>
                    <w:rPr>
                      <w:rFonts w:hint="eastAsia"/>
                      <w:bCs/>
                      <w:color w:val="auto"/>
                      <w:szCs w:val="21"/>
                    </w:rPr>
                    <w:t>酸价（以脂肪计，</w:t>
                  </w:r>
                  <w:r>
                    <w:rPr>
                      <w:bCs/>
                      <w:color w:val="auto"/>
                      <w:szCs w:val="21"/>
                    </w:rPr>
                    <w:t>KOH</w:t>
                  </w:r>
                  <w:r>
                    <w:rPr>
                      <w:rFonts w:hint="eastAsia"/>
                      <w:bCs/>
                      <w:color w:val="auto"/>
                      <w:szCs w:val="21"/>
                    </w:rPr>
                    <w:t>）</w:t>
                  </w:r>
                  <w:r>
                    <w:rPr>
                      <w:bCs/>
                      <w:color w:val="auto"/>
                      <w:szCs w:val="21"/>
                    </w:rPr>
                    <w:t>/</w:t>
                  </w:r>
                  <w:r>
                    <w:rPr>
                      <w:rFonts w:hint="eastAsia"/>
                      <w:bCs/>
                      <w:color w:val="auto"/>
                      <w:szCs w:val="21"/>
                    </w:rPr>
                    <w:t>（</w:t>
                  </w:r>
                  <w:r>
                    <w:rPr>
                      <w:bCs/>
                      <w:color w:val="auto"/>
                      <w:szCs w:val="21"/>
                    </w:rPr>
                    <w:t>mg/g</w:t>
                  </w:r>
                  <w:r>
                    <w:rPr>
                      <w:rFonts w:hint="eastAsia"/>
                      <w:bCs/>
                      <w:color w:val="auto"/>
                      <w:szCs w:val="21"/>
                    </w:rPr>
                    <w:t>）</w:t>
                  </w:r>
                </w:p>
              </w:tc>
              <w:tc>
                <w:tcPr>
                  <w:tcW w:w="4036" w:type="dxa"/>
                  <w:gridSpan w:val="2"/>
                  <w:vAlign w:val="top"/>
                </w:tcPr>
                <w:p w14:paraId="2C0D6025">
                  <w:pPr>
                    <w:jc w:val="center"/>
                    <w:rPr>
                      <w:color w:val="auto"/>
                      <w:szCs w:val="21"/>
                    </w:rPr>
                  </w:pPr>
                  <w:r>
                    <w:rPr>
                      <w:rFonts w:hint="eastAsia"/>
                      <w:bCs/>
                      <w:color w:val="auto"/>
                      <w:szCs w:val="21"/>
                    </w:rPr>
                    <w:t>≤2.5</w:t>
                  </w:r>
                </w:p>
              </w:tc>
            </w:tr>
            <w:tr w14:paraId="17D67F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vMerge w:val="continue"/>
                </w:tcPr>
                <w:p w14:paraId="7429D738">
                  <w:pPr>
                    <w:jc w:val="center"/>
                    <w:rPr>
                      <w:bCs/>
                      <w:color w:val="auto"/>
                      <w:szCs w:val="21"/>
                    </w:rPr>
                  </w:pPr>
                </w:p>
              </w:tc>
              <w:tc>
                <w:tcPr>
                  <w:tcW w:w="3545" w:type="dxa"/>
                  <w:vAlign w:val="top"/>
                </w:tcPr>
                <w:p w14:paraId="6571B974">
                  <w:pPr>
                    <w:jc w:val="center"/>
                    <w:rPr>
                      <w:bCs/>
                      <w:color w:val="auto"/>
                      <w:szCs w:val="21"/>
                    </w:rPr>
                  </w:pPr>
                  <w:r>
                    <w:rPr>
                      <w:rFonts w:hint="eastAsia"/>
                      <w:bCs/>
                      <w:color w:val="auto"/>
                      <w:szCs w:val="21"/>
                    </w:rPr>
                    <w:t>过氧化值（以脂肪计）</w:t>
                  </w:r>
                  <w:r>
                    <w:rPr>
                      <w:bCs/>
                      <w:color w:val="auto"/>
                      <w:szCs w:val="21"/>
                    </w:rPr>
                    <w:t>/</w:t>
                  </w:r>
                  <w:r>
                    <w:rPr>
                      <w:rFonts w:hint="eastAsia"/>
                      <w:bCs/>
                      <w:color w:val="auto"/>
                      <w:szCs w:val="21"/>
                    </w:rPr>
                    <w:t>（</w:t>
                  </w:r>
                  <w:r>
                    <w:rPr>
                      <w:bCs/>
                      <w:color w:val="auto"/>
                      <w:szCs w:val="21"/>
                    </w:rPr>
                    <w:t>g/100g</w:t>
                  </w:r>
                  <w:r>
                    <w:rPr>
                      <w:rFonts w:hint="eastAsia"/>
                      <w:bCs/>
                      <w:color w:val="auto"/>
                      <w:szCs w:val="21"/>
                    </w:rPr>
                    <w:t>）</w:t>
                  </w:r>
                </w:p>
              </w:tc>
              <w:tc>
                <w:tcPr>
                  <w:tcW w:w="4036" w:type="dxa"/>
                  <w:gridSpan w:val="2"/>
                  <w:vAlign w:val="top"/>
                </w:tcPr>
                <w:p w14:paraId="3C8F7BDB">
                  <w:pPr>
                    <w:jc w:val="center"/>
                    <w:rPr>
                      <w:rFonts w:hint="eastAsia" w:eastAsia="宋体"/>
                      <w:bCs/>
                      <w:color w:val="auto"/>
                      <w:szCs w:val="21"/>
                      <w:lang w:val="en-US" w:eastAsia="zh-CN"/>
                    </w:rPr>
                  </w:pPr>
                  <w:r>
                    <w:rPr>
                      <w:rFonts w:hint="eastAsia"/>
                      <w:color w:val="auto"/>
                      <w:szCs w:val="21"/>
                    </w:rPr>
                    <w:t>≤</w:t>
                  </w:r>
                  <w:r>
                    <w:rPr>
                      <w:color w:val="auto"/>
                      <w:szCs w:val="21"/>
                    </w:rPr>
                    <w:t>0.</w:t>
                  </w:r>
                  <w:r>
                    <w:rPr>
                      <w:rFonts w:hint="eastAsia"/>
                      <w:color w:val="auto"/>
                      <w:szCs w:val="21"/>
                    </w:rPr>
                    <w:t>2</w:t>
                  </w:r>
                  <w:r>
                    <w:rPr>
                      <w:rFonts w:hint="eastAsia"/>
                      <w:color w:val="auto"/>
                      <w:szCs w:val="21"/>
                      <w:lang w:val="en-US" w:eastAsia="zh-CN"/>
                    </w:rPr>
                    <w:t>0</w:t>
                  </w:r>
                </w:p>
              </w:tc>
            </w:tr>
            <w:tr w14:paraId="3A1DDF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145" w:type="dxa"/>
                  <w:vMerge w:val="continue"/>
                </w:tcPr>
                <w:p w14:paraId="666FF510">
                  <w:pPr>
                    <w:jc w:val="center"/>
                    <w:rPr>
                      <w:bCs/>
                      <w:color w:val="auto"/>
                      <w:szCs w:val="21"/>
                    </w:rPr>
                  </w:pPr>
                </w:p>
              </w:tc>
              <w:tc>
                <w:tcPr>
                  <w:tcW w:w="3545" w:type="dxa"/>
                </w:tcPr>
                <w:p w14:paraId="27CA1B3D">
                  <w:pPr>
                    <w:jc w:val="center"/>
                    <w:rPr>
                      <w:rFonts w:hint="eastAsia" w:eastAsia="宋体"/>
                      <w:color w:val="auto"/>
                      <w:szCs w:val="21"/>
                      <w:lang w:eastAsia="zh-CN"/>
                    </w:rPr>
                  </w:pPr>
                  <w:r>
                    <w:rPr>
                      <w:rFonts w:hint="eastAsia"/>
                      <w:color w:val="auto"/>
                      <w:szCs w:val="21"/>
                      <w:lang w:eastAsia="zh-CN"/>
                    </w:rPr>
                    <w:t>丙二醛</w:t>
                  </w:r>
                  <w:r>
                    <w:rPr>
                      <w:bCs/>
                      <w:color w:val="auto"/>
                      <w:szCs w:val="21"/>
                    </w:rPr>
                    <w:t>/</w:t>
                  </w:r>
                  <w:r>
                    <w:rPr>
                      <w:rFonts w:hint="eastAsia"/>
                      <w:bCs/>
                      <w:color w:val="auto"/>
                      <w:szCs w:val="21"/>
                    </w:rPr>
                    <w:t>（</w:t>
                  </w:r>
                  <w:r>
                    <w:rPr>
                      <w:rFonts w:hint="eastAsia"/>
                      <w:bCs/>
                      <w:color w:val="auto"/>
                      <w:szCs w:val="21"/>
                      <w:lang w:val="en-US" w:eastAsia="zh-CN"/>
                    </w:rPr>
                    <w:t>m</w:t>
                  </w:r>
                  <w:r>
                    <w:rPr>
                      <w:bCs/>
                      <w:color w:val="auto"/>
                      <w:szCs w:val="21"/>
                    </w:rPr>
                    <w:t>g/100g</w:t>
                  </w:r>
                  <w:r>
                    <w:rPr>
                      <w:rFonts w:hint="eastAsia"/>
                      <w:bCs/>
                      <w:color w:val="auto"/>
                      <w:szCs w:val="21"/>
                    </w:rPr>
                    <w:t>）</w:t>
                  </w:r>
                </w:p>
              </w:tc>
              <w:tc>
                <w:tcPr>
                  <w:tcW w:w="4036" w:type="dxa"/>
                  <w:gridSpan w:val="2"/>
                </w:tcPr>
                <w:p w14:paraId="23475469">
                  <w:pPr>
                    <w:jc w:val="center"/>
                    <w:rPr>
                      <w:rFonts w:hint="eastAsia" w:eastAsia="宋体"/>
                      <w:color w:val="auto"/>
                      <w:szCs w:val="21"/>
                      <w:lang w:val="en-US" w:eastAsia="zh-CN"/>
                    </w:rPr>
                  </w:pPr>
                  <w:r>
                    <w:rPr>
                      <w:rFonts w:hint="eastAsia"/>
                      <w:color w:val="auto"/>
                      <w:szCs w:val="21"/>
                    </w:rPr>
                    <w:t>≤</w:t>
                  </w:r>
                  <w:r>
                    <w:rPr>
                      <w:color w:val="auto"/>
                      <w:szCs w:val="21"/>
                    </w:rPr>
                    <w:t>0.</w:t>
                  </w:r>
                  <w:r>
                    <w:rPr>
                      <w:rFonts w:hint="eastAsia"/>
                      <w:color w:val="auto"/>
                      <w:szCs w:val="21"/>
                    </w:rPr>
                    <w:t>2</w:t>
                  </w:r>
                  <w:r>
                    <w:rPr>
                      <w:rFonts w:hint="eastAsia"/>
                      <w:color w:val="auto"/>
                      <w:szCs w:val="21"/>
                      <w:lang w:val="en-US" w:eastAsia="zh-CN"/>
                    </w:rPr>
                    <w:t>5</w:t>
                  </w:r>
                </w:p>
              </w:tc>
            </w:tr>
          </w:tbl>
          <w:p w14:paraId="33B3B7A1">
            <w:pPr>
              <w:pStyle w:val="72"/>
              <w:adjustRightInd/>
              <w:ind w:left="0" w:leftChars="0" w:firstLine="482" w:firstLineChars="200"/>
              <w:rPr>
                <w:rFonts w:hint="default" w:ascii="Times New Roman" w:hAnsi="Times New Roman" w:eastAsia="宋体" w:cs="Times New Roman"/>
                <w:b/>
                <w:bCs/>
                <w:color w:val="auto"/>
              </w:rPr>
            </w:pPr>
            <w:r>
              <w:rPr>
                <w:rFonts w:hint="eastAsia" w:cs="Times New Roman"/>
                <w:b/>
                <w:bCs/>
                <w:color w:val="auto"/>
                <w:lang w:val="en-US" w:eastAsia="zh-CN"/>
              </w:rPr>
              <w:t>4</w:t>
            </w:r>
            <w:r>
              <w:rPr>
                <w:rFonts w:hint="default" w:ascii="Times New Roman" w:hAnsi="Times New Roman" w:eastAsia="宋体" w:cs="Times New Roman"/>
                <w:b/>
                <w:bCs/>
                <w:color w:val="auto"/>
              </w:rPr>
              <w:t>、主要生产单元</w:t>
            </w:r>
          </w:p>
          <w:p w14:paraId="614C8812">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本项目生产单元主要为物料储存系统单元、生产单元</w:t>
            </w:r>
            <w:r>
              <w:rPr>
                <w:rFonts w:hint="default" w:ascii="Times New Roman" w:hAnsi="Times New Roman" w:eastAsia="宋体" w:cs="Times New Roman"/>
                <w:b w:val="0"/>
                <w:bCs w:val="0"/>
                <w:color w:val="auto"/>
                <w:sz w:val="24"/>
                <w:lang w:eastAsia="zh-CN"/>
              </w:rPr>
              <w:t>、加工单元</w:t>
            </w:r>
            <w:r>
              <w:rPr>
                <w:rFonts w:hint="default" w:ascii="Times New Roman" w:hAnsi="Times New Roman" w:eastAsia="宋体" w:cs="Times New Roman"/>
                <w:b w:val="0"/>
                <w:bCs w:val="0"/>
                <w:color w:val="auto"/>
                <w:sz w:val="24"/>
              </w:rPr>
              <w:t>等。</w:t>
            </w:r>
          </w:p>
          <w:p w14:paraId="6D6233D6">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物料储存系统单元：项目区</w:t>
            </w:r>
            <w:r>
              <w:rPr>
                <w:rFonts w:hint="default" w:ascii="Times New Roman" w:hAnsi="Times New Roman" w:eastAsia="宋体" w:cs="Times New Roman"/>
                <w:b w:val="0"/>
                <w:bCs w:val="0"/>
                <w:color w:val="auto"/>
                <w:sz w:val="24"/>
                <w:lang w:val="en-US" w:eastAsia="zh-CN"/>
              </w:rPr>
              <w:t>设置1个冷库、</w:t>
            </w:r>
            <w:r>
              <w:rPr>
                <w:rFonts w:hint="eastAsia" w:cs="Times New Roman"/>
                <w:b w:val="0"/>
                <w:bCs w:val="0"/>
                <w:color w:val="auto"/>
                <w:sz w:val="24"/>
                <w:lang w:val="en-US" w:eastAsia="zh-CN"/>
              </w:rPr>
              <w:t>各个生产厂房各设置</w:t>
            </w:r>
            <w:r>
              <w:rPr>
                <w:rFonts w:hint="default" w:ascii="Times New Roman" w:hAnsi="Times New Roman" w:eastAsia="宋体" w:cs="Times New Roman"/>
                <w:b w:val="0"/>
                <w:bCs w:val="0"/>
                <w:color w:val="auto"/>
                <w:sz w:val="24"/>
                <w:lang w:val="en-US" w:eastAsia="zh-CN"/>
              </w:rPr>
              <w:t>1个原料堆存区、1个成品暂存库</w:t>
            </w:r>
            <w:r>
              <w:rPr>
                <w:rFonts w:hint="default" w:ascii="Times New Roman" w:hAnsi="Times New Roman" w:eastAsia="宋体" w:cs="Times New Roman"/>
                <w:b w:val="0"/>
                <w:bCs w:val="0"/>
                <w:color w:val="auto"/>
                <w:sz w:val="24"/>
              </w:rPr>
              <w:t>，物料分类堆放。</w:t>
            </w:r>
          </w:p>
          <w:p w14:paraId="7C200B49">
            <w:pPr>
              <w:adjustRightInd w:val="0"/>
              <w:snapToGrid w:val="0"/>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生产单元：</w:t>
            </w:r>
            <w:r>
              <w:rPr>
                <w:rFonts w:hint="default" w:ascii="Times New Roman" w:hAnsi="Times New Roman" w:eastAsia="宋体" w:cs="Times New Roman"/>
                <w:b w:val="0"/>
                <w:bCs w:val="0"/>
                <w:color w:val="auto"/>
                <w:sz w:val="24"/>
                <w:lang w:val="en-US" w:eastAsia="zh-CN"/>
              </w:rPr>
              <w:t>供热单元、</w:t>
            </w:r>
            <w:r>
              <w:rPr>
                <w:rFonts w:hint="eastAsia" w:cs="Times New Roman"/>
                <w:b w:val="0"/>
                <w:bCs w:val="0"/>
                <w:color w:val="auto"/>
                <w:sz w:val="24"/>
                <w:lang w:val="en-US" w:eastAsia="zh-CN"/>
              </w:rPr>
              <w:t>精炼牛油</w:t>
            </w:r>
            <w:r>
              <w:rPr>
                <w:rFonts w:hint="default" w:ascii="Times New Roman" w:hAnsi="Times New Roman" w:eastAsia="宋体" w:cs="Times New Roman"/>
                <w:b w:val="0"/>
                <w:bCs w:val="0"/>
                <w:color w:val="auto"/>
                <w:sz w:val="24"/>
                <w:lang w:val="en-US" w:eastAsia="zh-CN"/>
              </w:rPr>
              <w:t>生产单元、</w:t>
            </w:r>
            <w:r>
              <w:rPr>
                <w:rFonts w:hint="eastAsia" w:cs="Times New Roman"/>
                <w:b w:val="0"/>
                <w:bCs w:val="0"/>
                <w:color w:val="auto"/>
                <w:sz w:val="24"/>
                <w:lang w:val="en-US" w:eastAsia="zh-CN"/>
              </w:rPr>
              <w:t>牛干巴</w:t>
            </w:r>
            <w:r>
              <w:rPr>
                <w:rFonts w:hint="default" w:ascii="Times New Roman" w:hAnsi="Times New Roman" w:eastAsia="宋体" w:cs="Times New Roman"/>
                <w:b w:val="0"/>
                <w:bCs w:val="0"/>
                <w:color w:val="auto"/>
                <w:sz w:val="24"/>
                <w:lang w:val="en-US" w:eastAsia="zh-CN"/>
              </w:rPr>
              <w:t>生产单元、</w:t>
            </w:r>
            <w:r>
              <w:rPr>
                <w:rFonts w:hint="eastAsia" w:cs="Times New Roman"/>
                <w:b w:val="0"/>
                <w:bCs w:val="0"/>
                <w:color w:val="auto"/>
                <w:sz w:val="24"/>
                <w:lang w:val="en-US" w:eastAsia="zh-CN"/>
              </w:rPr>
              <w:t>动物饲料油脂生产</w:t>
            </w:r>
            <w:r>
              <w:rPr>
                <w:rFonts w:hint="default" w:ascii="Times New Roman" w:hAnsi="Times New Roman" w:eastAsia="宋体" w:cs="Times New Roman"/>
                <w:b w:val="0"/>
                <w:bCs w:val="0"/>
                <w:color w:val="auto"/>
                <w:sz w:val="24"/>
                <w:lang w:val="en-US" w:eastAsia="zh-CN"/>
              </w:rPr>
              <w:t>单元。</w:t>
            </w:r>
          </w:p>
          <w:p w14:paraId="051C699D">
            <w:pPr>
              <w:pStyle w:val="72"/>
              <w:adjustRightInd/>
              <w:ind w:firstLine="482"/>
              <w:rPr>
                <w:rFonts w:hint="default" w:ascii="Times New Roman" w:hAnsi="Times New Roman" w:eastAsia="宋体" w:cs="Times New Roman"/>
                <w:b/>
                <w:bCs/>
                <w:color w:val="auto"/>
              </w:rPr>
            </w:pPr>
            <w:r>
              <w:rPr>
                <w:rFonts w:hint="eastAsia" w:cs="Times New Roman"/>
                <w:b/>
                <w:bCs/>
                <w:color w:val="auto"/>
                <w:lang w:val="en-US" w:eastAsia="zh-CN"/>
              </w:rPr>
              <w:t>5</w:t>
            </w:r>
            <w:r>
              <w:rPr>
                <w:rFonts w:hint="default" w:ascii="Times New Roman" w:hAnsi="Times New Roman" w:eastAsia="宋体" w:cs="Times New Roman"/>
                <w:b/>
                <w:bCs/>
                <w:color w:val="auto"/>
              </w:rPr>
              <w:t>、主要生产工艺</w:t>
            </w:r>
          </w:p>
          <w:p w14:paraId="7CD9CF32">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val="en-US" w:eastAsia="zh-CN"/>
              </w:rPr>
              <w:t>①</w:t>
            </w:r>
            <w:r>
              <w:rPr>
                <w:rFonts w:hint="eastAsia" w:ascii="Times New Roman" w:hAnsi="Times New Roman" w:cs="Times New Roman"/>
                <w:b w:val="0"/>
                <w:bCs w:val="0"/>
                <w:color w:val="auto"/>
                <w:sz w:val="24"/>
                <w:lang w:val="en-US" w:eastAsia="zh-CN"/>
              </w:rPr>
              <w:t>精炼牛油</w:t>
            </w:r>
            <w:r>
              <w:rPr>
                <w:rFonts w:hint="default" w:ascii="Times New Roman" w:hAnsi="Times New Roman" w:eastAsia="宋体" w:cs="Times New Roman"/>
                <w:b w:val="0"/>
                <w:bCs w:val="0"/>
                <w:color w:val="auto"/>
                <w:sz w:val="24"/>
                <w:lang w:eastAsia="zh-CN"/>
              </w:rPr>
              <w:t>生产</w:t>
            </w:r>
            <w:r>
              <w:rPr>
                <w:rFonts w:hint="default" w:ascii="Times New Roman" w:hAnsi="Times New Roman" w:eastAsia="宋体" w:cs="Times New Roman"/>
                <w:b w:val="0"/>
                <w:bCs w:val="0"/>
                <w:color w:val="auto"/>
                <w:sz w:val="24"/>
              </w:rPr>
              <w:t>工艺</w:t>
            </w:r>
          </w:p>
          <w:p w14:paraId="7964F952">
            <w:pPr>
              <w:adjustRightInd w:val="0"/>
              <w:snapToGrid w:val="0"/>
              <w:spacing w:line="360" w:lineRule="auto"/>
              <w:ind w:firstLine="480" w:firstLineChars="200"/>
              <w:rPr>
                <w:color w:val="auto"/>
                <w:sz w:val="24"/>
              </w:rPr>
            </w:pPr>
            <w:r>
              <w:rPr>
                <w:rFonts w:hint="eastAsia"/>
                <w:color w:val="auto"/>
                <w:sz w:val="24"/>
              </w:rPr>
              <w:t>动物生脂负压熔炼工艺</w:t>
            </w:r>
            <w:r>
              <w:rPr>
                <w:rFonts w:hint="eastAsia"/>
                <w:b/>
                <w:bCs/>
                <w:color w:val="auto"/>
                <w:sz w:val="24"/>
              </w:rPr>
              <w:t>：</w:t>
            </w:r>
            <w:r>
              <w:rPr>
                <w:rFonts w:hint="eastAsia"/>
                <w:color w:val="auto"/>
                <w:sz w:val="24"/>
              </w:rPr>
              <w:t>原料—自然解冻—绞碎—分料输送—负压熔炼—油渣分离—毛油—肉渣—压榨—压榨饼。</w:t>
            </w:r>
          </w:p>
          <w:p w14:paraId="18B04360">
            <w:pPr>
              <w:adjustRightInd w:val="0"/>
              <w:snapToGrid w:val="0"/>
              <w:spacing w:line="360" w:lineRule="auto"/>
              <w:ind w:firstLine="480" w:firstLineChars="200"/>
              <w:rPr>
                <w:b/>
                <w:bCs/>
                <w:color w:val="auto"/>
              </w:rPr>
            </w:pPr>
            <w:r>
              <w:rPr>
                <w:rFonts w:hint="eastAsia"/>
                <w:color w:val="auto"/>
                <w:sz w:val="24"/>
              </w:rPr>
              <w:t>食用牛油物理精炼工艺：毛油—水洗—干燥—脱色—过滤—加热—蒸馏脱酸脱臭—成品油。</w:t>
            </w:r>
          </w:p>
          <w:p w14:paraId="21451F70">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w:t>
            </w:r>
            <w:r>
              <w:rPr>
                <w:rFonts w:hint="eastAsia" w:cs="Times New Roman"/>
                <w:b w:val="0"/>
                <w:bCs w:val="0"/>
                <w:color w:val="auto"/>
                <w:sz w:val="24"/>
                <w:lang w:val="en-US" w:eastAsia="zh-CN"/>
              </w:rPr>
              <w:t>牛干巴</w:t>
            </w:r>
            <w:r>
              <w:rPr>
                <w:rFonts w:hint="default" w:ascii="Times New Roman" w:hAnsi="Times New Roman" w:eastAsia="宋体" w:cs="Times New Roman"/>
                <w:b w:val="0"/>
                <w:bCs w:val="0"/>
                <w:color w:val="auto"/>
                <w:sz w:val="24"/>
                <w:lang w:val="en-US" w:eastAsia="zh-CN"/>
              </w:rPr>
              <w:t>生产工艺：新鲜</w:t>
            </w:r>
            <w:r>
              <w:rPr>
                <w:rFonts w:hint="eastAsia" w:ascii="Times New Roman" w:hAnsi="Times New Roman" w:cs="Times New Roman"/>
                <w:b w:val="0"/>
                <w:bCs w:val="0"/>
                <w:color w:val="auto"/>
                <w:sz w:val="24"/>
                <w:lang w:val="en-US" w:eastAsia="zh-CN"/>
              </w:rPr>
              <w:t>牛肉</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切块</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抹料</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腌制</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自然晾晒</w:t>
            </w:r>
            <w:r>
              <w:rPr>
                <w:rFonts w:hint="default" w:ascii="Times New Roman" w:hAnsi="Times New Roman" w:eastAsia="宋体"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牛干巴</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包装—入库</w:t>
            </w:r>
            <w:r>
              <w:rPr>
                <w:rFonts w:hint="default" w:ascii="Times New Roman" w:hAnsi="Times New Roman" w:eastAsia="宋体" w:cs="Times New Roman"/>
                <w:b w:val="0"/>
                <w:bCs w:val="0"/>
                <w:color w:val="auto"/>
                <w:sz w:val="24"/>
                <w:lang w:val="en-US" w:eastAsia="zh-CN"/>
              </w:rPr>
              <w:t>。</w:t>
            </w:r>
          </w:p>
          <w:p w14:paraId="6782ACCA">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③</w:t>
            </w:r>
            <w:r>
              <w:rPr>
                <w:rFonts w:hint="eastAsia" w:cs="Times New Roman"/>
                <w:b w:val="0"/>
                <w:bCs w:val="0"/>
                <w:color w:val="auto"/>
                <w:sz w:val="24"/>
                <w:lang w:val="en-US" w:eastAsia="zh-CN"/>
              </w:rPr>
              <w:t>动物饲料油脂</w:t>
            </w:r>
            <w:r>
              <w:rPr>
                <w:rFonts w:hint="default" w:ascii="Times New Roman" w:hAnsi="Times New Roman" w:eastAsia="宋体" w:cs="Times New Roman"/>
                <w:b w:val="0"/>
                <w:bCs w:val="0"/>
                <w:color w:val="auto"/>
                <w:sz w:val="24"/>
                <w:lang w:val="en-US" w:eastAsia="zh-CN"/>
              </w:rPr>
              <w:t>生产工艺：</w:t>
            </w:r>
            <w:r>
              <w:rPr>
                <w:rFonts w:hint="eastAsia" w:ascii="Times New Roman" w:hAnsi="Times New Roman" w:eastAsia="宋体" w:cs="Times New Roman"/>
                <w:b w:val="0"/>
                <w:bCs w:val="0"/>
                <w:color w:val="auto"/>
                <w:sz w:val="24"/>
                <w:lang w:val="en-US" w:eastAsia="zh-CN"/>
              </w:rPr>
              <w:t>原料</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解冻</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破碎</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负压</w:t>
            </w:r>
            <w:r>
              <w:rPr>
                <w:rFonts w:hint="eastAsia" w:ascii="Times New Roman" w:hAnsi="Times New Roman" w:cs="Times New Roman"/>
                <w:b w:val="0"/>
                <w:bCs w:val="0"/>
                <w:color w:val="auto"/>
                <w:sz w:val="24"/>
                <w:lang w:val="en-US" w:eastAsia="zh-CN"/>
              </w:rPr>
              <w:t>熬炼</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油渣分离</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饲料油脂。</w:t>
            </w:r>
          </w:p>
          <w:p w14:paraId="365ECEFB">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、主要原辅料及用量</w:t>
            </w:r>
          </w:p>
          <w:p w14:paraId="0BFE225E">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14:paraId="43CD3A8C">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rPr>
              <w:t>主要原辅材料及能源消耗情况见表2-</w:t>
            </w:r>
            <w:r>
              <w:rPr>
                <w:rFonts w:hint="eastAsia" w:cs="Times New Roman"/>
                <w:bCs/>
                <w:color w:val="auto"/>
                <w:sz w:val="24"/>
                <w:highlight w:val="none"/>
                <w:lang w:val="en-US" w:eastAsia="zh-CN"/>
              </w:rPr>
              <w:t>4</w:t>
            </w:r>
            <w:r>
              <w:rPr>
                <w:rFonts w:hint="default" w:ascii="Times New Roman" w:hAnsi="Times New Roman" w:eastAsia="宋体" w:cs="Times New Roman"/>
                <w:bCs/>
                <w:color w:val="auto"/>
                <w:sz w:val="24"/>
                <w:highlight w:val="none"/>
              </w:rPr>
              <w:t>。</w:t>
            </w:r>
          </w:p>
          <w:p w14:paraId="69659F03">
            <w:pPr>
              <w:jc w:val="center"/>
              <w:rPr>
                <w:b/>
                <w:snapToGrid w:val="0"/>
                <w:color w:val="auto"/>
                <w:kern w:val="0"/>
                <w:szCs w:val="21"/>
              </w:rPr>
            </w:pPr>
            <w:r>
              <w:rPr>
                <w:rFonts w:hint="eastAsia"/>
                <w:b/>
                <w:bCs/>
                <w:color w:val="auto"/>
                <w:szCs w:val="21"/>
              </w:rPr>
              <w:t>表2-4  项目主要原、辅材料及能源年用量一览</w:t>
            </w:r>
            <w:r>
              <w:rPr>
                <w:b/>
                <w:bCs/>
                <w:color w:val="auto"/>
                <w:szCs w:val="21"/>
              </w:rPr>
              <w:t>表</w:t>
            </w:r>
          </w:p>
          <w:tbl>
            <w:tblPr>
              <w:tblStyle w:val="26"/>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405"/>
              <w:gridCol w:w="1262"/>
              <w:gridCol w:w="916"/>
              <w:gridCol w:w="1293"/>
              <w:gridCol w:w="2157"/>
            </w:tblGrid>
            <w:tr w14:paraId="76E3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3" w:type="dxa"/>
                  <w:vAlign w:val="center"/>
                </w:tcPr>
                <w:p w14:paraId="5FBF02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序号</w:t>
                  </w:r>
                </w:p>
              </w:tc>
              <w:tc>
                <w:tcPr>
                  <w:tcW w:w="2405" w:type="dxa"/>
                </w:tcPr>
                <w:p w14:paraId="69CFA2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名称</w:t>
                  </w:r>
                </w:p>
              </w:tc>
              <w:tc>
                <w:tcPr>
                  <w:tcW w:w="1262" w:type="dxa"/>
                </w:tcPr>
                <w:p w14:paraId="15D073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年耗量</w:t>
                  </w:r>
                </w:p>
              </w:tc>
              <w:tc>
                <w:tcPr>
                  <w:tcW w:w="916" w:type="dxa"/>
                </w:tcPr>
                <w:p w14:paraId="61BE0D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最大存储量</w:t>
                  </w:r>
                </w:p>
              </w:tc>
              <w:tc>
                <w:tcPr>
                  <w:tcW w:w="1293" w:type="dxa"/>
                </w:tcPr>
                <w:p w14:paraId="306A3B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eastAsia="zh-CN"/>
                    </w:rPr>
                    <w:t>来源</w:t>
                  </w:r>
                  <w:r>
                    <w:rPr>
                      <w:rFonts w:hint="eastAsia" w:ascii="Times New Roman" w:hAnsi="Times New Roman" w:eastAsia="宋体" w:cs="Times New Roman"/>
                      <w:b/>
                      <w:bCs/>
                      <w:color w:val="auto"/>
                      <w:sz w:val="21"/>
                      <w:szCs w:val="21"/>
                      <w:highlight w:val="none"/>
                      <w:lang w:val="en-US" w:eastAsia="zh-CN"/>
                    </w:rPr>
                    <w:t>/存储方式</w:t>
                  </w:r>
                </w:p>
              </w:tc>
              <w:tc>
                <w:tcPr>
                  <w:tcW w:w="2157" w:type="dxa"/>
                </w:tcPr>
                <w:p w14:paraId="221599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备注</w:t>
                  </w:r>
                </w:p>
              </w:tc>
            </w:tr>
            <w:tr w14:paraId="20A9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726" w:type="dxa"/>
                  <w:gridSpan w:val="6"/>
                  <w:vAlign w:val="center"/>
                </w:tcPr>
                <w:p w14:paraId="3F4A3977">
                  <w:pPr>
                    <w:jc w:val="center"/>
                    <w:rPr>
                      <w:rFonts w:hint="eastAsia"/>
                      <w:bCs/>
                      <w:color w:val="auto"/>
                      <w:szCs w:val="21"/>
                    </w:rPr>
                  </w:pPr>
                  <w:r>
                    <w:rPr>
                      <w:rFonts w:hint="default" w:ascii="Times New Roman" w:hAnsi="Times New Roman" w:eastAsia="宋体" w:cs="Times New Roman"/>
                      <w:b/>
                      <w:bCs/>
                      <w:color w:val="auto"/>
                      <w:sz w:val="21"/>
                      <w:szCs w:val="21"/>
                      <w:highlight w:val="none"/>
                      <w:lang w:val="en-US" w:eastAsia="zh-CN"/>
                    </w:rPr>
                    <w:t>一、</w:t>
                  </w:r>
                  <w:r>
                    <w:rPr>
                      <w:rFonts w:hint="eastAsia" w:ascii="Times New Roman" w:hAnsi="Times New Roman" w:eastAsia="宋体" w:cs="Times New Roman"/>
                      <w:b/>
                      <w:bCs/>
                      <w:color w:val="auto"/>
                      <w:sz w:val="21"/>
                      <w:szCs w:val="21"/>
                      <w:highlight w:val="none"/>
                      <w:lang w:val="en-US" w:eastAsia="zh-CN"/>
                    </w:rPr>
                    <w:t>精炼牛油</w:t>
                  </w:r>
                  <w:r>
                    <w:rPr>
                      <w:rFonts w:hint="default" w:ascii="Times New Roman" w:hAnsi="Times New Roman" w:eastAsia="宋体" w:cs="Times New Roman"/>
                      <w:b/>
                      <w:bCs/>
                      <w:color w:val="auto"/>
                      <w:sz w:val="21"/>
                      <w:szCs w:val="21"/>
                      <w:highlight w:val="none"/>
                      <w:lang w:val="en-US" w:eastAsia="zh-CN"/>
                    </w:rPr>
                    <w:t>生产主要原辅料</w:t>
                  </w:r>
                </w:p>
              </w:tc>
            </w:tr>
            <w:tr w14:paraId="7531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93" w:type="dxa"/>
                  <w:vAlign w:val="center"/>
                </w:tcPr>
                <w:p w14:paraId="351F683A">
                  <w:pPr>
                    <w:jc w:val="center"/>
                    <w:rPr>
                      <w:rFonts w:hint="eastAsia" w:eastAsia="宋体"/>
                      <w:bCs/>
                      <w:color w:val="auto"/>
                      <w:szCs w:val="21"/>
                      <w:lang w:val="en-US" w:eastAsia="zh-CN"/>
                    </w:rPr>
                  </w:pPr>
                  <w:r>
                    <w:rPr>
                      <w:rFonts w:hint="eastAsia"/>
                      <w:bCs/>
                      <w:color w:val="auto"/>
                      <w:szCs w:val="21"/>
                      <w:lang w:val="en-US" w:eastAsia="zh-CN"/>
                    </w:rPr>
                    <w:t>1</w:t>
                  </w:r>
                </w:p>
              </w:tc>
              <w:tc>
                <w:tcPr>
                  <w:tcW w:w="2405" w:type="dxa"/>
                </w:tcPr>
                <w:p w14:paraId="3E6E5969">
                  <w:pPr>
                    <w:jc w:val="center"/>
                    <w:rPr>
                      <w:rFonts w:hint="eastAsia" w:eastAsia="宋体"/>
                      <w:bCs/>
                      <w:color w:val="auto"/>
                      <w:szCs w:val="21"/>
                      <w:lang w:eastAsia="zh-CN"/>
                    </w:rPr>
                  </w:pPr>
                  <w:r>
                    <w:rPr>
                      <w:rFonts w:hint="eastAsia"/>
                      <w:bCs/>
                      <w:color w:val="auto"/>
                      <w:szCs w:val="21"/>
                    </w:rPr>
                    <w:t>鲜牛油</w:t>
                  </w:r>
                  <w:r>
                    <w:rPr>
                      <w:rFonts w:hint="eastAsia"/>
                      <w:bCs/>
                      <w:color w:val="auto"/>
                      <w:szCs w:val="21"/>
                      <w:lang w:eastAsia="zh-CN"/>
                    </w:rPr>
                    <w:t>（固态）</w:t>
                  </w:r>
                </w:p>
              </w:tc>
              <w:tc>
                <w:tcPr>
                  <w:tcW w:w="1262" w:type="dxa"/>
                </w:tcPr>
                <w:p w14:paraId="62951EAC">
                  <w:pPr>
                    <w:jc w:val="center"/>
                    <w:rPr>
                      <w:bCs/>
                      <w:color w:val="auto"/>
                      <w:szCs w:val="21"/>
                    </w:rPr>
                  </w:pPr>
                  <w:r>
                    <w:rPr>
                      <w:rFonts w:hint="eastAsia"/>
                      <w:bCs/>
                      <w:color w:val="auto"/>
                      <w:szCs w:val="21"/>
                    </w:rPr>
                    <w:t>5000t</w:t>
                  </w:r>
                </w:p>
              </w:tc>
              <w:tc>
                <w:tcPr>
                  <w:tcW w:w="916" w:type="dxa"/>
                </w:tcPr>
                <w:p w14:paraId="767E7506">
                  <w:pPr>
                    <w:jc w:val="center"/>
                    <w:rPr>
                      <w:rFonts w:hint="default" w:eastAsia="宋体"/>
                      <w:bCs/>
                      <w:color w:val="auto"/>
                      <w:szCs w:val="21"/>
                      <w:lang w:val="en-US" w:eastAsia="zh-CN"/>
                    </w:rPr>
                  </w:pPr>
                  <w:r>
                    <w:rPr>
                      <w:rFonts w:hint="eastAsia"/>
                      <w:bCs/>
                      <w:color w:val="auto"/>
                      <w:szCs w:val="21"/>
                      <w:lang w:val="en-US" w:eastAsia="zh-CN"/>
                    </w:rPr>
                    <w:t>500t</w:t>
                  </w:r>
                </w:p>
              </w:tc>
              <w:tc>
                <w:tcPr>
                  <w:tcW w:w="1293" w:type="dxa"/>
                </w:tcPr>
                <w:p w14:paraId="389588D4">
                  <w:pPr>
                    <w:jc w:val="center"/>
                    <w:rPr>
                      <w:rFonts w:hint="default" w:eastAsia="宋体"/>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2157" w:type="dxa"/>
                </w:tcPr>
                <w:p w14:paraId="1898C6D3">
                  <w:pPr>
                    <w:jc w:val="center"/>
                    <w:rPr>
                      <w:rFonts w:hint="eastAsia" w:eastAsia="宋体"/>
                      <w:bCs/>
                      <w:color w:val="auto"/>
                      <w:szCs w:val="21"/>
                      <w:lang w:eastAsia="zh-CN"/>
                    </w:rPr>
                  </w:pPr>
                  <w:r>
                    <w:rPr>
                      <w:rFonts w:hint="eastAsia"/>
                      <w:bCs/>
                      <w:color w:val="auto"/>
                      <w:szCs w:val="21"/>
                      <w:lang w:val="en-US" w:eastAsia="zh-CN"/>
                    </w:rPr>
                    <w:t>/</w:t>
                  </w:r>
                </w:p>
              </w:tc>
            </w:tr>
            <w:tr w14:paraId="2468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93" w:type="dxa"/>
                  <w:vAlign w:val="center"/>
                </w:tcPr>
                <w:p w14:paraId="08FDD036">
                  <w:pPr>
                    <w:jc w:val="center"/>
                    <w:rPr>
                      <w:rFonts w:hint="eastAsia" w:eastAsia="宋体"/>
                      <w:bCs/>
                      <w:color w:val="auto"/>
                      <w:szCs w:val="21"/>
                      <w:lang w:val="en-US" w:eastAsia="zh-CN"/>
                    </w:rPr>
                  </w:pPr>
                  <w:r>
                    <w:rPr>
                      <w:rFonts w:hint="eastAsia"/>
                      <w:bCs/>
                      <w:color w:val="auto"/>
                      <w:szCs w:val="21"/>
                      <w:lang w:val="en-US" w:eastAsia="zh-CN"/>
                    </w:rPr>
                    <w:t>2</w:t>
                  </w:r>
                </w:p>
              </w:tc>
              <w:tc>
                <w:tcPr>
                  <w:tcW w:w="2405" w:type="dxa"/>
                </w:tcPr>
                <w:p w14:paraId="17E21412">
                  <w:pPr>
                    <w:jc w:val="center"/>
                    <w:rPr>
                      <w:rFonts w:hint="eastAsia" w:eastAsia="宋体"/>
                      <w:bCs/>
                      <w:color w:val="auto"/>
                      <w:szCs w:val="21"/>
                      <w:lang w:eastAsia="zh-CN"/>
                    </w:rPr>
                  </w:pPr>
                  <w:r>
                    <w:rPr>
                      <w:rFonts w:hint="eastAsia"/>
                      <w:bCs/>
                      <w:color w:val="auto"/>
                      <w:szCs w:val="21"/>
                    </w:rPr>
                    <w:t>食用盐</w:t>
                  </w:r>
                  <w:r>
                    <w:rPr>
                      <w:rFonts w:hint="eastAsia"/>
                      <w:bCs/>
                      <w:color w:val="auto"/>
                      <w:szCs w:val="21"/>
                      <w:lang w:eastAsia="zh-CN"/>
                    </w:rPr>
                    <w:t>（固态）</w:t>
                  </w:r>
                </w:p>
              </w:tc>
              <w:tc>
                <w:tcPr>
                  <w:tcW w:w="1262" w:type="dxa"/>
                </w:tcPr>
                <w:p w14:paraId="7513E325">
                  <w:pPr>
                    <w:jc w:val="center"/>
                    <w:rPr>
                      <w:bCs/>
                      <w:color w:val="auto"/>
                      <w:szCs w:val="21"/>
                    </w:rPr>
                  </w:pPr>
                  <w:r>
                    <w:rPr>
                      <w:rFonts w:hint="eastAsia"/>
                      <w:bCs/>
                      <w:color w:val="auto"/>
                      <w:szCs w:val="21"/>
                    </w:rPr>
                    <w:t>1t</w:t>
                  </w:r>
                </w:p>
              </w:tc>
              <w:tc>
                <w:tcPr>
                  <w:tcW w:w="916" w:type="dxa"/>
                </w:tcPr>
                <w:p w14:paraId="5A98C4C8">
                  <w:pPr>
                    <w:jc w:val="center"/>
                    <w:rPr>
                      <w:rFonts w:hint="default" w:eastAsia="宋体"/>
                      <w:bCs/>
                      <w:color w:val="auto"/>
                      <w:szCs w:val="21"/>
                      <w:lang w:val="en-US" w:eastAsia="zh-CN"/>
                    </w:rPr>
                  </w:pPr>
                  <w:r>
                    <w:rPr>
                      <w:rFonts w:hint="eastAsia"/>
                      <w:bCs/>
                      <w:color w:val="auto"/>
                      <w:szCs w:val="21"/>
                      <w:lang w:val="en-US" w:eastAsia="zh-CN"/>
                    </w:rPr>
                    <w:t>100kg</w:t>
                  </w:r>
                </w:p>
              </w:tc>
              <w:tc>
                <w:tcPr>
                  <w:tcW w:w="1293" w:type="dxa"/>
                </w:tcPr>
                <w:p w14:paraId="67C13D1C">
                  <w:pPr>
                    <w:jc w:val="center"/>
                    <w:rPr>
                      <w:bCs/>
                      <w:color w:val="auto"/>
                      <w:szCs w:val="21"/>
                    </w:rPr>
                  </w:pPr>
                  <w:r>
                    <w:rPr>
                      <w:rFonts w:hint="eastAsia"/>
                      <w:bCs/>
                      <w:color w:val="auto"/>
                      <w:szCs w:val="21"/>
                      <w:lang w:eastAsia="zh-CN"/>
                    </w:rPr>
                    <w:t>外购</w:t>
                  </w:r>
                  <w:r>
                    <w:rPr>
                      <w:rFonts w:hint="eastAsia"/>
                      <w:bCs/>
                      <w:color w:val="auto"/>
                      <w:szCs w:val="21"/>
                      <w:lang w:val="en-US" w:eastAsia="zh-CN"/>
                    </w:rPr>
                    <w:t>/袋装</w:t>
                  </w:r>
                </w:p>
              </w:tc>
              <w:tc>
                <w:tcPr>
                  <w:tcW w:w="2157" w:type="dxa"/>
                </w:tcPr>
                <w:p w14:paraId="069BB606">
                  <w:pPr>
                    <w:jc w:val="center"/>
                    <w:rPr>
                      <w:rFonts w:hint="eastAsia" w:eastAsia="宋体"/>
                      <w:bCs/>
                      <w:color w:val="auto"/>
                      <w:szCs w:val="21"/>
                      <w:lang w:eastAsia="zh-CN"/>
                    </w:rPr>
                  </w:pPr>
                  <w:r>
                    <w:rPr>
                      <w:rFonts w:hint="eastAsia"/>
                      <w:bCs/>
                      <w:color w:val="auto"/>
                      <w:szCs w:val="21"/>
                      <w:lang w:val="en-US" w:eastAsia="zh-CN"/>
                    </w:rPr>
                    <w:t>/</w:t>
                  </w:r>
                </w:p>
              </w:tc>
            </w:tr>
            <w:tr w14:paraId="504E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93" w:type="dxa"/>
                  <w:vAlign w:val="center"/>
                </w:tcPr>
                <w:p w14:paraId="19DD65D4">
                  <w:pPr>
                    <w:jc w:val="center"/>
                    <w:rPr>
                      <w:rFonts w:hint="eastAsia" w:eastAsia="宋体"/>
                      <w:bCs/>
                      <w:color w:val="auto"/>
                      <w:szCs w:val="21"/>
                      <w:lang w:val="en-US" w:eastAsia="zh-CN"/>
                    </w:rPr>
                  </w:pPr>
                  <w:r>
                    <w:rPr>
                      <w:rFonts w:hint="eastAsia"/>
                      <w:bCs/>
                      <w:color w:val="auto"/>
                      <w:szCs w:val="21"/>
                      <w:lang w:val="en-US" w:eastAsia="zh-CN"/>
                    </w:rPr>
                    <w:t>3</w:t>
                  </w:r>
                </w:p>
              </w:tc>
              <w:tc>
                <w:tcPr>
                  <w:tcW w:w="2405" w:type="dxa"/>
                </w:tcPr>
                <w:p w14:paraId="7A317EE5">
                  <w:pPr>
                    <w:jc w:val="center"/>
                    <w:rPr>
                      <w:rFonts w:hint="eastAsia" w:eastAsia="宋体"/>
                      <w:bCs/>
                      <w:color w:val="auto"/>
                      <w:szCs w:val="21"/>
                      <w:lang w:val="en-US" w:eastAsia="zh-CN"/>
                    </w:rPr>
                  </w:pPr>
                  <w:r>
                    <w:rPr>
                      <w:rFonts w:hint="eastAsia"/>
                      <w:bCs/>
                      <w:color w:val="auto"/>
                      <w:szCs w:val="21"/>
                    </w:rPr>
                    <w:t>可食用白土</w:t>
                  </w:r>
                  <w:r>
                    <w:rPr>
                      <w:rFonts w:hint="eastAsia"/>
                      <w:bCs/>
                      <w:color w:val="auto"/>
                      <w:szCs w:val="21"/>
                      <w:lang w:eastAsia="zh-CN"/>
                    </w:rPr>
                    <w:t>（固态）</w:t>
                  </w:r>
                </w:p>
              </w:tc>
              <w:tc>
                <w:tcPr>
                  <w:tcW w:w="1262" w:type="dxa"/>
                </w:tcPr>
                <w:p w14:paraId="4B7DD529">
                  <w:pPr>
                    <w:jc w:val="center"/>
                    <w:rPr>
                      <w:bCs/>
                      <w:color w:val="auto"/>
                      <w:szCs w:val="21"/>
                    </w:rPr>
                  </w:pPr>
                  <w:r>
                    <w:rPr>
                      <w:rFonts w:hint="eastAsia"/>
                      <w:bCs/>
                      <w:color w:val="auto"/>
                      <w:szCs w:val="21"/>
                    </w:rPr>
                    <w:t>20t</w:t>
                  </w:r>
                </w:p>
              </w:tc>
              <w:tc>
                <w:tcPr>
                  <w:tcW w:w="916" w:type="dxa"/>
                </w:tcPr>
                <w:p w14:paraId="4BC8B4E8">
                  <w:pPr>
                    <w:jc w:val="center"/>
                    <w:rPr>
                      <w:rFonts w:hint="default" w:eastAsia="宋体"/>
                      <w:bCs/>
                      <w:color w:val="auto"/>
                      <w:szCs w:val="21"/>
                      <w:lang w:val="en-US" w:eastAsia="zh-CN"/>
                    </w:rPr>
                  </w:pPr>
                  <w:r>
                    <w:rPr>
                      <w:rFonts w:hint="eastAsia"/>
                      <w:bCs/>
                      <w:color w:val="auto"/>
                      <w:szCs w:val="21"/>
                      <w:lang w:val="en-US" w:eastAsia="zh-CN"/>
                    </w:rPr>
                    <w:t>2t</w:t>
                  </w:r>
                </w:p>
              </w:tc>
              <w:tc>
                <w:tcPr>
                  <w:tcW w:w="1293" w:type="dxa"/>
                </w:tcPr>
                <w:p w14:paraId="58095A17">
                  <w:pPr>
                    <w:jc w:val="center"/>
                    <w:rPr>
                      <w:bCs/>
                      <w:color w:val="auto"/>
                      <w:szCs w:val="21"/>
                    </w:rPr>
                  </w:pPr>
                  <w:r>
                    <w:rPr>
                      <w:rFonts w:hint="eastAsia"/>
                      <w:bCs/>
                      <w:color w:val="auto"/>
                      <w:szCs w:val="21"/>
                      <w:lang w:eastAsia="zh-CN"/>
                    </w:rPr>
                    <w:t>外购</w:t>
                  </w:r>
                  <w:r>
                    <w:rPr>
                      <w:rFonts w:hint="eastAsia"/>
                      <w:bCs/>
                      <w:color w:val="auto"/>
                      <w:szCs w:val="21"/>
                      <w:lang w:val="en-US" w:eastAsia="zh-CN"/>
                    </w:rPr>
                    <w:t>/袋装</w:t>
                  </w:r>
                </w:p>
              </w:tc>
              <w:tc>
                <w:tcPr>
                  <w:tcW w:w="2157" w:type="dxa"/>
                </w:tcPr>
                <w:p w14:paraId="08AD4F6A">
                  <w:pPr>
                    <w:jc w:val="center"/>
                    <w:rPr>
                      <w:bCs/>
                      <w:color w:val="auto"/>
                      <w:szCs w:val="21"/>
                    </w:rPr>
                  </w:pPr>
                  <w:r>
                    <w:rPr>
                      <w:rFonts w:hint="eastAsia"/>
                      <w:bCs/>
                      <w:color w:val="auto"/>
                      <w:szCs w:val="21"/>
                    </w:rPr>
                    <w:t>/</w:t>
                  </w:r>
                </w:p>
              </w:tc>
            </w:tr>
            <w:tr w14:paraId="5EE0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726" w:type="dxa"/>
                  <w:gridSpan w:val="6"/>
                  <w:vAlign w:val="center"/>
                </w:tcPr>
                <w:p w14:paraId="0957125C">
                  <w:pPr>
                    <w:jc w:val="center"/>
                    <w:rPr>
                      <w:rFonts w:hint="eastAsia"/>
                      <w:bCs/>
                      <w:color w:val="auto"/>
                      <w:szCs w:val="21"/>
                    </w:rPr>
                  </w:pPr>
                  <w:r>
                    <w:rPr>
                      <w:rFonts w:hint="eastAsia" w:ascii="Times New Roman" w:hAnsi="Times New Roman" w:eastAsia="宋体" w:cs="Times New Roman"/>
                      <w:b/>
                      <w:bCs/>
                      <w:color w:val="auto"/>
                      <w:sz w:val="21"/>
                      <w:szCs w:val="21"/>
                      <w:highlight w:val="none"/>
                      <w:lang w:val="en-US" w:eastAsia="zh-CN"/>
                    </w:rPr>
                    <w:t>二</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牛干巴</w:t>
                  </w:r>
                  <w:r>
                    <w:rPr>
                      <w:rFonts w:hint="default" w:ascii="Times New Roman" w:hAnsi="Times New Roman" w:eastAsia="宋体" w:cs="Times New Roman"/>
                      <w:b/>
                      <w:bCs/>
                      <w:color w:val="auto"/>
                      <w:sz w:val="21"/>
                      <w:szCs w:val="21"/>
                      <w:highlight w:val="none"/>
                      <w:lang w:val="en-US" w:eastAsia="zh-CN"/>
                    </w:rPr>
                    <w:t>生产主要原辅料</w:t>
                  </w:r>
                </w:p>
              </w:tc>
            </w:tr>
            <w:tr w14:paraId="3523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93" w:type="dxa"/>
                  <w:vAlign w:val="center"/>
                </w:tcPr>
                <w:p w14:paraId="3568E9F0">
                  <w:pPr>
                    <w:jc w:val="center"/>
                    <w:rPr>
                      <w:rFonts w:hint="default"/>
                      <w:bCs/>
                      <w:color w:val="auto"/>
                      <w:szCs w:val="21"/>
                      <w:lang w:val="en-US" w:eastAsia="zh-CN"/>
                    </w:rPr>
                  </w:pPr>
                  <w:r>
                    <w:rPr>
                      <w:rFonts w:hint="eastAsia"/>
                      <w:bCs/>
                      <w:color w:val="auto"/>
                      <w:szCs w:val="21"/>
                      <w:lang w:val="en-US" w:eastAsia="zh-CN"/>
                    </w:rPr>
                    <w:t>1</w:t>
                  </w:r>
                </w:p>
              </w:tc>
              <w:tc>
                <w:tcPr>
                  <w:tcW w:w="2405" w:type="dxa"/>
                  <w:vAlign w:val="center"/>
                </w:tcPr>
                <w:p w14:paraId="31C7814F">
                  <w:pPr>
                    <w:pStyle w:val="24"/>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color w:val="auto"/>
                      <w:szCs w:val="21"/>
                    </w:rPr>
                  </w:pPr>
                  <w:r>
                    <w:rPr>
                      <w:rFonts w:hint="default" w:ascii="Times New Roman" w:hAnsi="Times New Roman" w:eastAsia="宋体" w:cs="Times New Roman"/>
                      <w:color w:val="auto"/>
                      <w:sz w:val="21"/>
                      <w:szCs w:val="21"/>
                      <w:highlight w:val="none"/>
                      <w:vertAlign w:val="baseline"/>
                      <w:lang w:val="en-US" w:eastAsia="zh-CN"/>
                    </w:rPr>
                    <w:t>新鲜牛肉</w:t>
                  </w:r>
                  <w:r>
                    <w:rPr>
                      <w:rFonts w:hint="eastAsia" w:ascii="Times New Roman" w:hAnsi="Times New Roman" w:eastAsia="宋体" w:cs="Times New Roman"/>
                      <w:color w:val="auto"/>
                      <w:sz w:val="21"/>
                      <w:szCs w:val="21"/>
                      <w:highlight w:val="none"/>
                      <w:vertAlign w:val="baseline"/>
                      <w:lang w:val="en-US" w:eastAsia="zh-CN"/>
                    </w:rPr>
                    <w:t>（固态）</w:t>
                  </w:r>
                </w:p>
              </w:tc>
              <w:tc>
                <w:tcPr>
                  <w:tcW w:w="1262" w:type="dxa"/>
                  <w:vAlign w:val="center"/>
                </w:tcPr>
                <w:p w14:paraId="4EEBE8D7">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Cs/>
                      <w:color w:val="auto"/>
                      <w:szCs w:val="21"/>
                      <w:lang w:val="en-US" w:eastAsia="zh-CN"/>
                    </w:rPr>
                  </w:pPr>
                  <w:r>
                    <w:rPr>
                      <w:rFonts w:hint="default" w:ascii="Times New Roman" w:hAnsi="Times New Roman" w:eastAsia="宋体" w:cs="Times New Roman"/>
                      <w:color w:val="auto"/>
                      <w:sz w:val="21"/>
                      <w:szCs w:val="21"/>
                      <w:vertAlign w:val="baseline"/>
                      <w:lang w:val="en-US" w:eastAsia="zh-CN"/>
                    </w:rPr>
                    <w:t>697.4</w:t>
                  </w:r>
                  <w:r>
                    <w:rPr>
                      <w:rFonts w:hint="eastAsia" w:ascii="Times New Roman" w:hAnsi="Times New Roman" w:eastAsia="宋体" w:cs="Times New Roman"/>
                      <w:color w:val="auto"/>
                      <w:sz w:val="21"/>
                      <w:szCs w:val="21"/>
                      <w:vertAlign w:val="baseline"/>
                      <w:lang w:val="en-US" w:eastAsia="zh-CN"/>
                    </w:rPr>
                    <w:t>t</w:t>
                  </w:r>
                </w:p>
              </w:tc>
              <w:tc>
                <w:tcPr>
                  <w:tcW w:w="916" w:type="dxa"/>
                </w:tcPr>
                <w:p w14:paraId="53060B43">
                  <w:pPr>
                    <w:jc w:val="center"/>
                    <w:rPr>
                      <w:rFonts w:hint="default"/>
                      <w:bCs/>
                      <w:color w:val="auto"/>
                      <w:szCs w:val="21"/>
                      <w:lang w:val="en-US" w:eastAsia="zh-CN"/>
                    </w:rPr>
                  </w:pPr>
                  <w:r>
                    <w:rPr>
                      <w:rFonts w:hint="eastAsia"/>
                      <w:bCs/>
                      <w:color w:val="auto"/>
                      <w:szCs w:val="21"/>
                      <w:lang w:val="en-US" w:eastAsia="zh-CN"/>
                    </w:rPr>
                    <w:t>3t</w:t>
                  </w:r>
                </w:p>
              </w:tc>
              <w:tc>
                <w:tcPr>
                  <w:tcW w:w="1293" w:type="dxa"/>
                </w:tcPr>
                <w:p w14:paraId="5E0C85C4">
                  <w:pPr>
                    <w:jc w:val="center"/>
                    <w:rPr>
                      <w:rFonts w:hint="eastAsia"/>
                      <w:bCs/>
                      <w:color w:val="auto"/>
                      <w:szCs w:val="21"/>
                      <w:lang w:eastAsia="zh-CN"/>
                    </w:rPr>
                  </w:pPr>
                  <w:r>
                    <w:rPr>
                      <w:rFonts w:hint="eastAsia"/>
                      <w:bCs/>
                      <w:color w:val="auto"/>
                      <w:szCs w:val="21"/>
                      <w:lang w:eastAsia="zh-CN"/>
                    </w:rPr>
                    <w:t>外购</w:t>
                  </w:r>
                  <w:r>
                    <w:rPr>
                      <w:rFonts w:hint="eastAsia"/>
                      <w:bCs/>
                      <w:color w:val="auto"/>
                      <w:szCs w:val="21"/>
                      <w:lang w:val="en-US" w:eastAsia="zh-CN"/>
                    </w:rPr>
                    <w:t>/袋装</w:t>
                  </w:r>
                </w:p>
              </w:tc>
              <w:tc>
                <w:tcPr>
                  <w:tcW w:w="2157" w:type="dxa"/>
                </w:tcPr>
                <w:p w14:paraId="1360A075">
                  <w:pPr>
                    <w:jc w:val="center"/>
                    <w:rPr>
                      <w:rFonts w:hint="eastAsia" w:eastAsia="宋体"/>
                      <w:bCs/>
                      <w:color w:val="auto"/>
                      <w:szCs w:val="21"/>
                      <w:lang w:eastAsia="zh-CN"/>
                    </w:rPr>
                  </w:pPr>
                  <w:r>
                    <w:rPr>
                      <w:rFonts w:hint="eastAsia"/>
                      <w:bCs/>
                      <w:color w:val="auto"/>
                      <w:szCs w:val="21"/>
                      <w:lang w:val="en-US" w:eastAsia="zh-CN"/>
                    </w:rPr>
                    <w:t>/</w:t>
                  </w:r>
                </w:p>
              </w:tc>
            </w:tr>
            <w:tr w14:paraId="2E58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93" w:type="dxa"/>
                  <w:vAlign w:val="center"/>
                </w:tcPr>
                <w:p w14:paraId="75954D03">
                  <w:pPr>
                    <w:jc w:val="center"/>
                    <w:rPr>
                      <w:rFonts w:hint="default"/>
                      <w:bCs/>
                      <w:color w:val="auto"/>
                      <w:szCs w:val="21"/>
                      <w:lang w:val="en-US" w:eastAsia="zh-CN"/>
                    </w:rPr>
                  </w:pPr>
                  <w:r>
                    <w:rPr>
                      <w:rFonts w:hint="eastAsia"/>
                      <w:bCs/>
                      <w:color w:val="auto"/>
                      <w:szCs w:val="21"/>
                      <w:lang w:val="en-US" w:eastAsia="zh-CN"/>
                    </w:rPr>
                    <w:t>2</w:t>
                  </w:r>
                </w:p>
              </w:tc>
              <w:tc>
                <w:tcPr>
                  <w:tcW w:w="2405" w:type="dxa"/>
                  <w:vAlign w:val="center"/>
                </w:tcPr>
                <w:p w14:paraId="0D6B0D7F">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Cs/>
                      <w:color w:val="auto"/>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盐巴</w:t>
                  </w:r>
                  <w:r>
                    <w:rPr>
                      <w:rFonts w:hint="eastAsia" w:ascii="Times New Roman" w:hAnsi="Times New Roman" w:eastAsia="宋体" w:cs="Times New Roman"/>
                      <w:color w:val="auto"/>
                      <w:sz w:val="21"/>
                      <w:szCs w:val="21"/>
                      <w:highlight w:val="none"/>
                      <w:vertAlign w:val="baseline"/>
                      <w:lang w:val="en-US" w:eastAsia="zh-CN"/>
                    </w:rPr>
                    <w:t>（固态）</w:t>
                  </w:r>
                </w:p>
              </w:tc>
              <w:tc>
                <w:tcPr>
                  <w:tcW w:w="1262" w:type="dxa"/>
                  <w:vAlign w:val="center"/>
                </w:tcPr>
                <w:p w14:paraId="5B4C6E62">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Cs/>
                      <w:color w:val="auto"/>
                      <w:szCs w:val="21"/>
                      <w:lang w:val="en-US" w:eastAsia="zh-CN"/>
                    </w:rPr>
                  </w:pPr>
                  <w:r>
                    <w:rPr>
                      <w:rFonts w:hint="default" w:ascii="Times New Roman" w:hAnsi="Times New Roman" w:eastAsia="宋体" w:cs="Times New Roman"/>
                      <w:color w:val="auto"/>
                      <w:sz w:val="21"/>
                      <w:szCs w:val="21"/>
                      <w:vertAlign w:val="baseline"/>
                      <w:lang w:val="en-US" w:eastAsia="zh-CN"/>
                    </w:rPr>
                    <w:t>10.8</w:t>
                  </w:r>
                  <w:r>
                    <w:rPr>
                      <w:rFonts w:hint="eastAsia" w:ascii="Times New Roman" w:hAnsi="Times New Roman" w:eastAsia="宋体" w:cs="Times New Roman"/>
                      <w:color w:val="auto"/>
                      <w:sz w:val="21"/>
                      <w:szCs w:val="21"/>
                      <w:vertAlign w:val="baseline"/>
                      <w:lang w:val="en-US" w:eastAsia="zh-CN"/>
                    </w:rPr>
                    <w:t>t</w:t>
                  </w:r>
                </w:p>
              </w:tc>
              <w:tc>
                <w:tcPr>
                  <w:tcW w:w="916" w:type="dxa"/>
                </w:tcPr>
                <w:p w14:paraId="2D069BAE">
                  <w:pPr>
                    <w:jc w:val="center"/>
                    <w:rPr>
                      <w:rFonts w:hint="default"/>
                      <w:bCs/>
                      <w:color w:val="auto"/>
                      <w:szCs w:val="21"/>
                      <w:lang w:val="en-US" w:eastAsia="zh-CN"/>
                    </w:rPr>
                  </w:pPr>
                  <w:r>
                    <w:rPr>
                      <w:rFonts w:hint="eastAsia"/>
                      <w:bCs/>
                      <w:color w:val="auto"/>
                      <w:szCs w:val="21"/>
                      <w:lang w:val="en-US" w:eastAsia="zh-CN"/>
                    </w:rPr>
                    <w:t>0.5t</w:t>
                  </w:r>
                </w:p>
              </w:tc>
              <w:tc>
                <w:tcPr>
                  <w:tcW w:w="1293" w:type="dxa"/>
                </w:tcPr>
                <w:p w14:paraId="6911F195">
                  <w:pPr>
                    <w:jc w:val="center"/>
                    <w:rPr>
                      <w:rFonts w:hint="eastAsia"/>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2157" w:type="dxa"/>
                </w:tcPr>
                <w:p w14:paraId="31565013">
                  <w:pPr>
                    <w:jc w:val="center"/>
                    <w:rPr>
                      <w:rFonts w:hint="eastAsia" w:eastAsia="宋体"/>
                      <w:bCs/>
                      <w:color w:val="auto"/>
                      <w:szCs w:val="21"/>
                      <w:lang w:val="en-US" w:eastAsia="zh-CN"/>
                    </w:rPr>
                  </w:pPr>
                  <w:r>
                    <w:rPr>
                      <w:rFonts w:hint="eastAsia"/>
                      <w:bCs/>
                      <w:color w:val="auto"/>
                      <w:szCs w:val="21"/>
                      <w:lang w:val="en-US" w:eastAsia="zh-CN"/>
                    </w:rPr>
                    <w:t>/</w:t>
                  </w:r>
                </w:p>
              </w:tc>
            </w:tr>
            <w:tr w14:paraId="06CB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93" w:type="dxa"/>
                  <w:vAlign w:val="center"/>
                </w:tcPr>
                <w:p w14:paraId="1656D673">
                  <w:pPr>
                    <w:jc w:val="center"/>
                    <w:rPr>
                      <w:rFonts w:hint="default"/>
                      <w:bCs/>
                      <w:color w:val="auto"/>
                      <w:szCs w:val="21"/>
                      <w:lang w:val="en-US" w:eastAsia="zh-CN"/>
                    </w:rPr>
                  </w:pPr>
                  <w:r>
                    <w:rPr>
                      <w:rFonts w:hint="eastAsia"/>
                      <w:bCs/>
                      <w:color w:val="auto"/>
                      <w:szCs w:val="21"/>
                      <w:lang w:val="en-US" w:eastAsia="zh-CN"/>
                    </w:rPr>
                    <w:t>3</w:t>
                  </w:r>
                </w:p>
              </w:tc>
              <w:tc>
                <w:tcPr>
                  <w:tcW w:w="2405" w:type="dxa"/>
                  <w:vAlign w:val="center"/>
                </w:tcPr>
                <w:p w14:paraId="5DEF1620">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Cs/>
                      <w:color w:val="auto"/>
                      <w:szCs w:val="21"/>
                      <w:lang w:val="en-US" w:eastAsia="zh-CN"/>
                    </w:rPr>
                  </w:pPr>
                  <w:r>
                    <w:rPr>
                      <w:rFonts w:hint="default" w:ascii="Times New Roman" w:hAnsi="Times New Roman" w:eastAsia="宋体" w:cs="Times New Roman"/>
                      <w:color w:val="auto"/>
                      <w:sz w:val="21"/>
                      <w:szCs w:val="21"/>
                      <w:highlight w:val="none"/>
                      <w:vertAlign w:val="baseline"/>
                      <w:lang w:val="en-US" w:eastAsia="zh-CN"/>
                    </w:rPr>
                    <w:t>花椒</w:t>
                  </w:r>
                  <w:r>
                    <w:rPr>
                      <w:rFonts w:hint="eastAsia" w:ascii="Times New Roman" w:hAnsi="Times New Roman" w:eastAsia="宋体" w:cs="Times New Roman"/>
                      <w:color w:val="auto"/>
                      <w:sz w:val="21"/>
                      <w:szCs w:val="21"/>
                      <w:highlight w:val="none"/>
                      <w:vertAlign w:val="baseline"/>
                      <w:lang w:val="en-US" w:eastAsia="zh-CN"/>
                    </w:rPr>
                    <w:t>（固态）</w:t>
                  </w:r>
                </w:p>
              </w:tc>
              <w:tc>
                <w:tcPr>
                  <w:tcW w:w="1262" w:type="dxa"/>
                  <w:vAlign w:val="center"/>
                </w:tcPr>
                <w:p w14:paraId="2CE6AA22">
                  <w:pPr>
                    <w:keepNext w:val="0"/>
                    <w:keepLines w:val="0"/>
                    <w:pageBreakBefore w:val="0"/>
                    <w:widowControl w:val="0"/>
                    <w:kinsoku/>
                    <w:wordWrap/>
                    <w:overflowPunct/>
                    <w:topLinePunct w:val="0"/>
                    <w:autoSpaceDE/>
                    <w:autoSpaceDN/>
                    <w:bidi w:val="0"/>
                    <w:adjustRightInd/>
                    <w:snapToGrid/>
                    <w:spacing w:after="0" w:line="240" w:lineRule="auto"/>
                    <w:ind w:left="57" w:leftChars="0" w:firstLine="0" w:firstLineChars="0"/>
                    <w:jc w:val="center"/>
                    <w:textAlignment w:val="auto"/>
                    <w:rPr>
                      <w:rFonts w:hint="eastAsia"/>
                      <w:bCs/>
                      <w:color w:val="auto"/>
                      <w:szCs w:val="21"/>
                      <w:lang w:val="en-US" w:eastAsia="zh-CN"/>
                    </w:rPr>
                  </w:pPr>
                  <w:r>
                    <w:rPr>
                      <w:rFonts w:hint="default" w:ascii="Times New Roman" w:hAnsi="Times New Roman" w:eastAsia="宋体" w:cs="Times New Roman"/>
                      <w:color w:val="auto"/>
                      <w:sz w:val="21"/>
                      <w:szCs w:val="21"/>
                      <w:vertAlign w:val="baseline"/>
                      <w:lang w:val="en-US" w:eastAsia="zh-CN"/>
                    </w:rPr>
                    <w:t>1.8t</w:t>
                  </w:r>
                </w:p>
              </w:tc>
              <w:tc>
                <w:tcPr>
                  <w:tcW w:w="916" w:type="dxa"/>
                </w:tcPr>
                <w:p w14:paraId="08A00E8B">
                  <w:pPr>
                    <w:jc w:val="center"/>
                    <w:rPr>
                      <w:rFonts w:hint="default"/>
                      <w:bCs/>
                      <w:color w:val="auto"/>
                      <w:szCs w:val="21"/>
                      <w:lang w:val="en-US" w:eastAsia="zh-CN"/>
                    </w:rPr>
                  </w:pPr>
                  <w:r>
                    <w:rPr>
                      <w:rFonts w:hint="eastAsia"/>
                      <w:bCs/>
                      <w:color w:val="auto"/>
                      <w:szCs w:val="21"/>
                      <w:lang w:val="en-US" w:eastAsia="zh-CN"/>
                    </w:rPr>
                    <w:t>0.1t</w:t>
                  </w:r>
                </w:p>
              </w:tc>
              <w:tc>
                <w:tcPr>
                  <w:tcW w:w="1293" w:type="dxa"/>
                </w:tcPr>
                <w:p w14:paraId="349F4136">
                  <w:pPr>
                    <w:jc w:val="center"/>
                    <w:rPr>
                      <w:rFonts w:hint="eastAsia"/>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2157" w:type="dxa"/>
                </w:tcPr>
                <w:p w14:paraId="539A6068">
                  <w:pPr>
                    <w:jc w:val="center"/>
                    <w:rPr>
                      <w:rFonts w:hint="default"/>
                      <w:bCs/>
                      <w:color w:val="auto"/>
                      <w:szCs w:val="21"/>
                      <w:lang w:val="en-US" w:eastAsia="zh-CN"/>
                    </w:rPr>
                  </w:pPr>
                  <w:r>
                    <w:rPr>
                      <w:rFonts w:hint="eastAsia"/>
                      <w:bCs/>
                      <w:color w:val="auto"/>
                      <w:szCs w:val="21"/>
                      <w:lang w:val="en-US" w:eastAsia="zh-CN"/>
                    </w:rPr>
                    <w:t>/</w:t>
                  </w:r>
                </w:p>
              </w:tc>
            </w:tr>
            <w:tr w14:paraId="62DC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8726" w:type="dxa"/>
                  <w:gridSpan w:val="6"/>
                  <w:vAlign w:val="center"/>
                </w:tcPr>
                <w:p w14:paraId="4F4F24C8">
                  <w:pPr>
                    <w:jc w:val="center"/>
                    <w:rPr>
                      <w:rFonts w:hint="eastAsia"/>
                      <w:bCs/>
                      <w:color w:val="auto"/>
                      <w:szCs w:val="21"/>
                      <w:lang w:val="en-US" w:eastAsia="zh-CN"/>
                    </w:rPr>
                  </w:pPr>
                  <w:r>
                    <w:rPr>
                      <w:rFonts w:hint="eastAsia" w:ascii="Times New Roman" w:hAnsi="Times New Roman" w:eastAsia="宋体" w:cs="Times New Roman"/>
                      <w:b/>
                      <w:bCs/>
                      <w:color w:val="auto"/>
                      <w:sz w:val="21"/>
                      <w:szCs w:val="21"/>
                      <w:highlight w:val="none"/>
                      <w:lang w:val="en-US" w:eastAsia="zh-CN"/>
                    </w:rPr>
                    <w:t>三</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动物饲料油脂</w:t>
                  </w:r>
                  <w:r>
                    <w:rPr>
                      <w:rFonts w:hint="default" w:ascii="Times New Roman" w:hAnsi="Times New Roman" w:eastAsia="宋体" w:cs="Times New Roman"/>
                      <w:b/>
                      <w:bCs/>
                      <w:color w:val="auto"/>
                      <w:sz w:val="21"/>
                      <w:szCs w:val="21"/>
                      <w:highlight w:val="none"/>
                      <w:lang w:val="en-US" w:eastAsia="zh-CN"/>
                    </w:rPr>
                    <w:t>生产主要原辅料</w:t>
                  </w:r>
                </w:p>
              </w:tc>
            </w:tr>
            <w:tr w14:paraId="3E5C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3" w:type="dxa"/>
                  <w:vAlign w:val="center"/>
                </w:tcPr>
                <w:p w14:paraId="51AC4A5F">
                  <w:pPr>
                    <w:jc w:val="center"/>
                    <w:rPr>
                      <w:rFonts w:hint="default"/>
                      <w:bCs/>
                      <w:color w:val="auto"/>
                      <w:szCs w:val="21"/>
                      <w:lang w:val="en-US" w:eastAsia="zh-CN"/>
                    </w:rPr>
                  </w:pPr>
                  <w:r>
                    <w:rPr>
                      <w:rFonts w:hint="eastAsia"/>
                      <w:bCs/>
                      <w:color w:val="auto"/>
                      <w:szCs w:val="21"/>
                      <w:lang w:val="en-US" w:eastAsia="zh-CN"/>
                    </w:rPr>
                    <w:t>1</w:t>
                  </w:r>
                </w:p>
              </w:tc>
              <w:tc>
                <w:tcPr>
                  <w:tcW w:w="2405" w:type="dxa"/>
                  <w:vAlign w:val="center"/>
                </w:tcPr>
                <w:p w14:paraId="767F948C">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Cs/>
                      <w:color w:val="auto"/>
                      <w:szCs w:val="21"/>
                      <w:lang w:val="en-US" w:eastAsia="zh-CN"/>
                    </w:rPr>
                  </w:pPr>
                  <w:r>
                    <w:rPr>
                      <w:rFonts w:hint="eastAsia" w:ascii="Times New Roman" w:hAnsi="Times New Roman" w:eastAsia="宋体" w:cs="Times New Roman"/>
                      <w:color w:val="auto"/>
                      <w:sz w:val="21"/>
                      <w:szCs w:val="21"/>
                      <w:highlight w:val="none"/>
                      <w:vertAlign w:val="baseline"/>
                      <w:lang w:val="en-US" w:eastAsia="zh-CN"/>
                    </w:rPr>
                    <w:t>冷冻动物含油残渣（含鸡油、猪油、鸭油）</w:t>
                  </w:r>
                </w:p>
              </w:tc>
              <w:tc>
                <w:tcPr>
                  <w:tcW w:w="1262" w:type="dxa"/>
                </w:tcPr>
                <w:p w14:paraId="6242E5C3">
                  <w:pPr>
                    <w:jc w:val="center"/>
                    <w:rPr>
                      <w:rFonts w:hint="default"/>
                      <w:bCs/>
                      <w:color w:val="auto"/>
                      <w:szCs w:val="21"/>
                      <w:lang w:val="en-US" w:eastAsia="zh-CN"/>
                    </w:rPr>
                  </w:pPr>
                  <w:r>
                    <w:rPr>
                      <w:rFonts w:hint="eastAsia"/>
                      <w:bCs/>
                      <w:color w:val="auto"/>
                      <w:szCs w:val="21"/>
                      <w:lang w:val="en-US" w:eastAsia="zh-CN"/>
                    </w:rPr>
                    <w:t>3595.03</w:t>
                  </w:r>
                </w:p>
              </w:tc>
              <w:tc>
                <w:tcPr>
                  <w:tcW w:w="916" w:type="dxa"/>
                </w:tcPr>
                <w:p w14:paraId="7FFABF12">
                  <w:pPr>
                    <w:jc w:val="center"/>
                    <w:rPr>
                      <w:rFonts w:hint="default"/>
                      <w:bCs/>
                      <w:color w:val="auto"/>
                      <w:szCs w:val="21"/>
                      <w:lang w:val="en-US" w:eastAsia="zh-CN"/>
                    </w:rPr>
                  </w:pPr>
                  <w:r>
                    <w:rPr>
                      <w:rFonts w:hint="eastAsia"/>
                      <w:bCs/>
                      <w:color w:val="auto"/>
                      <w:szCs w:val="21"/>
                      <w:lang w:val="en-US" w:eastAsia="zh-CN"/>
                    </w:rPr>
                    <w:t>300t</w:t>
                  </w:r>
                </w:p>
              </w:tc>
              <w:tc>
                <w:tcPr>
                  <w:tcW w:w="1293" w:type="dxa"/>
                </w:tcPr>
                <w:p w14:paraId="5FFF04BD">
                  <w:pPr>
                    <w:jc w:val="center"/>
                    <w:rPr>
                      <w:rFonts w:hint="eastAsia"/>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2157" w:type="dxa"/>
                </w:tcPr>
                <w:p w14:paraId="60C2EDCA">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含水率约</w:t>
                  </w:r>
                  <w:r>
                    <w:rPr>
                      <w:rFonts w:hint="default" w:ascii="Times New Roman" w:hAnsi="Times New Roman" w:eastAsia="宋体" w:cs="Times New Roman"/>
                      <w:color w:val="auto"/>
                      <w:sz w:val="21"/>
                      <w:szCs w:val="21"/>
                      <w:highlight w:val="none"/>
                      <w:vertAlign w:val="baseline"/>
                      <w:lang w:val="en-US" w:eastAsia="zh-CN"/>
                    </w:rPr>
                    <w:t>38%</w:t>
                  </w:r>
                  <w:r>
                    <w:rPr>
                      <w:rFonts w:hint="eastAsia" w:ascii="Times New Roman" w:hAnsi="Times New Roman" w:eastAsia="宋体" w:cs="Times New Roman"/>
                      <w:color w:val="auto"/>
                      <w:sz w:val="21"/>
                      <w:szCs w:val="21"/>
                      <w:highlight w:val="none"/>
                      <w:vertAlign w:val="baseline"/>
                      <w:lang w:val="en-US" w:eastAsia="zh-CN"/>
                    </w:rPr>
                    <w:t>，存放</w:t>
                  </w:r>
                </w:p>
                <w:p w14:paraId="49BF73BF">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于冷库，解冻后使用</w:t>
                  </w:r>
                </w:p>
              </w:tc>
            </w:tr>
            <w:tr w14:paraId="1EAD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93" w:type="dxa"/>
                  <w:vAlign w:val="center"/>
                </w:tcPr>
                <w:p w14:paraId="70766EAF">
                  <w:pPr>
                    <w:jc w:val="center"/>
                    <w:rPr>
                      <w:rFonts w:hint="default"/>
                      <w:bCs/>
                      <w:color w:val="auto"/>
                      <w:szCs w:val="21"/>
                      <w:lang w:val="en-US" w:eastAsia="zh-CN"/>
                    </w:rPr>
                  </w:pPr>
                  <w:r>
                    <w:rPr>
                      <w:rFonts w:hint="eastAsia"/>
                      <w:bCs/>
                      <w:color w:val="auto"/>
                      <w:szCs w:val="21"/>
                      <w:lang w:val="en-US" w:eastAsia="zh-CN"/>
                    </w:rPr>
                    <w:t>2</w:t>
                  </w:r>
                </w:p>
              </w:tc>
              <w:tc>
                <w:tcPr>
                  <w:tcW w:w="2405" w:type="dxa"/>
                  <w:vAlign w:val="center"/>
                </w:tcPr>
                <w:p w14:paraId="212B9B3E">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Cs/>
                      <w:color w:val="auto"/>
                      <w:szCs w:val="21"/>
                      <w:lang w:val="en-US" w:eastAsia="zh-CN"/>
                    </w:rPr>
                  </w:pPr>
                  <w:r>
                    <w:rPr>
                      <w:rFonts w:hint="eastAsia" w:ascii="Times New Roman" w:hAnsi="Times New Roman" w:eastAsia="宋体" w:cs="Times New Roman"/>
                      <w:color w:val="auto"/>
                      <w:sz w:val="21"/>
                      <w:szCs w:val="21"/>
                      <w:highlight w:val="none"/>
                      <w:vertAlign w:val="baseline"/>
                      <w:lang w:val="en-US" w:eastAsia="zh-CN"/>
                    </w:rPr>
                    <w:t>鲜动物含油残渣（含鸡油、猪油、鸭油）</w:t>
                  </w:r>
                </w:p>
              </w:tc>
              <w:tc>
                <w:tcPr>
                  <w:tcW w:w="1262" w:type="dxa"/>
                </w:tcPr>
                <w:p w14:paraId="7844D395">
                  <w:pPr>
                    <w:jc w:val="center"/>
                    <w:rPr>
                      <w:rFonts w:hint="default"/>
                      <w:bCs/>
                      <w:color w:val="auto"/>
                      <w:szCs w:val="21"/>
                      <w:lang w:val="en-US" w:eastAsia="zh-CN"/>
                    </w:rPr>
                  </w:pPr>
                  <w:r>
                    <w:rPr>
                      <w:rFonts w:hint="eastAsia"/>
                      <w:bCs/>
                      <w:color w:val="auto"/>
                      <w:szCs w:val="21"/>
                      <w:lang w:val="en-US" w:eastAsia="zh-CN"/>
                    </w:rPr>
                    <w:t>1743.59</w:t>
                  </w:r>
                </w:p>
              </w:tc>
              <w:tc>
                <w:tcPr>
                  <w:tcW w:w="916" w:type="dxa"/>
                </w:tcPr>
                <w:p w14:paraId="67AD5752">
                  <w:pPr>
                    <w:jc w:val="center"/>
                    <w:rPr>
                      <w:rFonts w:hint="default"/>
                      <w:bCs/>
                      <w:color w:val="auto"/>
                      <w:szCs w:val="21"/>
                      <w:lang w:val="en-US" w:eastAsia="zh-CN"/>
                    </w:rPr>
                  </w:pPr>
                  <w:r>
                    <w:rPr>
                      <w:rFonts w:hint="eastAsia"/>
                      <w:bCs/>
                      <w:color w:val="auto"/>
                      <w:szCs w:val="21"/>
                      <w:lang w:val="en-US" w:eastAsia="zh-CN"/>
                    </w:rPr>
                    <w:t>100t</w:t>
                  </w:r>
                </w:p>
              </w:tc>
              <w:tc>
                <w:tcPr>
                  <w:tcW w:w="1293" w:type="dxa"/>
                </w:tcPr>
                <w:p w14:paraId="4F193584">
                  <w:pPr>
                    <w:jc w:val="center"/>
                    <w:rPr>
                      <w:rFonts w:hint="eastAsia"/>
                      <w:bCs/>
                      <w:color w:val="auto"/>
                      <w:szCs w:val="21"/>
                      <w:lang w:val="en-US" w:eastAsia="zh-CN"/>
                    </w:rPr>
                  </w:pPr>
                  <w:r>
                    <w:rPr>
                      <w:rFonts w:hint="eastAsia"/>
                      <w:bCs/>
                      <w:color w:val="auto"/>
                      <w:szCs w:val="21"/>
                      <w:lang w:eastAsia="zh-CN"/>
                    </w:rPr>
                    <w:t>外购</w:t>
                  </w:r>
                  <w:r>
                    <w:rPr>
                      <w:rFonts w:hint="eastAsia"/>
                      <w:bCs/>
                      <w:color w:val="auto"/>
                      <w:szCs w:val="21"/>
                      <w:lang w:val="en-US" w:eastAsia="zh-CN"/>
                    </w:rPr>
                    <w:t>/袋装</w:t>
                  </w:r>
                </w:p>
              </w:tc>
              <w:tc>
                <w:tcPr>
                  <w:tcW w:w="2157" w:type="dxa"/>
                </w:tcPr>
                <w:p w14:paraId="6314266F">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含水率约</w:t>
                  </w:r>
                  <w:r>
                    <w:rPr>
                      <w:rFonts w:hint="default" w:ascii="Times New Roman" w:hAnsi="Times New Roman" w:eastAsia="宋体" w:cs="Times New Roman"/>
                      <w:color w:val="auto"/>
                      <w:sz w:val="21"/>
                      <w:szCs w:val="21"/>
                      <w:highlight w:val="none"/>
                      <w:vertAlign w:val="baseline"/>
                      <w:lang w:val="en-US" w:eastAsia="zh-CN"/>
                    </w:rPr>
                    <w:t>35%</w:t>
                  </w:r>
                  <w:r>
                    <w:rPr>
                      <w:rFonts w:hint="eastAsia" w:ascii="Times New Roman" w:hAnsi="Times New Roman" w:eastAsia="宋体" w:cs="Times New Roman"/>
                      <w:color w:val="auto"/>
                      <w:sz w:val="21"/>
                      <w:szCs w:val="21"/>
                      <w:highlight w:val="none"/>
                      <w:vertAlign w:val="baseline"/>
                      <w:lang w:val="en-US" w:eastAsia="zh-CN"/>
                    </w:rPr>
                    <w:t>，冷库</w:t>
                  </w:r>
                </w:p>
                <w:p w14:paraId="007E9969">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暂存或进货直接使用</w:t>
                  </w:r>
                </w:p>
              </w:tc>
            </w:tr>
            <w:tr w14:paraId="2B9A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26" w:type="dxa"/>
                  <w:gridSpan w:val="6"/>
                  <w:vAlign w:val="center"/>
                </w:tcPr>
                <w:p w14:paraId="46252702">
                  <w:pPr>
                    <w:jc w:val="center"/>
                    <w:rPr>
                      <w:rFonts w:hint="eastAsia"/>
                      <w:bCs/>
                      <w:color w:val="auto"/>
                      <w:szCs w:val="21"/>
                    </w:rPr>
                  </w:pPr>
                  <w:r>
                    <w:rPr>
                      <w:rFonts w:hint="eastAsia" w:ascii="Times New Roman" w:hAnsi="Times New Roman" w:eastAsia="宋体" w:cs="Times New Roman"/>
                      <w:b/>
                      <w:bCs/>
                      <w:color w:val="auto"/>
                      <w:sz w:val="21"/>
                      <w:szCs w:val="21"/>
                      <w:highlight w:val="none"/>
                      <w:lang w:val="en-US" w:eastAsia="zh-CN"/>
                    </w:rPr>
                    <w:t>四</w:t>
                  </w:r>
                  <w:r>
                    <w:rPr>
                      <w:rFonts w:hint="default" w:ascii="Times New Roman" w:hAnsi="Times New Roman" w:eastAsia="宋体" w:cs="Times New Roman"/>
                      <w:b/>
                      <w:bCs/>
                      <w:color w:val="auto"/>
                      <w:sz w:val="21"/>
                      <w:szCs w:val="21"/>
                      <w:highlight w:val="none"/>
                      <w:lang w:val="en-US" w:eastAsia="zh-CN"/>
                    </w:rPr>
                    <w:t>、其它及能耗消耗</w:t>
                  </w:r>
                </w:p>
              </w:tc>
            </w:tr>
            <w:tr w14:paraId="33F7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93" w:type="dxa"/>
                  <w:vMerge w:val="restart"/>
                  <w:vAlign w:val="center"/>
                </w:tcPr>
                <w:p w14:paraId="0B91DD4F">
                  <w:pPr>
                    <w:jc w:val="center"/>
                    <w:rPr>
                      <w:rFonts w:hint="eastAsia" w:eastAsia="宋体"/>
                      <w:bCs/>
                      <w:color w:val="auto"/>
                      <w:szCs w:val="21"/>
                      <w:lang w:val="en-US" w:eastAsia="zh-CN"/>
                    </w:rPr>
                  </w:pPr>
                  <w:r>
                    <w:rPr>
                      <w:rFonts w:hint="eastAsia"/>
                      <w:bCs/>
                      <w:color w:val="auto"/>
                      <w:szCs w:val="21"/>
                      <w:lang w:val="en-US" w:eastAsia="zh-CN"/>
                    </w:rPr>
                    <w:t>1</w:t>
                  </w:r>
                </w:p>
              </w:tc>
              <w:tc>
                <w:tcPr>
                  <w:tcW w:w="2405" w:type="dxa"/>
                  <w:vAlign w:val="center"/>
                </w:tcPr>
                <w:p w14:paraId="6EADDA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bCs/>
                      <w:color w:val="auto"/>
                      <w:szCs w:val="21"/>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新鲜水</w:t>
                  </w:r>
                </w:p>
              </w:tc>
              <w:tc>
                <w:tcPr>
                  <w:tcW w:w="2178" w:type="dxa"/>
                  <w:gridSpan w:val="2"/>
                  <w:vAlign w:val="center"/>
                </w:tcPr>
                <w:p w14:paraId="52A64F60">
                  <w:pPr>
                    <w:jc w:val="center"/>
                    <w:rPr>
                      <w:rFonts w:hint="default" w:eastAsia="宋体"/>
                      <w:bCs/>
                      <w:color w:val="auto"/>
                      <w:szCs w:val="21"/>
                      <w:lang w:val="en-US" w:eastAsia="zh-CN"/>
                    </w:rPr>
                  </w:pPr>
                  <w:r>
                    <w:rPr>
                      <w:rFonts w:hint="eastAsia" w:cs="Times New Roman"/>
                      <w:i w:val="0"/>
                      <w:iCs w:val="0"/>
                      <w:color w:val="auto"/>
                      <w:kern w:val="0"/>
                      <w:sz w:val="21"/>
                      <w:szCs w:val="21"/>
                      <w:highlight w:val="none"/>
                      <w:u w:val="none"/>
                      <w:lang w:val="en-US" w:eastAsia="zh-CN" w:bidi="ar"/>
                    </w:rPr>
                    <w:t>13102.7194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1293" w:type="dxa"/>
                  <w:vAlign w:val="center"/>
                </w:tcPr>
                <w:p w14:paraId="723704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bCs/>
                      <w:color w:val="auto"/>
                      <w:szCs w:val="21"/>
                    </w:rPr>
                  </w:pPr>
                  <w:r>
                    <w:rPr>
                      <w:rFonts w:hint="default" w:ascii="Times New Roman" w:hAnsi="Times New Roman" w:eastAsia="宋体" w:cs="Times New Roman"/>
                      <w:color w:val="auto"/>
                      <w:sz w:val="21"/>
                      <w:szCs w:val="21"/>
                      <w:highlight w:val="none"/>
                      <w:lang w:val="en-US" w:eastAsia="zh-CN"/>
                    </w:rPr>
                    <w:t>市政管网</w:t>
                  </w:r>
                </w:p>
              </w:tc>
              <w:tc>
                <w:tcPr>
                  <w:tcW w:w="2157" w:type="dxa"/>
                </w:tcPr>
                <w:p w14:paraId="5CA1E6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2C32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3" w:type="dxa"/>
                  <w:vMerge w:val="continue"/>
                  <w:vAlign w:val="center"/>
                </w:tcPr>
                <w:p w14:paraId="7FC2009A">
                  <w:pPr>
                    <w:jc w:val="center"/>
                    <w:rPr>
                      <w:bCs/>
                      <w:color w:val="auto"/>
                      <w:szCs w:val="21"/>
                    </w:rPr>
                  </w:pPr>
                </w:p>
              </w:tc>
              <w:tc>
                <w:tcPr>
                  <w:tcW w:w="2405" w:type="dxa"/>
                  <w:vAlign w:val="center"/>
                </w:tcPr>
                <w:p w14:paraId="2FF12D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bCs/>
                      <w:color w:val="auto"/>
                      <w:szCs w:val="21"/>
                    </w:rPr>
                  </w:pPr>
                  <w:r>
                    <w:rPr>
                      <w:rFonts w:hint="default" w:ascii="Times New Roman" w:hAnsi="Times New Roman" w:eastAsia="宋体" w:cs="Times New Roman"/>
                      <w:color w:val="auto"/>
                      <w:sz w:val="21"/>
                      <w:szCs w:val="21"/>
                      <w:highlight w:val="none"/>
                      <w:lang w:eastAsia="zh-CN"/>
                    </w:rPr>
                    <w:t>生活新鲜水</w:t>
                  </w:r>
                </w:p>
              </w:tc>
              <w:tc>
                <w:tcPr>
                  <w:tcW w:w="2178" w:type="dxa"/>
                  <w:gridSpan w:val="2"/>
                  <w:vAlign w:val="center"/>
                </w:tcPr>
                <w:p w14:paraId="2E710F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bCs/>
                      <w:color w:val="auto"/>
                      <w:szCs w:val="21"/>
                    </w:rPr>
                  </w:pPr>
                  <w:r>
                    <w:rPr>
                      <w:rFonts w:hint="eastAsia"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p w14:paraId="3AB3BFD2">
                  <w:pPr>
                    <w:jc w:val="both"/>
                    <w:rPr>
                      <w:rFonts w:hint="default" w:eastAsia="宋体"/>
                      <w:bCs/>
                      <w:color w:val="auto"/>
                      <w:szCs w:val="21"/>
                      <w:lang w:val="en-US" w:eastAsia="zh-CN"/>
                    </w:rPr>
                  </w:pPr>
                </w:p>
              </w:tc>
              <w:tc>
                <w:tcPr>
                  <w:tcW w:w="1293" w:type="dxa"/>
                  <w:vAlign w:val="center"/>
                </w:tcPr>
                <w:p w14:paraId="205C5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eastAsia="宋体"/>
                      <w:bCs/>
                      <w:color w:val="auto"/>
                      <w:szCs w:val="21"/>
                      <w:lang w:val="en-US" w:eastAsia="zh-CN"/>
                    </w:rPr>
                  </w:pPr>
                  <w:r>
                    <w:rPr>
                      <w:rFonts w:hint="default" w:ascii="Times New Roman" w:hAnsi="Times New Roman" w:eastAsia="宋体" w:cs="Times New Roman"/>
                      <w:color w:val="auto"/>
                      <w:sz w:val="21"/>
                      <w:szCs w:val="21"/>
                      <w:highlight w:val="none"/>
                      <w:lang w:val="en-US" w:eastAsia="zh-CN"/>
                    </w:rPr>
                    <w:t>市政管网</w:t>
                  </w:r>
                </w:p>
              </w:tc>
              <w:tc>
                <w:tcPr>
                  <w:tcW w:w="2157" w:type="dxa"/>
                </w:tcPr>
                <w:p w14:paraId="75EDD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32F0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3" w:type="dxa"/>
                  <w:vAlign w:val="center"/>
                </w:tcPr>
                <w:p w14:paraId="4C3F3138">
                  <w:pPr>
                    <w:jc w:val="center"/>
                    <w:rPr>
                      <w:rFonts w:hint="eastAsia" w:eastAsia="宋体"/>
                      <w:bCs/>
                      <w:color w:val="auto"/>
                      <w:szCs w:val="21"/>
                      <w:lang w:val="en-US" w:eastAsia="zh-CN"/>
                    </w:rPr>
                  </w:pPr>
                  <w:r>
                    <w:rPr>
                      <w:rFonts w:hint="eastAsia"/>
                      <w:bCs/>
                      <w:color w:val="auto"/>
                      <w:szCs w:val="21"/>
                      <w:lang w:val="en-US" w:eastAsia="zh-CN"/>
                    </w:rPr>
                    <w:t>2</w:t>
                  </w:r>
                </w:p>
              </w:tc>
              <w:tc>
                <w:tcPr>
                  <w:tcW w:w="2405" w:type="dxa"/>
                  <w:vAlign w:val="center"/>
                </w:tcPr>
                <w:p w14:paraId="7A1E4F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bCs/>
                      <w:color w:val="auto"/>
                      <w:szCs w:val="21"/>
                    </w:rPr>
                  </w:pPr>
                  <w:r>
                    <w:rPr>
                      <w:rFonts w:hint="default" w:ascii="Times New Roman" w:hAnsi="Times New Roman" w:eastAsia="宋体" w:cs="Times New Roman"/>
                      <w:color w:val="auto"/>
                      <w:sz w:val="21"/>
                      <w:szCs w:val="21"/>
                      <w:highlight w:val="none"/>
                    </w:rPr>
                    <w:t>电</w:t>
                  </w:r>
                </w:p>
              </w:tc>
              <w:tc>
                <w:tcPr>
                  <w:tcW w:w="2178" w:type="dxa"/>
                  <w:gridSpan w:val="2"/>
                  <w:vAlign w:val="center"/>
                </w:tcPr>
                <w:p w14:paraId="300E2D67">
                  <w:pPr>
                    <w:jc w:val="center"/>
                    <w:rPr>
                      <w:rFonts w:hint="eastAsia"/>
                      <w:bCs/>
                      <w:color w:val="auto"/>
                      <w:szCs w:val="21"/>
                      <w:lang w:val="en-US" w:eastAsia="zh-CN"/>
                    </w:rPr>
                  </w:pPr>
                  <w:r>
                    <w:rPr>
                      <w:rFonts w:hint="default" w:ascii="Times New Roman" w:hAnsi="Times New Roman"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kW·h</w:t>
                  </w:r>
                </w:p>
              </w:tc>
              <w:tc>
                <w:tcPr>
                  <w:tcW w:w="1293" w:type="dxa"/>
                  <w:vAlign w:val="center"/>
                </w:tcPr>
                <w:p w14:paraId="785E3E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bCs/>
                      <w:color w:val="auto"/>
                      <w:szCs w:val="21"/>
                      <w:lang w:val="en-US" w:eastAsia="zh-CN"/>
                    </w:rPr>
                  </w:pPr>
                  <w:r>
                    <w:rPr>
                      <w:rFonts w:hint="default" w:ascii="Times New Roman" w:hAnsi="Times New Roman" w:eastAsia="宋体" w:cs="Times New Roman"/>
                      <w:color w:val="auto"/>
                      <w:sz w:val="21"/>
                      <w:szCs w:val="21"/>
                      <w:highlight w:val="none"/>
                      <w:lang w:val="en-US" w:eastAsia="zh-CN"/>
                    </w:rPr>
                    <w:t>市政电网接入</w:t>
                  </w:r>
                </w:p>
              </w:tc>
              <w:tc>
                <w:tcPr>
                  <w:tcW w:w="2157" w:type="dxa"/>
                </w:tcPr>
                <w:p w14:paraId="750B9D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1651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3" w:type="dxa"/>
                  <w:vAlign w:val="center"/>
                </w:tcPr>
                <w:p w14:paraId="03170074">
                  <w:pPr>
                    <w:jc w:val="center"/>
                    <w:rPr>
                      <w:rFonts w:hint="eastAsia" w:eastAsia="宋体"/>
                      <w:bCs/>
                      <w:color w:val="auto"/>
                      <w:szCs w:val="21"/>
                      <w:lang w:val="en-US" w:eastAsia="zh-CN"/>
                    </w:rPr>
                  </w:pPr>
                  <w:r>
                    <w:rPr>
                      <w:rFonts w:hint="eastAsia"/>
                      <w:bCs/>
                      <w:color w:val="auto"/>
                      <w:szCs w:val="21"/>
                      <w:lang w:val="en-US" w:eastAsia="zh-CN"/>
                    </w:rPr>
                    <w:t>3</w:t>
                  </w:r>
                </w:p>
              </w:tc>
              <w:tc>
                <w:tcPr>
                  <w:tcW w:w="2405" w:type="dxa"/>
                  <w:vAlign w:val="center"/>
                </w:tcPr>
                <w:p w14:paraId="2BF6CE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bCs/>
                      <w:color w:val="auto"/>
                      <w:szCs w:val="21"/>
                    </w:rPr>
                  </w:pPr>
                  <w:r>
                    <w:rPr>
                      <w:rFonts w:hint="default" w:ascii="Times New Roman" w:hAnsi="Times New Roman" w:eastAsia="宋体" w:cs="Times New Roman"/>
                      <w:color w:val="auto"/>
                      <w:sz w:val="21"/>
                      <w:szCs w:val="21"/>
                      <w:highlight w:val="none"/>
                      <w:lang w:val="en-US" w:eastAsia="zh-CN"/>
                    </w:rPr>
                    <w:t>生物质</w:t>
                  </w:r>
                </w:p>
              </w:tc>
              <w:tc>
                <w:tcPr>
                  <w:tcW w:w="1262" w:type="dxa"/>
                  <w:vAlign w:val="center"/>
                </w:tcPr>
                <w:p w14:paraId="343D93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bCs/>
                      <w:color w:val="auto"/>
                      <w:szCs w:val="21"/>
                      <w:lang w:val="en-US"/>
                    </w:rPr>
                  </w:pPr>
                  <w:r>
                    <w:rPr>
                      <w:rFonts w:hint="eastAsia" w:cs="Times New Roman"/>
                      <w:color w:val="auto"/>
                      <w:sz w:val="21"/>
                      <w:szCs w:val="21"/>
                      <w:highlight w:val="none"/>
                      <w:lang w:val="en-US" w:eastAsia="zh-CN"/>
                    </w:rPr>
                    <w:t>6711.6788</w:t>
                  </w:r>
                  <w:r>
                    <w:rPr>
                      <w:rFonts w:hint="default" w:ascii="Times New Roman" w:hAnsi="Times New Roman" w:eastAsia="宋体" w:cs="Times New Roman"/>
                      <w:color w:val="auto"/>
                      <w:sz w:val="21"/>
                      <w:szCs w:val="21"/>
                      <w:highlight w:val="none"/>
                    </w:rPr>
                    <w:t>t</w:t>
                  </w:r>
                </w:p>
              </w:tc>
              <w:tc>
                <w:tcPr>
                  <w:tcW w:w="916" w:type="dxa"/>
                </w:tcPr>
                <w:p w14:paraId="14BF9E97">
                  <w:pPr>
                    <w:jc w:val="center"/>
                    <w:rPr>
                      <w:rFonts w:hint="default"/>
                      <w:bCs/>
                      <w:color w:val="auto"/>
                      <w:szCs w:val="21"/>
                      <w:lang w:val="en-US" w:eastAsia="zh-CN"/>
                    </w:rPr>
                  </w:pPr>
                  <w:r>
                    <w:rPr>
                      <w:rFonts w:hint="eastAsia"/>
                      <w:bCs/>
                      <w:color w:val="auto"/>
                      <w:szCs w:val="21"/>
                      <w:lang w:val="en-US" w:eastAsia="zh-CN"/>
                    </w:rPr>
                    <w:t>100t</w:t>
                  </w:r>
                </w:p>
              </w:tc>
              <w:tc>
                <w:tcPr>
                  <w:tcW w:w="1293" w:type="dxa"/>
                </w:tcPr>
                <w:p w14:paraId="05E5714A">
                  <w:pPr>
                    <w:jc w:val="center"/>
                    <w:rPr>
                      <w:rFonts w:hint="eastAsia"/>
                      <w:bCs/>
                      <w:color w:val="auto"/>
                      <w:szCs w:val="21"/>
                      <w:lang w:val="en-US" w:eastAsia="zh-CN"/>
                    </w:rPr>
                  </w:pPr>
                  <w:r>
                    <w:rPr>
                      <w:rFonts w:hint="eastAsia"/>
                      <w:bCs/>
                      <w:color w:val="auto"/>
                      <w:szCs w:val="21"/>
                      <w:lang w:val="en-US" w:eastAsia="zh-CN"/>
                    </w:rPr>
                    <w:t>提供热量</w:t>
                  </w:r>
                </w:p>
              </w:tc>
              <w:tc>
                <w:tcPr>
                  <w:tcW w:w="2157" w:type="dxa"/>
                  <w:vAlign w:val="top"/>
                </w:tcPr>
                <w:p w14:paraId="3DA6697B">
                  <w:pPr>
                    <w:jc w:val="center"/>
                    <w:rPr>
                      <w:rFonts w:hint="eastAsia" w:eastAsia="宋体"/>
                      <w:bCs/>
                      <w:color w:val="auto"/>
                      <w:szCs w:val="21"/>
                      <w:lang w:eastAsia="zh-CN"/>
                    </w:rPr>
                  </w:pPr>
                  <w:r>
                    <w:rPr>
                      <w:rFonts w:hint="eastAsia"/>
                      <w:bCs/>
                      <w:color w:val="auto"/>
                      <w:szCs w:val="21"/>
                      <w:lang w:val="en-US" w:eastAsia="zh-CN"/>
                    </w:rPr>
                    <w:t>/</w:t>
                  </w:r>
                </w:p>
              </w:tc>
            </w:tr>
            <w:tr w14:paraId="796C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3" w:type="dxa"/>
                  <w:vAlign w:val="center"/>
                </w:tcPr>
                <w:p w14:paraId="3E13C99D">
                  <w:pPr>
                    <w:jc w:val="center"/>
                    <w:rPr>
                      <w:rFonts w:hint="eastAsia" w:eastAsia="宋体"/>
                      <w:bCs/>
                      <w:color w:val="auto"/>
                      <w:szCs w:val="21"/>
                      <w:lang w:val="en-US" w:eastAsia="zh-CN"/>
                    </w:rPr>
                  </w:pPr>
                  <w:r>
                    <w:rPr>
                      <w:rFonts w:hint="eastAsia"/>
                      <w:bCs/>
                      <w:color w:val="auto"/>
                      <w:szCs w:val="21"/>
                      <w:lang w:val="en-US" w:eastAsia="zh-CN"/>
                    </w:rPr>
                    <w:t>4</w:t>
                  </w:r>
                </w:p>
              </w:tc>
              <w:tc>
                <w:tcPr>
                  <w:tcW w:w="2405" w:type="dxa"/>
                  <w:vAlign w:val="center"/>
                </w:tcPr>
                <w:p w14:paraId="607870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bCs/>
                      <w:color w:val="auto"/>
                      <w:szCs w:val="21"/>
                    </w:rPr>
                  </w:pPr>
                  <w:r>
                    <w:rPr>
                      <w:rFonts w:hint="default" w:ascii="Times New Roman" w:hAnsi="Times New Roman" w:eastAsia="宋体" w:cs="Times New Roman"/>
                      <w:color w:val="auto"/>
                      <w:sz w:val="21"/>
                      <w:szCs w:val="21"/>
                      <w:highlight w:val="none"/>
                      <w:lang w:val="en-US" w:eastAsia="zh-CN"/>
                    </w:rPr>
                    <w:t>制冷剂R404a</w:t>
                  </w:r>
                </w:p>
              </w:tc>
              <w:tc>
                <w:tcPr>
                  <w:tcW w:w="2178" w:type="dxa"/>
                  <w:gridSpan w:val="2"/>
                  <w:vAlign w:val="center"/>
                </w:tcPr>
                <w:p w14:paraId="01E95315">
                  <w:pPr>
                    <w:jc w:val="center"/>
                    <w:rPr>
                      <w:rFonts w:hint="eastAsia"/>
                      <w:bCs/>
                      <w:color w:val="auto"/>
                      <w:szCs w:val="21"/>
                      <w:lang w:val="en-US" w:eastAsia="zh-CN"/>
                    </w:rPr>
                  </w:pPr>
                  <w:r>
                    <w:rPr>
                      <w:rFonts w:hint="default" w:ascii="Times New Roman" w:hAnsi="Times New Roman" w:eastAsia="宋体" w:cs="Times New Roman"/>
                      <w:color w:val="auto"/>
                      <w:sz w:val="21"/>
                      <w:szCs w:val="21"/>
                      <w:highlight w:val="none"/>
                      <w:lang w:val="en-US" w:eastAsia="zh-CN"/>
                    </w:rPr>
                    <w:t>0.5t</w:t>
                  </w:r>
                </w:p>
              </w:tc>
              <w:tc>
                <w:tcPr>
                  <w:tcW w:w="1293" w:type="dxa"/>
                </w:tcPr>
                <w:p w14:paraId="2DB902C1">
                  <w:pPr>
                    <w:jc w:val="center"/>
                    <w:rPr>
                      <w:rFonts w:hint="eastAsia"/>
                      <w:bCs/>
                      <w:color w:val="auto"/>
                      <w:szCs w:val="21"/>
                      <w:lang w:val="en-US" w:eastAsia="zh-CN"/>
                    </w:rPr>
                  </w:pPr>
                  <w:r>
                    <w:rPr>
                      <w:rFonts w:hint="default" w:ascii="Times New Roman" w:hAnsi="Times New Roman" w:eastAsia="宋体" w:cs="Times New Roman"/>
                      <w:bCs/>
                      <w:color w:val="auto"/>
                      <w:szCs w:val="21"/>
                      <w:highlight w:val="none"/>
                      <w:lang w:val="en-US" w:eastAsia="zh-CN"/>
                    </w:rPr>
                    <w:t>冷库制冷。</w:t>
                  </w:r>
                </w:p>
              </w:tc>
              <w:tc>
                <w:tcPr>
                  <w:tcW w:w="2157" w:type="dxa"/>
                  <w:vAlign w:val="top"/>
                </w:tcPr>
                <w:p w14:paraId="407FE53F">
                  <w:pPr>
                    <w:jc w:val="center"/>
                    <w:rPr>
                      <w:rFonts w:hint="eastAsia" w:eastAsia="宋体"/>
                      <w:bCs/>
                      <w:color w:val="auto"/>
                      <w:szCs w:val="21"/>
                      <w:lang w:eastAsia="zh-CN"/>
                    </w:rPr>
                  </w:pPr>
                  <w:r>
                    <w:rPr>
                      <w:rFonts w:hint="eastAsia"/>
                      <w:bCs/>
                      <w:color w:val="auto"/>
                      <w:szCs w:val="21"/>
                      <w:lang w:val="en-US" w:eastAsia="zh-CN"/>
                    </w:rPr>
                    <w:t>/</w:t>
                  </w:r>
                </w:p>
              </w:tc>
            </w:tr>
          </w:tbl>
          <w:p w14:paraId="5C554103">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14:paraId="5F214DAB">
            <w:pPr>
              <w:spacing w:line="360" w:lineRule="auto"/>
              <w:ind w:firstLine="482" w:firstLineChars="200"/>
              <w:rPr>
                <w:b/>
                <w:bCs/>
                <w:color w:val="auto"/>
                <w:sz w:val="24"/>
              </w:rPr>
            </w:pPr>
            <w:r>
              <w:rPr>
                <w:rFonts w:hint="eastAsia"/>
                <w:b/>
                <w:bCs/>
                <w:color w:val="auto"/>
                <w:sz w:val="24"/>
              </w:rPr>
              <w:t>①可食用白土</w:t>
            </w:r>
          </w:p>
          <w:p w14:paraId="61D7058E">
            <w:pPr>
              <w:widowControl/>
              <w:snapToGrid w:val="0"/>
              <w:spacing w:line="360" w:lineRule="auto"/>
              <w:ind w:firstLine="480" w:firstLineChars="200"/>
              <w:rPr>
                <w:color w:val="auto"/>
                <w:sz w:val="24"/>
              </w:rPr>
            </w:pPr>
            <w:r>
              <w:rPr>
                <w:rFonts w:hint="eastAsia"/>
                <w:color w:val="auto"/>
                <w:sz w:val="24"/>
              </w:rPr>
              <w:t>可食用</w:t>
            </w:r>
            <w:r>
              <w:rPr>
                <w:color w:val="auto"/>
                <w:sz w:val="24"/>
              </w:rPr>
              <w:t>白土是用粘土（主要是膨润土）为原料，经无机酸化处理，再经水漂洗、干燥制成的吸附剂，外观为乳白色粉末，无臭，无味，无毒，吸附性能很强，能吸附有色物质、有机物质。不溶于水、有机溶剂和各种油类中，几乎完全溶于热烧碱和盐酸中，相对密度2</w:t>
            </w:r>
            <w:r>
              <w:rPr>
                <w:rFonts w:hint="eastAsia"/>
                <w:color w:val="auto"/>
                <w:sz w:val="24"/>
              </w:rPr>
              <w:t>.</w:t>
            </w:r>
            <w:r>
              <w:rPr>
                <w:color w:val="auto"/>
                <w:sz w:val="24"/>
              </w:rPr>
              <w:t>3～2</w:t>
            </w:r>
            <w:r>
              <w:rPr>
                <w:rFonts w:hint="eastAsia"/>
                <w:color w:val="auto"/>
                <w:sz w:val="24"/>
              </w:rPr>
              <w:t>.</w:t>
            </w:r>
            <w:r>
              <w:rPr>
                <w:color w:val="auto"/>
                <w:sz w:val="24"/>
              </w:rPr>
              <w:t>5；</w:t>
            </w:r>
            <w:r>
              <w:rPr>
                <w:rFonts w:hint="eastAsia"/>
                <w:color w:val="auto"/>
                <w:sz w:val="24"/>
                <w:lang w:eastAsia="zh-CN"/>
              </w:rPr>
              <w:t>水分</w:t>
            </w:r>
            <w:r>
              <w:rPr>
                <w:color w:val="auto"/>
                <w:sz w:val="24"/>
              </w:rPr>
              <w:t>（2hr.105°C）：≤12％，活性度：≥180mol/㎏，重金属含量（Pb）：≤10mg/㎏，砷含量：≤3mg/㎏，主要化学成分为SiO</w:t>
            </w:r>
            <w:r>
              <w:rPr>
                <w:color w:val="auto"/>
                <w:sz w:val="24"/>
                <w:vertAlign w:val="subscript"/>
              </w:rPr>
              <w:t>2</w:t>
            </w:r>
            <w:r>
              <w:rPr>
                <w:color w:val="auto"/>
                <w:sz w:val="24"/>
              </w:rPr>
              <w:t>，另外含有Al</w:t>
            </w:r>
            <w:r>
              <w:rPr>
                <w:color w:val="auto"/>
                <w:sz w:val="24"/>
                <w:vertAlign w:val="subscript"/>
              </w:rPr>
              <w:t>2</w:t>
            </w:r>
            <w:r>
              <w:rPr>
                <w:color w:val="auto"/>
                <w:sz w:val="24"/>
              </w:rPr>
              <w:t>O</w:t>
            </w:r>
            <w:r>
              <w:rPr>
                <w:color w:val="auto"/>
                <w:sz w:val="24"/>
                <w:vertAlign w:val="subscript"/>
              </w:rPr>
              <w:t>3</w:t>
            </w:r>
            <w:r>
              <w:rPr>
                <w:color w:val="auto"/>
                <w:sz w:val="24"/>
              </w:rPr>
              <w:t>、Fe</w:t>
            </w:r>
            <w:r>
              <w:rPr>
                <w:color w:val="auto"/>
                <w:sz w:val="24"/>
                <w:vertAlign w:val="subscript"/>
              </w:rPr>
              <w:t>2</w:t>
            </w:r>
            <w:r>
              <w:rPr>
                <w:color w:val="auto"/>
                <w:sz w:val="24"/>
              </w:rPr>
              <w:t>O</w:t>
            </w:r>
            <w:r>
              <w:rPr>
                <w:color w:val="auto"/>
                <w:sz w:val="24"/>
                <w:vertAlign w:val="subscript"/>
              </w:rPr>
              <w:t>3</w:t>
            </w:r>
            <w:r>
              <w:rPr>
                <w:color w:val="auto"/>
                <w:sz w:val="24"/>
              </w:rPr>
              <w:t>、FeO、TiO、CaO、MgO、MnO等。</w:t>
            </w:r>
          </w:p>
          <w:p w14:paraId="6A2A1293">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2" w:firstLineChars="200"/>
              <w:textAlignment w:val="auto"/>
              <w:rPr>
                <w:b/>
                <w:bCs/>
                <w:color w:val="auto"/>
                <w:sz w:val="24"/>
              </w:rPr>
            </w:pPr>
            <w:r>
              <w:rPr>
                <w:b/>
                <w:bCs/>
                <w:color w:val="auto"/>
                <w:sz w:val="24"/>
              </w:rPr>
              <w:t>②</w:t>
            </w:r>
            <w:r>
              <w:rPr>
                <w:rFonts w:hint="eastAsia"/>
                <w:b/>
                <w:bCs/>
                <w:color w:val="auto"/>
                <w:sz w:val="24"/>
              </w:rPr>
              <w:t>食用盐</w:t>
            </w:r>
          </w:p>
          <w:p w14:paraId="42E2895C">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eastAsia="宋体"/>
                <w:bCs/>
                <w:color w:val="auto"/>
                <w:sz w:val="24"/>
                <w:lang w:val="en-US" w:eastAsia="zh-CN"/>
              </w:rPr>
            </w:pPr>
            <w:r>
              <w:rPr>
                <w:color w:val="auto"/>
                <w:sz w:val="24"/>
              </w:rPr>
              <w:t>食用</w:t>
            </w:r>
            <w:r>
              <w:rPr>
                <w:rFonts w:hint="eastAsia"/>
                <w:color w:val="auto"/>
                <w:sz w:val="24"/>
              </w:rPr>
              <w:t>盐</w:t>
            </w:r>
            <w:r>
              <w:rPr>
                <w:color w:val="auto"/>
                <w:sz w:val="24"/>
              </w:rPr>
              <w:t>为</w:t>
            </w:r>
            <w:r>
              <w:rPr>
                <w:rFonts w:hint="eastAsia"/>
                <w:color w:val="auto"/>
                <w:sz w:val="24"/>
                <w:lang w:eastAsia="zh-CN"/>
              </w:rPr>
              <w:t>主要成分为氯化钠，</w:t>
            </w:r>
            <w:r>
              <w:rPr>
                <w:color w:val="auto"/>
              </w:rPr>
              <w:t>外观是白色晶体状</w:t>
            </w:r>
            <w:r>
              <w:rPr>
                <w:rFonts w:hint="eastAsia"/>
                <w:color w:val="auto"/>
                <w:lang w:eastAsia="zh-CN"/>
              </w:rPr>
              <w:t>，</w:t>
            </w:r>
            <w:r>
              <w:rPr>
                <w:color w:val="auto"/>
              </w:rPr>
              <w:t>易溶于水、甘油，微溶于乙醇、液氨；不溶于浓盐酸。在空气中微有潮解性。稳定性比较好，工业上用于制造纯碱和烧碱及其他化工产品，矿石冶炼，生活上可用于调味品。</w:t>
            </w:r>
          </w:p>
          <w:p w14:paraId="31D5BFEB">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2" w:firstLineChars="200"/>
              <w:textAlignment w:val="auto"/>
              <w:rPr>
                <w:b/>
                <w:bCs/>
                <w:color w:val="auto"/>
                <w:sz w:val="24"/>
              </w:rPr>
            </w:pPr>
            <w:r>
              <w:rPr>
                <w:b/>
                <w:bCs/>
                <w:color w:val="auto"/>
                <w:sz w:val="24"/>
              </w:rPr>
              <w:t>③</w:t>
            </w:r>
            <w:r>
              <w:rPr>
                <w:rFonts w:hint="eastAsia"/>
                <w:b/>
                <w:bCs/>
                <w:color w:val="auto"/>
                <w:sz w:val="24"/>
              </w:rPr>
              <w:t>导热油</w:t>
            </w:r>
          </w:p>
          <w:p w14:paraId="29C2A2CB">
            <w:pPr>
              <w:spacing w:line="360" w:lineRule="auto"/>
              <w:ind w:firstLine="480" w:firstLineChars="200"/>
              <w:rPr>
                <w:b/>
                <w:color w:val="auto"/>
                <w:sz w:val="24"/>
              </w:rPr>
            </w:pPr>
            <w:r>
              <w:rPr>
                <w:rFonts w:hint="eastAsia"/>
                <w:color w:val="auto"/>
                <w:sz w:val="24"/>
              </w:rPr>
              <w:t>导热油是热载体油的简称，又称传热油、热导油、热煤油等。其主要成分为芳香烃化合物，其沸点在170~180℃，凝点在-80℃以下，稳定性强。导热油是一种热量的传递介质，由于其具有加热均匀、调温控温准确、能在低蒸汽压下产生高温、传热效果好、节能、输送和操作方便等特点，近年来被广泛应用于各种场合，而且其用途和用量越来越多。本项目使用导热油对系统中各用热设备（平衡预热锅、负压熬制锅、</w:t>
            </w:r>
            <w:r>
              <w:rPr>
                <w:rFonts w:hint="eastAsia"/>
                <w:bCs/>
                <w:color w:val="auto"/>
                <w:sz w:val="24"/>
              </w:rPr>
              <w:t>精炼锅</w:t>
            </w:r>
            <w:r>
              <w:rPr>
                <w:rFonts w:hint="eastAsia"/>
                <w:color w:val="auto"/>
                <w:sz w:val="24"/>
              </w:rPr>
              <w:t>、成品储罐等）及管道进行间接加热。</w:t>
            </w:r>
          </w:p>
          <w:p w14:paraId="3BF10529">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b/>
                <w:color w:val="auto"/>
                <w:sz w:val="24"/>
              </w:rPr>
              <w:t>④</w:t>
            </w:r>
            <w:r>
              <w:rPr>
                <w:rFonts w:hint="default" w:ascii="Times New Roman" w:hAnsi="Times New Roman" w:eastAsia="宋体" w:cs="Times New Roman"/>
                <w:b/>
                <w:bCs/>
                <w:color w:val="auto"/>
                <w:sz w:val="24"/>
                <w:szCs w:val="24"/>
                <w:highlight w:val="none"/>
                <w:lang w:val="en-US" w:eastAsia="zh-CN"/>
              </w:rPr>
              <w:t>生物质颗粒</w:t>
            </w:r>
          </w:p>
          <w:p w14:paraId="3CEF45F1">
            <w:pPr>
              <w:keepNext w:val="0"/>
              <w:keepLines w:val="0"/>
              <w:pageBreakBefore w:val="0"/>
              <w:widowControl w:val="0"/>
              <w:kinsoku/>
              <w:wordWrap/>
              <w:overflowPunct/>
              <w:topLinePunct w:val="0"/>
              <w:autoSpaceDE/>
              <w:autoSpaceDN/>
              <w:bidi w:val="0"/>
              <w:adjustRightInd w:val="0"/>
              <w:snapToGrid w:val="0"/>
              <w:spacing w:line="348" w:lineRule="auto"/>
              <w:ind w:left="0" w:leftChars="0" w:right="0" w:rightChars="0" w:firstLine="460" w:firstLineChars="200"/>
              <w:jc w:val="both"/>
              <w:textAlignment w:val="auto"/>
              <w:outlineLvl w:val="9"/>
              <w:rPr>
                <w:rFonts w:hint="default" w:ascii="Times New Roman" w:hAnsi="Times New Roman" w:eastAsia="宋体" w:cs="Times New Roman"/>
                <w:b w:val="0"/>
                <w:bCs/>
                <w:color w:val="auto"/>
                <w:sz w:val="24"/>
                <w:szCs w:val="24"/>
                <w:highlight w:val="yellow"/>
                <w:lang w:eastAsia="zh-CN"/>
              </w:rPr>
            </w:pPr>
            <w:r>
              <w:rPr>
                <w:rFonts w:hint="default" w:ascii="Times New Roman" w:hAnsi="Times New Roman" w:eastAsia="宋体" w:cs="Times New Roman"/>
                <w:color w:val="auto"/>
                <w:spacing w:val="-5"/>
                <w:sz w:val="24"/>
                <w:szCs w:val="24"/>
              </w:rPr>
              <w:t>由秸秆、稻草、稻壳、花生壳、玉米芯、油茶壳</w:t>
            </w:r>
            <w:r>
              <w:rPr>
                <w:rFonts w:hint="default" w:ascii="Times New Roman" w:hAnsi="Times New Roman" w:eastAsia="宋体" w:cs="Times New Roman"/>
                <w:b w:val="0"/>
                <w:bCs w:val="0"/>
                <w:color w:val="auto"/>
                <w:sz w:val="24"/>
                <w:szCs w:val="24"/>
                <w:highlight w:val="none"/>
              </w:rPr>
              <w:t>、棉籽壳等以及“三剩物”经过加工产生的柱状环保新能源。生物质颗粒的直径一般为</w:t>
            </w:r>
            <w:r>
              <w:rPr>
                <w:rFonts w:hint="default" w:ascii="Times New Roman" w:hAnsi="Times New Roman" w:eastAsia="宋体" w:cs="Times New Roman"/>
                <w:b w:val="0"/>
                <w:bCs w:val="0"/>
                <w:color w:val="auto"/>
                <w:sz w:val="24"/>
                <w:szCs w:val="24"/>
                <w:highlight w:val="none"/>
                <w:lang w:val="en-US" w:eastAsia="zh-CN"/>
              </w:rPr>
              <w:t>6-10</w:t>
            </w:r>
            <w:r>
              <w:rPr>
                <w:rFonts w:hint="default" w:ascii="Times New Roman" w:hAnsi="Times New Roman" w:eastAsia="宋体" w:cs="Times New Roman"/>
                <w:b w:val="0"/>
                <w:bCs w:val="0"/>
                <w:color w:val="auto"/>
                <w:sz w:val="24"/>
                <w:szCs w:val="24"/>
                <w:highlight w:val="none"/>
              </w:rPr>
              <w:t>毫</w:t>
            </w:r>
            <w:r>
              <w:rPr>
                <w:rFonts w:hint="default" w:ascii="Times New Roman" w:hAnsi="Times New Roman" w:eastAsia="宋体" w:cs="Times New Roman"/>
                <w:color w:val="auto"/>
                <w:spacing w:val="-3"/>
                <w:sz w:val="24"/>
                <w:szCs w:val="24"/>
              </w:rPr>
              <w:t>米。</w:t>
            </w:r>
          </w:p>
          <w:p w14:paraId="7CEFD3B9">
            <w:pPr>
              <w:keepNext w:val="0"/>
              <w:keepLines w:val="0"/>
              <w:pageBreakBefore w:val="0"/>
              <w:widowControl w:val="0"/>
              <w:kinsoku/>
              <w:wordWrap/>
              <w:overflowPunct/>
              <w:topLinePunct w:val="0"/>
              <w:autoSpaceDE/>
              <w:autoSpaceDN/>
              <w:bidi w:val="0"/>
              <w:spacing w:line="348" w:lineRule="auto"/>
              <w:ind w:firstLine="480" w:firstLineChars="200"/>
              <w:textAlignment w:val="auto"/>
              <w:rPr>
                <w:b/>
                <w:color w:val="auto"/>
                <w:sz w:val="24"/>
              </w:rPr>
            </w:pPr>
            <w:r>
              <w:rPr>
                <w:rFonts w:hint="default" w:ascii="Times New Roman" w:hAnsi="Times New Roman" w:eastAsia="宋体" w:cs="Times New Roman"/>
                <w:b w:val="0"/>
                <w:bCs/>
                <w:color w:val="auto"/>
                <w:sz w:val="24"/>
                <w:szCs w:val="24"/>
                <w:highlight w:val="none"/>
                <w:lang w:eastAsia="zh-CN"/>
              </w:rPr>
              <w:t>本</w:t>
            </w:r>
            <w:r>
              <w:rPr>
                <w:rFonts w:hint="default" w:ascii="Times New Roman" w:hAnsi="Times New Roman" w:eastAsia="宋体" w:cs="Times New Roman"/>
                <w:b w:val="0"/>
                <w:bCs/>
                <w:color w:val="auto"/>
                <w:sz w:val="24"/>
                <w:szCs w:val="24"/>
                <w:highlight w:val="none"/>
              </w:rPr>
              <w:t>项</w:t>
            </w:r>
            <w:r>
              <w:rPr>
                <w:rFonts w:hint="default" w:ascii="Times New Roman" w:hAnsi="Times New Roman" w:eastAsia="宋体" w:cs="Times New Roman"/>
                <w:bCs/>
                <w:color w:val="auto"/>
                <w:sz w:val="24"/>
                <w:szCs w:val="24"/>
                <w:highlight w:val="none"/>
              </w:rPr>
              <w:t>目</w:t>
            </w:r>
            <w:r>
              <w:rPr>
                <w:rFonts w:hint="default" w:ascii="Times New Roman" w:hAnsi="Times New Roman" w:eastAsia="宋体" w:cs="Times New Roman"/>
                <w:color w:val="auto"/>
                <w:sz w:val="24"/>
                <w:szCs w:val="24"/>
                <w:highlight w:val="none"/>
                <w:lang w:eastAsia="zh-CN"/>
              </w:rPr>
              <w:t>锅炉使</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eastAsia="zh-CN"/>
              </w:rPr>
              <w:t>的生物质</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bCs/>
                <w:color w:val="auto"/>
                <w:spacing w:val="6"/>
                <w:sz w:val="24"/>
                <w:highlight w:val="none"/>
                <w:lang w:val="en-US" w:eastAsia="zh-CN"/>
              </w:rPr>
              <w:t>云南沿发新能源有限公司提供</w:t>
            </w:r>
            <w:r>
              <w:rPr>
                <w:rFonts w:hint="default" w:ascii="Times New Roman" w:hAnsi="Times New Roman" w:eastAsia="宋体" w:cs="Times New Roman"/>
                <w:color w:val="auto"/>
                <w:sz w:val="24"/>
                <w:szCs w:val="24"/>
                <w:highlight w:val="none"/>
                <w:lang w:val="en-US" w:eastAsia="zh-CN"/>
              </w:rPr>
              <w:t>的成型生物质颗粒，生物质成分检测报告详见附件7。</w:t>
            </w:r>
          </w:p>
          <w:p w14:paraId="4DDAE2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lang w:val="en-US" w:eastAsia="zh-CN"/>
              </w:rPr>
              <w:t>-</w:t>
            </w:r>
            <w:r>
              <w:rPr>
                <w:rFonts w:hint="eastAsia" w:ascii="Times New Roman" w:hAnsi="Times New Roman"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 xml:space="preserve">  生物质燃料成分一览表</w:t>
            </w:r>
          </w:p>
          <w:tbl>
            <w:tblPr>
              <w:tblStyle w:val="26"/>
              <w:tblW w:w="87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315"/>
              <w:gridCol w:w="1104"/>
              <w:gridCol w:w="1362"/>
              <w:gridCol w:w="1280"/>
              <w:gridCol w:w="657"/>
              <w:gridCol w:w="657"/>
              <w:gridCol w:w="1327"/>
            </w:tblGrid>
            <w:tr w14:paraId="767E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024" w:type="dxa"/>
                  <w:tcBorders>
                    <w:tl2br w:val="nil"/>
                    <w:tr2bl w:val="nil"/>
                  </w:tcBorders>
                  <w:noWrap w:val="0"/>
                  <w:vAlign w:val="center"/>
                </w:tcPr>
                <w:p w14:paraId="1FDF8F8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全水分（M</w:t>
                  </w:r>
                  <w:r>
                    <w:rPr>
                      <w:rFonts w:hint="default" w:ascii="Times New Roman" w:hAnsi="Times New Roman" w:eastAsia="宋体" w:cs="Times New Roman"/>
                      <w:b/>
                      <w:bCs/>
                      <w:color w:val="auto"/>
                      <w:sz w:val="21"/>
                      <w:szCs w:val="21"/>
                      <w:highlight w:val="none"/>
                      <w:vertAlign w:val="subscript"/>
                    </w:rPr>
                    <w:t>t</w:t>
                  </w:r>
                  <w:r>
                    <w:rPr>
                      <w:rFonts w:hint="default" w:ascii="Times New Roman" w:hAnsi="Times New Roman" w:eastAsia="宋体" w:cs="Times New Roman"/>
                      <w:b/>
                      <w:bCs/>
                      <w:color w:val="auto"/>
                      <w:sz w:val="21"/>
                      <w:szCs w:val="21"/>
                      <w:highlight w:val="none"/>
                    </w:rPr>
                    <w:t>）</w:t>
                  </w:r>
                </w:p>
              </w:tc>
              <w:tc>
                <w:tcPr>
                  <w:tcW w:w="1315" w:type="dxa"/>
                  <w:tcBorders>
                    <w:tl2br w:val="nil"/>
                    <w:tr2bl w:val="nil"/>
                  </w:tcBorders>
                  <w:noWrap w:val="0"/>
                  <w:vAlign w:val="center"/>
                </w:tcPr>
                <w:p w14:paraId="411C18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空气干燥基水分（M</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1104" w:type="dxa"/>
                  <w:tcBorders>
                    <w:tl2br w:val="nil"/>
                    <w:tr2bl w:val="nil"/>
                  </w:tcBorders>
                  <w:noWrap w:val="0"/>
                  <w:vAlign w:val="center"/>
                </w:tcPr>
                <w:p w14:paraId="7B6AA69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干燥基灰分（A</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362" w:type="dxa"/>
                  <w:tcBorders>
                    <w:tl2br w:val="nil"/>
                    <w:tr2bl w:val="nil"/>
                  </w:tcBorders>
                  <w:noWrap w:val="0"/>
                  <w:vAlign w:val="center"/>
                </w:tcPr>
                <w:p w14:paraId="372A2F1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干燥无灰基挥发分（V</w:t>
                  </w:r>
                  <w:r>
                    <w:rPr>
                      <w:rFonts w:hint="default" w:ascii="Times New Roman" w:hAnsi="Times New Roman" w:eastAsia="宋体" w:cs="Times New Roman"/>
                      <w:b/>
                      <w:bCs/>
                      <w:color w:val="auto"/>
                      <w:sz w:val="21"/>
                      <w:szCs w:val="21"/>
                      <w:highlight w:val="none"/>
                      <w:vertAlign w:val="subscript"/>
                    </w:rPr>
                    <w:t>daf</w:t>
                  </w:r>
                  <w:r>
                    <w:rPr>
                      <w:rFonts w:hint="default" w:ascii="Times New Roman" w:hAnsi="Times New Roman" w:eastAsia="宋体" w:cs="Times New Roman"/>
                      <w:b/>
                      <w:bCs/>
                      <w:color w:val="auto"/>
                      <w:sz w:val="21"/>
                      <w:szCs w:val="21"/>
                      <w:highlight w:val="none"/>
                    </w:rPr>
                    <w:t>）</w:t>
                  </w:r>
                </w:p>
              </w:tc>
              <w:tc>
                <w:tcPr>
                  <w:tcW w:w="1280" w:type="dxa"/>
                  <w:tcBorders>
                    <w:tl2br w:val="nil"/>
                    <w:tr2bl w:val="nil"/>
                  </w:tcBorders>
                  <w:noWrap w:val="0"/>
                  <w:vAlign w:val="center"/>
                </w:tcPr>
                <w:p w14:paraId="732E3FF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干燥基固定碳（FC</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314" w:type="dxa"/>
                  <w:gridSpan w:val="2"/>
                  <w:tcBorders>
                    <w:tl2br w:val="nil"/>
                    <w:tr2bl w:val="nil"/>
                  </w:tcBorders>
                  <w:noWrap w:val="0"/>
                  <w:vAlign w:val="center"/>
                </w:tcPr>
                <w:p w14:paraId="3C74D13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空气干燥基全硫（S</w:t>
                  </w:r>
                  <w:r>
                    <w:rPr>
                      <w:rFonts w:hint="default" w:ascii="Times New Roman" w:hAnsi="Times New Roman" w:eastAsia="宋体" w:cs="Times New Roman"/>
                      <w:b/>
                      <w:bCs/>
                      <w:color w:val="auto"/>
                      <w:sz w:val="21"/>
                      <w:szCs w:val="21"/>
                      <w:highlight w:val="none"/>
                      <w:vertAlign w:val="subscript"/>
                    </w:rPr>
                    <w:t>t,ad</w:t>
                  </w:r>
                  <w:r>
                    <w:rPr>
                      <w:rFonts w:hint="default" w:ascii="Times New Roman" w:hAnsi="Times New Roman" w:eastAsia="宋体" w:cs="Times New Roman"/>
                      <w:b/>
                      <w:bCs/>
                      <w:color w:val="auto"/>
                      <w:sz w:val="21"/>
                      <w:szCs w:val="21"/>
                      <w:highlight w:val="none"/>
                    </w:rPr>
                    <w:t>）</w:t>
                  </w:r>
                </w:p>
              </w:tc>
              <w:tc>
                <w:tcPr>
                  <w:tcW w:w="1327" w:type="dxa"/>
                  <w:tcBorders>
                    <w:tl2br w:val="nil"/>
                    <w:tr2bl w:val="nil"/>
                  </w:tcBorders>
                  <w:noWrap w:val="0"/>
                  <w:vAlign w:val="center"/>
                </w:tcPr>
                <w:p w14:paraId="597D3F8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空气干燥基氢元素（H</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r>
            <w:tr w14:paraId="2C18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24" w:type="dxa"/>
                  <w:tcBorders>
                    <w:tl2br w:val="nil"/>
                    <w:tr2bl w:val="nil"/>
                  </w:tcBorders>
                  <w:noWrap w:val="0"/>
                  <w:vAlign w:val="center"/>
                </w:tcPr>
                <w:p w14:paraId="3CC71CA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1315" w:type="dxa"/>
                  <w:tcBorders>
                    <w:tl2br w:val="nil"/>
                    <w:tr2bl w:val="nil"/>
                  </w:tcBorders>
                  <w:noWrap w:val="0"/>
                  <w:vAlign w:val="center"/>
                </w:tcPr>
                <w:p w14:paraId="7E90056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1.96%</w:t>
                  </w:r>
                </w:p>
              </w:tc>
              <w:tc>
                <w:tcPr>
                  <w:tcW w:w="1104" w:type="dxa"/>
                  <w:tcBorders>
                    <w:tl2br w:val="nil"/>
                    <w:tr2bl w:val="nil"/>
                  </w:tcBorders>
                  <w:noWrap w:val="0"/>
                  <w:vAlign w:val="center"/>
                </w:tcPr>
                <w:p w14:paraId="33EE61F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2.94%</w:t>
                  </w:r>
                </w:p>
              </w:tc>
              <w:tc>
                <w:tcPr>
                  <w:tcW w:w="1362" w:type="dxa"/>
                  <w:tcBorders>
                    <w:tl2br w:val="nil"/>
                    <w:tr2bl w:val="nil"/>
                  </w:tcBorders>
                  <w:noWrap w:val="0"/>
                  <w:vAlign w:val="center"/>
                </w:tcPr>
                <w:p w14:paraId="0A9F1C3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83.33%</w:t>
                  </w:r>
                </w:p>
              </w:tc>
              <w:tc>
                <w:tcPr>
                  <w:tcW w:w="1280" w:type="dxa"/>
                  <w:tcBorders>
                    <w:tl2br w:val="nil"/>
                    <w:tr2bl w:val="nil"/>
                  </w:tcBorders>
                  <w:noWrap w:val="0"/>
                  <w:vAlign w:val="center"/>
                </w:tcPr>
                <w:p w14:paraId="734ABA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16.32%</w:t>
                  </w:r>
                </w:p>
              </w:tc>
              <w:tc>
                <w:tcPr>
                  <w:tcW w:w="1314" w:type="dxa"/>
                  <w:gridSpan w:val="2"/>
                  <w:tcBorders>
                    <w:tl2br w:val="nil"/>
                    <w:tr2bl w:val="nil"/>
                  </w:tcBorders>
                  <w:noWrap w:val="0"/>
                  <w:vAlign w:val="center"/>
                </w:tcPr>
                <w:p w14:paraId="7237BC5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5%</w:t>
                  </w:r>
                </w:p>
              </w:tc>
              <w:tc>
                <w:tcPr>
                  <w:tcW w:w="1327" w:type="dxa"/>
                  <w:tcBorders>
                    <w:tl2br w:val="nil"/>
                    <w:tr2bl w:val="nil"/>
                  </w:tcBorders>
                  <w:noWrap w:val="0"/>
                  <w:vAlign w:val="center"/>
                </w:tcPr>
                <w:p w14:paraId="591B344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5.87</w:t>
                  </w:r>
                </w:p>
              </w:tc>
            </w:tr>
            <w:tr w14:paraId="75BA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39" w:type="dxa"/>
                  <w:gridSpan w:val="2"/>
                  <w:tcBorders>
                    <w:tl2br w:val="nil"/>
                    <w:tr2bl w:val="nil"/>
                  </w:tcBorders>
                  <w:noWrap w:val="0"/>
                  <w:vAlign w:val="center"/>
                </w:tcPr>
                <w:p w14:paraId="254B8CB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空气干燥基弹筒发热量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b</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p w14:paraId="30EF460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MJ/kg</w:t>
                  </w:r>
                  <w:r>
                    <w:rPr>
                      <w:rFonts w:hint="default" w:ascii="Times New Roman" w:hAnsi="Times New Roman" w:eastAsia="宋体" w:cs="Times New Roman"/>
                      <w:b/>
                      <w:bCs/>
                      <w:color w:val="auto"/>
                      <w:sz w:val="21"/>
                      <w:szCs w:val="21"/>
                      <w:highlight w:val="none"/>
                      <w:lang w:eastAsia="zh-CN"/>
                    </w:rPr>
                    <w:t>）</w:t>
                  </w:r>
                </w:p>
              </w:tc>
              <w:tc>
                <w:tcPr>
                  <w:tcW w:w="2466" w:type="dxa"/>
                  <w:gridSpan w:val="2"/>
                  <w:tcBorders>
                    <w:tl2br w:val="nil"/>
                    <w:tr2bl w:val="nil"/>
                  </w:tcBorders>
                  <w:noWrap w:val="0"/>
                  <w:vAlign w:val="center"/>
                </w:tcPr>
                <w:p w14:paraId="247EDDC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空气干燥基高位发热量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gr</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1937" w:type="dxa"/>
                  <w:gridSpan w:val="2"/>
                  <w:tcBorders>
                    <w:tl2br w:val="nil"/>
                    <w:tr2bl w:val="nil"/>
                  </w:tcBorders>
                  <w:noWrap w:val="0"/>
                  <w:vAlign w:val="center"/>
                </w:tcPr>
                <w:p w14:paraId="32E6DE2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收到基恒容低位发热量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net</w:t>
                  </w:r>
                  <w:r>
                    <w:rPr>
                      <w:rFonts w:hint="default" w:ascii="Times New Roman" w:hAnsi="Times New Roman" w:eastAsia="宋体" w:cs="Times New Roman"/>
                      <w:b/>
                      <w:bCs/>
                      <w:color w:val="auto"/>
                      <w:sz w:val="21"/>
                      <w:szCs w:val="21"/>
                      <w:highlight w:val="none"/>
                      <w:vertAlign w:val="subscript"/>
                    </w:rPr>
                    <w:t>,</w:t>
                  </w:r>
                  <w:r>
                    <w:rPr>
                      <w:rFonts w:hint="default" w:ascii="Times New Roman" w:hAnsi="Times New Roman" w:eastAsia="宋体" w:cs="Times New Roman"/>
                      <w:b/>
                      <w:bCs/>
                      <w:color w:val="auto"/>
                      <w:sz w:val="21"/>
                      <w:szCs w:val="21"/>
                      <w:highlight w:val="none"/>
                      <w:vertAlign w:val="subscript"/>
                      <w:lang w:val="en-US" w:eastAsia="zh-CN"/>
                    </w:rPr>
                    <w:t>v</w:t>
                  </w:r>
                  <w:r>
                    <w:rPr>
                      <w:rFonts w:hint="default" w:ascii="Times New Roman" w:hAnsi="Times New Roman" w:eastAsia="宋体" w:cs="Times New Roman"/>
                      <w:b/>
                      <w:bCs/>
                      <w:color w:val="auto"/>
                      <w:sz w:val="21"/>
                      <w:szCs w:val="21"/>
                      <w:highlight w:val="none"/>
                      <w:vertAlign w:val="subscript"/>
                    </w:rPr>
                    <w:t>,a</w:t>
                  </w:r>
                  <w:r>
                    <w:rPr>
                      <w:rFonts w:hint="default" w:ascii="Times New Roman" w:hAnsi="Times New Roman" w:eastAsia="宋体" w:cs="Times New Roman"/>
                      <w:b/>
                      <w:bCs/>
                      <w:color w:val="auto"/>
                      <w:sz w:val="21"/>
                      <w:szCs w:val="21"/>
                      <w:highlight w:val="none"/>
                      <w:vertAlign w:val="subscript"/>
                      <w:lang w:val="en-US" w:eastAsia="zh-CN"/>
                    </w:rPr>
                    <w:t>r</w:t>
                  </w:r>
                  <w:r>
                    <w:rPr>
                      <w:rFonts w:hint="default" w:ascii="Times New Roman" w:hAnsi="Times New Roman" w:eastAsia="宋体" w:cs="Times New Roman"/>
                      <w:b/>
                      <w:bCs/>
                      <w:color w:val="auto"/>
                      <w:sz w:val="21"/>
                      <w:szCs w:val="21"/>
                      <w:highlight w:val="none"/>
                    </w:rPr>
                    <w:t>）</w:t>
                  </w:r>
                </w:p>
              </w:tc>
              <w:tc>
                <w:tcPr>
                  <w:tcW w:w="1984" w:type="dxa"/>
                  <w:gridSpan w:val="2"/>
                  <w:tcBorders>
                    <w:tl2br w:val="nil"/>
                    <w:tr2bl w:val="nil"/>
                  </w:tcBorders>
                  <w:noWrap w:val="0"/>
                  <w:vAlign w:val="center"/>
                </w:tcPr>
                <w:p w14:paraId="65045E0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粉末状燃料含量</w:t>
                  </w:r>
                </w:p>
              </w:tc>
            </w:tr>
            <w:tr w14:paraId="229B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39" w:type="dxa"/>
                  <w:gridSpan w:val="2"/>
                  <w:tcBorders>
                    <w:tl2br w:val="nil"/>
                    <w:tr2bl w:val="nil"/>
                  </w:tcBorders>
                  <w:noWrap w:val="0"/>
                  <w:vAlign w:val="center"/>
                </w:tcPr>
                <w:p w14:paraId="52E1D9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18.42MJ/kg</w:t>
                  </w:r>
                </w:p>
              </w:tc>
              <w:tc>
                <w:tcPr>
                  <w:tcW w:w="2466" w:type="dxa"/>
                  <w:gridSpan w:val="2"/>
                  <w:tcBorders>
                    <w:tl2br w:val="nil"/>
                    <w:tr2bl w:val="nil"/>
                  </w:tcBorders>
                  <w:noWrap w:val="0"/>
                  <w:vAlign w:val="center"/>
                </w:tcPr>
                <w:p w14:paraId="36FAC28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18.39MJ/kg</w:t>
                  </w:r>
                </w:p>
              </w:tc>
              <w:tc>
                <w:tcPr>
                  <w:tcW w:w="1937" w:type="dxa"/>
                  <w:gridSpan w:val="2"/>
                  <w:tcBorders>
                    <w:tl2br w:val="nil"/>
                    <w:tr2bl w:val="nil"/>
                  </w:tcBorders>
                  <w:noWrap w:val="0"/>
                  <w:vAlign w:val="center"/>
                </w:tcPr>
                <w:p w14:paraId="2520AF2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17.93MJ/kg</w:t>
                  </w:r>
                </w:p>
              </w:tc>
              <w:tc>
                <w:tcPr>
                  <w:tcW w:w="1984" w:type="dxa"/>
                  <w:gridSpan w:val="2"/>
                  <w:tcBorders>
                    <w:tl2br w:val="nil"/>
                    <w:tr2bl w:val="nil"/>
                  </w:tcBorders>
                  <w:noWrap w:val="0"/>
                  <w:vAlign w:val="center"/>
                </w:tcPr>
                <w:p w14:paraId="12A80B7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r>
          </w:tbl>
          <w:p w14:paraId="13762627">
            <w:pPr>
              <w:spacing w:line="360" w:lineRule="auto"/>
              <w:ind w:right="223" w:rightChars="106" w:firstLine="482" w:firstLineChars="200"/>
              <w:rPr>
                <w:b/>
                <w:color w:val="auto"/>
                <w:sz w:val="24"/>
              </w:rPr>
            </w:pPr>
            <w:r>
              <w:rPr>
                <w:rFonts w:hint="eastAsia"/>
                <w:b/>
                <w:color w:val="auto"/>
                <w:sz w:val="24"/>
                <w:lang w:eastAsia="zh-CN"/>
              </w:rPr>
              <w:t>⑤</w:t>
            </w:r>
            <w:r>
              <w:rPr>
                <w:rFonts w:hint="eastAsia"/>
                <w:b/>
                <w:color w:val="auto"/>
                <w:sz w:val="24"/>
              </w:rPr>
              <w:t>R404a制冷剂</w:t>
            </w:r>
          </w:p>
          <w:p w14:paraId="37E9329B">
            <w:pPr>
              <w:spacing w:line="360" w:lineRule="auto"/>
              <w:ind w:right="223" w:rightChars="106" w:firstLine="480" w:firstLineChars="200"/>
              <w:rPr>
                <w:color w:val="auto"/>
                <w:sz w:val="24"/>
              </w:rPr>
            </w:pPr>
            <w:r>
              <w:rPr>
                <w:rFonts w:hint="eastAsia"/>
                <w:color w:val="auto"/>
                <w:sz w:val="24"/>
              </w:rPr>
              <w:t>本项目采用R404a作为原料库</w:t>
            </w:r>
            <w:r>
              <w:rPr>
                <w:rFonts w:hint="eastAsia"/>
                <w:color w:val="auto"/>
                <w:sz w:val="24"/>
                <w:lang w:eastAsia="zh-CN"/>
              </w:rPr>
              <w:t>房及包装冷却间</w:t>
            </w:r>
            <w:r>
              <w:rPr>
                <w:rFonts w:hint="eastAsia"/>
                <w:color w:val="auto"/>
                <w:sz w:val="24"/>
              </w:rPr>
              <w:t>制冷剂</w:t>
            </w:r>
            <w:r>
              <w:rPr>
                <w:color w:val="auto"/>
                <w:sz w:val="24"/>
              </w:rPr>
              <w:t>，根据建设提供资料，由于用量较少，建设单位拟采取即用即买的方式，不在项目区存储R404a制冷剂</w:t>
            </w:r>
            <w:r>
              <w:rPr>
                <w:rFonts w:hint="eastAsia"/>
                <w:color w:val="auto"/>
                <w:sz w:val="24"/>
              </w:rPr>
              <w:t>。</w:t>
            </w:r>
          </w:p>
          <w:p w14:paraId="571BDA20">
            <w:pPr>
              <w:widowControl/>
              <w:snapToGrid w:val="0"/>
              <w:spacing w:line="360" w:lineRule="auto"/>
              <w:ind w:firstLine="480" w:firstLineChars="200"/>
              <w:rPr>
                <w:color w:val="auto"/>
                <w:sz w:val="24"/>
              </w:rPr>
            </w:pPr>
            <w:r>
              <w:rPr>
                <w:color w:val="auto"/>
                <w:sz w:val="24"/>
              </w:rPr>
              <w:t>R404a是一种不含氯的非共沸混合制冷剂，由HFC125、HFC-134a和HFC-143混合组成，分子式CHF</w:t>
            </w:r>
            <w:r>
              <w:rPr>
                <w:color w:val="auto"/>
                <w:sz w:val="24"/>
                <w:vertAlign w:val="subscript"/>
              </w:rPr>
              <w:t>2</w:t>
            </w:r>
            <w:r>
              <w:rPr>
                <w:color w:val="auto"/>
                <w:sz w:val="24"/>
              </w:rPr>
              <w:t>CF</w:t>
            </w:r>
            <w:r>
              <w:rPr>
                <w:color w:val="auto"/>
                <w:sz w:val="24"/>
                <w:vertAlign w:val="subscript"/>
              </w:rPr>
              <w:t>3</w:t>
            </w:r>
            <w:r>
              <w:rPr>
                <w:color w:val="auto"/>
                <w:sz w:val="24"/>
              </w:rPr>
              <w:t>/CF</w:t>
            </w:r>
            <w:r>
              <w:rPr>
                <w:color w:val="auto"/>
                <w:sz w:val="24"/>
                <w:vertAlign w:val="subscript"/>
              </w:rPr>
              <w:t>3</w:t>
            </w:r>
            <w:r>
              <w:rPr>
                <w:color w:val="auto"/>
                <w:sz w:val="24"/>
              </w:rPr>
              <w:t>CH</w:t>
            </w:r>
            <w:r>
              <w:rPr>
                <w:color w:val="auto"/>
                <w:sz w:val="24"/>
                <w:vertAlign w:val="subscript"/>
              </w:rPr>
              <w:t>2</w:t>
            </w:r>
            <w:r>
              <w:rPr>
                <w:color w:val="auto"/>
                <w:sz w:val="24"/>
              </w:rPr>
              <w:t>F/CH</w:t>
            </w:r>
            <w:r>
              <w:rPr>
                <w:color w:val="auto"/>
                <w:sz w:val="24"/>
                <w:vertAlign w:val="subscript"/>
              </w:rPr>
              <w:t>3</w:t>
            </w:r>
            <w:r>
              <w:rPr>
                <w:color w:val="auto"/>
                <w:sz w:val="24"/>
              </w:rPr>
              <w:t>CF</w:t>
            </w:r>
            <w:r>
              <w:rPr>
                <w:color w:val="auto"/>
                <w:sz w:val="24"/>
                <w:vertAlign w:val="subscript"/>
              </w:rPr>
              <w:t>3</w:t>
            </w:r>
            <w:r>
              <w:rPr>
                <w:rFonts w:hint="eastAsia"/>
                <w:color w:val="auto"/>
                <w:sz w:val="24"/>
              </w:rPr>
              <w:t>，</w:t>
            </w:r>
            <w:r>
              <w:rPr>
                <w:color w:val="auto"/>
                <w:sz w:val="24"/>
              </w:rPr>
              <w:t>分子量97.6</w:t>
            </w:r>
            <w:r>
              <w:rPr>
                <w:rFonts w:hint="eastAsia"/>
                <w:color w:val="auto"/>
                <w:sz w:val="24"/>
              </w:rPr>
              <w:t>，</w:t>
            </w:r>
            <w:r>
              <w:rPr>
                <w:color w:val="auto"/>
                <w:sz w:val="24"/>
              </w:rPr>
              <w:t>沸点（101.3</w:t>
            </w:r>
            <w:r>
              <w:rPr>
                <w:rFonts w:hint="eastAsia"/>
                <w:color w:val="auto"/>
                <w:sz w:val="24"/>
              </w:rPr>
              <w:t>k</w:t>
            </w:r>
            <w:r>
              <w:rPr>
                <w:color w:val="auto"/>
                <w:sz w:val="24"/>
              </w:rPr>
              <w:t>Pa）-46.1</w:t>
            </w:r>
            <w:r>
              <w:rPr>
                <w:rFonts w:hint="eastAsia" w:ascii="宋体" w:hAnsi="宋体" w:cs="宋体"/>
                <w:color w:val="auto"/>
                <w:sz w:val="24"/>
              </w:rPr>
              <w:t>℃</w:t>
            </w:r>
            <w:r>
              <w:rPr>
                <w:rFonts w:hint="eastAsia"/>
                <w:color w:val="auto"/>
                <w:sz w:val="24"/>
              </w:rPr>
              <w:t>，</w:t>
            </w:r>
            <w:r>
              <w:rPr>
                <w:color w:val="auto"/>
                <w:sz w:val="24"/>
              </w:rPr>
              <w:t>临界温度72.4</w:t>
            </w:r>
            <w:r>
              <w:rPr>
                <w:rFonts w:hint="eastAsia" w:ascii="宋体" w:hAnsi="宋体" w:cs="宋体"/>
                <w:color w:val="auto"/>
                <w:sz w:val="24"/>
              </w:rPr>
              <w:t>℃</w:t>
            </w:r>
            <w:r>
              <w:rPr>
                <w:rFonts w:hint="eastAsia"/>
                <w:color w:val="auto"/>
                <w:sz w:val="24"/>
              </w:rPr>
              <w:t>，</w:t>
            </w:r>
            <w:r>
              <w:rPr>
                <w:color w:val="auto"/>
                <w:sz w:val="24"/>
              </w:rPr>
              <w:t>临界压力3688.7 KPa</w:t>
            </w:r>
            <w:r>
              <w:rPr>
                <w:rFonts w:hint="eastAsia"/>
                <w:color w:val="auto"/>
                <w:sz w:val="24"/>
              </w:rPr>
              <w:t>，</w:t>
            </w:r>
            <w:r>
              <w:rPr>
                <w:color w:val="auto"/>
                <w:sz w:val="24"/>
              </w:rPr>
              <w:t>液体密度（25</w:t>
            </w:r>
            <w:r>
              <w:rPr>
                <w:rFonts w:hint="eastAsia" w:ascii="宋体" w:hAnsi="宋体" w:cs="宋体"/>
                <w:color w:val="auto"/>
                <w:sz w:val="24"/>
              </w:rPr>
              <w:t>℃</w:t>
            </w:r>
            <w:r>
              <w:rPr>
                <w:color w:val="auto"/>
                <w:sz w:val="24"/>
              </w:rPr>
              <w:t>）1.045 g/cm</w:t>
            </w:r>
            <w:r>
              <w:rPr>
                <w:color w:val="auto"/>
                <w:sz w:val="24"/>
                <w:vertAlign w:val="superscript"/>
              </w:rPr>
              <w:t>3</w:t>
            </w:r>
            <w:r>
              <w:rPr>
                <w:color w:val="auto"/>
                <w:sz w:val="24"/>
              </w:rPr>
              <w:t>；沸点下蒸发潜能200.1 KJ/Kg。常温常压下为无色无味气体，贮存在钢瓶内是被压缩的液化气体，其ODP（臭氧消耗潜值）为0，因此是不破坏大气臭氧层的环保型制冷剂，它是应用在商用制冷系统领域的R-502与R-22的长期替代品，具有清洁、低毒、不燃、制冷效果好的特点。</w:t>
            </w:r>
            <w:r>
              <w:rPr>
                <w:rFonts w:hint="eastAsia"/>
                <w:color w:val="auto"/>
                <w:sz w:val="24"/>
              </w:rPr>
              <w:t>不含氯原子，不会破坏臭氧层，具有良好的安全性能（不易燃、不爆炸、无毒、无刺激性、无腐蚀性）。根据《关于严格控制新建、改建、扩建含氢氯氟烃生产项目的通知》（环境保护部办公厅，环办[2008]104号），本项目使用的R134a不属于受控的含氢氯氟烃（HCFCs）物质。根据《关于严格控制新建使用含氢氯氟烃生产设施的通知》（环境保护部办公厅，环办[2009]121号），本项目不涉及禁止新建的使用含氢氯氟烃生产设施。</w:t>
            </w:r>
          </w:p>
          <w:p w14:paraId="133B5E75">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7</w:t>
            </w:r>
            <w:r>
              <w:rPr>
                <w:rFonts w:hint="default" w:ascii="Times New Roman" w:hAnsi="Times New Roman" w:eastAsia="宋体" w:cs="Times New Roman"/>
                <w:b/>
                <w:bCs w:val="0"/>
                <w:color w:val="auto"/>
                <w:sz w:val="24"/>
                <w:szCs w:val="24"/>
                <w:highlight w:val="none"/>
                <w:lang w:val="en-US" w:eastAsia="zh-CN"/>
              </w:rPr>
              <w:t>、主要设备</w:t>
            </w:r>
            <w:bookmarkEnd w:id="16"/>
          </w:p>
          <w:p w14:paraId="6C1874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7" w:name="_Toc22683"/>
            <w:r>
              <w:rPr>
                <w:rFonts w:hint="default" w:ascii="Times New Roman" w:hAnsi="Times New Roman" w:eastAsia="宋体" w:cs="Times New Roman"/>
                <w:color w:val="auto"/>
                <w:sz w:val="24"/>
                <w:szCs w:val="24"/>
                <w:highlight w:val="none"/>
                <w:shd w:val="clear" w:color="auto" w:fill="FFFFFF"/>
                <w:lang w:eastAsia="zh-CN"/>
              </w:rPr>
              <w:t>本项目主要生产设备及设施详见表</w:t>
            </w:r>
            <w:r>
              <w:rPr>
                <w:rFonts w:hint="default" w:ascii="Times New Roman" w:hAnsi="Times New Roman" w:eastAsia="宋体" w:cs="Times New Roman"/>
                <w:color w:val="auto"/>
                <w:sz w:val="24"/>
                <w:szCs w:val="24"/>
                <w:highlight w:val="none"/>
                <w:shd w:val="clear" w:color="auto" w:fill="FFFFFF"/>
                <w:lang w:val="en-US" w:eastAsia="zh-CN"/>
              </w:rPr>
              <w:t>2-</w:t>
            </w:r>
            <w:r>
              <w:rPr>
                <w:rFonts w:hint="eastAsia" w:cs="Times New Roman"/>
                <w:color w:val="auto"/>
                <w:sz w:val="24"/>
                <w:szCs w:val="24"/>
                <w:highlight w:val="none"/>
                <w:shd w:val="clear" w:color="auto" w:fill="FFFFFF"/>
                <w:lang w:val="en-US" w:eastAsia="zh-CN"/>
              </w:rPr>
              <w:t>6</w:t>
            </w:r>
            <w:r>
              <w:rPr>
                <w:rFonts w:hint="default" w:ascii="Times New Roman" w:hAnsi="Times New Roman" w:eastAsia="宋体" w:cs="Times New Roman"/>
                <w:color w:val="auto"/>
                <w:sz w:val="24"/>
                <w:szCs w:val="24"/>
                <w:highlight w:val="none"/>
                <w:shd w:val="clear" w:color="auto" w:fill="FFFFFF"/>
                <w:lang w:eastAsia="zh-CN"/>
              </w:rPr>
              <w:t>。</w:t>
            </w:r>
          </w:p>
          <w:p w14:paraId="13A6AEA2">
            <w:pPr>
              <w:pStyle w:val="15"/>
              <w:widowControl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项目主要生产设备及设施一览表</w:t>
            </w:r>
          </w:p>
          <w:tbl>
            <w:tblPr>
              <w:tblStyle w:val="26"/>
              <w:tblW w:w="8679"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445"/>
              <w:gridCol w:w="2014"/>
              <w:gridCol w:w="1580"/>
              <w:gridCol w:w="1969"/>
            </w:tblGrid>
            <w:tr w14:paraId="3DAC8E4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FA697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445" w:type="dxa"/>
                  <w:tcBorders>
                    <w:tl2br w:val="nil"/>
                    <w:tr2bl w:val="nil"/>
                  </w:tcBorders>
                  <w:noWrap w:val="0"/>
                  <w:vAlign w:val="center"/>
                </w:tcPr>
                <w:p w14:paraId="6863D2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2014" w:type="dxa"/>
                  <w:tcBorders>
                    <w:tl2br w:val="nil"/>
                    <w:tr2bl w:val="nil"/>
                  </w:tcBorders>
                  <w:noWrap w:val="0"/>
                  <w:vAlign w:val="center"/>
                </w:tcPr>
                <w:p w14:paraId="2231FF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设备参数</w:t>
                  </w:r>
                </w:p>
              </w:tc>
              <w:tc>
                <w:tcPr>
                  <w:tcW w:w="1580" w:type="dxa"/>
                  <w:tcBorders>
                    <w:tl2br w:val="nil"/>
                    <w:tr2bl w:val="nil"/>
                  </w:tcBorders>
                  <w:noWrap w:val="0"/>
                  <w:vAlign w:val="center"/>
                </w:tcPr>
                <w:p w14:paraId="1C785D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数</w:t>
                  </w:r>
                  <w:r>
                    <w:rPr>
                      <w:rFonts w:hint="default" w:ascii="Times New Roman" w:hAnsi="Times New Roman" w:eastAsia="宋体" w:cs="Times New Roman"/>
                      <w:b/>
                      <w:bCs/>
                      <w:color w:val="auto"/>
                      <w:sz w:val="21"/>
                      <w:szCs w:val="21"/>
                      <w:highlight w:val="none"/>
                      <w:lang w:eastAsia="zh-CN"/>
                    </w:rPr>
                    <w:t>量（台</w:t>
                  </w:r>
                  <w:r>
                    <w:rPr>
                      <w:rFonts w:hint="default" w:ascii="Times New Roman" w:hAnsi="Times New Roman" w:eastAsia="宋体" w:cs="Times New Roman"/>
                      <w:b/>
                      <w:bCs/>
                      <w:color w:val="auto"/>
                      <w:sz w:val="21"/>
                      <w:szCs w:val="21"/>
                      <w:highlight w:val="none"/>
                      <w:lang w:val="en-US" w:eastAsia="zh-CN"/>
                    </w:rPr>
                    <w:t>/套</w:t>
                  </w:r>
                  <w:r>
                    <w:rPr>
                      <w:rFonts w:hint="default" w:ascii="Times New Roman" w:hAnsi="Times New Roman" w:eastAsia="宋体" w:cs="Times New Roman"/>
                      <w:b/>
                      <w:bCs/>
                      <w:color w:val="auto"/>
                      <w:sz w:val="21"/>
                      <w:szCs w:val="21"/>
                      <w:highlight w:val="none"/>
                      <w:lang w:eastAsia="zh-CN"/>
                    </w:rPr>
                    <w:t>）</w:t>
                  </w:r>
                </w:p>
              </w:tc>
              <w:tc>
                <w:tcPr>
                  <w:tcW w:w="1969" w:type="dxa"/>
                  <w:tcBorders>
                    <w:tl2br w:val="nil"/>
                    <w:tr2bl w:val="nil"/>
                  </w:tcBorders>
                  <w:noWrap w:val="0"/>
                  <w:vAlign w:val="center"/>
                </w:tcPr>
                <w:p w14:paraId="12AEA6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用途</w:t>
                  </w:r>
                </w:p>
              </w:tc>
            </w:tr>
            <w:tr w14:paraId="787EE32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14:paraId="28A5AD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w:t>
                  </w:r>
                  <w:r>
                    <w:rPr>
                      <w:rFonts w:hint="eastAsia" w:ascii="Times New Roman" w:hAnsi="Times New Roman" w:eastAsia="宋体" w:cs="Times New Roman"/>
                      <w:b/>
                      <w:bCs/>
                      <w:color w:val="auto"/>
                      <w:sz w:val="21"/>
                      <w:szCs w:val="21"/>
                      <w:highlight w:val="none"/>
                      <w:lang w:val="en-US" w:eastAsia="zh-CN"/>
                    </w:rPr>
                    <w:t>精炼牛油</w:t>
                  </w:r>
                  <w:r>
                    <w:rPr>
                      <w:rFonts w:hint="default" w:ascii="Times New Roman" w:hAnsi="Times New Roman" w:eastAsia="宋体" w:cs="Times New Roman"/>
                      <w:b/>
                      <w:bCs/>
                      <w:color w:val="auto"/>
                      <w:sz w:val="21"/>
                      <w:szCs w:val="21"/>
                      <w:highlight w:val="none"/>
                    </w:rPr>
                    <w:t>生产系统</w:t>
                  </w:r>
                </w:p>
              </w:tc>
            </w:tr>
            <w:tr w14:paraId="04EF19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14:paraId="037364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b/>
                      <w:bCs/>
                      <w:color w:val="auto"/>
                      <w:szCs w:val="21"/>
                      <w:lang w:eastAsia="zh-CN"/>
                    </w:rPr>
                    <w:t>①</w:t>
                  </w:r>
                  <w:r>
                    <w:rPr>
                      <w:rFonts w:hint="eastAsia"/>
                      <w:b/>
                      <w:bCs/>
                      <w:color w:val="auto"/>
                      <w:szCs w:val="21"/>
                    </w:rPr>
                    <w:t>牛油生脂负压熔炼设备</w:t>
                  </w:r>
                </w:p>
              </w:tc>
            </w:tr>
            <w:tr w14:paraId="67BA565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2A87153">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w:t>
                  </w:r>
                </w:p>
              </w:tc>
              <w:tc>
                <w:tcPr>
                  <w:tcW w:w="2445" w:type="dxa"/>
                  <w:tcBorders>
                    <w:tl2br w:val="nil"/>
                    <w:tr2bl w:val="nil"/>
                  </w:tcBorders>
                  <w:noWrap w:val="0"/>
                  <w:vAlign w:val="top"/>
                </w:tcPr>
                <w:p w14:paraId="71974E8C">
                  <w:pPr>
                    <w:spacing w:before="165" w:line="221"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拆包平台</w:t>
                  </w:r>
                </w:p>
              </w:tc>
              <w:tc>
                <w:tcPr>
                  <w:tcW w:w="2014" w:type="dxa"/>
                  <w:tcBorders>
                    <w:tl2br w:val="nil"/>
                    <w:tr2bl w:val="nil"/>
                  </w:tcBorders>
                  <w:noWrap w:val="0"/>
                  <w:vAlign w:val="top"/>
                </w:tcPr>
                <w:p w14:paraId="0748AF44">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1500*1000*900m</w:t>
                  </w:r>
                </w:p>
              </w:tc>
              <w:tc>
                <w:tcPr>
                  <w:tcW w:w="1580" w:type="dxa"/>
                  <w:tcBorders>
                    <w:tl2br w:val="nil"/>
                    <w:tr2bl w:val="nil"/>
                  </w:tcBorders>
                  <w:noWrap w:val="0"/>
                  <w:vAlign w:val="top"/>
                </w:tcPr>
                <w:p w14:paraId="484C1ACB">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19C6EE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拆包</w:t>
                  </w:r>
                </w:p>
              </w:tc>
            </w:tr>
            <w:tr w14:paraId="3C55895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04A26014">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2</w:t>
                  </w:r>
                </w:p>
              </w:tc>
              <w:tc>
                <w:tcPr>
                  <w:tcW w:w="2445" w:type="dxa"/>
                  <w:tcBorders>
                    <w:tl2br w:val="nil"/>
                    <w:tr2bl w:val="nil"/>
                  </w:tcBorders>
                  <w:noWrap w:val="0"/>
                  <w:vAlign w:val="top"/>
                </w:tcPr>
                <w:p w14:paraId="00406690">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链板</w:t>
                  </w:r>
                  <w:r>
                    <w:rPr>
                      <w:rFonts w:ascii="宋体" w:hAnsi="宋体" w:cs="宋体"/>
                      <w:color w:val="auto"/>
                      <w:szCs w:val="21"/>
                    </w:rPr>
                    <w:t>输送机</w:t>
                  </w:r>
                </w:p>
              </w:tc>
              <w:tc>
                <w:tcPr>
                  <w:tcW w:w="2014" w:type="dxa"/>
                  <w:tcBorders>
                    <w:tl2br w:val="nil"/>
                    <w:tr2bl w:val="nil"/>
                  </w:tcBorders>
                  <w:noWrap w:val="0"/>
                  <w:vAlign w:val="top"/>
                </w:tcPr>
                <w:p w14:paraId="159EF8E7">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ZGB50</w:t>
                  </w:r>
                </w:p>
              </w:tc>
              <w:tc>
                <w:tcPr>
                  <w:tcW w:w="1580" w:type="dxa"/>
                  <w:tcBorders>
                    <w:tl2br w:val="nil"/>
                    <w:tr2bl w:val="nil"/>
                  </w:tcBorders>
                  <w:noWrap w:val="0"/>
                  <w:vAlign w:val="top"/>
                </w:tcPr>
                <w:p w14:paraId="45AF0F74">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1BDE4F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输送</w:t>
                  </w:r>
                </w:p>
              </w:tc>
            </w:tr>
            <w:tr w14:paraId="6FCFAD6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2DC1ADF">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3</w:t>
                  </w:r>
                </w:p>
              </w:tc>
              <w:tc>
                <w:tcPr>
                  <w:tcW w:w="2445" w:type="dxa"/>
                  <w:tcBorders>
                    <w:tl2br w:val="nil"/>
                    <w:tr2bl w:val="nil"/>
                  </w:tcBorders>
                  <w:noWrap w:val="0"/>
                  <w:vAlign w:val="top"/>
                </w:tcPr>
                <w:p w14:paraId="6484AB5C">
                  <w:pPr>
                    <w:jc w:val="center"/>
                    <w:rPr>
                      <w:rFonts w:hint="default"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rPr>
                    <w:t>绞肉机</w:t>
                  </w:r>
                </w:p>
              </w:tc>
              <w:tc>
                <w:tcPr>
                  <w:tcW w:w="2014" w:type="dxa"/>
                  <w:tcBorders>
                    <w:tl2br w:val="nil"/>
                    <w:tr2bl w:val="nil"/>
                  </w:tcBorders>
                  <w:noWrap w:val="0"/>
                  <w:vAlign w:val="top"/>
                </w:tcPr>
                <w:p w14:paraId="37F8BBF0">
                  <w:pPr>
                    <w:jc w:val="center"/>
                    <w:rPr>
                      <w:rFonts w:hint="default" w:ascii="Times New Roman" w:hAnsi="Times New Roman" w:eastAsia="宋体" w:cs="Times New Roman"/>
                      <w:bCs/>
                      <w:color w:val="auto"/>
                      <w:szCs w:val="21"/>
                      <w:lang w:val="en-US" w:eastAsia="zh-CN"/>
                    </w:rPr>
                  </w:pPr>
                  <w:r>
                    <w:rPr>
                      <w:color w:val="auto"/>
                      <w:szCs w:val="21"/>
                    </w:rPr>
                    <w:t>DJY400</w:t>
                  </w:r>
                </w:p>
              </w:tc>
              <w:tc>
                <w:tcPr>
                  <w:tcW w:w="1580" w:type="dxa"/>
                  <w:tcBorders>
                    <w:tl2br w:val="nil"/>
                    <w:tr2bl w:val="nil"/>
                  </w:tcBorders>
                  <w:noWrap w:val="0"/>
                  <w:vAlign w:val="top"/>
                </w:tcPr>
                <w:p w14:paraId="4288103F">
                  <w:pPr>
                    <w:jc w:val="center"/>
                    <w:rPr>
                      <w:rFonts w:hint="default" w:ascii="Times New Roman" w:hAnsi="Times New Roman" w:eastAsia="宋体" w:cs="Times New Roman"/>
                      <w:bCs/>
                      <w:color w:val="auto"/>
                      <w:szCs w:val="21"/>
                      <w:lang w:val="en-US" w:eastAsia="zh-CN"/>
                    </w:rPr>
                  </w:pPr>
                  <w:r>
                    <w:rPr>
                      <w:color w:val="auto"/>
                      <w:szCs w:val="21"/>
                    </w:rPr>
                    <w:t>1</w:t>
                  </w:r>
                </w:p>
              </w:tc>
              <w:tc>
                <w:tcPr>
                  <w:tcW w:w="1969" w:type="dxa"/>
                  <w:tcBorders>
                    <w:tl2br w:val="nil"/>
                    <w:tr2bl w:val="nil"/>
                  </w:tcBorders>
                  <w:noWrap w:val="0"/>
                  <w:vAlign w:val="center"/>
                </w:tcPr>
                <w:p w14:paraId="4AD9A530">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绞肉</w:t>
                  </w:r>
                </w:p>
              </w:tc>
            </w:tr>
            <w:tr w14:paraId="28CAD3A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179EAE83">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4</w:t>
                  </w:r>
                </w:p>
              </w:tc>
              <w:tc>
                <w:tcPr>
                  <w:tcW w:w="2445" w:type="dxa"/>
                  <w:tcBorders>
                    <w:tl2br w:val="nil"/>
                    <w:tr2bl w:val="nil"/>
                  </w:tcBorders>
                  <w:noWrap w:val="0"/>
                  <w:vAlign w:val="top"/>
                </w:tcPr>
                <w:p w14:paraId="56E84A8A">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链板</w:t>
                  </w:r>
                  <w:r>
                    <w:rPr>
                      <w:rFonts w:ascii="宋体" w:hAnsi="宋体" w:cs="宋体"/>
                      <w:color w:val="auto"/>
                      <w:szCs w:val="21"/>
                    </w:rPr>
                    <w:t>输送机</w:t>
                  </w:r>
                </w:p>
              </w:tc>
              <w:tc>
                <w:tcPr>
                  <w:tcW w:w="2014" w:type="dxa"/>
                  <w:tcBorders>
                    <w:tl2br w:val="nil"/>
                    <w:tr2bl w:val="nil"/>
                  </w:tcBorders>
                  <w:noWrap w:val="0"/>
                  <w:vAlign w:val="top"/>
                </w:tcPr>
                <w:p w14:paraId="5BFF993F">
                  <w:pPr>
                    <w:jc w:val="center"/>
                    <w:rPr>
                      <w:rFonts w:hint="default" w:ascii="Times New Roman" w:hAnsi="Times New Roman" w:eastAsia="宋体" w:cs="Times New Roman"/>
                      <w:color w:val="auto"/>
                      <w:sz w:val="21"/>
                      <w:szCs w:val="21"/>
                      <w:highlight w:val="none"/>
                      <w:lang w:val="en-US" w:eastAsia="zh-CN"/>
                    </w:rPr>
                  </w:pPr>
                  <w:r>
                    <w:rPr>
                      <w:color w:val="auto"/>
                      <w:szCs w:val="21"/>
                    </w:rPr>
                    <w:t>ZGB50</w:t>
                  </w:r>
                </w:p>
              </w:tc>
              <w:tc>
                <w:tcPr>
                  <w:tcW w:w="1580" w:type="dxa"/>
                  <w:tcBorders>
                    <w:tl2br w:val="nil"/>
                    <w:tr2bl w:val="nil"/>
                  </w:tcBorders>
                  <w:noWrap w:val="0"/>
                  <w:vAlign w:val="top"/>
                </w:tcPr>
                <w:p w14:paraId="731B8CBB">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6EE59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输送</w:t>
                  </w:r>
                </w:p>
              </w:tc>
            </w:tr>
            <w:tr w14:paraId="7C55EF1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C719020">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5</w:t>
                  </w:r>
                </w:p>
              </w:tc>
              <w:tc>
                <w:tcPr>
                  <w:tcW w:w="2445" w:type="dxa"/>
                  <w:tcBorders>
                    <w:tl2br w:val="nil"/>
                    <w:tr2bl w:val="nil"/>
                  </w:tcBorders>
                  <w:noWrap w:val="0"/>
                  <w:vAlign w:val="top"/>
                </w:tcPr>
                <w:p w14:paraId="00C7B6BE">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无轴分料</w:t>
                  </w:r>
                  <w:r>
                    <w:rPr>
                      <w:rFonts w:ascii="宋体" w:hAnsi="宋体" w:cs="宋体"/>
                      <w:color w:val="auto"/>
                      <w:szCs w:val="21"/>
                    </w:rPr>
                    <w:t>绞龙</w:t>
                  </w:r>
                </w:p>
              </w:tc>
              <w:tc>
                <w:tcPr>
                  <w:tcW w:w="2014" w:type="dxa"/>
                  <w:tcBorders>
                    <w:tl2br w:val="nil"/>
                    <w:tr2bl w:val="nil"/>
                  </w:tcBorders>
                  <w:noWrap w:val="0"/>
                  <w:vAlign w:val="top"/>
                </w:tcPr>
                <w:p w14:paraId="0774B721">
                  <w:pPr>
                    <w:jc w:val="center"/>
                    <w:rPr>
                      <w:rFonts w:hint="default" w:ascii="Times New Roman" w:hAnsi="Times New Roman" w:eastAsia="宋体" w:cs="Times New Roman"/>
                      <w:color w:val="auto"/>
                      <w:sz w:val="21"/>
                      <w:szCs w:val="21"/>
                      <w:highlight w:val="none"/>
                      <w:lang w:val="en-US" w:eastAsia="zh-CN"/>
                    </w:rPr>
                  </w:pPr>
                  <w:r>
                    <w:rPr>
                      <w:color w:val="auto"/>
                      <w:szCs w:val="21"/>
                    </w:rPr>
                    <w:t>LSS40</w:t>
                  </w:r>
                </w:p>
              </w:tc>
              <w:tc>
                <w:tcPr>
                  <w:tcW w:w="1580" w:type="dxa"/>
                  <w:tcBorders>
                    <w:tl2br w:val="nil"/>
                    <w:tr2bl w:val="nil"/>
                  </w:tcBorders>
                  <w:noWrap w:val="0"/>
                  <w:vAlign w:val="top"/>
                </w:tcPr>
                <w:p w14:paraId="2B59596A">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14FC5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分料</w:t>
                  </w:r>
                </w:p>
              </w:tc>
            </w:tr>
            <w:tr w14:paraId="2A562A1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1BFF56C0">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6</w:t>
                  </w:r>
                </w:p>
              </w:tc>
              <w:tc>
                <w:tcPr>
                  <w:tcW w:w="2445" w:type="dxa"/>
                  <w:tcBorders>
                    <w:tl2br w:val="nil"/>
                    <w:tr2bl w:val="nil"/>
                  </w:tcBorders>
                  <w:noWrap w:val="0"/>
                  <w:vAlign w:val="top"/>
                </w:tcPr>
                <w:p w14:paraId="305E5C6F">
                  <w:pPr>
                    <w:spacing w:before="68" w:line="221"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负压熔炼</w:t>
                  </w:r>
                  <w:r>
                    <w:rPr>
                      <w:rFonts w:ascii="宋体" w:hAnsi="宋体" w:cs="宋体"/>
                      <w:color w:val="auto"/>
                      <w:spacing w:val="-1"/>
                      <w:szCs w:val="21"/>
                    </w:rPr>
                    <w:t>锅</w:t>
                  </w:r>
                </w:p>
              </w:tc>
              <w:tc>
                <w:tcPr>
                  <w:tcW w:w="2014" w:type="dxa"/>
                  <w:tcBorders>
                    <w:tl2br w:val="nil"/>
                    <w:tr2bl w:val="nil"/>
                  </w:tcBorders>
                  <w:noWrap w:val="0"/>
                  <w:vAlign w:val="top"/>
                </w:tcPr>
                <w:p w14:paraId="657D2036">
                  <w:pPr>
                    <w:jc w:val="center"/>
                    <w:rPr>
                      <w:rFonts w:hint="default" w:ascii="Times New Roman" w:hAnsi="Times New Roman" w:eastAsia="宋体" w:cs="Times New Roman"/>
                      <w:color w:val="auto"/>
                      <w:sz w:val="21"/>
                      <w:szCs w:val="21"/>
                      <w:highlight w:val="none"/>
                      <w:lang w:val="en-US" w:eastAsia="zh-CN"/>
                    </w:rPr>
                  </w:pPr>
                  <w:r>
                    <w:rPr>
                      <w:color w:val="auto"/>
                      <w:szCs w:val="21"/>
                    </w:rPr>
                    <w:t>RLG-5T</w:t>
                  </w:r>
                </w:p>
              </w:tc>
              <w:tc>
                <w:tcPr>
                  <w:tcW w:w="1580" w:type="dxa"/>
                  <w:tcBorders>
                    <w:tl2br w:val="nil"/>
                    <w:tr2bl w:val="nil"/>
                  </w:tcBorders>
                  <w:noWrap w:val="0"/>
                  <w:vAlign w:val="top"/>
                </w:tcPr>
                <w:p w14:paraId="7EBDFC7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969" w:type="dxa"/>
                  <w:tcBorders>
                    <w:tl2br w:val="nil"/>
                    <w:tr2bl w:val="nil"/>
                  </w:tcBorders>
                  <w:noWrap w:val="0"/>
                  <w:vAlign w:val="center"/>
                </w:tcPr>
                <w:p w14:paraId="7235C8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熔炼</w:t>
                  </w:r>
                </w:p>
              </w:tc>
            </w:tr>
            <w:tr w14:paraId="75E5C7E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CA491EA">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7</w:t>
                  </w:r>
                </w:p>
              </w:tc>
              <w:tc>
                <w:tcPr>
                  <w:tcW w:w="2445" w:type="dxa"/>
                  <w:tcBorders>
                    <w:tl2br w:val="nil"/>
                    <w:tr2bl w:val="nil"/>
                  </w:tcBorders>
                  <w:noWrap w:val="0"/>
                  <w:vAlign w:val="top"/>
                </w:tcPr>
                <w:p w14:paraId="7E1ED4AF">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hint="eastAsia" w:ascii="宋体" w:hAnsi="宋体" w:cs="宋体"/>
                      <w:color w:val="auto"/>
                      <w:spacing w:val="-2"/>
                      <w:szCs w:val="21"/>
                      <w:lang w:eastAsia="zh-CN"/>
                    </w:rPr>
                    <w:t>油气</w:t>
                  </w:r>
                  <w:r>
                    <w:rPr>
                      <w:rFonts w:ascii="宋体" w:hAnsi="宋体" w:cs="宋体"/>
                      <w:color w:val="auto"/>
                      <w:spacing w:val="-1"/>
                      <w:szCs w:val="21"/>
                    </w:rPr>
                    <w:t>分离器机组</w:t>
                  </w:r>
                </w:p>
              </w:tc>
              <w:tc>
                <w:tcPr>
                  <w:tcW w:w="2014" w:type="dxa"/>
                  <w:tcBorders>
                    <w:tl2br w:val="nil"/>
                    <w:tr2bl w:val="nil"/>
                  </w:tcBorders>
                  <w:noWrap w:val="0"/>
                  <w:vAlign w:val="top"/>
                </w:tcPr>
                <w:p w14:paraId="7A8ADAB6">
                  <w:pPr>
                    <w:jc w:val="center"/>
                    <w:rPr>
                      <w:rFonts w:hint="default" w:ascii="Times New Roman" w:hAnsi="Times New Roman" w:eastAsia="宋体" w:cs="Times New Roman"/>
                      <w:color w:val="auto"/>
                      <w:sz w:val="21"/>
                      <w:szCs w:val="21"/>
                      <w:highlight w:val="none"/>
                      <w:lang w:val="en-US" w:eastAsia="zh-CN"/>
                    </w:rPr>
                  </w:pPr>
                  <w:r>
                    <w:rPr>
                      <w:color w:val="auto"/>
                      <w:szCs w:val="21"/>
                    </w:rPr>
                    <w:t>FLQ100-80</w:t>
                  </w:r>
                </w:p>
              </w:tc>
              <w:tc>
                <w:tcPr>
                  <w:tcW w:w="1580" w:type="dxa"/>
                  <w:tcBorders>
                    <w:tl2br w:val="nil"/>
                    <w:tr2bl w:val="nil"/>
                  </w:tcBorders>
                  <w:noWrap w:val="0"/>
                  <w:vAlign w:val="top"/>
                </w:tcPr>
                <w:p w14:paraId="1BF2D3A5">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2A288E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F6FD8F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D69C7D9">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8</w:t>
                  </w:r>
                </w:p>
              </w:tc>
              <w:tc>
                <w:tcPr>
                  <w:tcW w:w="2445" w:type="dxa"/>
                  <w:tcBorders>
                    <w:tl2br w:val="nil"/>
                    <w:tr2bl w:val="nil"/>
                  </w:tcBorders>
                  <w:noWrap w:val="0"/>
                  <w:vAlign w:val="top"/>
                </w:tcPr>
                <w:p w14:paraId="6B2AEB1C">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列</w:t>
                  </w:r>
                  <w:r>
                    <w:rPr>
                      <w:rFonts w:ascii="宋体" w:hAnsi="宋体" w:cs="宋体"/>
                      <w:color w:val="auto"/>
                      <w:spacing w:val="-1"/>
                      <w:szCs w:val="21"/>
                    </w:rPr>
                    <w:t>管冷凝器机组</w:t>
                  </w:r>
                </w:p>
              </w:tc>
              <w:tc>
                <w:tcPr>
                  <w:tcW w:w="2014" w:type="dxa"/>
                  <w:tcBorders>
                    <w:tl2br w:val="nil"/>
                    <w:tr2bl w:val="nil"/>
                  </w:tcBorders>
                  <w:noWrap w:val="0"/>
                  <w:vAlign w:val="top"/>
                </w:tcPr>
                <w:p w14:paraId="24FF4207">
                  <w:pPr>
                    <w:jc w:val="center"/>
                    <w:rPr>
                      <w:rFonts w:hint="default" w:ascii="Times New Roman" w:hAnsi="Times New Roman" w:eastAsia="宋体" w:cs="Times New Roman"/>
                      <w:color w:val="auto"/>
                      <w:sz w:val="21"/>
                      <w:szCs w:val="21"/>
                      <w:highlight w:val="none"/>
                      <w:lang w:val="en-US" w:eastAsia="zh-CN"/>
                    </w:rPr>
                  </w:pPr>
                  <w:r>
                    <w:rPr>
                      <w:color w:val="auto"/>
                      <w:szCs w:val="21"/>
                    </w:rPr>
                    <w:t>LNL100-80</w:t>
                  </w:r>
                </w:p>
              </w:tc>
              <w:tc>
                <w:tcPr>
                  <w:tcW w:w="1580" w:type="dxa"/>
                  <w:tcBorders>
                    <w:tl2br w:val="nil"/>
                    <w:tr2bl w:val="nil"/>
                  </w:tcBorders>
                  <w:noWrap w:val="0"/>
                  <w:vAlign w:val="top"/>
                </w:tcPr>
                <w:p w14:paraId="5D45B7ED">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1F405B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1D36B1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76254CE0">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9</w:t>
                  </w:r>
                </w:p>
              </w:tc>
              <w:tc>
                <w:tcPr>
                  <w:tcW w:w="2445" w:type="dxa"/>
                  <w:tcBorders>
                    <w:tl2br w:val="nil"/>
                    <w:tr2bl w:val="nil"/>
                  </w:tcBorders>
                  <w:noWrap w:val="0"/>
                  <w:vAlign w:val="top"/>
                </w:tcPr>
                <w:p w14:paraId="345F7ECA">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真空泵机</w:t>
                  </w:r>
                  <w:r>
                    <w:rPr>
                      <w:rFonts w:ascii="宋体" w:hAnsi="宋体" w:cs="宋体"/>
                      <w:color w:val="auto"/>
                      <w:szCs w:val="21"/>
                    </w:rPr>
                    <w:t>组</w:t>
                  </w:r>
                </w:p>
              </w:tc>
              <w:tc>
                <w:tcPr>
                  <w:tcW w:w="2014" w:type="dxa"/>
                  <w:tcBorders>
                    <w:tl2br w:val="nil"/>
                    <w:tr2bl w:val="nil"/>
                  </w:tcBorders>
                  <w:noWrap w:val="0"/>
                  <w:vAlign w:val="top"/>
                </w:tcPr>
                <w:p w14:paraId="4F92C379">
                  <w:pPr>
                    <w:jc w:val="center"/>
                    <w:rPr>
                      <w:rFonts w:hint="default" w:ascii="Times New Roman" w:hAnsi="Times New Roman" w:eastAsia="宋体" w:cs="Times New Roman"/>
                      <w:color w:val="auto"/>
                      <w:sz w:val="21"/>
                      <w:szCs w:val="21"/>
                      <w:highlight w:val="none"/>
                      <w:lang w:val="en-US" w:eastAsia="zh-CN"/>
                    </w:rPr>
                  </w:pPr>
                  <w:r>
                    <w:rPr>
                      <w:color w:val="auto"/>
                      <w:szCs w:val="21"/>
                    </w:rPr>
                    <w:t>ZPS320</w:t>
                  </w:r>
                </w:p>
              </w:tc>
              <w:tc>
                <w:tcPr>
                  <w:tcW w:w="1580" w:type="dxa"/>
                  <w:tcBorders>
                    <w:tl2br w:val="nil"/>
                    <w:tr2bl w:val="nil"/>
                  </w:tcBorders>
                  <w:noWrap w:val="0"/>
                  <w:vAlign w:val="top"/>
                </w:tcPr>
                <w:p w14:paraId="4890D2E4">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2129E4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6B0E32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C57B77C">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10</w:t>
                  </w:r>
                </w:p>
              </w:tc>
              <w:tc>
                <w:tcPr>
                  <w:tcW w:w="2445" w:type="dxa"/>
                  <w:tcBorders>
                    <w:tl2br w:val="nil"/>
                    <w:tr2bl w:val="nil"/>
                  </w:tcBorders>
                  <w:noWrap w:val="0"/>
                  <w:vAlign w:val="top"/>
                </w:tcPr>
                <w:p w14:paraId="38A89058">
                  <w:pPr>
                    <w:spacing w:before="68"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油</w:t>
                  </w:r>
                  <w:r>
                    <w:rPr>
                      <w:rFonts w:ascii="宋体" w:hAnsi="宋体" w:cs="宋体"/>
                      <w:color w:val="auto"/>
                      <w:spacing w:val="-1"/>
                      <w:szCs w:val="21"/>
                    </w:rPr>
                    <w:t>渣刮板机</w:t>
                  </w:r>
                </w:p>
              </w:tc>
              <w:tc>
                <w:tcPr>
                  <w:tcW w:w="2014" w:type="dxa"/>
                  <w:tcBorders>
                    <w:tl2br w:val="nil"/>
                    <w:tr2bl w:val="nil"/>
                  </w:tcBorders>
                  <w:noWrap w:val="0"/>
                  <w:vAlign w:val="top"/>
                </w:tcPr>
                <w:p w14:paraId="705FAE65">
                  <w:pPr>
                    <w:jc w:val="center"/>
                    <w:rPr>
                      <w:rFonts w:hint="default" w:ascii="Times New Roman" w:hAnsi="Times New Roman" w:eastAsia="宋体" w:cs="Times New Roman"/>
                      <w:color w:val="auto"/>
                      <w:sz w:val="21"/>
                      <w:szCs w:val="21"/>
                      <w:highlight w:val="none"/>
                      <w:lang w:val="en-US" w:eastAsia="zh-CN"/>
                    </w:rPr>
                  </w:pPr>
                  <w:r>
                    <w:rPr>
                      <w:color w:val="auto"/>
                      <w:szCs w:val="21"/>
                    </w:rPr>
                    <w:t>GBF50</w:t>
                  </w:r>
                </w:p>
              </w:tc>
              <w:tc>
                <w:tcPr>
                  <w:tcW w:w="1580" w:type="dxa"/>
                  <w:tcBorders>
                    <w:tl2br w:val="nil"/>
                    <w:tr2bl w:val="nil"/>
                  </w:tcBorders>
                  <w:noWrap w:val="0"/>
                  <w:vAlign w:val="top"/>
                </w:tcPr>
                <w:p w14:paraId="374C2188">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5CFF7A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733B90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42AD5CD4">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11</w:t>
                  </w:r>
                </w:p>
              </w:tc>
              <w:tc>
                <w:tcPr>
                  <w:tcW w:w="2445" w:type="dxa"/>
                  <w:tcBorders>
                    <w:tl2br w:val="nil"/>
                    <w:tr2bl w:val="nil"/>
                  </w:tcBorders>
                  <w:noWrap w:val="0"/>
                  <w:vAlign w:val="top"/>
                </w:tcPr>
                <w:p w14:paraId="2C5A051E">
                  <w:pPr>
                    <w:spacing w:before="68" w:line="221"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地下缓</w:t>
                  </w:r>
                  <w:r>
                    <w:rPr>
                      <w:rFonts w:ascii="宋体" w:hAnsi="宋体" w:cs="宋体"/>
                      <w:color w:val="auto"/>
                      <w:szCs w:val="21"/>
                    </w:rPr>
                    <w:t>冲罐</w:t>
                  </w:r>
                </w:p>
              </w:tc>
              <w:tc>
                <w:tcPr>
                  <w:tcW w:w="2014" w:type="dxa"/>
                  <w:tcBorders>
                    <w:tl2br w:val="nil"/>
                    <w:tr2bl w:val="nil"/>
                  </w:tcBorders>
                  <w:noWrap w:val="0"/>
                  <w:vAlign w:val="top"/>
                </w:tcPr>
                <w:p w14:paraId="108BBBE7">
                  <w:pPr>
                    <w:jc w:val="center"/>
                    <w:rPr>
                      <w:rFonts w:hint="default" w:ascii="Times New Roman" w:hAnsi="Times New Roman" w:eastAsia="宋体" w:cs="Times New Roman"/>
                      <w:color w:val="auto"/>
                      <w:sz w:val="21"/>
                      <w:szCs w:val="21"/>
                      <w:highlight w:val="none"/>
                      <w:lang w:val="en-US" w:eastAsia="zh-CN"/>
                    </w:rPr>
                  </w:pPr>
                  <w:r>
                    <w:rPr>
                      <w:color w:val="auto"/>
                      <w:szCs w:val="21"/>
                    </w:rPr>
                    <w:t>7m</w:t>
                  </w:r>
                  <w:r>
                    <w:rPr>
                      <w:color w:val="auto"/>
                      <w:szCs w:val="21"/>
                      <w:vertAlign w:val="superscript"/>
                    </w:rPr>
                    <w:t>3</w:t>
                  </w:r>
                </w:p>
              </w:tc>
              <w:tc>
                <w:tcPr>
                  <w:tcW w:w="1580" w:type="dxa"/>
                  <w:tcBorders>
                    <w:tl2br w:val="nil"/>
                    <w:tr2bl w:val="nil"/>
                  </w:tcBorders>
                  <w:noWrap w:val="0"/>
                  <w:vAlign w:val="top"/>
                </w:tcPr>
                <w:p w14:paraId="3E3629F1">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5CAA74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5A5CBD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04FD5FE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12</w:t>
                  </w:r>
                </w:p>
              </w:tc>
              <w:tc>
                <w:tcPr>
                  <w:tcW w:w="2445" w:type="dxa"/>
                  <w:tcBorders>
                    <w:tl2br w:val="nil"/>
                    <w:tr2bl w:val="nil"/>
                  </w:tcBorders>
                  <w:noWrap w:val="0"/>
                  <w:vAlign w:val="top"/>
                </w:tcPr>
                <w:p w14:paraId="1D134F3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过滤油泵</w:t>
                  </w:r>
                </w:p>
              </w:tc>
              <w:tc>
                <w:tcPr>
                  <w:tcW w:w="2014" w:type="dxa"/>
                  <w:tcBorders>
                    <w:tl2br w:val="nil"/>
                    <w:tr2bl w:val="nil"/>
                  </w:tcBorders>
                  <w:noWrap w:val="0"/>
                  <w:vAlign w:val="top"/>
                </w:tcPr>
                <w:p w14:paraId="56462252">
                  <w:pPr>
                    <w:jc w:val="center"/>
                    <w:rPr>
                      <w:rFonts w:hint="default" w:ascii="Times New Roman" w:hAnsi="Times New Roman" w:eastAsia="宋体" w:cs="Times New Roman"/>
                      <w:color w:val="auto"/>
                      <w:sz w:val="21"/>
                      <w:szCs w:val="21"/>
                      <w:highlight w:val="none"/>
                      <w:lang w:val="en-US" w:eastAsia="zh-CN"/>
                    </w:rPr>
                  </w:pPr>
                  <w:r>
                    <w:rPr>
                      <w:color w:val="auto"/>
                      <w:szCs w:val="21"/>
                    </w:rPr>
                    <w:t>RY65-40</w:t>
                  </w:r>
                </w:p>
              </w:tc>
              <w:tc>
                <w:tcPr>
                  <w:tcW w:w="1580" w:type="dxa"/>
                  <w:tcBorders>
                    <w:tl2br w:val="nil"/>
                    <w:tr2bl w:val="nil"/>
                  </w:tcBorders>
                  <w:noWrap w:val="0"/>
                  <w:vAlign w:val="top"/>
                </w:tcPr>
                <w:p w14:paraId="4C266505">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363B3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25374B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14:paraId="526B7E39">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13</w:t>
                  </w:r>
                </w:p>
              </w:tc>
              <w:tc>
                <w:tcPr>
                  <w:tcW w:w="2445" w:type="dxa"/>
                  <w:tcBorders>
                    <w:tl2br w:val="nil"/>
                    <w:tr2bl w:val="nil"/>
                  </w:tcBorders>
                  <w:noWrap w:val="0"/>
                  <w:vAlign w:val="top"/>
                </w:tcPr>
                <w:p w14:paraId="291288DC">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3"/>
                      <w:szCs w:val="21"/>
                    </w:rPr>
                    <w:t>叶片过</w:t>
                  </w:r>
                  <w:r>
                    <w:rPr>
                      <w:rFonts w:ascii="宋体" w:hAnsi="宋体" w:cs="宋体"/>
                      <w:color w:val="auto"/>
                      <w:spacing w:val="-2"/>
                      <w:szCs w:val="21"/>
                    </w:rPr>
                    <w:t>滤机</w:t>
                  </w:r>
                </w:p>
              </w:tc>
              <w:tc>
                <w:tcPr>
                  <w:tcW w:w="2014" w:type="dxa"/>
                  <w:tcBorders>
                    <w:tl2br w:val="nil"/>
                    <w:tr2bl w:val="nil"/>
                  </w:tcBorders>
                  <w:noWrap w:val="0"/>
                  <w:vAlign w:val="top"/>
                </w:tcPr>
                <w:p w14:paraId="738511FF">
                  <w:pPr>
                    <w:jc w:val="center"/>
                    <w:rPr>
                      <w:rFonts w:hint="default" w:ascii="Times New Roman" w:hAnsi="Times New Roman" w:eastAsia="宋体" w:cs="Times New Roman"/>
                      <w:color w:val="auto"/>
                      <w:sz w:val="21"/>
                      <w:szCs w:val="21"/>
                      <w:highlight w:val="none"/>
                      <w:lang w:val="en-US" w:eastAsia="zh-CN"/>
                    </w:rPr>
                  </w:pPr>
                  <w:r>
                    <w:rPr>
                      <w:color w:val="auto"/>
                      <w:szCs w:val="21"/>
                    </w:rPr>
                    <w:t>NYB-15</w:t>
                  </w:r>
                </w:p>
              </w:tc>
              <w:tc>
                <w:tcPr>
                  <w:tcW w:w="1580" w:type="dxa"/>
                  <w:tcBorders>
                    <w:tl2br w:val="nil"/>
                    <w:tr2bl w:val="nil"/>
                  </w:tcBorders>
                  <w:noWrap w:val="0"/>
                  <w:vAlign w:val="top"/>
                </w:tcPr>
                <w:p w14:paraId="7DC86FAD">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6A44A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过滤</w:t>
                  </w:r>
                </w:p>
              </w:tc>
            </w:tr>
            <w:tr w14:paraId="34B7485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1A0CEA6">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14</w:t>
                  </w:r>
                </w:p>
              </w:tc>
              <w:tc>
                <w:tcPr>
                  <w:tcW w:w="2445" w:type="dxa"/>
                  <w:tcBorders>
                    <w:tl2br w:val="nil"/>
                    <w:tr2bl w:val="nil"/>
                  </w:tcBorders>
                  <w:noWrap w:val="0"/>
                  <w:vAlign w:val="top"/>
                </w:tcPr>
                <w:p w14:paraId="7B326761">
                  <w:pPr>
                    <w:spacing w:before="32" w:line="216"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成品</w:t>
                  </w:r>
                  <w:r>
                    <w:rPr>
                      <w:rFonts w:ascii="宋体" w:hAnsi="宋体" w:cs="宋体"/>
                      <w:color w:val="auto"/>
                      <w:spacing w:val="-1"/>
                      <w:szCs w:val="21"/>
                    </w:rPr>
                    <w:t>油罐</w:t>
                  </w:r>
                </w:p>
              </w:tc>
              <w:tc>
                <w:tcPr>
                  <w:tcW w:w="2014" w:type="dxa"/>
                  <w:tcBorders>
                    <w:tl2br w:val="nil"/>
                    <w:tr2bl w:val="nil"/>
                  </w:tcBorders>
                  <w:noWrap w:val="0"/>
                  <w:vAlign w:val="top"/>
                </w:tcPr>
                <w:p w14:paraId="7151752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80t</w:t>
                  </w:r>
                </w:p>
              </w:tc>
              <w:tc>
                <w:tcPr>
                  <w:tcW w:w="1580" w:type="dxa"/>
                  <w:tcBorders>
                    <w:tl2br w:val="nil"/>
                    <w:tr2bl w:val="nil"/>
                  </w:tcBorders>
                  <w:noWrap w:val="0"/>
                  <w:vAlign w:val="top"/>
                </w:tcPr>
                <w:p w14:paraId="71C6B5C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7F714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储存油</w:t>
                  </w:r>
                </w:p>
              </w:tc>
            </w:tr>
            <w:tr w14:paraId="166CEE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14:paraId="08A4312E">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15</w:t>
                  </w:r>
                </w:p>
              </w:tc>
              <w:tc>
                <w:tcPr>
                  <w:tcW w:w="2445" w:type="dxa"/>
                  <w:tcBorders>
                    <w:tl2br w:val="nil"/>
                    <w:tr2bl w:val="nil"/>
                  </w:tcBorders>
                  <w:noWrap w:val="0"/>
                  <w:vAlign w:val="top"/>
                </w:tcPr>
                <w:p w14:paraId="75BCBF5E">
                  <w:pPr>
                    <w:spacing w:before="27" w:line="216"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成品</w:t>
                  </w:r>
                  <w:r>
                    <w:rPr>
                      <w:rFonts w:ascii="宋体" w:hAnsi="宋体" w:cs="宋体"/>
                      <w:color w:val="auto"/>
                      <w:spacing w:val="-1"/>
                      <w:szCs w:val="21"/>
                    </w:rPr>
                    <w:t>油泵</w:t>
                  </w:r>
                </w:p>
              </w:tc>
              <w:tc>
                <w:tcPr>
                  <w:tcW w:w="2014" w:type="dxa"/>
                  <w:tcBorders>
                    <w:tl2br w:val="nil"/>
                    <w:tr2bl w:val="nil"/>
                  </w:tcBorders>
                  <w:noWrap w:val="0"/>
                  <w:vAlign w:val="top"/>
                </w:tcPr>
                <w:p w14:paraId="12578B83">
                  <w:pPr>
                    <w:jc w:val="center"/>
                    <w:rPr>
                      <w:rFonts w:hint="default" w:ascii="Times New Roman" w:hAnsi="Times New Roman" w:eastAsia="宋体" w:cs="Times New Roman"/>
                      <w:color w:val="auto"/>
                      <w:sz w:val="21"/>
                      <w:szCs w:val="21"/>
                      <w:highlight w:val="none"/>
                      <w:lang w:val="en-US" w:eastAsia="zh-CN"/>
                    </w:rPr>
                  </w:pPr>
                  <w:r>
                    <w:rPr>
                      <w:color w:val="auto"/>
                      <w:szCs w:val="21"/>
                    </w:rPr>
                    <w:t>KCB83.3</w:t>
                  </w:r>
                </w:p>
              </w:tc>
              <w:tc>
                <w:tcPr>
                  <w:tcW w:w="1580" w:type="dxa"/>
                  <w:tcBorders>
                    <w:tl2br w:val="nil"/>
                    <w:tr2bl w:val="nil"/>
                  </w:tcBorders>
                  <w:noWrap w:val="0"/>
                  <w:vAlign w:val="top"/>
                </w:tcPr>
                <w:p w14:paraId="7B406A0A">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4640D4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222499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52735DAB">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16</w:t>
                  </w:r>
                </w:p>
              </w:tc>
              <w:tc>
                <w:tcPr>
                  <w:tcW w:w="2445" w:type="dxa"/>
                  <w:tcBorders>
                    <w:tl2br w:val="nil"/>
                    <w:tr2bl w:val="nil"/>
                  </w:tcBorders>
                  <w:noWrap w:val="0"/>
                  <w:vAlign w:val="top"/>
                </w:tcPr>
                <w:p w14:paraId="34F4E7C4">
                  <w:pPr>
                    <w:spacing w:before="69" w:line="221"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油</w:t>
                  </w:r>
                  <w:r>
                    <w:rPr>
                      <w:rFonts w:ascii="宋体" w:hAnsi="宋体" w:cs="宋体"/>
                      <w:color w:val="auto"/>
                      <w:spacing w:val="-1"/>
                      <w:szCs w:val="21"/>
                    </w:rPr>
                    <w:t>渣喂料锅</w:t>
                  </w:r>
                </w:p>
              </w:tc>
              <w:tc>
                <w:tcPr>
                  <w:tcW w:w="2014" w:type="dxa"/>
                  <w:tcBorders>
                    <w:tl2br w:val="nil"/>
                    <w:tr2bl w:val="nil"/>
                  </w:tcBorders>
                  <w:noWrap w:val="0"/>
                  <w:vAlign w:val="top"/>
                </w:tcPr>
                <w:p w14:paraId="1F967215">
                  <w:pPr>
                    <w:jc w:val="center"/>
                    <w:rPr>
                      <w:rFonts w:hint="default" w:ascii="Times New Roman" w:hAnsi="Times New Roman" w:eastAsia="宋体" w:cs="Times New Roman"/>
                      <w:color w:val="auto"/>
                      <w:sz w:val="21"/>
                      <w:szCs w:val="21"/>
                      <w:highlight w:val="none"/>
                      <w:lang w:val="en-US" w:eastAsia="zh-CN"/>
                    </w:rPr>
                  </w:pPr>
                  <w:r>
                    <w:rPr>
                      <w:color w:val="auto"/>
                      <w:szCs w:val="21"/>
                    </w:rPr>
                    <w:t>HCG2.0</w:t>
                  </w:r>
                </w:p>
              </w:tc>
              <w:tc>
                <w:tcPr>
                  <w:tcW w:w="1580" w:type="dxa"/>
                  <w:tcBorders>
                    <w:tl2br w:val="nil"/>
                    <w:tr2bl w:val="nil"/>
                  </w:tcBorders>
                  <w:noWrap w:val="0"/>
                  <w:vAlign w:val="top"/>
                </w:tcPr>
                <w:p w14:paraId="7F585095">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02E2A9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喂料</w:t>
                  </w:r>
                </w:p>
              </w:tc>
            </w:tr>
            <w:tr w14:paraId="7DCBAF2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B89EF98">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17</w:t>
                  </w:r>
                </w:p>
              </w:tc>
              <w:tc>
                <w:tcPr>
                  <w:tcW w:w="2445" w:type="dxa"/>
                  <w:tcBorders>
                    <w:tl2br w:val="nil"/>
                    <w:tr2bl w:val="nil"/>
                  </w:tcBorders>
                  <w:noWrap w:val="0"/>
                  <w:vAlign w:val="top"/>
                </w:tcPr>
                <w:p w14:paraId="666B4697">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螺旋榨油机</w:t>
                  </w:r>
                </w:p>
              </w:tc>
              <w:tc>
                <w:tcPr>
                  <w:tcW w:w="2014" w:type="dxa"/>
                  <w:tcBorders>
                    <w:tl2br w:val="nil"/>
                    <w:tr2bl w:val="nil"/>
                  </w:tcBorders>
                  <w:noWrap w:val="0"/>
                  <w:vAlign w:val="top"/>
                </w:tcPr>
                <w:p w14:paraId="4A09F9A9">
                  <w:pPr>
                    <w:jc w:val="center"/>
                    <w:rPr>
                      <w:rFonts w:hint="default" w:ascii="Times New Roman" w:hAnsi="Times New Roman" w:eastAsia="宋体" w:cs="Times New Roman"/>
                      <w:color w:val="auto"/>
                      <w:sz w:val="21"/>
                      <w:szCs w:val="21"/>
                      <w:highlight w:val="none"/>
                      <w:lang w:val="en-US" w:eastAsia="zh-CN"/>
                    </w:rPr>
                  </w:pPr>
                  <w:r>
                    <w:rPr>
                      <w:color w:val="auto"/>
                      <w:szCs w:val="21"/>
                    </w:rPr>
                    <w:t>6YL-140</w:t>
                  </w:r>
                </w:p>
              </w:tc>
              <w:tc>
                <w:tcPr>
                  <w:tcW w:w="1580" w:type="dxa"/>
                  <w:tcBorders>
                    <w:tl2br w:val="nil"/>
                    <w:tr2bl w:val="nil"/>
                  </w:tcBorders>
                  <w:noWrap w:val="0"/>
                  <w:vAlign w:val="top"/>
                </w:tcPr>
                <w:p w14:paraId="774119CE">
                  <w:pPr>
                    <w:jc w:val="center"/>
                    <w:rPr>
                      <w:rFonts w:hint="default" w:ascii="Times New Roman" w:hAnsi="Times New Roman" w:eastAsia="宋体" w:cs="Times New Roman"/>
                      <w:color w:val="auto"/>
                      <w:sz w:val="21"/>
                      <w:szCs w:val="21"/>
                      <w:highlight w:val="none"/>
                      <w:lang w:val="en-US" w:eastAsia="zh-CN"/>
                    </w:rPr>
                  </w:pPr>
                  <w:r>
                    <w:rPr>
                      <w:color w:val="auto"/>
                      <w:szCs w:val="21"/>
                    </w:rPr>
                    <w:t>2</w:t>
                  </w:r>
                </w:p>
              </w:tc>
              <w:tc>
                <w:tcPr>
                  <w:tcW w:w="1969" w:type="dxa"/>
                  <w:tcBorders>
                    <w:tl2br w:val="nil"/>
                    <w:tr2bl w:val="nil"/>
                  </w:tcBorders>
                  <w:noWrap w:val="0"/>
                  <w:vAlign w:val="center"/>
                </w:tcPr>
                <w:p w14:paraId="24F803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榨油</w:t>
                  </w:r>
                </w:p>
              </w:tc>
            </w:tr>
            <w:tr w14:paraId="4D33678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6ADE081">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18</w:t>
                  </w:r>
                </w:p>
              </w:tc>
              <w:tc>
                <w:tcPr>
                  <w:tcW w:w="2445" w:type="dxa"/>
                  <w:tcBorders>
                    <w:tl2br w:val="nil"/>
                    <w:tr2bl w:val="nil"/>
                  </w:tcBorders>
                  <w:noWrap w:val="0"/>
                  <w:vAlign w:val="top"/>
                </w:tcPr>
                <w:p w14:paraId="66204299">
                  <w:pPr>
                    <w:spacing w:before="32" w:line="226" w:lineRule="auto"/>
                    <w:ind w:right="13" w:rightChars="0"/>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zCs w:val="21"/>
                    </w:rPr>
                    <w:t>（冷水塔</w:t>
                  </w:r>
                  <w:r>
                    <w:rPr>
                      <w:rFonts w:ascii="宋体" w:hAnsi="宋体" w:cs="宋体"/>
                      <w:color w:val="auto"/>
                      <w:spacing w:val="-56"/>
                      <w:szCs w:val="21"/>
                    </w:rPr>
                    <w:t>、</w:t>
                  </w:r>
                  <w:r>
                    <w:rPr>
                      <w:rFonts w:ascii="宋体" w:hAnsi="宋体" w:cs="宋体"/>
                      <w:color w:val="auto"/>
                      <w:szCs w:val="21"/>
                    </w:rPr>
                    <w:t>水泵</w:t>
                  </w:r>
                  <w:r>
                    <w:rPr>
                      <w:rFonts w:ascii="宋体" w:hAnsi="宋体" w:cs="宋体"/>
                      <w:color w:val="auto"/>
                      <w:spacing w:val="-55"/>
                      <w:szCs w:val="21"/>
                    </w:rPr>
                    <w:t>）</w:t>
                  </w:r>
                  <w:r>
                    <w:rPr>
                      <w:rFonts w:ascii="宋体" w:hAnsi="宋体" w:cs="宋体"/>
                      <w:color w:val="auto"/>
                      <w:spacing w:val="-1"/>
                      <w:szCs w:val="21"/>
                    </w:rPr>
                    <w:t>室外循环水池</w:t>
                  </w:r>
                </w:p>
              </w:tc>
              <w:tc>
                <w:tcPr>
                  <w:tcW w:w="2014" w:type="dxa"/>
                  <w:tcBorders>
                    <w:tl2br w:val="nil"/>
                    <w:tr2bl w:val="nil"/>
                  </w:tcBorders>
                  <w:noWrap w:val="0"/>
                  <w:vAlign w:val="top"/>
                </w:tcPr>
                <w:p w14:paraId="45B80E5E">
                  <w:pPr>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lang w:val="en-US" w:eastAsia="zh-CN"/>
                    </w:rPr>
                    <w:t>1</w:t>
                  </w:r>
                  <w:r>
                    <w:rPr>
                      <w:color w:val="auto"/>
                      <w:szCs w:val="21"/>
                    </w:rPr>
                    <w:t>0m</w:t>
                  </w:r>
                  <w:r>
                    <w:rPr>
                      <w:rFonts w:hint="eastAsia"/>
                      <w:color w:val="auto"/>
                      <w:szCs w:val="21"/>
                      <w:vertAlign w:val="superscript"/>
                    </w:rPr>
                    <w:t>3</w:t>
                  </w:r>
                </w:p>
              </w:tc>
              <w:tc>
                <w:tcPr>
                  <w:tcW w:w="1580" w:type="dxa"/>
                  <w:tcBorders>
                    <w:tl2br w:val="nil"/>
                    <w:tr2bl w:val="nil"/>
                  </w:tcBorders>
                  <w:noWrap w:val="0"/>
                  <w:vAlign w:val="top"/>
                </w:tcPr>
                <w:p w14:paraId="2CDE3A8D">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2ABF28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16EEB5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41B47F20">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hint="eastAsia" w:ascii="宋体" w:hAnsi="宋体" w:cs="宋体"/>
                      <w:color w:val="auto"/>
                      <w:spacing w:val="-3"/>
                      <w:szCs w:val="21"/>
                    </w:rPr>
                    <w:t>19</w:t>
                  </w:r>
                </w:p>
              </w:tc>
              <w:tc>
                <w:tcPr>
                  <w:tcW w:w="2445" w:type="dxa"/>
                  <w:tcBorders>
                    <w:tl2br w:val="nil"/>
                    <w:tr2bl w:val="nil"/>
                  </w:tcBorders>
                  <w:noWrap w:val="0"/>
                  <w:vAlign w:val="top"/>
                </w:tcPr>
                <w:p w14:paraId="11B74DE7">
                  <w:pPr>
                    <w:spacing w:before="69" w:line="220"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3"/>
                      <w:szCs w:val="21"/>
                    </w:rPr>
                    <w:t>尾气回收工段</w:t>
                  </w:r>
                  <w:r>
                    <w:rPr>
                      <w:rFonts w:hint="eastAsia" w:ascii="宋体" w:hAnsi="宋体" w:cs="宋体"/>
                      <w:color w:val="auto"/>
                      <w:spacing w:val="-3"/>
                      <w:szCs w:val="21"/>
                      <w:lang w:eastAsia="zh-CN"/>
                    </w:rPr>
                    <w:t>，</w:t>
                  </w:r>
                  <w:r>
                    <w:rPr>
                      <w:rFonts w:ascii="宋体" w:hAnsi="宋体" w:cs="宋体"/>
                      <w:color w:val="auto"/>
                      <w:spacing w:val="-3"/>
                      <w:szCs w:val="21"/>
                    </w:rPr>
                    <w:t>1#回收塔</w:t>
                  </w:r>
                  <w:r>
                    <w:rPr>
                      <w:rFonts w:hint="eastAsia" w:ascii="宋体" w:hAnsi="宋体" w:cs="宋体"/>
                      <w:color w:val="auto"/>
                      <w:spacing w:val="-3"/>
                      <w:szCs w:val="21"/>
                      <w:lang w:eastAsia="zh-CN"/>
                    </w:rPr>
                    <w:t>、</w:t>
                  </w:r>
                  <w:r>
                    <w:rPr>
                      <w:rFonts w:ascii="宋体" w:hAnsi="宋体" w:cs="宋体"/>
                      <w:color w:val="auto"/>
                      <w:spacing w:val="-3"/>
                      <w:szCs w:val="21"/>
                    </w:rPr>
                    <w:t xml:space="preserve">  2#回收塔</w:t>
                  </w:r>
                  <w:r>
                    <w:rPr>
                      <w:rFonts w:hint="eastAsia" w:ascii="宋体" w:hAnsi="宋体" w:cs="宋体"/>
                      <w:color w:val="auto"/>
                      <w:spacing w:val="-3"/>
                      <w:szCs w:val="21"/>
                      <w:lang w:eastAsia="zh-CN"/>
                    </w:rPr>
                    <w:t>，</w:t>
                  </w:r>
                  <w:r>
                    <w:rPr>
                      <w:rFonts w:ascii="宋体" w:hAnsi="宋体" w:cs="宋体"/>
                      <w:color w:val="auto"/>
                      <w:spacing w:val="-3"/>
                      <w:szCs w:val="21"/>
                    </w:rPr>
                    <w:t>尾气排放塔</w:t>
                  </w:r>
                  <w:r>
                    <w:rPr>
                      <w:rFonts w:hint="eastAsia" w:ascii="宋体" w:hAnsi="宋体" w:cs="宋体"/>
                      <w:color w:val="auto"/>
                      <w:spacing w:val="-3"/>
                      <w:szCs w:val="21"/>
                      <w:lang w:eastAsia="zh-CN"/>
                    </w:rPr>
                    <w:t>，</w:t>
                  </w:r>
                  <w:r>
                    <w:rPr>
                      <w:rFonts w:ascii="宋体" w:hAnsi="宋体" w:cs="宋体"/>
                      <w:color w:val="auto"/>
                      <w:spacing w:val="-3"/>
                      <w:szCs w:val="21"/>
                    </w:rPr>
                    <w:t>离心风机</w:t>
                  </w:r>
                  <w:r>
                    <w:rPr>
                      <w:rFonts w:hint="eastAsia" w:ascii="宋体" w:hAnsi="宋体" w:cs="宋体"/>
                      <w:color w:val="auto"/>
                      <w:spacing w:val="-3"/>
                      <w:szCs w:val="21"/>
                      <w:lang w:eastAsia="zh-CN"/>
                    </w:rPr>
                    <w:t>，</w:t>
                  </w:r>
                  <w:r>
                    <w:rPr>
                      <w:rFonts w:ascii="宋体" w:hAnsi="宋体" w:cs="宋体"/>
                      <w:color w:val="auto"/>
                      <w:spacing w:val="-3"/>
                      <w:szCs w:val="21"/>
                    </w:rPr>
                    <w:t>风网系统</w:t>
                  </w:r>
                </w:p>
              </w:tc>
              <w:tc>
                <w:tcPr>
                  <w:tcW w:w="2014" w:type="dxa"/>
                  <w:tcBorders>
                    <w:tl2br w:val="nil"/>
                    <w:tr2bl w:val="nil"/>
                  </w:tcBorders>
                  <w:noWrap w:val="0"/>
                  <w:vAlign w:val="top"/>
                </w:tcPr>
                <w:p w14:paraId="4C2A59BC">
                  <w:pPr>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w:t>
                  </w:r>
                </w:p>
              </w:tc>
              <w:tc>
                <w:tcPr>
                  <w:tcW w:w="1580" w:type="dxa"/>
                  <w:tcBorders>
                    <w:tl2br w:val="nil"/>
                    <w:tr2bl w:val="nil"/>
                  </w:tcBorders>
                  <w:noWrap w:val="0"/>
                  <w:vAlign w:val="top"/>
                </w:tcPr>
                <w:p w14:paraId="5CE3C361">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026536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1E62D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96B164E">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20</w:t>
                  </w:r>
                </w:p>
              </w:tc>
              <w:tc>
                <w:tcPr>
                  <w:tcW w:w="2445" w:type="dxa"/>
                  <w:tcBorders>
                    <w:tl2br w:val="nil"/>
                    <w:tr2bl w:val="nil"/>
                  </w:tcBorders>
                  <w:noWrap w:val="0"/>
                  <w:vAlign w:val="top"/>
                </w:tcPr>
                <w:p w14:paraId="1FFB1EE3">
                  <w:pPr>
                    <w:spacing w:before="35" w:line="214" w:lineRule="auto"/>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配电控</w:t>
                  </w:r>
                  <w:r>
                    <w:rPr>
                      <w:rFonts w:ascii="宋体" w:hAnsi="宋体" w:cs="宋体"/>
                      <w:color w:val="auto"/>
                      <w:szCs w:val="21"/>
                    </w:rPr>
                    <w:t>制柜</w:t>
                  </w:r>
                </w:p>
              </w:tc>
              <w:tc>
                <w:tcPr>
                  <w:tcW w:w="2014" w:type="dxa"/>
                  <w:tcBorders>
                    <w:tl2br w:val="nil"/>
                    <w:tr2bl w:val="nil"/>
                  </w:tcBorders>
                  <w:noWrap w:val="0"/>
                  <w:vAlign w:val="top"/>
                </w:tcPr>
                <w:p w14:paraId="3FF124D3">
                  <w:pPr>
                    <w:jc w:val="center"/>
                    <w:rPr>
                      <w:rFonts w:hint="default" w:ascii="Times New Roman" w:hAnsi="Times New Roman" w:eastAsia="宋体" w:cs="Times New Roman"/>
                      <w:color w:val="auto"/>
                      <w:sz w:val="21"/>
                      <w:szCs w:val="21"/>
                      <w:highlight w:val="none"/>
                      <w:lang w:val="en-US" w:eastAsia="zh-CN"/>
                    </w:rPr>
                  </w:pPr>
                  <w:r>
                    <w:rPr>
                      <w:color w:val="auto"/>
                      <w:szCs w:val="21"/>
                    </w:rPr>
                    <mc:AlternateContent>
                      <mc:Choice Requires="wps">
                        <w:drawing>
                          <wp:anchor distT="0" distB="0" distL="114300" distR="114300" simplePos="0" relativeHeight="251660288" behindDoc="0" locked="0" layoutInCell="1" allowOverlap="1">
                            <wp:simplePos x="0" y="0"/>
                            <wp:positionH relativeFrom="rightMargin">
                              <wp:posOffset>-1270</wp:posOffset>
                            </wp:positionH>
                            <wp:positionV relativeFrom="topMargin">
                              <wp:posOffset>177165</wp:posOffset>
                            </wp:positionV>
                            <wp:extent cx="6350" cy="6350"/>
                            <wp:effectExtent l="0" t="0" r="0" b="0"/>
                            <wp:wrapNone/>
                            <wp:docPr id="3" name="任意多边形 3"/>
                            <wp:cNvGraphicFramePr/>
                            <a:graphic xmlns:a="http://schemas.openxmlformats.org/drawingml/2006/main">
                              <a:graphicData uri="http://schemas.microsoft.com/office/word/2010/wordprocessingShape">
                                <wps:wsp>
                                  <wps:cNvSpPr/>
                                  <wps:spPr>
                                    <a:xfrm>
                                      <a:off x="0" y="0"/>
                                      <a:ext cx="6350" cy="6350"/>
                                    </a:xfrm>
                                    <a:custGeom>
                                      <a:avLst/>
                                      <a:gdLst/>
                                      <a:ahLst/>
                                      <a:cxnLst/>
                                      <a:rect l="0" t="0" r="0" b="0"/>
                                      <a:pathLst>
                                        <a:path w="10" h="10">
                                          <a:moveTo>
                                            <a:pt x="0" y="9"/>
                                          </a:moveTo>
                                          <a:lnTo>
                                            <a:pt x="9" y="9"/>
                                          </a:lnTo>
                                          <a:lnTo>
                                            <a:pt x="9" y="0"/>
                                          </a:lnTo>
                                          <a:lnTo>
                                            <a:pt x="0" y="0"/>
                                          </a:lnTo>
                                          <a:lnTo>
                                            <a:pt x="0" y="9"/>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2pt;margin-top:14.45pt;height:0.5pt;width:0.5pt;mso-position-horizontal-relative:page;mso-position-vertical-relative:page;z-index:251660288;mso-width-relative:page;mso-height-relative:page;" fillcolor="#000000" filled="t" stroked="f" coordsize="10,10" o:gfxdata="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3gF21AAAAAQBAAAPAAAAAAAAAAEAIAAA&#10;ACIAAABkcnMvZG93bnJldi54bWxQSwECFAAUAAAACACHTuJAqg1Q+RACAACPBAAADgAAAAAAAAAB&#10;ACAAAAAjAQAAZHJzL2Uyb0RvYy54bWxQSwUGAAAAAAYABgBZAQAApQUAAAAA&#10;" path="m0,9l9,9,9,0,0,0,0,9xe">
                            <v:fill on="t" focussize="0,0"/>
                            <v:stroke on="f"/>
                            <v:imagedata o:title=""/>
                            <o:lock v:ext="edit" aspectratio="f"/>
                          </v:shape>
                        </w:pict>
                      </mc:Fallback>
                    </mc:AlternateContent>
                  </w:r>
                  <w:r>
                    <w:rPr>
                      <w:rFonts w:hint="eastAsia"/>
                      <w:color w:val="auto"/>
                      <w:szCs w:val="21"/>
                    </w:rPr>
                    <w:t>/</w:t>
                  </w:r>
                </w:p>
              </w:tc>
              <w:tc>
                <w:tcPr>
                  <w:tcW w:w="1580" w:type="dxa"/>
                  <w:tcBorders>
                    <w:tl2br w:val="nil"/>
                    <w:tr2bl w:val="nil"/>
                  </w:tcBorders>
                  <w:noWrap w:val="0"/>
                  <w:vAlign w:val="top"/>
                </w:tcPr>
                <w:p w14:paraId="6677B783">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20111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FFB25F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687F5300">
                  <w:pPr>
                    <w:jc w:val="center"/>
                    <w:rPr>
                      <w:rFonts w:hint="default" w:ascii="Times New Roman" w:hAnsi="Times New Roman" w:eastAsia="宋体" w:cs="Times New Roman"/>
                      <w:color w:val="auto"/>
                      <w:sz w:val="21"/>
                      <w:szCs w:val="21"/>
                      <w:highlight w:val="none"/>
                      <w:lang w:val="en-US" w:eastAsia="zh-CN"/>
                    </w:rPr>
                  </w:pPr>
                  <w:r>
                    <w:rPr>
                      <w:rFonts w:hint="eastAsia"/>
                      <w:bCs/>
                      <w:color w:val="auto"/>
                      <w:szCs w:val="21"/>
                    </w:rPr>
                    <w:t>21</w:t>
                  </w:r>
                </w:p>
              </w:tc>
              <w:tc>
                <w:tcPr>
                  <w:tcW w:w="2445" w:type="dxa"/>
                  <w:tcBorders>
                    <w:tl2br w:val="nil"/>
                    <w:tr2bl w:val="nil"/>
                  </w:tcBorders>
                  <w:noWrap w:val="0"/>
                  <w:vAlign w:val="top"/>
                </w:tcPr>
                <w:p w14:paraId="25322332">
                  <w:pPr>
                    <w:spacing w:before="29" w:line="233" w:lineRule="auto"/>
                    <w:ind w:right="30" w:rightChars="0"/>
                    <w:jc w:val="center"/>
                    <w:rPr>
                      <w:rFonts w:hint="default" w:ascii="Times New Roman" w:hAnsi="Times New Roman" w:eastAsia="宋体" w:cs="Times New Roman"/>
                      <w:color w:val="auto"/>
                      <w:sz w:val="21"/>
                      <w:szCs w:val="21"/>
                      <w:highlight w:val="none"/>
                      <w:lang w:val="en-US" w:eastAsia="zh-CN"/>
                    </w:rPr>
                  </w:pPr>
                  <w:r>
                    <w:rPr>
                      <w:rFonts w:ascii="宋体" w:hAnsi="宋体" w:cs="宋体"/>
                      <w:color w:val="auto"/>
                      <w:szCs w:val="21"/>
                    </w:rPr>
                    <w:t>阀门</w:t>
                  </w:r>
                  <w:r>
                    <w:rPr>
                      <w:rFonts w:ascii="宋体" w:hAnsi="宋体" w:cs="宋体"/>
                      <w:color w:val="auto"/>
                      <w:spacing w:val="-3"/>
                      <w:szCs w:val="21"/>
                    </w:rPr>
                    <w:t>、</w:t>
                  </w:r>
                  <w:r>
                    <w:rPr>
                      <w:rFonts w:ascii="宋体" w:hAnsi="宋体" w:cs="宋体"/>
                      <w:color w:val="auto"/>
                      <w:szCs w:val="21"/>
                    </w:rPr>
                    <w:t>管道</w:t>
                  </w:r>
                  <w:r>
                    <w:rPr>
                      <w:rFonts w:ascii="宋体" w:hAnsi="宋体" w:cs="宋体"/>
                      <w:color w:val="auto"/>
                      <w:spacing w:val="-3"/>
                      <w:szCs w:val="21"/>
                    </w:rPr>
                    <w:t>、</w:t>
                  </w:r>
                  <w:r>
                    <w:rPr>
                      <w:rFonts w:ascii="宋体" w:hAnsi="宋体" w:cs="宋体"/>
                      <w:color w:val="auto"/>
                      <w:szCs w:val="21"/>
                    </w:rPr>
                    <w:t>法兰</w:t>
                  </w:r>
                  <w:r>
                    <w:rPr>
                      <w:rFonts w:ascii="宋体" w:hAnsi="宋体" w:cs="宋体"/>
                      <w:color w:val="auto"/>
                      <w:spacing w:val="-41"/>
                      <w:szCs w:val="21"/>
                    </w:rPr>
                    <w:t>、</w:t>
                  </w:r>
                  <w:r>
                    <w:rPr>
                      <w:rFonts w:ascii="宋体" w:hAnsi="宋体" w:cs="宋体"/>
                      <w:color w:val="auto"/>
                      <w:szCs w:val="21"/>
                    </w:rPr>
                    <w:t>仪表</w:t>
                  </w:r>
                  <w:r>
                    <w:rPr>
                      <w:rFonts w:ascii="宋体" w:hAnsi="宋体" w:cs="宋体"/>
                      <w:color w:val="auto"/>
                      <w:spacing w:val="-41"/>
                      <w:szCs w:val="21"/>
                    </w:rPr>
                    <w:t>、</w:t>
                  </w:r>
                  <w:r>
                    <w:rPr>
                      <w:rFonts w:ascii="宋体" w:hAnsi="宋体" w:cs="宋体"/>
                      <w:color w:val="auto"/>
                      <w:szCs w:val="21"/>
                    </w:rPr>
                    <w:t>弯头</w:t>
                  </w:r>
                  <w:r>
                    <w:rPr>
                      <w:rFonts w:hint="eastAsia" w:ascii="宋体" w:hAnsi="宋体" w:cs="宋体"/>
                      <w:color w:val="auto"/>
                      <w:szCs w:val="21"/>
                      <w:lang w:eastAsia="zh-CN"/>
                    </w:rPr>
                    <w:t>、</w:t>
                  </w:r>
                  <w:r>
                    <w:rPr>
                      <w:rFonts w:ascii="宋体" w:hAnsi="宋体" w:cs="宋体"/>
                      <w:color w:val="auto"/>
                      <w:spacing w:val="-2"/>
                      <w:szCs w:val="21"/>
                    </w:rPr>
                    <w:t>型</w:t>
                  </w:r>
                  <w:r>
                    <w:rPr>
                      <w:rFonts w:ascii="宋体" w:hAnsi="宋体" w:cs="宋体"/>
                      <w:color w:val="auto"/>
                      <w:spacing w:val="-1"/>
                      <w:szCs w:val="21"/>
                    </w:rPr>
                    <w:t>材</w:t>
                  </w:r>
                </w:p>
              </w:tc>
              <w:tc>
                <w:tcPr>
                  <w:tcW w:w="2014" w:type="dxa"/>
                  <w:tcBorders>
                    <w:tl2br w:val="nil"/>
                    <w:tr2bl w:val="nil"/>
                  </w:tcBorders>
                  <w:noWrap w:val="0"/>
                  <w:vAlign w:val="top"/>
                </w:tcPr>
                <w:p w14:paraId="415B3C5C">
                  <w:pPr>
                    <w:jc w:val="center"/>
                    <w:rPr>
                      <w:rFonts w:hint="default" w:ascii="Times New Roman" w:hAnsi="Times New Roman" w:eastAsia="宋体" w:cs="Times New Roman"/>
                      <w:color w:val="auto"/>
                      <w:sz w:val="21"/>
                      <w:szCs w:val="21"/>
                      <w:highlight w:val="none"/>
                      <w:lang w:val="en-US" w:eastAsia="zh-CN"/>
                    </w:rPr>
                  </w:pPr>
                  <w:r>
                    <w:rPr>
                      <w:color w:val="auto"/>
                      <w:szCs w:val="21"/>
                    </w:rPr>
                    <w:t>安装材料</w:t>
                  </w:r>
                </w:p>
              </w:tc>
              <w:tc>
                <w:tcPr>
                  <w:tcW w:w="1580" w:type="dxa"/>
                  <w:tcBorders>
                    <w:tl2br w:val="nil"/>
                    <w:tr2bl w:val="nil"/>
                  </w:tcBorders>
                  <w:noWrap w:val="0"/>
                  <w:vAlign w:val="top"/>
                </w:tcPr>
                <w:p w14:paraId="3BB73637">
                  <w:pPr>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4680B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38D3AA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14:paraId="4E8F1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b/>
                      <w:bCs/>
                      <w:color w:val="auto"/>
                      <w:szCs w:val="21"/>
                      <w:lang w:eastAsia="zh-CN"/>
                    </w:rPr>
                    <w:t>②</w:t>
                  </w:r>
                  <w:r>
                    <w:rPr>
                      <w:rFonts w:hint="eastAsia"/>
                      <w:b/>
                      <w:bCs/>
                      <w:color w:val="auto"/>
                      <w:szCs w:val="21"/>
                    </w:rPr>
                    <w:t>食用牛油物理精炼设备</w:t>
                  </w:r>
                </w:p>
              </w:tc>
            </w:tr>
            <w:tr w14:paraId="4197F82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0C573256">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w:t>
                  </w:r>
                </w:p>
              </w:tc>
              <w:tc>
                <w:tcPr>
                  <w:tcW w:w="2445" w:type="dxa"/>
                  <w:tcBorders>
                    <w:tl2br w:val="nil"/>
                    <w:tr2bl w:val="nil"/>
                  </w:tcBorders>
                  <w:noWrap w:val="0"/>
                  <w:vAlign w:val="top"/>
                </w:tcPr>
                <w:p w14:paraId="1D89EBA4">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精炼锅</w:t>
                  </w:r>
                </w:p>
              </w:tc>
              <w:tc>
                <w:tcPr>
                  <w:tcW w:w="2014" w:type="dxa"/>
                  <w:tcBorders>
                    <w:tl2br w:val="nil"/>
                    <w:tr2bl w:val="nil"/>
                  </w:tcBorders>
                  <w:noWrap w:val="0"/>
                  <w:vAlign w:val="top"/>
                </w:tcPr>
                <w:p w14:paraId="6682657B">
                  <w:pPr>
                    <w:jc w:val="center"/>
                    <w:rPr>
                      <w:rFonts w:hint="default" w:ascii="Times New Roman" w:hAnsi="Times New Roman" w:eastAsia="宋体" w:cs="Times New Roman"/>
                      <w:color w:val="auto"/>
                      <w:sz w:val="21"/>
                      <w:szCs w:val="21"/>
                      <w:highlight w:val="none"/>
                      <w:lang w:val="en-US" w:eastAsia="zh-CN"/>
                    </w:rPr>
                  </w:pPr>
                  <w:r>
                    <w:rPr>
                      <w:color w:val="auto"/>
                      <w:szCs w:val="21"/>
                    </w:rPr>
                    <w:t>LLY190</w:t>
                  </w:r>
                </w:p>
              </w:tc>
              <w:tc>
                <w:tcPr>
                  <w:tcW w:w="1580" w:type="dxa"/>
                  <w:tcBorders>
                    <w:tl2br w:val="nil"/>
                    <w:tr2bl w:val="nil"/>
                  </w:tcBorders>
                  <w:noWrap w:val="0"/>
                  <w:vAlign w:val="top"/>
                </w:tcPr>
                <w:p w14:paraId="585E2E7E">
                  <w:pPr>
                    <w:jc w:val="center"/>
                    <w:rPr>
                      <w:rFonts w:hint="default" w:ascii="Times New Roman" w:hAnsi="Times New Roman" w:eastAsia="宋体" w:cs="Times New Roman"/>
                      <w:color w:val="auto"/>
                      <w:sz w:val="21"/>
                      <w:szCs w:val="21"/>
                      <w:highlight w:val="none"/>
                      <w:lang w:val="en-US" w:eastAsia="zh-CN"/>
                    </w:rPr>
                  </w:pPr>
                  <w:r>
                    <w:rPr>
                      <w:color w:val="auto"/>
                      <w:szCs w:val="21"/>
                    </w:rPr>
                    <w:t>2</w:t>
                  </w:r>
                </w:p>
              </w:tc>
              <w:tc>
                <w:tcPr>
                  <w:tcW w:w="1969" w:type="dxa"/>
                  <w:tcBorders>
                    <w:tl2br w:val="nil"/>
                    <w:tr2bl w:val="nil"/>
                  </w:tcBorders>
                  <w:noWrap w:val="0"/>
                  <w:vAlign w:val="center"/>
                </w:tcPr>
                <w:p w14:paraId="2EA523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精炼</w:t>
                  </w:r>
                </w:p>
              </w:tc>
            </w:tr>
            <w:tr w14:paraId="4502256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7B71650">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p>
              </w:tc>
              <w:tc>
                <w:tcPr>
                  <w:tcW w:w="2445" w:type="dxa"/>
                  <w:tcBorders>
                    <w:tl2br w:val="nil"/>
                    <w:tr2bl w:val="nil"/>
                  </w:tcBorders>
                  <w:noWrap w:val="0"/>
                  <w:vAlign w:val="top"/>
                </w:tcPr>
                <w:p w14:paraId="2D92F49A">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高位热水箱</w:t>
                  </w:r>
                </w:p>
              </w:tc>
              <w:tc>
                <w:tcPr>
                  <w:tcW w:w="2014" w:type="dxa"/>
                  <w:tcBorders>
                    <w:tl2br w:val="nil"/>
                    <w:tr2bl w:val="nil"/>
                  </w:tcBorders>
                  <w:noWrap w:val="0"/>
                  <w:vAlign w:val="top"/>
                </w:tcPr>
                <w:p w14:paraId="4884F55A">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RSX</w:t>
                  </w:r>
                  <w:r>
                    <w:rPr>
                      <w:color w:val="auto"/>
                      <w:szCs w:val="21"/>
                    </w:rPr>
                    <w:t>2.0</w:t>
                  </w:r>
                </w:p>
              </w:tc>
              <w:tc>
                <w:tcPr>
                  <w:tcW w:w="1580" w:type="dxa"/>
                  <w:tcBorders>
                    <w:tl2br w:val="nil"/>
                    <w:tr2bl w:val="nil"/>
                  </w:tcBorders>
                  <w:noWrap w:val="0"/>
                  <w:vAlign w:val="top"/>
                </w:tcPr>
                <w:p w14:paraId="7039D6BB">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0B6D87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60D1E8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56C4DEDE">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w:t>
                  </w:r>
                </w:p>
              </w:tc>
              <w:tc>
                <w:tcPr>
                  <w:tcW w:w="2445" w:type="dxa"/>
                  <w:tcBorders>
                    <w:tl2br w:val="nil"/>
                    <w:tr2bl w:val="nil"/>
                  </w:tcBorders>
                  <w:noWrap w:val="0"/>
                  <w:vAlign w:val="top"/>
                </w:tcPr>
                <w:p w14:paraId="4E58218F">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油脚泵</w:t>
                  </w:r>
                </w:p>
              </w:tc>
              <w:tc>
                <w:tcPr>
                  <w:tcW w:w="2014" w:type="dxa"/>
                  <w:tcBorders>
                    <w:tl2br w:val="nil"/>
                    <w:tr2bl w:val="nil"/>
                  </w:tcBorders>
                  <w:noWrap w:val="0"/>
                  <w:vAlign w:val="top"/>
                </w:tcPr>
                <w:p w14:paraId="4AE12131">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K</w:t>
                  </w:r>
                  <w:r>
                    <w:rPr>
                      <w:color w:val="auto"/>
                      <w:szCs w:val="21"/>
                    </w:rPr>
                    <w:t>CB33.3</w:t>
                  </w:r>
                </w:p>
              </w:tc>
              <w:tc>
                <w:tcPr>
                  <w:tcW w:w="1580" w:type="dxa"/>
                  <w:tcBorders>
                    <w:tl2br w:val="nil"/>
                    <w:tr2bl w:val="nil"/>
                  </w:tcBorders>
                  <w:noWrap w:val="0"/>
                  <w:vAlign w:val="top"/>
                </w:tcPr>
                <w:p w14:paraId="078C01DE">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5980EA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A548FF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6EC18D3F">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4</w:t>
                  </w:r>
                </w:p>
              </w:tc>
              <w:tc>
                <w:tcPr>
                  <w:tcW w:w="2445" w:type="dxa"/>
                  <w:tcBorders>
                    <w:tl2br w:val="nil"/>
                    <w:tr2bl w:val="nil"/>
                  </w:tcBorders>
                  <w:noWrap w:val="0"/>
                  <w:vAlign w:val="top"/>
                </w:tcPr>
                <w:p w14:paraId="34AE4082">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油脚锅</w:t>
                  </w:r>
                </w:p>
              </w:tc>
              <w:tc>
                <w:tcPr>
                  <w:tcW w:w="2014" w:type="dxa"/>
                  <w:tcBorders>
                    <w:tl2br w:val="nil"/>
                    <w:tr2bl w:val="nil"/>
                  </w:tcBorders>
                  <w:noWrap w:val="0"/>
                  <w:vAlign w:val="top"/>
                </w:tcPr>
                <w:p w14:paraId="087FAE31">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LYJ</w:t>
                  </w:r>
                  <w:r>
                    <w:rPr>
                      <w:color w:val="auto"/>
                      <w:szCs w:val="21"/>
                    </w:rPr>
                    <w:t>160</w:t>
                  </w:r>
                </w:p>
              </w:tc>
              <w:tc>
                <w:tcPr>
                  <w:tcW w:w="1580" w:type="dxa"/>
                  <w:tcBorders>
                    <w:tl2br w:val="nil"/>
                    <w:tr2bl w:val="nil"/>
                  </w:tcBorders>
                  <w:noWrap w:val="0"/>
                  <w:vAlign w:val="top"/>
                </w:tcPr>
                <w:p w14:paraId="16016A79">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54BDA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D87C59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0856935">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5</w:t>
                  </w:r>
                </w:p>
              </w:tc>
              <w:tc>
                <w:tcPr>
                  <w:tcW w:w="2445" w:type="dxa"/>
                  <w:tcBorders>
                    <w:tl2br w:val="nil"/>
                    <w:tr2bl w:val="nil"/>
                  </w:tcBorders>
                  <w:noWrap w:val="0"/>
                  <w:vAlign w:val="top"/>
                </w:tcPr>
                <w:p w14:paraId="5A24D4E8">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齿轮油泵</w:t>
                  </w:r>
                </w:p>
              </w:tc>
              <w:tc>
                <w:tcPr>
                  <w:tcW w:w="2014" w:type="dxa"/>
                  <w:tcBorders>
                    <w:tl2br w:val="nil"/>
                    <w:tr2bl w:val="nil"/>
                  </w:tcBorders>
                  <w:noWrap w:val="0"/>
                  <w:vAlign w:val="top"/>
                </w:tcPr>
                <w:p w14:paraId="28D99385">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2VY-0.</w:t>
                  </w:r>
                  <w:r>
                    <w:rPr>
                      <w:color w:val="auto"/>
                      <w:szCs w:val="21"/>
                    </w:rPr>
                    <w:t>33</w:t>
                  </w:r>
                </w:p>
              </w:tc>
              <w:tc>
                <w:tcPr>
                  <w:tcW w:w="1580" w:type="dxa"/>
                  <w:tcBorders>
                    <w:tl2br w:val="nil"/>
                    <w:tr2bl w:val="nil"/>
                  </w:tcBorders>
                  <w:noWrap w:val="0"/>
                  <w:vAlign w:val="top"/>
                </w:tcPr>
                <w:p w14:paraId="7C902D0D">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237D30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9890C8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4CA8BF3D">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6</w:t>
                  </w:r>
                </w:p>
              </w:tc>
              <w:tc>
                <w:tcPr>
                  <w:tcW w:w="2445" w:type="dxa"/>
                  <w:tcBorders>
                    <w:tl2br w:val="nil"/>
                    <w:tr2bl w:val="nil"/>
                  </w:tcBorders>
                  <w:noWrap w:val="0"/>
                  <w:vAlign w:val="top"/>
                </w:tcPr>
                <w:p w14:paraId="7790DEE6">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干燥脱色锅</w:t>
                  </w:r>
                </w:p>
              </w:tc>
              <w:tc>
                <w:tcPr>
                  <w:tcW w:w="2014" w:type="dxa"/>
                  <w:tcBorders>
                    <w:tl2br w:val="nil"/>
                    <w:tr2bl w:val="nil"/>
                  </w:tcBorders>
                  <w:noWrap w:val="0"/>
                  <w:vAlign w:val="top"/>
                </w:tcPr>
                <w:p w14:paraId="411C2E70">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LTS</w:t>
                  </w:r>
                  <w:r>
                    <w:rPr>
                      <w:color w:val="auto"/>
                      <w:szCs w:val="21"/>
                    </w:rPr>
                    <w:t>190</w:t>
                  </w:r>
                </w:p>
              </w:tc>
              <w:tc>
                <w:tcPr>
                  <w:tcW w:w="1580" w:type="dxa"/>
                  <w:tcBorders>
                    <w:tl2br w:val="nil"/>
                    <w:tr2bl w:val="nil"/>
                  </w:tcBorders>
                  <w:noWrap w:val="0"/>
                  <w:vAlign w:val="top"/>
                </w:tcPr>
                <w:p w14:paraId="73444FE0">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1B2096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脱色</w:t>
                  </w:r>
                </w:p>
              </w:tc>
            </w:tr>
            <w:tr w14:paraId="7BE26DC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4512392">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7</w:t>
                  </w:r>
                </w:p>
              </w:tc>
              <w:tc>
                <w:tcPr>
                  <w:tcW w:w="2445" w:type="dxa"/>
                  <w:tcBorders>
                    <w:tl2br w:val="nil"/>
                    <w:tr2bl w:val="nil"/>
                  </w:tcBorders>
                  <w:noWrap w:val="0"/>
                  <w:vAlign w:val="top"/>
                </w:tcPr>
                <w:p w14:paraId="334FCD36">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白土罐</w:t>
                  </w:r>
                </w:p>
              </w:tc>
              <w:tc>
                <w:tcPr>
                  <w:tcW w:w="2014" w:type="dxa"/>
                  <w:tcBorders>
                    <w:tl2br w:val="nil"/>
                    <w:tr2bl w:val="nil"/>
                  </w:tcBorders>
                  <w:noWrap w:val="0"/>
                  <w:vAlign w:val="top"/>
                </w:tcPr>
                <w:p w14:paraId="590CBD69">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ZCG1</w:t>
                  </w:r>
                  <w:r>
                    <w:rPr>
                      <w:color w:val="auto"/>
                      <w:szCs w:val="21"/>
                    </w:rPr>
                    <w:t>00</w:t>
                  </w:r>
                </w:p>
              </w:tc>
              <w:tc>
                <w:tcPr>
                  <w:tcW w:w="1580" w:type="dxa"/>
                  <w:tcBorders>
                    <w:tl2br w:val="nil"/>
                    <w:tr2bl w:val="nil"/>
                  </w:tcBorders>
                  <w:noWrap w:val="0"/>
                  <w:vAlign w:val="top"/>
                </w:tcPr>
                <w:p w14:paraId="0E0264CB">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72CCCB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A98B19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7AD49206">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8</w:t>
                  </w:r>
                </w:p>
              </w:tc>
              <w:tc>
                <w:tcPr>
                  <w:tcW w:w="2445" w:type="dxa"/>
                  <w:tcBorders>
                    <w:tl2br w:val="nil"/>
                    <w:tr2bl w:val="nil"/>
                  </w:tcBorders>
                  <w:noWrap w:val="0"/>
                  <w:vAlign w:val="top"/>
                </w:tcPr>
                <w:p w14:paraId="57DEBF6E">
                  <w:pPr>
                    <w:jc w:val="center"/>
                    <w:rPr>
                      <w:rFonts w:hint="eastAsia" w:ascii="Times New Roman" w:hAnsi="Times New Roman" w:eastAsia="宋体" w:cs="Times New Roman"/>
                      <w:bCs/>
                      <w:color w:val="auto"/>
                      <w:szCs w:val="21"/>
                    </w:rPr>
                  </w:pPr>
                  <w:r>
                    <w:rPr>
                      <w:rFonts w:hint="eastAsia" w:cs="Times New Roman"/>
                      <w:bCs/>
                      <w:color w:val="auto"/>
                      <w:szCs w:val="21"/>
                      <w:lang w:eastAsia="zh-CN"/>
                    </w:rPr>
                    <w:t>油气</w:t>
                  </w:r>
                  <w:r>
                    <w:rPr>
                      <w:rFonts w:hint="eastAsia" w:ascii="Times New Roman" w:hAnsi="Times New Roman" w:eastAsia="宋体" w:cs="Times New Roman"/>
                      <w:bCs/>
                      <w:color w:val="auto"/>
                      <w:szCs w:val="21"/>
                    </w:rPr>
                    <w:t>分离器</w:t>
                  </w:r>
                </w:p>
              </w:tc>
              <w:tc>
                <w:tcPr>
                  <w:tcW w:w="2014" w:type="dxa"/>
                  <w:tcBorders>
                    <w:tl2br w:val="nil"/>
                    <w:tr2bl w:val="nil"/>
                  </w:tcBorders>
                  <w:noWrap w:val="0"/>
                  <w:vAlign w:val="top"/>
                </w:tcPr>
                <w:p w14:paraId="1DFDEE56">
                  <w:pPr>
                    <w:spacing w:before="69"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FL</w:t>
                  </w:r>
                  <w:r>
                    <w:rPr>
                      <w:color w:val="auto"/>
                      <w:szCs w:val="21"/>
                    </w:rPr>
                    <w:t>Q50</w:t>
                  </w:r>
                </w:p>
              </w:tc>
              <w:tc>
                <w:tcPr>
                  <w:tcW w:w="1580" w:type="dxa"/>
                  <w:tcBorders>
                    <w:tl2br w:val="nil"/>
                    <w:tr2bl w:val="nil"/>
                  </w:tcBorders>
                  <w:noWrap w:val="0"/>
                  <w:vAlign w:val="top"/>
                </w:tcPr>
                <w:p w14:paraId="79F0D88D">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0E677B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116BFD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1B916A44">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9</w:t>
                  </w:r>
                </w:p>
              </w:tc>
              <w:tc>
                <w:tcPr>
                  <w:tcW w:w="2445" w:type="dxa"/>
                  <w:tcBorders>
                    <w:tl2br w:val="nil"/>
                    <w:tr2bl w:val="nil"/>
                  </w:tcBorders>
                  <w:noWrap w:val="0"/>
                  <w:vAlign w:val="top"/>
                </w:tcPr>
                <w:p w14:paraId="685A2DE8">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真空泵机组</w:t>
                  </w:r>
                </w:p>
              </w:tc>
              <w:tc>
                <w:tcPr>
                  <w:tcW w:w="2014" w:type="dxa"/>
                  <w:tcBorders>
                    <w:tl2br w:val="nil"/>
                    <w:tr2bl w:val="nil"/>
                  </w:tcBorders>
                  <w:noWrap w:val="0"/>
                  <w:vAlign w:val="top"/>
                </w:tcPr>
                <w:p w14:paraId="65D171D7">
                  <w:pPr>
                    <w:spacing w:before="69"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PS</w:t>
                  </w:r>
                  <w:r>
                    <w:rPr>
                      <w:color w:val="auto"/>
                      <w:szCs w:val="21"/>
                    </w:rPr>
                    <w:t>B160</w:t>
                  </w:r>
                </w:p>
              </w:tc>
              <w:tc>
                <w:tcPr>
                  <w:tcW w:w="1580" w:type="dxa"/>
                  <w:tcBorders>
                    <w:tl2br w:val="nil"/>
                    <w:tr2bl w:val="nil"/>
                  </w:tcBorders>
                  <w:noWrap w:val="0"/>
                  <w:vAlign w:val="top"/>
                </w:tcPr>
                <w:p w14:paraId="505F19F4">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4DC89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6644C1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7FD1297">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10</w:t>
                  </w:r>
                </w:p>
              </w:tc>
              <w:tc>
                <w:tcPr>
                  <w:tcW w:w="2445" w:type="dxa"/>
                  <w:tcBorders>
                    <w:tl2br w:val="nil"/>
                    <w:tr2bl w:val="nil"/>
                  </w:tcBorders>
                  <w:noWrap w:val="0"/>
                  <w:vAlign w:val="top"/>
                </w:tcPr>
                <w:p w14:paraId="2408D08E">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脱色油泵</w:t>
                  </w:r>
                </w:p>
              </w:tc>
              <w:tc>
                <w:tcPr>
                  <w:tcW w:w="2014" w:type="dxa"/>
                  <w:tcBorders>
                    <w:tl2br w:val="nil"/>
                    <w:tr2bl w:val="nil"/>
                  </w:tcBorders>
                  <w:noWrap w:val="0"/>
                  <w:vAlign w:val="top"/>
                </w:tcPr>
                <w:p w14:paraId="77A93EBF">
                  <w:pPr>
                    <w:spacing w:before="69"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RY5</w:t>
                  </w:r>
                  <w:r>
                    <w:rPr>
                      <w:color w:val="auto"/>
                      <w:szCs w:val="21"/>
                    </w:rPr>
                    <w:t>0-32</w:t>
                  </w:r>
                </w:p>
              </w:tc>
              <w:tc>
                <w:tcPr>
                  <w:tcW w:w="1580" w:type="dxa"/>
                  <w:tcBorders>
                    <w:tl2br w:val="nil"/>
                    <w:tr2bl w:val="nil"/>
                  </w:tcBorders>
                  <w:noWrap w:val="0"/>
                  <w:vAlign w:val="top"/>
                </w:tcPr>
                <w:p w14:paraId="151E93D8">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47E3C9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ACADDE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4E402AE5">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11</w:t>
                  </w:r>
                </w:p>
              </w:tc>
              <w:tc>
                <w:tcPr>
                  <w:tcW w:w="2445" w:type="dxa"/>
                  <w:tcBorders>
                    <w:tl2br w:val="nil"/>
                    <w:tr2bl w:val="nil"/>
                  </w:tcBorders>
                  <w:noWrap w:val="0"/>
                  <w:vAlign w:val="top"/>
                </w:tcPr>
                <w:p w14:paraId="479A7D51">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叶片过滤机</w:t>
                  </w:r>
                </w:p>
              </w:tc>
              <w:tc>
                <w:tcPr>
                  <w:tcW w:w="2014" w:type="dxa"/>
                  <w:tcBorders>
                    <w:tl2br w:val="nil"/>
                    <w:tr2bl w:val="nil"/>
                  </w:tcBorders>
                  <w:noWrap w:val="0"/>
                  <w:vAlign w:val="top"/>
                </w:tcPr>
                <w:p w14:paraId="01C49B30">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N</w:t>
                  </w:r>
                  <w:r>
                    <w:rPr>
                      <w:color w:val="auto"/>
                      <w:szCs w:val="21"/>
                    </w:rPr>
                    <w:t>YB15</w:t>
                  </w:r>
                </w:p>
              </w:tc>
              <w:tc>
                <w:tcPr>
                  <w:tcW w:w="1580" w:type="dxa"/>
                  <w:tcBorders>
                    <w:tl2br w:val="nil"/>
                    <w:tr2bl w:val="nil"/>
                  </w:tcBorders>
                  <w:noWrap w:val="0"/>
                  <w:vAlign w:val="top"/>
                </w:tcPr>
                <w:p w14:paraId="46DEFC9E">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3A0E8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过滤</w:t>
                  </w:r>
                </w:p>
              </w:tc>
            </w:tr>
            <w:tr w14:paraId="62CDE83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D8A98D2">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12</w:t>
                  </w:r>
                </w:p>
              </w:tc>
              <w:tc>
                <w:tcPr>
                  <w:tcW w:w="2445" w:type="dxa"/>
                  <w:tcBorders>
                    <w:tl2br w:val="nil"/>
                    <w:tr2bl w:val="nil"/>
                  </w:tcBorders>
                  <w:noWrap w:val="0"/>
                  <w:vAlign w:val="top"/>
                </w:tcPr>
                <w:p w14:paraId="455448D2">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蒸汽过热器</w:t>
                  </w:r>
                </w:p>
              </w:tc>
              <w:tc>
                <w:tcPr>
                  <w:tcW w:w="2014" w:type="dxa"/>
                  <w:tcBorders>
                    <w:tl2br w:val="nil"/>
                    <w:tr2bl w:val="nil"/>
                  </w:tcBorders>
                  <w:noWrap w:val="0"/>
                  <w:vAlign w:val="top"/>
                </w:tcPr>
                <w:p w14:paraId="383370FA">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ZRQ2</w:t>
                  </w:r>
                  <w:r>
                    <w:rPr>
                      <w:color w:val="auto"/>
                      <w:szCs w:val="21"/>
                    </w:rPr>
                    <w:t>0</w:t>
                  </w:r>
                </w:p>
              </w:tc>
              <w:tc>
                <w:tcPr>
                  <w:tcW w:w="1580" w:type="dxa"/>
                  <w:tcBorders>
                    <w:tl2br w:val="nil"/>
                    <w:tr2bl w:val="nil"/>
                  </w:tcBorders>
                  <w:noWrap w:val="0"/>
                  <w:vAlign w:val="top"/>
                </w:tcPr>
                <w:p w14:paraId="2601FA4F">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64EA6B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E27919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438D8DC4">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13</w:t>
                  </w:r>
                </w:p>
              </w:tc>
              <w:tc>
                <w:tcPr>
                  <w:tcW w:w="2445" w:type="dxa"/>
                  <w:tcBorders>
                    <w:tl2br w:val="nil"/>
                    <w:tr2bl w:val="nil"/>
                  </w:tcBorders>
                  <w:noWrap w:val="0"/>
                  <w:vAlign w:val="top"/>
                </w:tcPr>
                <w:p w14:paraId="300C0BB5">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脱色油储罐</w:t>
                  </w:r>
                </w:p>
              </w:tc>
              <w:tc>
                <w:tcPr>
                  <w:tcW w:w="2014" w:type="dxa"/>
                  <w:tcBorders>
                    <w:tl2br w:val="nil"/>
                    <w:tr2bl w:val="nil"/>
                  </w:tcBorders>
                  <w:noWrap w:val="0"/>
                  <w:vAlign w:val="top"/>
                </w:tcPr>
                <w:p w14:paraId="7581702D">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LZC</w:t>
                  </w:r>
                  <w:r>
                    <w:rPr>
                      <w:color w:val="auto"/>
                      <w:szCs w:val="21"/>
                    </w:rPr>
                    <w:t>190</w:t>
                  </w:r>
                </w:p>
              </w:tc>
              <w:tc>
                <w:tcPr>
                  <w:tcW w:w="1580" w:type="dxa"/>
                  <w:tcBorders>
                    <w:tl2br w:val="nil"/>
                    <w:tr2bl w:val="nil"/>
                  </w:tcBorders>
                  <w:noWrap w:val="0"/>
                  <w:vAlign w:val="top"/>
                </w:tcPr>
                <w:p w14:paraId="45D97599">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003652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储存中间油</w:t>
                  </w:r>
                </w:p>
              </w:tc>
            </w:tr>
            <w:tr w14:paraId="139216D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4C220E8A">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14</w:t>
                  </w:r>
                </w:p>
              </w:tc>
              <w:tc>
                <w:tcPr>
                  <w:tcW w:w="2445" w:type="dxa"/>
                  <w:tcBorders>
                    <w:tl2br w:val="nil"/>
                    <w:tr2bl w:val="nil"/>
                  </w:tcBorders>
                  <w:noWrap w:val="0"/>
                  <w:vAlign w:val="top"/>
                </w:tcPr>
                <w:p w14:paraId="5B44BA36">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脱臭塔进油泵</w:t>
                  </w:r>
                </w:p>
              </w:tc>
              <w:tc>
                <w:tcPr>
                  <w:tcW w:w="2014" w:type="dxa"/>
                  <w:tcBorders>
                    <w:tl2br w:val="nil"/>
                    <w:tr2bl w:val="nil"/>
                  </w:tcBorders>
                  <w:noWrap w:val="0"/>
                  <w:vAlign w:val="top"/>
                </w:tcPr>
                <w:p w14:paraId="3827C515">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RY3</w:t>
                  </w:r>
                  <w:r>
                    <w:rPr>
                      <w:color w:val="auto"/>
                      <w:szCs w:val="21"/>
                    </w:rPr>
                    <w:t>2-32</w:t>
                  </w:r>
                </w:p>
              </w:tc>
              <w:tc>
                <w:tcPr>
                  <w:tcW w:w="1580" w:type="dxa"/>
                  <w:tcBorders>
                    <w:tl2br w:val="nil"/>
                    <w:tr2bl w:val="nil"/>
                  </w:tcBorders>
                  <w:noWrap w:val="0"/>
                  <w:vAlign w:val="top"/>
                </w:tcPr>
                <w:p w14:paraId="07B5E19C">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63876B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880AFC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67924B48">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15</w:t>
                  </w:r>
                </w:p>
              </w:tc>
              <w:tc>
                <w:tcPr>
                  <w:tcW w:w="2445" w:type="dxa"/>
                  <w:tcBorders>
                    <w:tl2br w:val="nil"/>
                    <w:tr2bl w:val="nil"/>
                  </w:tcBorders>
                  <w:noWrap w:val="0"/>
                  <w:vAlign w:val="top"/>
                </w:tcPr>
                <w:p w14:paraId="7405ACD7">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转子流量计</w:t>
                  </w:r>
                </w:p>
              </w:tc>
              <w:tc>
                <w:tcPr>
                  <w:tcW w:w="2014" w:type="dxa"/>
                  <w:tcBorders>
                    <w:tl2br w:val="nil"/>
                    <w:tr2bl w:val="nil"/>
                  </w:tcBorders>
                  <w:noWrap w:val="0"/>
                  <w:vAlign w:val="top"/>
                </w:tcPr>
                <w:p w14:paraId="41C57395">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DN</w:t>
                  </w:r>
                  <w:r>
                    <w:rPr>
                      <w:color w:val="auto"/>
                      <w:szCs w:val="21"/>
                    </w:rPr>
                    <w:t>25</w:t>
                  </w:r>
                </w:p>
              </w:tc>
              <w:tc>
                <w:tcPr>
                  <w:tcW w:w="1580" w:type="dxa"/>
                  <w:tcBorders>
                    <w:tl2br w:val="nil"/>
                    <w:tr2bl w:val="nil"/>
                  </w:tcBorders>
                  <w:noWrap w:val="0"/>
                  <w:vAlign w:val="top"/>
                </w:tcPr>
                <w:p w14:paraId="7502D53E">
                  <w:pPr>
                    <w:spacing w:before="67" w:line="185"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0763BD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BF684F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564164F9">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16</w:t>
                  </w:r>
                </w:p>
              </w:tc>
              <w:tc>
                <w:tcPr>
                  <w:tcW w:w="2445" w:type="dxa"/>
                  <w:tcBorders>
                    <w:tl2br w:val="nil"/>
                    <w:tr2bl w:val="nil"/>
                  </w:tcBorders>
                  <w:noWrap w:val="0"/>
                  <w:vAlign w:val="top"/>
                </w:tcPr>
                <w:p w14:paraId="355843D5">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1号油-油换热器</w:t>
                  </w:r>
                </w:p>
              </w:tc>
              <w:tc>
                <w:tcPr>
                  <w:tcW w:w="2014" w:type="dxa"/>
                  <w:tcBorders>
                    <w:tl2br w:val="nil"/>
                    <w:tr2bl w:val="nil"/>
                  </w:tcBorders>
                  <w:noWrap w:val="0"/>
                  <w:vAlign w:val="top"/>
                </w:tcPr>
                <w:p w14:paraId="2315A38E">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LX</w:t>
                  </w:r>
                  <w:r>
                    <w:rPr>
                      <w:color w:val="auto"/>
                      <w:spacing w:val="1"/>
                      <w:szCs w:val="21"/>
                    </w:rPr>
                    <w:t>HR-10</w:t>
                  </w:r>
                </w:p>
              </w:tc>
              <w:tc>
                <w:tcPr>
                  <w:tcW w:w="1580" w:type="dxa"/>
                  <w:tcBorders>
                    <w:tl2br w:val="nil"/>
                    <w:tr2bl w:val="nil"/>
                  </w:tcBorders>
                  <w:noWrap w:val="0"/>
                  <w:vAlign w:val="top"/>
                </w:tcPr>
                <w:p w14:paraId="370562E2">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7C66C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0323DF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75B8251">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17</w:t>
                  </w:r>
                </w:p>
              </w:tc>
              <w:tc>
                <w:tcPr>
                  <w:tcW w:w="2445" w:type="dxa"/>
                  <w:tcBorders>
                    <w:tl2br w:val="nil"/>
                    <w:tr2bl w:val="nil"/>
                  </w:tcBorders>
                  <w:noWrap w:val="0"/>
                  <w:vAlign w:val="top"/>
                </w:tcPr>
                <w:p w14:paraId="4965BCBD">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析气器</w:t>
                  </w:r>
                </w:p>
              </w:tc>
              <w:tc>
                <w:tcPr>
                  <w:tcW w:w="2014" w:type="dxa"/>
                  <w:tcBorders>
                    <w:tl2br w:val="nil"/>
                    <w:tr2bl w:val="nil"/>
                  </w:tcBorders>
                  <w:noWrap w:val="0"/>
                  <w:vAlign w:val="top"/>
                </w:tcPr>
                <w:p w14:paraId="4E085E48">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LXQ</w:t>
                  </w:r>
                  <w:r>
                    <w:rPr>
                      <w:color w:val="auto"/>
                      <w:szCs w:val="21"/>
                    </w:rPr>
                    <w:t>70</w:t>
                  </w:r>
                </w:p>
              </w:tc>
              <w:tc>
                <w:tcPr>
                  <w:tcW w:w="1580" w:type="dxa"/>
                  <w:tcBorders>
                    <w:tl2br w:val="nil"/>
                    <w:tr2bl w:val="nil"/>
                  </w:tcBorders>
                  <w:noWrap w:val="0"/>
                  <w:vAlign w:val="top"/>
                </w:tcPr>
                <w:p w14:paraId="34318586">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423811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918BFF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7B6C38C8">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18</w:t>
                  </w:r>
                </w:p>
              </w:tc>
              <w:tc>
                <w:tcPr>
                  <w:tcW w:w="2445" w:type="dxa"/>
                  <w:tcBorders>
                    <w:tl2br w:val="nil"/>
                    <w:tr2bl w:val="nil"/>
                  </w:tcBorders>
                  <w:noWrap w:val="0"/>
                  <w:vAlign w:val="top"/>
                </w:tcPr>
                <w:p w14:paraId="5FCA651D">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析气抽出泵</w:t>
                  </w:r>
                </w:p>
              </w:tc>
              <w:tc>
                <w:tcPr>
                  <w:tcW w:w="2014" w:type="dxa"/>
                  <w:tcBorders>
                    <w:tl2br w:val="nil"/>
                    <w:tr2bl w:val="nil"/>
                  </w:tcBorders>
                  <w:noWrap w:val="0"/>
                  <w:vAlign w:val="top"/>
                </w:tcPr>
                <w:p w14:paraId="77F97529">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PBG32</w:t>
                  </w:r>
                  <w:r>
                    <w:rPr>
                      <w:color w:val="auto"/>
                      <w:szCs w:val="21"/>
                    </w:rPr>
                    <w:t>-25</w:t>
                  </w:r>
                </w:p>
              </w:tc>
              <w:tc>
                <w:tcPr>
                  <w:tcW w:w="1580" w:type="dxa"/>
                  <w:tcBorders>
                    <w:tl2br w:val="nil"/>
                    <w:tr2bl w:val="nil"/>
                  </w:tcBorders>
                  <w:noWrap w:val="0"/>
                  <w:vAlign w:val="top"/>
                </w:tcPr>
                <w:p w14:paraId="447E7976">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5F290B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1A5D0F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CA7AC65">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19</w:t>
                  </w:r>
                </w:p>
              </w:tc>
              <w:tc>
                <w:tcPr>
                  <w:tcW w:w="2445" w:type="dxa"/>
                  <w:tcBorders>
                    <w:tl2br w:val="nil"/>
                    <w:tr2bl w:val="nil"/>
                  </w:tcBorders>
                  <w:noWrap w:val="0"/>
                  <w:vAlign w:val="top"/>
                </w:tcPr>
                <w:p w14:paraId="5AF29400">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2号油-油换热器</w:t>
                  </w:r>
                </w:p>
              </w:tc>
              <w:tc>
                <w:tcPr>
                  <w:tcW w:w="2014" w:type="dxa"/>
                  <w:tcBorders>
                    <w:tl2br w:val="nil"/>
                    <w:tr2bl w:val="nil"/>
                  </w:tcBorders>
                  <w:noWrap w:val="0"/>
                  <w:vAlign w:val="top"/>
                </w:tcPr>
                <w:p w14:paraId="1C296DD9">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LX</w:t>
                  </w:r>
                  <w:r>
                    <w:rPr>
                      <w:color w:val="auto"/>
                      <w:spacing w:val="1"/>
                      <w:szCs w:val="21"/>
                    </w:rPr>
                    <w:t>HR-15</w:t>
                  </w:r>
                </w:p>
              </w:tc>
              <w:tc>
                <w:tcPr>
                  <w:tcW w:w="1580" w:type="dxa"/>
                  <w:tcBorders>
                    <w:tl2br w:val="nil"/>
                    <w:tr2bl w:val="nil"/>
                  </w:tcBorders>
                  <w:noWrap w:val="0"/>
                  <w:vAlign w:val="top"/>
                </w:tcPr>
                <w:p w14:paraId="7BC99322">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3C9591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C95A8E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45785B1">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20</w:t>
                  </w:r>
                </w:p>
              </w:tc>
              <w:tc>
                <w:tcPr>
                  <w:tcW w:w="2445" w:type="dxa"/>
                  <w:tcBorders>
                    <w:tl2br w:val="nil"/>
                    <w:tr2bl w:val="nil"/>
                  </w:tcBorders>
                  <w:noWrap w:val="0"/>
                  <w:vAlign w:val="top"/>
                </w:tcPr>
                <w:p w14:paraId="26BD80A7">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导热油加热器</w:t>
                  </w:r>
                </w:p>
              </w:tc>
              <w:tc>
                <w:tcPr>
                  <w:tcW w:w="2014" w:type="dxa"/>
                  <w:tcBorders>
                    <w:tl2br w:val="nil"/>
                    <w:tr2bl w:val="nil"/>
                  </w:tcBorders>
                  <w:noWrap w:val="0"/>
                  <w:vAlign w:val="top"/>
                </w:tcPr>
                <w:p w14:paraId="4904A047">
                  <w:pPr>
                    <w:spacing w:before="68" w:line="185"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LXH</w:t>
                  </w:r>
                  <w:r>
                    <w:rPr>
                      <w:color w:val="auto"/>
                      <w:szCs w:val="21"/>
                    </w:rPr>
                    <w:t>R-20</w:t>
                  </w:r>
                </w:p>
              </w:tc>
              <w:tc>
                <w:tcPr>
                  <w:tcW w:w="1580" w:type="dxa"/>
                  <w:tcBorders>
                    <w:tl2br w:val="nil"/>
                    <w:tr2bl w:val="nil"/>
                  </w:tcBorders>
                  <w:noWrap w:val="0"/>
                  <w:vAlign w:val="top"/>
                </w:tcPr>
                <w:p w14:paraId="7D969BCB">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42E9B3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9AD914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4C093AD7">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21</w:t>
                  </w:r>
                </w:p>
              </w:tc>
              <w:tc>
                <w:tcPr>
                  <w:tcW w:w="2445" w:type="dxa"/>
                  <w:tcBorders>
                    <w:tl2br w:val="nil"/>
                    <w:tr2bl w:val="nil"/>
                  </w:tcBorders>
                  <w:noWrap w:val="0"/>
                  <w:vAlign w:val="top"/>
                </w:tcPr>
                <w:p w14:paraId="6779DBFC">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组合脱酸脱臭塔</w:t>
                  </w:r>
                </w:p>
              </w:tc>
              <w:tc>
                <w:tcPr>
                  <w:tcW w:w="2014" w:type="dxa"/>
                  <w:tcBorders>
                    <w:tl2br w:val="nil"/>
                    <w:tr2bl w:val="nil"/>
                  </w:tcBorders>
                  <w:noWrap w:val="0"/>
                  <w:vAlign w:val="top"/>
                </w:tcPr>
                <w:p w14:paraId="3D904579">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TL</w:t>
                  </w:r>
                  <w:r>
                    <w:rPr>
                      <w:color w:val="auto"/>
                      <w:szCs w:val="21"/>
                    </w:rPr>
                    <w:t>TS120</w:t>
                  </w:r>
                </w:p>
              </w:tc>
              <w:tc>
                <w:tcPr>
                  <w:tcW w:w="1580" w:type="dxa"/>
                  <w:tcBorders>
                    <w:tl2br w:val="nil"/>
                    <w:tr2bl w:val="nil"/>
                  </w:tcBorders>
                  <w:noWrap w:val="0"/>
                  <w:vAlign w:val="top"/>
                </w:tcPr>
                <w:p w14:paraId="16C15F17">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40ABAC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F5796C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6242B132">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22</w:t>
                  </w:r>
                </w:p>
              </w:tc>
              <w:tc>
                <w:tcPr>
                  <w:tcW w:w="2445" w:type="dxa"/>
                  <w:tcBorders>
                    <w:tl2br w:val="nil"/>
                    <w:tr2bl w:val="nil"/>
                  </w:tcBorders>
                  <w:noWrap w:val="0"/>
                  <w:vAlign w:val="top"/>
                </w:tcPr>
                <w:p w14:paraId="68284FBB">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屏蔽泵</w:t>
                  </w:r>
                </w:p>
              </w:tc>
              <w:tc>
                <w:tcPr>
                  <w:tcW w:w="2014" w:type="dxa"/>
                  <w:tcBorders>
                    <w:tl2br w:val="nil"/>
                    <w:tr2bl w:val="nil"/>
                  </w:tcBorders>
                  <w:noWrap w:val="0"/>
                  <w:vAlign w:val="top"/>
                </w:tcPr>
                <w:p w14:paraId="2D607A7D">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PBG40</w:t>
                  </w:r>
                  <w:r>
                    <w:rPr>
                      <w:color w:val="auto"/>
                      <w:szCs w:val="21"/>
                    </w:rPr>
                    <w:t>-25</w:t>
                  </w:r>
                </w:p>
              </w:tc>
              <w:tc>
                <w:tcPr>
                  <w:tcW w:w="1580" w:type="dxa"/>
                  <w:tcBorders>
                    <w:tl2br w:val="nil"/>
                    <w:tr2bl w:val="nil"/>
                  </w:tcBorders>
                  <w:noWrap w:val="0"/>
                  <w:vAlign w:val="top"/>
                </w:tcPr>
                <w:p w14:paraId="2E251A97">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0D6C23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FBA132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AB22CEF">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23</w:t>
                  </w:r>
                </w:p>
              </w:tc>
              <w:tc>
                <w:tcPr>
                  <w:tcW w:w="2445" w:type="dxa"/>
                  <w:tcBorders>
                    <w:tl2br w:val="nil"/>
                    <w:tr2bl w:val="nil"/>
                  </w:tcBorders>
                  <w:noWrap w:val="0"/>
                  <w:vAlign w:val="top"/>
                </w:tcPr>
                <w:p w14:paraId="25174787">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蒸汽过热器</w:t>
                  </w:r>
                </w:p>
              </w:tc>
              <w:tc>
                <w:tcPr>
                  <w:tcW w:w="2014" w:type="dxa"/>
                  <w:tcBorders>
                    <w:tl2br w:val="nil"/>
                    <w:tr2bl w:val="nil"/>
                  </w:tcBorders>
                  <w:noWrap w:val="0"/>
                  <w:vAlign w:val="top"/>
                </w:tcPr>
                <w:p w14:paraId="5FEAD445">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ZRQ2</w:t>
                  </w:r>
                  <w:r>
                    <w:rPr>
                      <w:color w:val="auto"/>
                      <w:szCs w:val="21"/>
                    </w:rPr>
                    <w:t>0</w:t>
                  </w:r>
                </w:p>
              </w:tc>
              <w:tc>
                <w:tcPr>
                  <w:tcW w:w="1580" w:type="dxa"/>
                  <w:tcBorders>
                    <w:tl2br w:val="nil"/>
                    <w:tr2bl w:val="nil"/>
                  </w:tcBorders>
                  <w:noWrap w:val="0"/>
                  <w:vAlign w:val="top"/>
                </w:tcPr>
                <w:p w14:paraId="121E5911">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3F5210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A4F8F1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605F2EC4">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24</w:t>
                  </w:r>
                </w:p>
              </w:tc>
              <w:tc>
                <w:tcPr>
                  <w:tcW w:w="2445" w:type="dxa"/>
                  <w:tcBorders>
                    <w:tl2br w:val="nil"/>
                    <w:tr2bl w:val="nil"/>
                  </w:tcBorders>
                  <w:noWrap w:val="0"/>
                  <w:vAlign w:val="top"/>
                </w:tcPr>
                <w:p w14:paraId="5718254C">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真空冷却器</w:t>
                  </w:r>
                </w:p>
              </w:tc>
              <w:tc>
                <w:tcPr>
                  <w:tcW w:w="2014" w:type="dxa"/>
                  <w:tcBorders>
                    <w:tl2br w:val="nil"/>
                    <w:tr2bl w:val="nil"/>
                  </w:tcBorders>
                  <w:noWrap w:val="0"/>
                  <w:vAlign w:val="top"/>
                </w:tcPr>
                <w:p w14:paraId="19336E80">
                  <w:pPr>
                    <w:spacing w:before="69"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LNQ8</w:t>
                  </w:r>
                </w:p>
              </w:tc>
              <w:tc>
                <w:tcPr>
                  <w:tcW w:w="1580" w:type="dxa"/>
                  <w:tcBorders>
                    <w:tl2br w:val="nil"/>
                    <w:tr2bl w:val="nil"/>
                  </w:tcBorders>
                  <w:noWrap w:val="0"/>
                  <w:vAlign w:val="top"/>
                </w:tcPr>
                <w:p w14:paraId="39653DB0">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665E54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CB4010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7333D9A9">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25</w:t>
                  </w:r>
                </w:p>
              </w:tc>
              <w:tc>
                <w:tcPr>
                  <w:tcW w:w="2445" w:type="dxa"/>
                  <w:tcBorders>
                    <w:tl2br w:val="nil"/>
                    <w:tr2bl w:val="nil"/>
                  </w:tcBorders>
                  <w:noWrap w:val="0"/>
                  <w:vAlign w:val="top"/>
                </w:tcPr>
                <w:p w14:paraId="0768719B">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脂肪酸捕集器</w:t>
                  </w:r>
                </w:p>
              </w:tc>
              <w:tc>
                <w:tcPr>
                  <w:tcW w:w="2014" w:type="dxa"/>
                  <w:tcBorders>
                    <w:tl2br w:val="nil"/>
                    <w:tr2bl w:val="nil"/>
                  </w:tcBorders>
                  <w:noWrap w:val="0"/>
                  <w:vAlign w:val="top"/>
                </w:tcPr>
                <w:p w14:paraId="2C3A26F6">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ZF80</w:t>
                  </w:r>
                </w:p>
              </w:tc>
              <w:tc>
                <w:tcPr>
                  <w:tcW w:w="1580" w:type="dxa"/>
                  <w:tcBorders>
                    <w:tl2br w:val="nil"/>
                    <w:tr2bl w:val="nil"/>
                  </w:tcBorders>
                  <w:noWrap w:val="0"/>
                  <w:vAlign w:val="top"/>
                </w:tcPr>
                <w:p w14:paraId="6FEE7B48">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7A53F7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D8903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18D09B64">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26</w:t>
                  </w:r>
                </w:p>
              </w:tc>
              <w:tc>
                <w:tcPr>
                  <w:tcW w:w="2445" w:type="dxa"/>
                  <w:tcBorders>
                    <w:tl2br w:val="nil"/>
                    <w:tr2bl w:val="nil"/>
                  </w:tcBorders>
                  <w:noWrap w:val="0"/>
                  <w:vAlign w:val="top"/>
                </w:tcPr>
                <w:p w14:paraId="5B7E3AFD">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脂肪酸循环罐</w:t>
                  </w:r>
                </w:p>
              </w:tc>
              <w:tc>
                <w:tcPr>
                  <w:tcW w:w="2014" w:type="dxa"/>
                  <w:tcBorders>
                    <w:tl2br w:val="nil"/>
                    <w:tr2bl w:val="nil"/>
                  </w:tcBorders>
                  <w:noWrap w:val="0"/>
                  <w:vAlign w:val="top"/>
                </w:tcPr>
                <w:p w14:paraId="461CE227">
                  <w:pPr>
                    <w:spacing w:before="69"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CGC</w:t>
                  </w:r>
                  <w:r>
                    <w:rPr>
                      <w:color w:val="auto"/>
                      <w:szCs w:val="21"/>
                    </w:rPr>
                    <w:t>80</w:t>
                  </w:r>
                </w:p>
              </w:tc>
              <w:tc>
                <w:tcPr>
                  <w:tcW w:w="1580" w:type="dxa"/>
                  <w:tcBorders>
                    <w:tl2br w:val="nil"/>
                    <w:tr2bl w:val="nil"/>
                  </w:tcBorders>
                  <w:noWrap w:val="0"/>
                  <w:vAlign w:val="top"/>
                </w:tcPr>
                <w:p w14:paraId="7B3505C2">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32077F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5B5E33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612B41FA">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27</w:t>
                  </w:r>
                </w:p>
              </w:tc>
              <w:tc>
                <w:tcPr>
                  <w:tcW w:w="2445" w:type="dxa"/>
                  <w:tcBorders>
                    <w:tl2br w:val="nil"/>
                    <w:tr2bl w:val="nil"/>
                  </w:tcBorders>
                  <w:noWrap w:val="0"/>
                  <w:vAlign w:val="top"/>
                </w:tcPr>
                <w:p w14:paraId="5850BDEE">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脂肪酸输送泵</w:t>
                  </w:r>
                </w:p>
              </w:tc>
              <w:tc>
                <w:tcPr>
                  <w:tcW w:w="2014" w:type="dxa"/>
                  <w:tcBorders>
                    <w:tl2br w:val="nil"/>
                    <w:tr2bl w:val="nil"/>
                  </w:tcBorders>
                  <w:noWrap w:val="0"/>
                  <w:vAlign w:val="top"/>
                </w:tcPr>
                <w:p w14:paraId="171B9815">
                  <w:pPr>
                    <w:spacing w:before="69"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PBG40</w:t>
                  </w:r>
                  <w:r>
                    <w:rPr>
                      <w:color w:val="auto"/>
                      <w:szCs w:val="21"/>
                    </w:rPr>
                    <w:t>-25</w:t>
                  </w:r>
                </w:p>
              </w:tc>
              <w:tc>
                <w:tcPr>
                  <w:tcW w:w="1580" w:type="dxa"/>
                  <w:tcBorders>
                    <w:tl2br w:val="nil"/>
                    <w:tr2bl w:val="nil"/>
                  </w:tcBorders>
                  <w:noWrap w:val="0"/>
                  <w:vAlign w:val="top"/>
                </w:tcPr>
                <w:p w14:paraId="788F9346">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2B64D1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B83F76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5ABF08B">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28</w:t>
                  </w:r>
                </w:p>
              </w:tc>
              <w:tc>
                <w:tcPr>
                  <w:tcW w:w="2445" w:type="dxa"/>
                  <w:tcBorders>
                    <w:tl2br w:val="nil"/>
                    <w:tr2bl w:val="nil"/>
                  </w:tcBorders>
                  <w:noWrap w:val="0"/>
                  <w:vAlign w:val="top"/>
                </w:tcPr>
                <w:p w14:paraId="1B15DC18">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四级高效真空泵机 组</w:t>
                  </w:r>
                </w:p>
              </w:tc>
              <w:tc>
                <w:tcPr>
                  <w:tcW w:w="2014" w:type="dxa"/>
                  <w:tcBorders>
                    <w:tl2br w:val="nil"/>
                    <w:tr2bl w:val="nil"/>
                  </w:tcBorders>
                  <w:noWrap w:val="0"/>
                  <w:vAlign w:val="top"/>
                </w:tcPr>
                <w:p w14:paraId="749524EF">
                  <w:pPr>
                    <w:spacing w:before="68" w:line="242"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4PB</w:t>
                  </w:r>
                  <w:r>
                    <w:rPr>
                      <w:color w:val="auto"/>
                      <w:spacing w:val="3"/>
                      <w:szCs w:val="21"/>
                    </w:rPr>
                    <w:t>（</w:t>
                  </w:r>
                  <w:r>
                    <w:rPr>
                      <w:color w:val="auto"/>
                      <w:spacing w:val="1"/>
                      <w:szCs w:val="21"/>
                    </w:rPr>
                    <w:t>7+20</w:t>
                  </w:r>
                  <w:r>
                    <w:rPr>
                      <w:color w:val="auto"/>
                      <w:spacing w:val="4"/>
                      <w:szCs w:val="21"/>
                    </w:rPr>
                    <w:t>）</w:t>
                  </w:r>
                  <w:r>
                    <w:rPr>
                      <w:color w:val="auto"/>
                      <w:spacing w:val="1"/>
                      <w:szCs w:val="21"/>
                    </w:rPr>
                    <w:t>-1</w:t>
                  </w:r>
                </w:p>
              </w:tc>
              <w:tc>
                <w:tcPr>
                  <w:tcW w:w="1580" w:type="dxa"/>
                  <w:tcBorders>
                    <w:tl2br w:val="nil"/>
                    <w:tr2bl w:val="nil"/>
                  </w:tcBorders>
                  <w:noWrap w:val="0"/>
                  <w:vAlign w:val="top"/>
                </w:tcPr>
                <w:p w14:paraId="11FA1EA3">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2A510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D3E7F6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192E843">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29</w:t>
                  </w:r>
                </w:p>
              </w:tc>
              <w:tc>
                <w:tcPr>
                  <w:tcW w:w="2445" w:type="dxa"/>
                  <w:tcBorders>
                    <w:tl2br w:val="nil"/>
                    <w:tr2bl w:val="nil"/>
                  </w:tcBorders>
                  <w:noWrap w:val="0"/>
                  <w:vAlign w:val="top"/>
                </w:tcPr>
                <w:p w14:paraId="05D61372">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水分配器</w:t>
                  </w:r>
                </w:p>
              </w:tc>
              <w:tc>
                <w:tcPr>
                  <w:tcW w:w="2014" w:type="dxa"/>
                  <w:tcBorders>
                    <w:tl2br w:val="nil"/>
                    <w:tr2bl w:val="nil"/>
                  </w:tcBorders>
                  <w:noWrap w:val="0"/>
                  <w:vAlign w:val="top"/>
                </w:tcPr>
                <w:p w14:paraId="217E0455">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SFQ20</w:t>
                  </w:r>
                </w:p>
              </w:tc>
              <w:tc>
                <w:tcPr>
                  <w:tcW w:w="1580" w:type="dxa"/>
                  <w:tcBorders>
                    <w:tl2br w:val="nil"/>
                    <w:tr2bl w:val="nil"/>
                  </w:tcBorders>
                  <w:noWrap w:val="0"/>
                  <w:vAlign w:val="top"/>
                </w:tcPr>
                <w:p w14:paraId="020BCFE8">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4E443F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4C0893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6A19E911">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30</w:t>
                  </w:r>
                </w:p>
              </w:tc>
              <w:tc>
                <w:tcPr>
                  <w:tcW w:w="2445" w:type="dxa"/>
                  <w:tcBorders>
                    <w:tl2br w:val="nil"/>
                    <w:tr2bl w:val="nil"/>
                  </w:tcBorders>
                  <w:noWrap w:val="0"/>
                  <w:vAlign w:val="top"/>
                </w:tcPr>
                <w:p w14:paraId="503C7242">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离心水泵</w:t>
                  </w:r>
                </w:p>
              </w:tc>
              <w:tc>
                <w:tcPr>
                  <w:tcW w:w="2014" w:type="dxa"/>
                  <w:tcBorders>
                    <w:tl2br w:val="nil"/>
                    <w:tr2bl w:val="nil"/>
                  </w:tcBorders>
                  <w:noWrap w:val="0"/>
                  <w:vAlign w:val="top"/>
                </w:tcPr>
                <w:p w14:paraId="54BD4B75">
                  <w:pPr>
                    <w:spacing w:before="68" w:line="184"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IS100-8</w:t>
                  </w:r>
                  <w:r>
                    <w:rPr>
                      <w:color w:val="auto"/>
                      <w:spacing w:val="-1"/>
                      <w:szCs w:val="21"/>
                    </w:rPr>
                    <w:t>0</w:t>
                  </w:r>
                </w:p>
              </w:tc>
              <w:tc>
                <w:tcPr>
                  <w:tcW w:w="1580" w:type="dxa"/>
                  <w:tcBorders>
                    <w:tl2br w:val="nil"/>
                    <w:tr2bl w:val="nil"/>
                  </w:tcBorders>
                  <w:noWrap w:val="0"/>
                  <w:vAlign w:val="top"/>
                </w:tcPr>
                <w:p w14:paraId="57F31080">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7E657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B1366D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5E07E5A5">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31</w:t>
                  </w:r>
                </w:p>
              </w:tc>
              <w:tc>
                <w:tcPr>
                  <w:tcW w:w="2445" w:type="dxa"/>
                  <w:tcBorders>
                    <w:tl2br w:val="nil"/>
                    <w:tr2bl w:val="nil"/>
                  </w:tcBorders>
                  <w:noWrap w:val="0"/>
                  <w:vAlign w:val="top"/>
                </w:tcPr>
                <w:p w14:paraId="5B606EFB">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螺旋板冷却器</w:t>
                  </w:r>
                </w:p>
              </w:tc>
              <w:tc>
                <w:tcPr>
                  <w:tcW w:w="2014" w:type="dxa"/>
                  <w:tcBorders>
                    <w:tl2br w:val="nil"/>
                    <w:tr2bl w:val="nil"/>
                  </w:tcBorders>
                  <w:noWrap w:val="0"/>
                  <w:vAlign w:val="top"/>
                </w:tcPr>
                <w:p w14:paraId="6F6C83C3">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pacing w:val="2"/>
                      <w:szCs w:val="21"/>
                    </w:rPr>
                    <w:t>LX</w:t>
                  </w:r>
                  <w:r>
                    <w:rPr>
                      <w:color w:val="auto"/>
                      <w:spacing w:val="1"/>
                      <w:szCs w:val="21"/>
                    </w:rPr>
                    <w:t>HR-10</w:t>
                  </w:r>
                </w:p>
              </w:tc>
              <w:tc>
                <w:tcPr>
                  <w:tcW w:w="1580" w:type="dxa"/>
                  <w:tcBorders>
                    <w:tl2br w:val="nil"/>
                    <w:tr2bl w:val="nil"/>
                  </w:tcBorders>
                  <w:noWrap w:val="0"/>
                  <w:vAlign w:val="top"/>
                </w:tcPr>
                <w:p w14:paraId="673FF51E">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13F9A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23DE62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4FB46157">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32</w:t>
                  </w:r>
                </w:p>
              </w:tc>
              <w:tc>
                <w:tcPr>
                  <w:tcW w:w="2445" w:type="dxa"/>
                  <w:tcBorders>
                    <w:tl2br w:val="nil"/>
                    <w:tr2bl w:val="nil"/>
                  </w:tcBorders>
                  <w:noWrap w:val="0"/>
                  <w:vAlign w:val="top"/>
                </w:tcPr>
                <w:p w14:paraId="66811018">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1号安全过滤器</w:t>
                  </w:r>
                </w:p>
              </w:tc>
              <w:tc>
                <w:tcPr>
                  <w:tcW w:w="2014" w:type="dxa"/>
                  <w:tcBorders>
                    <w:tl2br w:val="nil"/>
                    <w:tr2bl w:val="nil"/>
                  </w:tcBorders>
                  <w:noWrap w:val="0"/>
                  <w:vAlign w:val="top"/>
                </w:tcPr>
                <w:p w14:paraId="1460F370">
                  <w:pPr>
                    <w:spacing w:before="68"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D</w:t>
                  </w:r>
                  <w:r>
                    <w:rPr>
                      <w:color w:val="auto"/>
                      <w:szCs w:val="21"/>
                    </w:rPr>
                    <w:t>GL0.3</w:t>
                  </w:r>
                </w:p>
              </w:tc>
              <w:tc>
                <w:tcPr>
                  <w:tcW w:w="1580" w:type="dxa"/>
                  <w:tcBorders>
                    <w:tl2br w:val="nil"/>
                    <w:tr2bl w:val="nil"/>
                  </w:tcBorders>
                  <w:noWrap w:val="0"/>
                  <w:vAlign w:val="top"/>
                </w:tcPr>
                <w:p w14:paraId="4E7A05D6">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24A8FA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89F4E7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1F6B78F2">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33</w:t>
                  </w:r>
                </w:p>
              </w:tc>
              <w:tc>
                <w:tcPr>
                  <w:tcW w:w="2445" w:type="dxa"/>
                  <w:tcBorders>
                    <w:tl2br w:val="nil"/>
                    <w:tr2bl w:val="nil"/>
                  </w:tcBorders>
                  <w:noWrap w:val="0"/>
                  <w:vAlign w:val="top"/>
                </w:tcPr>
                <w:p w14:paraId="2D1E0A33">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2号安全过滤器</w:t>
                  </w:r>
                </w:p>
              </w:tc>
              <w:tc>
                <w:tcPr>
                  <w:tcW w:w="2014" w:type="dxa"/>
                  <w:tcBorders>
                    <w:tl2br w:val="nil"/>
                    <w:tr2bl w:val="nil"/>
                  </w:tcBorders>
                  <w:noWrap w:val="0"/>
                  <w:vAlign w:val="top"/>
                </w:tcPr>
                <w:p w14:paraId="573CC681">
                  <w:pPr>
                    <w:spacing w:before="69" w:line="183"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D</w:t>
                  </w:r>
                  <w:r>
                    <w:rPr>
                      <w:color w:val="auto"/>
                      <w:szCs w:val="21"/>
                    </w:rPr>
                    <w:t>GL0.3</w:t>
                  </w:r>
                </w:p>
              </w:tc>
              <w:tc>
                <w:tcPr>
                  <w:tcW w:w="1580" w:type="dxa"/>
                  <w:tcBorders>
                    <w:tl2br w:val="nil"/>
                    <w:tr2bl w:val="nil"/>
                  </w:tcBorders>
                  <w:noWrap w:val="0"/>
                  <w:vAlign w:val="top"/>
                </w:tcPr>
                <w:p w14:paraId="5A1E7694">
                  <w:pPr>
                    <w:spacing w:before="69"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1D5228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B15469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0C4E0933">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34</w:t>
                  </w:r>
                </w:p>
              </w:tc>
              <w:tc>
                <w:tcPr>
                  <w:tcW w:w="2445" w:type="dxa"/>
                  <w:tcBorders>
                    <w:tl2br w:val="nil"/>
                    <w:tr2bl w:val="nil"/>
                  </w:tcBorders>
                  <w:noWrap w:val="0"/>
                  <w:vAlign w:val="top"/>
                </w:tcPr>
                <w:p w14:paraId="77696E0F">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蒸汽分配器</w:t>
                  </w:r>
                </w:p>
              </w:tc>
              <w:tc>
                <w:tcPr>
                  <w:tcW w:w="2014" w:type="dxa"/>
                  <w:tcBorders>
                    <w:tl2br w:val="nil"/>
                    <w:tr2bl w:val="nil"/>
                  </w:tcBorders>
                  <w:noWrap w:val="0"/>
                  <w:vAlign w:val="top"/>
                </w:tcPr>
                <w:p w14:paraId="2AED0246">
                  <w:pPr>
                    <w:spacing w:before="68" w:line="182" w:lineRule="auto"/>
                    <w:jc w:val="center"/>
                    <w:rPr>
                      <w:rFonts w:hint="default" w:ascii="Times New Roman" w:hAnsi="Times New Roman" w:eastAsia="宋体" w:cs="Times New Roman"/>
                      <w:color w:val="auto"/>
                      <w:sz w:val="21"/>
                      <w:szCs w:val="21"/>
                      <w:highlight w:val="none"/>
                      <w:lang w:val="en-US" w:eastAsia="zh-CN"/>
                    </w:rPr>
                  </w:pPr>
                  <w:r>
                    <w:rPr>
                      <w:color w:val="auto"/>
                      <w:spacing w:val="-1"/>
                      <w:szCs w:val="21"/>
                    </w:rPr>
                    <w:t>ZFQ2</w:t>
                  </w:r>
                  <w:r>
                    <w:rPr>
                      <w:color w:val="auto"/>
                      <w:szCs w:val="21"/>
                    </w:rPr>
                    <w:t>0</w:t>
                  </w:r>
                </w:p>
              </w:tc>
              <w:tc>
                <w:tcPr>
                  <w:tcW w:w="1580" w:type="dxa"/>
                  <w:tcBorders>
                    <w:tl2br w:val="nil"/>
                    <w:tr2bl w:val="nil"/>
                  </w:tcBorders>
                  <w:noWrap w:val="0"/>
                  <w:vAlign w:val="top"/>
                </w:tcPr>
                <w:p w14:paraId="5C57DD4B">
                  <w:pPr>
                    <w:spacing w:before="68"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3EE524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53E0D5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564538BE">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35</w:t>
                  </w:r>
                </w:p>
              </w:tc>
              <w:tc>
                <w:tcPr>
                  <w:tcW w:w="2445" w:type="dxa"/>
                  <w:tcBorders>
                    <w:tl2br w:val="nil"/>
                    <w:tr2bl w:val="nil"/>
                  </w:tcBorders>
                  <w:noWrap w:val="0"/>
                  <w:vAlign w:val="top"/>
                </w:tcPr>
                <w:p w14:paraId="73E1B57A">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配电控制柜</w:t>
                  </w:r>
                </w:p>
              </w:tc>
              <w:tc>
                <w:tcPr>
                  <w:tcW w:w="2014" w:type="dxa"/>
                  <w:tcBorders>
                    <w:tl2br w:val="nil"/>
                    <w:tr2bl w:val="nil"/>
                  </w:tcBorders>
                  <w:noWrap w:val="0"/>
                  <w:vAlign w:val="top"/>
                </w:tcPr>
                <w:p w14:paraId="105A313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80" w:type="dxa"/>
                  <w:tcBorders>
                    <w:tl2br w:val="nil"/>
                    <w:tr2bl w:val="nil"/>
                  </w:tcBorders>
                  <w:noWrap w:val="0"/>
                  <w:vAlign w:val="top"/>
                </w:tcPr>
                <w:p w14:paraId="1AB706CA">
                  <w:pPr>
                    <w:spacing w:before="126" w:line="186" w:lineRule="auto"/>
                    <w:jc w:val="center"/>
                    <w:rPr>
                      <w:rFonts w:hint="default" w:ascii="Times New Roman" w:hAnsi="Times New Roman" w:eastAsia="宋体"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2F9341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E9DAC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33E526E">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36</w:t>
                  </w:r>
                </w:p>
              </w:tc>
              <w:tc>
                <w:tcPr>
                  <w:tcW w:w="2445" w:type="dxa"/>
                  <w:tcBorders>
                    <w:tl2br w:val="nil"/>
                    <w:tr2bl w:val="nil"/>
                  </w:tcBorders>
                  <w:noWrap w:val="0"/>
                  <w:vAlign w:val="top"/>
                </w:tcPr>
                <w:p w14:paraId="496BC390">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阀门、管道、法兰、 仪表、弯头、型材</w:t>
                  </w:r>
                </w:p>
              </w:tc>
              <w:tc>
                <w:tcPr>
                  <w:tcW w:w="2014" w:type="dxa"/>
                  <w:tcBorders>
                    <w:tl2br w:val="nil"/>
                    <w:tr2bl w:val="nil"/>
                  </w:tcBorders>
                  <w:noWrap w:val="0"/>
                  <w:vAlign w:val="top"/>
                </w:tcPr>
                <w:p w14:paraId="0C1DE40C">
                  <w:pPr>
                    <w:spacing w:before="168" w:line="220" w:lineRule="auto"/>
                    <w:ind w:firstLine="114" w:firstLineChars="0"/>
                    <w:jc w:val="center"/>
                    <w:rPr>
                      <w:rFonts w:hint="default" w:ascii="Times New Roman" w:hAnsi="Times New Roman" w:eastAsia="宋体" w:cs="Times New Roman"/>
                      <w:color w:val="auto"/>
                      <w:sz w:val="21"/>
                      <w:szCs w:val="21"/>
                      <w:highlight w:val="none"/>
                      <w:lang w:val="en-US" w:eastAsia="zh-CN"/>
                    </w:rPr>
                  </w:pPr>
                  <w:r>
                    <w:rPr>
                      <w:color w:val="auto"/>
                      <w:spacing w:val="-2"/>
                      <w:szCs w:val="21"/>
                    </w:rPr>
                    <w:t>安装</w:t>
                  </w:r>
                  <w:r>
                    <w:rPr>
                      <w:color w:val="auto"/>
                      <w:spacing w:val="-1"/>
                      <w:szCs w:val="21"/>
                    </w:rPr>
                    <w:t>材料</w:t>
                  </w:r>
                </w:p>
              </w:tc>
              <w:tc>
                <w:tcPr>
                  <w:tcW w:w="1580" w:type="dxa"/>
                  <w:tcBorders>
                    <w:tl2br w:val="nil"/>
                    <w:tr2bl w:val="nil"/>
                  </w:tcBorders>
                  <w:noWrap w:val="0"/>
                  <w:vAlign w:val="top"/>
                </w:tcPr>
                <w:p w14:paraId="6F9FD489">
                  <w:pPr>
                    <w:spacing w:before="169" w:line="221" w:lineRule="auto"/>
                    <w:jc w:val="center"/>
                    <w:rPr>
                      <w:rFonts w:hint="default" w:ascii="Times New Roman" w:hAnsi="Times New Roman" w:eastAsia="宋体" w:cs="Times New Roman"/>
                      <w:color w:val="auto"/>
                      <w:sz w:val="21"/>
                      <w:szCs w:val="21"/>
                      <w:highlight w:val="none"/>
                      <w:lang w:val="en-US" w:eastAsia="zh-CN"/>
                    </w:rPr>
                  </w:pPr>
                  <w:r>
                    <w:rPr>
                      <w:color w:val="auto"/>
                      <w:spacing w:val="-6"/>
                      <w:szCs w:val="21"/>
                    </w:rPr>
                    <w:t>1</w:t>
                  </w:r>
                </w:p>
              </w:tc>
              <w:tc>
                <w:tcPr>
                  <w:tcW w:w="1969" w:type="dxa"/>
                  <w:tcBorders>
                    <w:tl2br w:val="nil"/>
                    <w:tr2bl w:val="nil"/>
                  </w:tcBorders>
                  <w:noWrap w:val="0"/>
                  <w:vAlign w:val="center"/>
                </w:tcPr>
                <w:p w14:paraId="16D38E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4EE513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4DC11B6">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37</w:t>
                  </w:r>
                </w:p>
              </w:tc>
              <w:tc>
                <w:tcPr>
                  <w:tcW w:w="2445" w:type="dxa"/>
                  <w:tcBorders>
                    <w:tl2br w:val="nil"/>
                    <w:tr2bl w:val="nil"/>
                  </w:tcBorders>
                  <w:noWrap w:val="0"/>
                  <w:vAlign w:val="top"/>
                </w:tcPr>
                <w:p w14:paraId="752C7A67">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导热油炉</w:t>
                  </w:r>
                </w:p>
              </w:tc>
              <w:tc>
                <w:tcPr>
                  <w:tcW w:w="2014" w:type="dxa"/>
                  <w:tcBorders>
                    <w:tl2br w:val="nil"/>
                    <w:tr2bl w:val="nil"/>
                  </w:tcBorders>
                  <w:noWrap w:val="0"/>
                  <w:vAlign w:val="top"/>
                </w:tcPr>
                <w:p w14:paraId="43936264">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w:t>
                  </w:r>
                </w:p>
              </w:tc>
              <w:tc>
                <w:tcPr>
                  <w:tcW w:w="1580" w:type="dxa"/>
                  <w:tcBorders>
                    <w:tl2br w:val="nil"/>
                    <w:tr2bl w:val="nil"/>
                  </w:tcBorders>
                  <w:noWrap w:val="0"/>
                  <w:vAlign w:val="top"/>
                </w:tcPr>
                <w:p w14:paraId="78C8D995">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1969" w:type="dxa"/>
                  <w:tcBorders>
                    <w:tl2br w:val="nil"/>
                    <w:tr2bl w:val="nil"/>
                  </w:tcBorders>
                  <w:noWrap w:val="0"/>
                  <w:vAlign w:val="center"/>
                </w:tcPr>
                <w:p w14:paraId="329241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6218F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14:paraId="0559B5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二</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牛干巴</w:t>
                  </w:r>
                  <w:r>
                    <w:rPr>
                      <w:rFonts w:hint="default" w:ascii="Times New Roman" w:hAnsi="Times New Roman" w:eastAsia="宋体" w:cs="Times New Roman"/>
                      <w:b/>
                      <w:bCs/>
                      <w:color w:val="auto"/>
                      <w:sz w:val="21"/>
                      <w:szCs w:val="21"/>
                      <w:highlight w:val="none"/>
                      <w:lang w:val="en-US" w:eastAsia="zh-CN"/>
                    </w:rPr>
                    <w:t>生产主</w:t>
                  </w:r>
                  <w:r>
                    <w:rPr>
                      <w:rFonts w:hint="default" w:ascii="Times New Roman" w:hAnsi="Times New Roman" w:eastAsia="宋体" w:cs="Times New Roman"/>
                      <w:b/>
                      <w:bCs/>
                      <w:color w:val="auto"/>
                      <w:sz w:val="21"/>
                      <w:szCs w:val="21"/>
                      <w:highlight w:val="none"/>
                    </w:rPr>
                    <w:t>系统</w:t>
                  </w:r>
                </w:p>
              </w:tc>
            </w:tr>
            <w:tr w14:paraId="4EB8B1D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16D5E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45" w:type="dxa"/>
                  <w:tcBorders>
                    <w:tl2br w:val="nil"/>
                    <w:tr2bl w:val="nil"/>
                  </w:tcBorders>
                  <w:noWrap w:val="0"/>
                  <w:vAlign w:val="center"/>
                </w:tcPr>
                <w:p w14:paraId="68FF8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大盆</w:t>
                  </w:r>
                </w:p>
              </w:tc>
              <w:tc>
                <w:tcPr>
                  <w:tcW w:w="2014" w:type="dxa"/>
                  <w:tcBorders>
                    <w:tl2br w:val="nil"/>
                    <w:tr2bl w:val="nil"/>
                  </w:tcBorders>
                  <w:noWrap w:val="0"/>
                  <w:vAlign w:val="center"/>
                </w:tcPr>
                <w:p w14:paraId="7E8423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14:paraId="53EE00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969" w:type="dxa"/>
                  <w:tcBorders>
                    <w:tl2br w:val="nil"/>
                    <w:tr2bl w:val="nil"/>
                  </w:tcBorders>
                  <w:noWrap w:val="0"/>
                  <w:vAlign w:val="center"/>
                </w:tcPr>
                <w:p w14:paraId="3344E8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涂抹腌料</w:t>
                  </w:r>
                </w:p>
              </w:tc>
            </w:tr>
            <w:tr w14:paraId="2A909A7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17EA68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445" w:type="dxa"/>
                  <w:tcBorders>
                    <w:tl2br w:val="nil"/>
                    <w:tr2bl w:val="nil"/>
                  </w:tcBorders>
                  <w:noWrap w:val="0"/>
                  <w:vAlign w:val="center"/>
                </w:tcPr>
                <w:p w14:paraId="63DBDE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腌制罐</w:t>
                  </w:r>
                </w:p>
              </w:tc>
              <w:tc>
                <w:tcPr>
                  <w:tcW w:w="2014" w:type="dxa"/>
                  <w:tcBorders>
                    <w:tl2br w:val="nil"/>
                    <w:tr2bl w:val="nil"/>
                  </w:tcBorders>
                  <w:noWrap w:val="0"/>
                  <w:vAlign w:val="center"/>
                </w:tcPr>
                <w:p w14:paraId="020999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superscript"/>
                      <w:lang w:val="en-US" w:eastAsia="zh-CN"/>
                    </w:rPr>
                  </w:pPr>
                  <w:r>
                    <w:rPr>
                      <w:rFonts w:hint="eastAsia" w:cs="Times New Roman"/>
                      <w:color w:val="auto"/>
                      <w:sz w:val="21"/>
                      <w:szCs w:val="21"/>
                      <w:highlight w:val="none"/>
                      <w:lang w:val="en-US" w:eastAsia="zh-CN"/>
                    </w:rPr>
                    <w:t>1m</w:t>
                  </w:r>
                  <w:r>
                    <w:rPr>
                      <w:rFonts w:hint="eastAsia" w:cs="Times New Roman"/>
                      <w:color w:val="auto"/>
                      <w:sz w:val="21"/>
                      <w:szCs w:val="21"/>
                      <w:highlight w:val="none"/>
                      <w:vertAlign w:val="superscript"/>
                      <w:lang w:val="en-US" w:eastAsia="zh-CN"/>
                    </w:rPr>
                    <w:t>3</w:t>
                  </w:r>
                </w:p>
              </w:tc>
              <w:tc>
                <w:tcPr>
                  <w:tcW w:w="1580" w:type="dxa"/>
                  <w:tcBorders>
                    <w:tl2br w:val="nil"/>
                    <w:tr2bl w:val="nil"/>
                  </w:tcBorders>
                  <w:noWrap w:val="0"/>
                  <w:vAlign w:val="center"/>
                </w:tcPr>
                <w:p w14:paraId="00737F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0</w:t>
                  </w:r>
                </w:p>
              </w:tc>
              <w:tc>
                <w:tcPr>
                  <w:tcW w:w="1969" w:type="dxa"/>
                  <w:tcBorders>
                    <w:tl2br w:val="nil"/>
                    <w:tr2bl w:val="nil"/>
                  </w:tcBorders>
                  <w:noWrap w:val="0"/>
                  <w:vAlign w:val="center"/>
                </w:tcPr>
                <w:p w14:paraId="53812F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腌制</w:t>
                  </w:r>
                </w:p>
              </w:tc>
            </w:tr>
            <w:tr w14:paraId="7BE5B3A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175382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445" w:type="dxa"/>
                  <w:tcBorders>
                    <w:tl2br w:val="nil"/>
                    <w:tr2bl w:val="nil"/>
                  </w:tcBorders>
                  <w:noWrap w:val="0"/>
                  <w:vAlign w:val="center"/>
                </w:tcPr>
                <w:p w14:paraId="2E0B30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挂钩</w:t>
                  </w:r>
                </w:p>
              </w:tc>
              <w:tc>
                <w:tcPr>
                  <w:tcW w:w="2014" w:type="dxa"/>
                  <w:tcBorders>
                    <w:tl2br w:val="nil"/>
                    <w:tr2bl w:val="nil"/>
                  </w:tcBorders>
                  <w:noWrap w:val="0"/>
                  <w:vAlign w:val="center"/>
                </w:tcPr>
                <w:p w14:paraId="147A8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14:paraId="4CB82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969" w:type="dxa"/>
                  <w:tcBorders>
                    <w:tl2br w:val="nil"/>
                    <w:tr2bl w:val="nil"/>
                  </w:tcBorders>
                  <w:noWrap w:val="0"/>
                  <w:vAlign w:val="center"/>
                </w:tcPr>
                <w:p w14:paraId="1B7194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晾晒</w:t>
                  </w:r>
                </w:p>
              </w:tc>
            </w:tr>
            <w:tr w14:paraId="2759060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14A540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445" w:type="dxa"/>
                  <w:tcBorders>
                    <w:tl2br w:val="nil"/>
                    <w:tr2bl w:val="nil"/>
                  </w:tcBorders>
                  <w:noWrap w:val="0"/>
                  <w:vAlign w:val="center"/>
                </w:tcPr>
                <w:p w14:paraId="1F8204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u w:val="none" w:color="auto"/>
                      <w:lang w:val="en-US" w:eastAsia="zh-CN"/>
                    </w:rPr>
                    <w:t>打包机</w:t>
                  </w:r>
                </w:p>
              </w:tc>
              <w:tc>
                <w:tcPr>
                  <w:tcW w:w="2014" w:type="dxa"/>
                  <w:tcBorders>
                    <w:tl2br w:val="nil"/>
                    <w:tr2bl w:val="nil"/>
                  </w:tcBorders>
                  <w:noWrap w:val="0"/>
                  <w:vAlign w:val="center"/>
                </w:tcPr>
                <w:p w14:paraId="182EEB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14:paraId="0C7F0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14:paraId="793630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包装</w:t>
                  </w:r>
                </w:p>
              </w:tc>
            </w:tr>
            <w:tr w14:paraId="68C14FC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14:paraId="00F8FE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三</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动物饲料油脂</w:t>
                  </w:r>
                  <w:r>
                    <w:rPr>
                      <w:rFonts w:hint="default" w:ascii="Times New Roman" w:hAnsi="Times New Roman" w:eastAsia="宋体" w:cs="Times New Roman"/>
                      <w:b/>
                      <w:bCs/>
                      <w:color w:val="auto"/>
                      <w:sz w:val="21"/>
                      <w:szCs w:val="21"/>
                      <w:highlight w:val="none"/>
                      <w:lang w:val="en-US" w:eastAsia="zh-CN"/>
                    </w:rPr>
                    <w:t>生产主要原辅料</w:t>
                  </w:r>
                </w:p>
              </w:tc>
            </w:tr>
            <w:tr w14:paraId="0F27CE0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64B9A5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445" w:type="dxa"/>
                  <w:tcBorders>
                    <w:tl2br w:val="nil"/>
                    <w:tr2bl w:val="nil"/>
                  </w:tcBorders>
                  <w:noWrap w:val="0"/>
                  <w:vAlign w:val="center"/>
                </w:tcPr>
                <w:p w14:paraId="62C697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绞肉机</w:t>
                  </w:r>
                </w:p>
              </w:tc>
              <w:tc>
                <w:tcPr>
                  <w:tcW w:w="2014" w:type="dxa"/>
                  <w:tcBorders>
                    <w:tl2br w:val="nil"/>
                    <w:tr2bl w:val="nil"/>
                  </w:tcBorders>
                  <w:noWrap w:val="0"/>
                  <w:vAlign w:val="center"/>
                </w:tcPr>
                <w:p w14:paraId="33EE63E4">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0"/>
                      <w:szCs w:val="20"/>
                      <w:lang w:val="en-US" w:eastAsia="zh-CN" w:bidi="ar"/>
                    </w:rPr>
                    <w:t>JR-250-1P</w:t>
                  </w:r>
                </w:p>
              </w:tc>
              <w:tc>
                <w:tcPr>
                  <w:tcW w:w="1580" w:type="dxa"/>
                  <w:tcBorders>
                    <w:tl2br w:val="nil"/>
                    <w:tr2bl w:val="nil"/>
                  </w:tcBorders>
                  <w:noWrap w:val="0"/>
                  <w:vAlign w:val="center"/>
                </w:tcPr>
                <w:p w14:paraId="6E3CD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58D88B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绞肉</w:t>
                  </w:r>
                </w:p>
              </w:tc>
            </w:tr>
            <w:tr w14:paraId="36EF066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427662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45" w:type="dxa"/>
                  <w:tcBorders>
                    <w:tl2br w:val="nil"/>
                    <w:tr2bl w:val="nil"/>
                  </w:tcBorders>
                  <w:noWrap w:val="0"/>
                  <w:vAlign w:val="center"/>
                </w:tcPr>
                <w:p w14:paraId="2B2B18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上料绞龙</w:t>
                  </w:r>
                </w:p>
              </w:tc>
              <w:tc>
                <w:tcPr>
                  <w:tcW w:w="2014" w:type="dxa"/>
                  <w:tcBorders>
                    <w:tl2br w:val="nil"/>
                    <w:tr2bl w:val="nil"/>
                  </w:tcBorders>
                  <w:noWrap w:val="0"/>
                  <w:vAlign w:val="center"/>
                </w:tcPr>
                <w:p w14:paraId="6E23C1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450</w:t>
                  </w:r>
                </w:p>
              </w:tc>
              <w:tc>
                <w:tcPr>
                  <w:tcW w:w="1580" w:type="dxa"/>
                  <w:tcBorders>
                    <w:tl2br w:val="nil"/>
                    <w:tr2bl w:val="nil"/>
                  </w:tcBorders>
                  <w:noWrap w:val="0"/>
                  <w:vAlign w:val="center"/>
                </w:tcPr>
                <w:p w14:paraId="56DD32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14F86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上料</w:t>
                  </w:r>
                </w:p>
              </w:tc>
            </w:tr>
            <w:tr w14:paraId="06A7D47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71" w:type="dxa"/>
                  <w:tcBorders>
                    <w:tl2br w:val="nil"/>
                    <w:tr2bl w:val="nil"/>
                  </w:tcBorders>
                  <w:noWrap w:val="0"/>
                  <w:vAlign w:val="center"/>
                </w:tcPr>
                <w:p w14:paraId="76175E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45" w:type="dxa"/>
                  <w:tcBorders>
                    <w:tl2br w:val="nil"/>
                    <w:tr2bl w:val="nil"/>
                  </w:tcBorders>
                  <w:noWrap w:val="0"/>
                  <w:vAlign w:val="center"/>
                </w:tcPr>
                <w:p w14:paraId="6BD802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分料绞龙</w:t>
                  </w:r>
                </w:p>
              </w:tc>
              <w:tc>
                <w:tcPr>
                  <w:tcW w:w="2014" w:type="dxa"/>
                  <w:tcBorders>
                    <w:tl2br w:val="nil"/>
                    <w:tr2bl w:val="nil"/>
                  </w:tcBorders>
                  <w:noWrap w:val="0"/>
                  <w:vAlign w:val="center"/>
                </w:tcPr>
                <w:p w14:paraId="5708A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450</w:t>
                  </w:r>
                </w:p>
              </w:tc>
              <w:tc>
                <w:tcPr>
                  <w:tcW w:w="1580" w:type="dxa"/>
                  <w:tcBorders>
                    <w:tl2br w:val="nil"/>
                    <w:tr2bl w:val="nil"/>
                  </w:tcBorders>
                  <w:noWrap w:val="0"/>
                  <w:vAlign w:val="center"/>
                </w:tcPr>
                <w:p w14:paraId="7D3C6E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267155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分料</w:t>
                  </w:r>
                </w:p>
              </w:tc>
            </w:tr>
            <w:tr w14:paraId="20586D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8049C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445" w:type="dxa"/>
                  <w:tcBorders>
                    <w:tl2br w:val="nil"/>
                    <w:tr2bl w:val="nil"/>
                  </w:tcBorders>
                  <w:noWrap w:val="0"/>
                  <w:vAlign w:val="center"/>
                </w:tcPr>
                <w:p w14:paraId="018729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熔炼锅</w:t>
                  </w:r>
                </w:p>
              </w:tc>
              <w:tc>
                <w:tcPr>
                  <w:tcW w:w="2014" w:type="dxa"/>
                  <w:tcBorders>
                    <w:tl2br w:val="nil"/>
                    <w:tr2bl w:val="nil"/>
                  </w:tcBorders>
                  <w:noWrap w:val="0"/>
                  <w:vAlign w:val="center"/>
                </w:tcPr>
                <w:p w14:paraId="2E37CC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YX-5T</w:t>
                  </w:r>
                </w:p>
              </w:tc>
              <w:tc>
                <w:tcPr>
                  <w:tcW w:w="1580" w:type="dxa"/>
                  <w:tcBorders>
                    <w:tl2br w:val="nil"/>
                    <w:tr2bl w:val="nil"/>
                  </w:tcBorders>
                  <w:noWrap w:val="0"/>
                  <w:vAlign w:val="center"/>
                </w:tcPr>
                <w:p w14:paraId="2FC7C7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14:paraId="7ED398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熔炼</w:t>
                  </w:r>
                </w:p>
              </w:tc>
            </w:tr>
            <w:tr w14:paraId="45CD16A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A3299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445" w:type="dxa"/>
                  <w:tcBorders>
                    <w:tl2br w:val="nil"/>
                    <w:tr2bl w:val="nil"/>
                  </w:tcBorders>
                  <w:noWrap w:val="0"/>
                  <w:vAlign w:val="center"/>
                </w:tcPr>
                <w:p w14:paraId="29E688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油渣分离器</w:t>
                  </w:r>
                </w:p>
              </w:tc>
              <w:tc>
                <w:tcPr>
                  <w:tcW w:w="2014" w:type="dxa"/>
                  <w:tcBorders>
                    <w:tl2br w:val="nil"/>
                    <w:tr2bl w:val="nil"/>
                  </w:tcBorders>
                  <w:noWrap w:val="0"/>
                  <w:vAlign w:val="center"/>
                </w:tcPr>
                <w:p w14:paraId="042911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580" w:type="dxa"/>
                  <w:tcBorders>
                    <w:tl2br w:val="nil"/>
                    <w:tr2bl w:val="nil"/>
                  </w:tcBorders>
                  <w:noWrap w:val="0"/>
                  <w:vAlign w:val="center"/>
                </w:tcPr>
                <w:p w14:paraId="5603EE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592B00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油渣分离</w:t>
                  </w:r>
                </w:p>
              </w:tc>
            </w:tr>
            <w:tr w14:paraId="7012D2F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5CC6BD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445" w:type="dxa"/>
                  <w:tcBorders>
                    <w:tl2br w:val="nil"/>
                    <w:tr2bl w:val="nil"/>
                  </w:tcBorders>
                  <w:noWrap w:val="0"/>
                  <w:vAlign w:val="center"/>
                </w:tcPr>
                <w:p w14:paraId="4402E8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链板传送机</w:t>
                  </w:r>
                </w:p>
              </w:tc>
              <w:tc>
                <w:tcPr>
                  <w:tcW w:w="2014" w:type="dxa"/>
                  <w:tcBorders>
                    <w:tl2br w:val="nil"/>
                    <w:tr2bl w:val="nil"/>
                  </w:tcBorders>
                  <w:noWrap w:val="0"/>
                  <w:vAlign w:val="center"/>
                </w:tcPr>
                <w:p w14:paraId="4CF4B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LB-400</w:t>
                  </w:r>
                </w:p>
              </w:tc>
              <w:tc>
                <w:tcPr>
                  <w:tcW w:w="1580" w:type="dxa"/>
                  <w:tcBorders>
                    <w:tl2br w:val="nil"/>
                    <w:tr2bl w:val="nil"/>
                  </w:tcBorders>
                  <w:noWrap w:val="0"/>
                  <w:vAlign w:val="center"/>
                </w:tcPr>
                <w:p w14:paraId="25D3D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0E069B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运送</w:t>
                  </w:r>
                </w:p>
              </w:tc>
            </w:tr>
            <w:tr w14:paraId="466FA1E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509358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445" w:type="dxa"/>
                  <w:tcBorders>
                    <w:tl2br w:val="nil"/>
                    <w:tr2bl w:val="nil"/>
                  </w:tcBorders>
                  <w:noWrap w:val="0"/>
                  <w:vAlign w:val="center"/>
                </w:tcPr>
                <w:p w14:paraId="5557FA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油渣</w:t>
                  </w:r>
                  <w:r>
                    <w:rPr>
                      <w:rFonts w:hint="eastAsia" w:cs="Times New Roman"/>
                      <w:color w:val="auto"/>
                      <w:sz w:val="21"/>
                      <w:szCs w:val="21"/>
                      <w:u w:val="none" w:color="auto"/>
                      <w:lang w:val="en-US" w:eastAsia="zh-CN"/>
                    </w:rPr>
                    <w:t>运送绞龙</w:t>
                  </w:r>
                </w:p>
              </w:tc>
              <w:tc>
                <w:tcPr>
                  <w:tcW w:w="2014" w:type="dxa"/>
                  <w:tcBorders>
                    <w:tl2br w:val="nil"/>
                    <w:tr2bl w:val="nil"/>
                  </w:tcBorders>
                  <w:noWrap w:val="0"/>
                  <w:vAlign w:val="center"/>
                </w:tcPr>
                <w:p w14:paraId="225CC7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80" w:type="dxa"/>
                  <w:tcBorders>
                    <w:tl2br w:val="nil"/>
                    <w:tr2bl w:val="nil"/>
                  </w:tcBorders>
                  <w:noWrap w:val="0"/>
                  <w:vAlign w:val="center"/>
                </w:tcPr>
                <w:p w14:paraId="41B007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75AA66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运送</w:t>
                  </w:r>
                </w:p>
              </w:tc>
            </w:tr>
            <w:tr w14:paraId="13A7859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530116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445" w:type="dxa"/>
                  <w:tcBorders>
                    <w:tl2br w:val="nil"/>
                    <w:tr2bl w:val="nil"/>
                  </w:tcBorders>
                  <w:noWrap w:val="0"/>
                  <w:vAlign w:val="center"/>
                </w:tcPr>
                <w:p w14:paraId="5120F0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螺旋榨油机</w:t>
                  </w:r>
                </w:p>
              </w:tc>
              <w:tc>
                <w:tcPr>
                  <w:tcW w:w="2014" w:type="dxa"/>
                  <w:tcBorders>
                    <w:tl2br w:val="nil"/>
                    <w:tr2bl w:val="nil"/>
                  </w:tcBorders>
                  <w:noWrap w:val="0"/>
                  <w:vAlign w:val="center"/>
                </w:tcPr>
                <w:p w14:paraId="6465DA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240型</w:t>
                  </w:r>
                </w:p>
              </w:tc>
              <w:tc>
                <w:tcPr>
                  <w:tcW w:w="1580" w:type="dxa"/>
                  <w:tcBorders>
                    <w:tl2br w:val="nil"/>
                    <w:tr2bl w:val="nil"/>
                  </w:tcBorders>
                  <w:noWrap w:val="0"/>
                  <w:vAlign w:val="center"/>
                </w:tcPr>
                <w:p w14:paraId="3D4A73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588555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榨油</w:t>
                  </w:r>
                </w:p>
              </w:tc>
            </w:tr>
            <w:tr w14:paraId="6EAB6C0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9A12F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2445" w:type="dxa"/>
                  <w:tcBorders>
                    <w:tl2br w:val="nil"/>
                    <w:tr2bl w:val="nil"/>
                  </w:tcBorders>
                  <w:noWrap w:val="0"/>
                  <w:vAlign w:val="center"/>
                </w:tcPr>
                <w:p w14:paraId="2AE12A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刮板机</w:t>
                  </w:r>
                </w:p>
              </w:tc>
              <w:tc>
                <w:tcPr>
                  <w:tcW w:w="2014" w:type="dxa"/>
                  <w:tcBorders>
                    <w:tl2br w:val="nil"/>
                    <w:tr2bl w:val="nil"/>
                  </w:tcBorders>
                  <w:noWrap w:val="0"/>
                  <w:vAlign w:val="center"/>
                </w:tcPr>
                <w:p w14:paraId="7BDC3D31">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0"/>
                      <w:szCs w:val="20"/>
                      <w:lang w:val="en-US" w:eastAsia="zh-CN" w:bidi="ar"/>
                    </w:rPr>
                    <w:t>7*2.9*0.5</w:t>
                  </w:r>
                </w:p>
              </w:tc>
              <w:tc>
                <w:tcPr>
                  <w:tcW w:w="1580" w:type="dxa"/>
                  <w:tcBorders>
                    <w:tl2br w:val="nil"/>
                    <w:tr2bl w:val="nil"/>
                  </w:tcBorders>
                  <w:noWrap w:val="0"/>
                  <w:vAlign w:val="center"/>
                </w:tcPr>
                <w:p w14:paraId="7B7D49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6729FE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B5E42D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3013A0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445" w:type="dxa"/>
                  <w:tcBorders>
                    <w:tl2br w:val="nil"/>
                    <w:tr2bl w:val="nil"/>
                  </w:tcBorders>
                  <w:noWrap w:val="0"/>
                  <w:vAlign w:val="center"/>
                </w:tcPr>
                <w:p w14:paraId="2A42C2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精细过滤机</w:t>
                  </w:r>
                </w:p>
              </w:tc>
              <w:tc>
                <w:tcPr>
                  <w:tcW w:w="2014" w:type="dxa"/>
                  <w:tcBorders>
                    <w:tl2br w:val="nil"/>
                    <w:tr2bl w:val="nil"/>
                  </w:tcBorders>
                  <w:noWrap w:val="0"/>
                  <w:vAlign w:val="center"/>
                </w:tcPr>
                <w:p w14:paraId="7A3049D1">
                  <w:pPr>
                    <w:keepNext w:val="0"/>
                    <w:keepLines w:val="0"/>
                    <w:widowControl/>
                    <w:suppressLineNumbers w:val="0"/>
                    <w:jc w:val="center"/>
                    <w:rPr>
                      <w:rFonts w:hint="default" w:ascii="Times New Roman" w:hAnsi="Times New Roman" w:eastAsia="宋体" w:cs="Times New Roman"/>
                      <w:color w:val="auto"/>
                      <w:kern w:val="0"/>
                      <w:sz w:val="20"/>
                      <w:szCs w:val="20"/>
                      <w:lang w:val="en-US" w:eastAsia="zh-CN" w:bidi="ar"/>
                    </w:rPr>
                  </w:pPr>
                  <w:r>
                    <w:rPr>
                      <w:rFonts w:hint="eastAsia" w:cs="Times New Roman"/>
                      <w:color w:val="auto"/>
                      <w:kern w:val="0"/>
                      <w:sz w:val="20"/>
                      <w:szCs w:val="20"/>
                      <w:lang w:val="en-US" w:eastAsia="zh-CN" w:bidi="ar"/>
                    </w:rPr>
                    <w:t>/</w:t>
                  </w:r>
                </w:p>
              </w:tc>
              <w:tc>
                <w:tcPr>
                  <w:tcW w:w="1580" w:type="dxa"/>
                  <w:tcBorders>
                    <w:tl2br w:val="nil"/>
                    <w:tr2bl w:val="nil"/>
                  </w:tcBorders>
                  <w:noWrap w:val="0"/>
                  <w:vAlign w:val="center"/>
                </w:tcPr>
                <w:p w14:paraId="3A3FE8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10516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精细过滤</w:t>
                  </w:r>
                </w:p>
              </w:tc>
            </w:tr>
            <w:tr w14:paraId="787BA5F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2116AF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2445" w:type="dxa"/>
                  <w:tcBorders>
                    <w:tl2br w:val="nil"/>
                    <w:tr2bl w:val="nil"/>
                  </w:tcBorders>
                  <w:noWrap w:val="0"/>
                  <w:vAlign w:val="center"/>
                </w:tcPr>
                <w:p w14:paraId="5A446F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铁质油渣箱</w:t>
                  </w:r>
                </w:p>
              </w:tc>
              <w:tc>
                <w:tcPr>
                  <w:tcW w:w="2014" w:type="dxa"/>
                  <w:tcBorders>
                    <w:tl2br w:val="nil"/>
                    <w:tr2bl w:val="nil"/>
                  </w:tcBorders>
                  <w:noWrap w:val="0"/>
                  <w:vAlign w:val="center"/>
                </w:tcPr>
                <w:p w14:paraId="79D58259">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0"/>
                      <w:szCs w:val="20"/>
                      <w:lang w:val="en-US" w:eastAsia="zh-CN" w:bidi="ar"/>
                    </w:rPr>
                    <w:t>1.26</w:t>
                  </w:r>
                  <w:r>
                    <w:rPr>
                      <w:rFonts w:hint="eastAsia" w:ascii="宋体" w:hAnsi="宋体" w:eastAsia="宋体" w:cs="宋体"/>
                      <w:color w:val="auto"/>
                      <w:kern w:val="0"/>
                      <w:sz w:val="20"/>
                      <w:szCs w:val="20"/>
                      <w:lang w:val="en-US" w:eastAsia="zh-CN" w:bidi="ar"/>
                    </w:rPr>
                    <w:t>×</w:t>
                  </w:r>
                  <w:r>
                    <w:rPr>
                      <w:rFonts w:hint="default" w:ascii="Times New Roman" w:hAnsi="Times New Roman" w:eastAsia="宋体" w:cs="Times New Roman"/>
                      <w:color w:val="auto"/>
                      <w:kern w:val="0"/>
                      <w:sz w:val="20"/>
                      <w:szCs w:val="20"/>
                      <w:lang w:val="en-US" w:eastAsia="zh-CN" w:bidi="ar"/>
                    </w:rPr>
                    <w:t>1.26</w:t>
                  </w:r>
                  <w:r>
                    <w:rPr>
                      <w:rFonts w:hint="eastAsia" w:ascii="宋体" w:hAnsi="宋体" w:eastAsia="宋体" w:cs="宋体"/>
                      <w:color w:val="auto"/>
                      <w:kern w:val="0"/>
                      <w:sz w:val="20"/>
                      <w:szCs w:val="20"/>
                      <w:lang w:val="en-US" w:eastAsia="zh-CN" w:bidi="ar"/>
                    </w:rPr>
                    <w:t>×</w:t>
                  </w:r>
                  <w:r>
                    <w:rPr>
                      <w:rFonts w:hint="default" w:ascii="Times New Roman" w:hAnsi="Times New Roman" w:eastAsia="宋体" w:cs="Times New Roman"/>
                      <w:color w:val="auto"/>
                      <w:kern w:val="0"/>
                      <w:sz w:val="20"/>
                      <w:szCs w:val="20"/>
                      <w:lang w:val="en-US" w:eastAsia="zh-CN" w:bidi="ar"/>
                    </w:rPr>
                    <w:t>1m</w:t>
                  </w:r>
                </w:p>
              </w:tc>
              <w:tc>
                <w:tcPr>
                  <w:tcW w:w="1580" w:type="dxa"/>
                  <w:tcBorders>
                    <w:tl2br w:val="nil"/>
                    <w:tr2bl w:val="nil"/>
                  </w:tcBorders>
                  <w:noWrap w:val="0"/>
                  <w:vAlign w:val="center"/>
                </w:tcPr>
                <w:p w14:paraId="59AD67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14:paraId="044E03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粗存油渣</w:t>
                  </w:r>
                </w:p>
              </w:tc>
            </w:tr>
            <w:tr w14:paraId="30AFAD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70870A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2445" w:type="dxa"/>
                  <w:tcBorders>
                    <w:tl2br w:val="nil"/>
                    <w:tr2bl w:val="nil"/>
                  </w:tcBorders>
                  <w:noWrap w:val="0"/>
                  <w:vAlign w:val="center"/>
                </w:tcPr>
                <w:p w14:paraId="721F09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成品油罐</w:t>
                  </w:r>
                </w:p>
              </w:tc>
              <w:tc>
                <w:tcPr>
                  <w:tcW w:w="2014" w:type="dxa"/>
                  <w:tcBorders>
                    <w:tl2br w:val="nil"/>
                    <w:tr2bl w:val="nil"/>
                  </w:tcBorders>
                  <w:noWrap w:val="0"/>
                  <w:vAlign w:val="center"/>
                </w:tcPr>
                <w:p w14:paraId="30CAB2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20t</w:t>
                  </w:r>
                </w:p>
              </w:tc>
              <w:tc>
                <w:tcPr>
                  <w:tcW w:w="1580" w:type="dxa"/>
                  <w:tcBorders>
                    <w:tl2br w:val="nil"/>
                    <w:tr2bl w:val="nil"/>
                  </w:tcBorders>
                  <w:noWrap w:val="0"/>
                  <w:vAlign w:val="center"/>
                </w:tcPr>
                <w:p w14:paraId="4AC24A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14:paraId="3F0187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储存成品油</w:t>
                  </w:r>
                </w:p>
              </w:tc>
            </w:tr>
            <w:tr w14:paraId="37042C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09D9A4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2445" w:type="dxa"/>
                  <w:tcBorders>
                    <w:tl2br w:val="nil"/>
                    <w:tr2bl w:val="nil"/>
                  </w:tcBorders>
                  <w:noWrap w:val="0"/>
                  <w:vAlign w:val="center"/>
                </w:tcPr>
                <w:p w14:paraId="1FEAF5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导热油炉</w:t>
                  </w:r>
                </w:p>
              </w:tc>
              <w:tc>
                <w:tcPr>
                  <w:tcW w:w="2014" w:type="dxa"/>
                  <w:tcBorders>
                    <w:tl2br w:val="nil"/>
                    <w:tr2bl w:val="nil"/>
                  </w:tcBorders>
                  <w:noWrap w:val="0"/>
                  <w:vAlign w:val="center"/>
                </w:tcPr>
                <w:p w14:paraId="520196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580" w:type="dxa"/>
                  <w:tcBorders>
                    <w:tl2br w:val="nil"/>
                    <w:tr2bl w:val="nil"/>
                  </w:tcBorders>
                  <w:noWrap w:val="0"/>
                  <w:vAlign w:val="center"/>
                </w:tcPr>
                <w:p w14:paraId="2CBD21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3D414E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熔炼</w:t>
                  </w:r>
                </w:p>
              </w:tc>
            </w:tr>
            <w:tr w14:paraId="03516E9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19E3A5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2445" w:type="dxa"/>
                  <w:tcBorders>
                    <w:tl2br w:val="nil"/>
                    <w:tr2bl w:val="nil"/>
                  </w:tcBorders>
                  <w:noWrap w:val="0"/>
                  <w:vAlign w:val="top"/>
                </w:tcPr>
                <w:p w14:paraId="150C90E5">
                  <w:pPr>
                    <w:spacing w:before="69" w:line="220" w:lineRule="auto"/>
                    <w:jc w:val="center"/>
                    <w:rPr>
                      <w:rFonts w:hint="eastAsia" w:ascii="Times New Roman" w:hAnsi="Times New Roman" w:eastAsia="宋体" w:cs="Times New Roman"/>
                      <w:color w:val="auto"/>
                      <w:sz w:val="21"/>
                      <w:szCs w:val="21"/>
                      <w:u w:val="none" w:color="auto"/>
                      <w:lang w:val="en-US" w:eastAsia="zh-CN"/>
                    </w:rPr>
                  </w:pPr>
                  <w:r>
                    <w:rPr>
                      <w:rFonts w:hint="eastAsia" w:ascii="宋体" w:hAnsi="宋体" w:cs="宋体"/>
                      <w:color w:val="auto"/>
                      <w:spacing w:val="-2"/>
                      <w:szCs w:val="21"/>
                      <w:lang w:eastAsia="zh-CN"/>
                    </w:rPr>
                    <w:t>油气</w:t>
                  </w:r>
                  <w:r>
                    <w:rPr>
                      <w:rFonts w:ascii="宋体" w:hAnsi="宋体" w:cs="宋体"/>
                      <w:color w:val="auto"/>
                      <w:spacing w:val="-1"/>
                      <w:szCs w:val="21"/>
                    </w:rPr>
                    <w:t>分离器机组</w:t>
                  </w:r>
                </w:p>
              </w:tc>
              <w:tc>
                <w:tcPr>
                  <w:tcW w:w="2014" w:type="dxa"/>
                  <w:tcBorders>
                    <w:tl2br w:val="nil"/>
                    <w:tr2bl w:val="nil"/>
                  </w:tcBorders>
                  <w:noWrap w:val="0"/>
                  <w:vAlign w:val="top"/>
                </w:tcPr>
                <w:p w14:paraId="45759C36">
                  <w:pPr>
                    <w:jc w:val="center"/>
                    <w:rPr>
                      <w:rFonts w:hint="eastAsia" w:cs="Times New Roman"/>
                      <w:color w:val="auto"/>
                      <w:sz w:val="21"/>
                      <w:szCs w:val="21"/>
                      <w:highlight w:val="none"/>
                      <w:lang w:val="en-US" w:eastAsia="zh-CN"/>
                    </w:rPr>
                  </w:pPr>
                  <w:r>
                    <w:rPr>
                      <w:color w:val="auto"/>
                      <w:szCs w:val="21"/>
                    </w:rPr>
                    <w:t>FLQ100-80</w:t>
                  </w:r>
                </w:p>
              </w:tc>
              <w:tc>
                <w:tcPr>
                  <w:tcW w:w="1580" w:type="dxa"/>
                  <w:tcBorders>
                    <w:tl2br w:val="nil"/>
                    <w:tr2bl w:val="nil"/>
                  </w:tcBorders>
                  <w:noWrap w:val="0"/>
                  <w:vAlign w:val="top"/>
                </w:tcPr>
                <w:p w14:paraId="6F3146E3">
                  <w:pPr>
                    <w:jc w:val="center"/>
                    <w:rPr>
                      <w:rFonts w:hint="eastAsia"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7F11E8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9F48F2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0059F7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2445" w:type="dxa"/>
                  <w:tcBorders>
                    <w:tl2br w:val="nil"/>
                    <w:tr2bl w:val="nil"/>
                  </w:tcBorders>
                  <w:noWrap w:val="0"/>
                  <w:vAlign w:val="top"/>
                </w:tcPr>
                <w:p w14:paraId="0FFF9C77">
                  <w:pPr>
                    <w:spacing w:before="68" w:line="220" w:lineRule="auto"/>
                    <w:jc w:val="center"/>
                    <w:rPr>
                      <w:rFonts w:hint="eastAsia" w:ascii="Times New Roman" w:hAnsi="Times New Roman" w:eastAsia="宋体" w:cs="Times New Roman"/>
                      <w:color w:val="auto"/>
                      <w:sz w:val="21"/>
                      <w:szCs w:val="21"/>
                      <w:u w:val="none" w:color="auto"/>
                      <w:lang w:val="en-US" w:eastAsia="zh-CN"/>
                    </w:rPr>
                  </w:pPr>
                  <w:r>
                    <w:rPr>
                      <w:rFonts w:ascii="宋体" w:hAnsi="宋体" w:cs="宋体"/>
                      <w:color w:val="auto"/>
                      <w:spacing w:val="-2"/>
                      <w:szCs w:val="21"/>
                    </w:rPr>
                    <w:t>列</w:t>
                  </w:r>
                  <w:r>
                    <w:rPr>
                      <w:rFonts w:ascii="宋体" w:hAnsi="宋体" w:cs="宋体"/>
                      <w:color w:val="auto"/>
                      <w:spacing w:val="-1"/>
                      <w:szCs w:val="21"/>
                    </w:rPr>
                    <w:t>管冷凝器机组</w:t>
                  </w:r>
                </w:p>
              </w:tc>
              <w:tc>
                <w:tcPr>
                  <w:tcW w:w="2014" w:type="dxa"/>
                  <w:tcBorders>
                    <w:tl2br w:val="nil"/>
                    <w:tr2bl w:val="nil"/>
                  </w:tcBorders>
                  <w:noWrap w:val="0"/>
                  <w:vAlign w:val="top"/>
                </w:tcPr>
                <w:p w14:paraId="54435260">
                  <w:pPr>
                    <w:jc w:val="center"/>
                    <w:rPr>
                      <w:rFonts w:hint="eastAsia" w:cs="Times New Roman"/>
                      <w:color w:val="auto"/>
                      <w:sz w:val="21"/>
                      <w:szCs w:val="21"/>
                      <w:highlight w:val="none"/>
                      <w:lang w:val="en-US" w:eastAsia="zh-CN"/>
                    </w:rPr>
                  </w:pPr>
                  <w:r>
                    <w:rPr>
                      <w:color w:val="auto"/>
                      <w:szCs w:val="21"/>
                    </w:rPr>
                    <w:t>LNL100-80</w:t>
                  </w:r>
                </w:p>
              </w:tc>
              <w:tc>
                <w:tcPr>
                  <w:tcW w:w="1580" w:type="dxa"/>
                  <w:tcBorders>
                    <w:tl2br w:val="nil"/>
                    <w:tr2bl w:val="nil"/>
                  </w:tcBorders>
                  <w:noWrap w:val="0"/>
                  <w:vAlign w:val="top"/>
                </w:tcPr>
                <w:p w14:paraId="5F0BA67A">
                  <w:pPr>
                    <w:jc w:val="center"/>
                    <w:rPr>
                      <w:rFonts w:hint="eastAsia" w:cs="Times New Roman"/>
                      <w:color w:val="auto"/>
                      <w:sz w:val="21"/>
                      <w:szCs w:val="21"/>
                      <w:highlight w:val="none"/>
                      <w:lang w:val="en-US" w:eastAsia="zh-CN"/>
                    </w:rPr>
                  </w:pPr>
                  <w:r>
                    <w:rPr>
                      <w:color w:val="auto"/>
                      <w:szCs w:val="21"/>
                    </w:rPr>
                    <w:t>1</w:t>
                  </w:r>
                </w:p>
              </w:tc>
              <w:tc>
                <w:tcPr>
                  <w:tcW w:w="1969" w:type="dxa"/>
                  <w:tcBorders>
                    <w:tl2br w:val="nil"/>
                    <w:tr2bl w:val="nil"/>
                  </w:tcBorders>
                  <w:noWrap w:val="0"/>
                  <w:vAlign w:val="center"/>
                </w:tcPr>
                <w:p w14:paraId="6A6CE2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93A0C7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79" w:type="dxa"/>
                  <w:gridSpan w:val="5"/>
                  <w:tcBorders>
                    <w:tl2br w:val="nil"/>
                    <w:tr2bl w:val="nil"/>
                  </w:tcBorders>
                  <w:noWrap w:val="0"/>
                  <w:vAlign w:val="center"/>
                </w:tcPr>
                <w:p w14:paraId="6ABC8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四</w:t>
                  </w:r>
                  <w:r>
                    <w:rPr>
                      <w:rFonts w:hint="default" w:ascii="Times New Roman" w:hAnsi="Times New Roman" w:eastAsia="宋体" w:cs="Times New Roman"/>
                      <w:b/>
                      <w:bCs/>
                      <w:color w:val="auto"/>
                      <w:sz w:val="21"/>
                      <w:szCs w:val="21"/>
                      <w:highlight w:val="none"/>
                      <w:lang w:val="en-US" w:eastAsia="zh-CN"/>
                    </w:rPr>
                    <w:t>、其它设备</w:t>
                  </w:r>
                </w:p>
              </w:tc>
            </w:tr>
            <w:tr w14:paraId="6E57277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5E8B7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45" w:type="dxa"/>
                  <w:tcBorders>
                    <w:tl2br w:val="nil"/>
                    <w:tr2bl w:val="nil"/>
                  </w:tcBorders>
                  <w:noWrap w:val="0"/>
                  <w:vAlign w:val="top"/>
                </w:tcPr>
                <w:p w14:paraId="2E60C0E2">
                  <w:pPr>
                    <w:spacing w:before="30" w:line="229" w:lineRule="auto"/>
                    <w:ind w:left="110" w:leftChars="0" w:right="58" w:rightChars="0" w:firstLine="19"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锅炉</w:t>
                  </w:r>
                </w:p>
              </w:tc>
              <w:tc>
                <w:tcPr>
                  <w:tcW w:w="2014" w:type="dxa"/>
                  <w:tcBorders>
                    <w:tl2br w:val="nil"/>
                    <w:tr2bl w:val="nil"/>
                  </w:tcBorders>
                  <w:noWrap w:val="0"/>
                  <w:vAlign w:val="top"/>
                </w:tcPr>
                <w:p w14:paraId="001EE4B7">
                  <w:pPr>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lang w:val="en-US" w:eastAsia="zh-CN"/>
                    </w:rPr>
                    <w:t>3t/h</w:t>
                  </w:r>
                </w:p>
              </w:tc>
              <w:tc>
                <w:tcPr>
                  <w:tcW w:w="1580" w:type="dxa"/>
                  <w:tcBorders>
                    <w:tl2br w:val="nil"/>
                    <w:tr2bl w:val="nil"/>
                  </w:tcBorders>
                  <w:noWrap w:val="0"/>
                  <w:vAlign w:val="center"/>
                </w:tcPr>
                <w:p w14:paraId="215A2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p>
              </w:tc>
              <w:tc>
                <w:tcPr>
                  <w:tcW w:w="1969" w:type="dxa"/>
                  <w:tcBorders>
                    <w:tl2br w:val="nil"/>
                    <w:tr2bl w:val="nil"/>
                  </w:tcBorders>
                  <w:noWrap w:val="0"/>
                  <w:vAlign w:val="center"/>
                </w:tcPr>
                <w:p w14:paraId="6E91DD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提供热量</w:t>
                  </w:r>
                </w:p>
              </w:tc>
            </w:tr>
            <w:tr w14:paraId="7659E57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14:paraId="456BF6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45" w:type="dxa"/>
                  <w:tcBorders>
                    <w:tl2br w:val="nil"/>
                    <w:tr2bl w:val="nil"/>
                  </w:tcBorders>
                  <w:noWrap w:val="0"/>
                  <w:vAlign w:val="center"/>
                </w:tcPr>
                <w:p w14:paraId="72A601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105" w:firstLine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高温布袋除尘器</w:t>
                  </w:r>
                </w:p>
              </w:tc>
              <w:tc>
                <w:tcPr>
                  <w:tcW w:w="2014" w:type="dxa"/>
                  <w:tcBorders>
                    <w:tl2br w:val="nil"/>
                    <w:tr2bl w:val="nil"/>
                  </w:tcBorders>
                  <w:noWrap w:val="0"/>
                  <w:vAlign w:val="center"/>
                </w:tcPr>
                <w:p w14:paraId="3223AC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配套</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17450.3649</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p>
              </w:tc>
              <w:tc>
                <w:tcPr>
                  <w:tcW w:w="1580" w:type="dxa"/>
                  <w:tcBorders>
                    <w:tl2br w:val="nil"/>
                    <w:tr2bl w:val="nil"/>
                  </w:tcBorders>
                  <w:noWrap w:val="0"/>
                  <w:vAlign w:val="center"/>
                </w:tcPr>
                <w:p w14:paraId="61EA26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69" w:type="dxa"/>
                  <w:tcBorders>
                    <w:tl2br w:val="nil"/>
                    <w:tr2bl w:val="nil"/>
                  </w:tcBorders>
                  <w:noWrap w:val="0"/>
                  <w:vAlign w:val="center"/>
                </w:tcPr>
                <w:p w14:paraId="0A79DD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生物质燃烧</w:t>
                  </w:r>
                  <w:r>
                    <w:rPr>
                      <w:rFonts w:hint="default" w:ascii="Times New Roman" w:hAnsi="Times New Roman" w:eastAsia="宋体" w:cs="Times New Roman"/>
                      <w:color w:val="auto"/>
                      <w:sz w:val="21"/>
                      <w:szCs w:val="21"/>
                      <w:highlight w:val="none"/>
                      <w:lang w:val="en-US" w:eastAsia="zh-CN"/>
                    </w:rPr>
                    <w:t>废气除尘处理</w:t>
                  </w:r>
                </w:p>
              </w:tc>
            </w:tr>
            <w:tr w14:paraId="34583AC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14:paraId="1C18F4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45" w:type="dxa"/>
                  <w:tcBorders>
                    <w:tl2br w:val="nil"/>
                    <w:tr2bl w:val="nil"/>
                  </w:tcBorders>
                  <w:noWrap w:val="0"/>
                  <w:vAlign w:val="center"/>
                </w:tcPr>
                <w:p w14:paraId="76EAE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105" w:firstLine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p>
              </w:tc>
              <w:tc>
                <w:tcPr>
                  <w:tcW w:w="2014" w:type="dxa"/>
                  <w:tcBorders>
                    <w:tl2br w:val="nil"/>
                    <w:tr2bl w:val="nil"/>
                  </w:tcBorders>
                  <w:noWrap w:val="0"/>
                  <w:vAlign w:val="center"/>
                </w:tcPr>
                <w:p w14:paraId="3160A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lang w:val="en-US" w:eastAsia="zh-CN"/>
                    </w:rPr>
                    <w:t>配套</w:t>
                  </w:r>
                  <w:r>
                    <w:rPr>
                      <w:rFonts w:hint="default" w:ascii="Times New Roman" w:hAnsi="Times New Roman" w:eastAsia="宋体" w:cs="Times New Roman"/>
                      <w:color w:val="auto"/>
                      <w:sz w:val="21"/>
                      <w:szCs w:val="21"/>
                      <w:highlight w:val="none"/>
                    </w:rPr>
                    <w:t>风量</w:t>
                  </w:r>
                  <w:r>
                    <w:rPr>
                      <w:rFonts w:hint="eastAsia" w:ascii="Times New Roman" w:hAnsi="Times New Roman" w:eastAsia="宋体" w:cs="Times New Roman"/>
                      <w:color w:val="auto"/>
                      <w:sz w:val="21"/>
                      <w:szCs w:val="21"/>
                      <w:highlight w:val="none"/>
                      <w:lang w:val="en-US" w:eastAsia="zh-CN"/>
                    </w:rPr>
                    <w:t>30000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和20000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h</w:t>
                  </w:r>
                </w:p>
              </w:tc>
              <w:tc>
                <w:tcPr>
                  <w:tcW w:w="1580" w:type="dxa"/>
                  <w:tcBorders>
                    <w:tl2br w:val="nil"/>
                    <w:tr2bl w:val="nil"/>
                  </w:tcBorders>
                  <w:noWrap w:val="0"/>
                  <w:vAlign w:val="center"/>
                </w:tcPr>
                <w:p w14:paraId="1D8A9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969" w:type="dxa"/>
                  <w:tcBorders>
                    <w:tl2br w:val="nil"/>
                    <w:tr2bl w:val="nil"/>
                  </w:tcBorders>
                  <w:noWrap w:val="0"/>
                  <w:vAlign w:val="center"/>
                </w:tcPr>
                <w:p w14:paraId="2C998A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熔炼废气处理</w:t>
                  </w:r>
                </w:p>
              </w:tc>
            </w:tr>
            <w:tr w14:paraId="6EE8279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14:paraId="191D95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445" w:type="dxa"/>
                  <w:tcBorders>
                    <w:tl2br w:val="nil"/>
                    <w:tr2bl w:val="nil"/>
                  </w:tcBorders>
                  <w:noWrap w:val="0"/>
                  <w:vAlign w:val="center"/>
                </w:tcPr>
                <w:p w14:paraId="678640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105" w:firstLineChars="50"/>
                    <w:jc w:val="center"/>
                    <w:textAlignment w:val="auto"/>
                    <w:outlineLvl w:val="9"/>
                    <w:rPr>
                      <w:rFonts w:hint="eastAsia" w:eastAsia="宋体"/>
                      <w:color w:val="auto"/>
                      <w:szCs w:val="21"/>
                      <w:lang w:eastAsia="zh-CN"/>
                    </w:rPr>
                  </w:pPr>
                  <w:r>
                    <w:rPr>
                      <w:rFonts w:hint="eastAsia"/>
                      <w:color w:val="auto"/>
                      <w:szCs w:val="21"/>
                      <w:lang w:eastAsia="zh-CN"/>
                    </w:rPr>
                    <w:t>污水处理站</w:t>
                  </w:r>
                </w:p>
              </w:tc>
              <w:tc>
                <w:tcPr>
                  <w:tcW w:w="2014" w:type="dxa"/>
                  <w:tcBorders>
                    <w:tl2br w:val="nil"/>
                    <w:tr2bl w:val="nil"/>
                  </w:tcBorders>
                  <w:noWrap w:val="0"/>
                  <w:vAlign w:val="center"/>
                </w:tcPr>
                <w:p w14:paraId="6F5AB8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w:t>
                  </w:r>
                </w:p>
              </w:tc>
              <w:tc>
                <w:tcPr>
                  <w:tcW w:w="1580" w:type="dxa"/>
                  <w:tcBorders>
                    <w:tl2br w:val="nil"/>
                    <w:tr2bl w:val="nil"/>
                  </w:tcBorders>
                  <w:noWrap w:val="0"/>
                  <w:vAlign w:val="center"/>
                </w:tcPr>
                <w:p w14:paraId="219D45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969" w:type="dxa"/>
                  <w:tcBorders>
                    <w:tl2br w:val="nil"/>
                    <w:tr2bl w:val="nil"/>
                  </w:tcBorders>
                  <w:noWrap w:val="0"/>
                  <w:vAlign w:val="center"/>
                </w:tcPr>
                <w:p w14:paraId="3E8F4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污水处理</w:t>
                  </w:r>
                </w:p>
              </w:tc>
            </w:tr>
            <w:tr w14:paraId="1595DEC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dxa"/>
                  <w:tcBorders>
                    <w:tl2br w:val="nil"/>
                    <w:tr2bl w:val="nil"/>
                  </w:tcBorders>
                  <w:noWrap w:val="0"/>
                  <w:vAlign w:val="center"/>
                </w:tcPr>
                <w:p w14:paraId="1F90B0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445" w:type="dxa"/>
                  <w:tcBorders>
                    <w:tl2br w:val="nil"/>
                    <w:tr2bl w:val="nil"/>
                  </w:tcBorders>
                  <w:noWrap w:val="0"/>
                  <w:vAlign w:val="center"/>
                </w:tcPr>
                <w:p w14:paraId="1C2EEB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各类泵</w:t>
                  </w:r>
                </w:p>
              </w:tc>
              <w:tc>
                <w:tcPr>
                  <w:tcW w:w="2014" w:type="dxa"/>
                  <w:tcBorders>
                    <w:tl2br w:val="nil"/>
                    <w:tr2bl w:val="nil"/>
                  </w:tcBorders>
                  <w:noWrap w:val="0"/>
                  <w:vAlign w:val="center"/>
                </w:tcPr>
                <w:p w14:paraId="6CEA6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14:paraId="24DC83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69" w:type="dxa"/>
                  <w:tcBorders>
                    <w:tl2br w:val="nil"/>
                    <w:tr2bl w:val="nil"/>
                  </w:tcBorders>
                  <w:noWrap w:val="0"/>
                  <w:vAlign w:val="center"/>
                </w:tcPr>
                <w:p w14:paraId="7B61E0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FFB629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1" w:type="dxa"/>
                  <w:tcBorders>
                    <w:tl2br w:val="nil"/>
                    <w:tr2bl w:val="nil"/>
                  </w:tcBorders>
                  <w:noWrap w:val="0"/>
                  <w:vAlign w:val="center"/>
                </w:tcPr>
                <w:p w14:paraId="0FB0F7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445" w:type="dxa"/>
                  <w:tcBorders>
                    <w:tl2br w:val="nil"/>
                    <w:tr2bl w:val="nil"/>
                  </w:tcBorders>
                  <w:noWrap w:val="0"/>
                  <w:vAlign w:val="center"/>
                </w:tcPr>
                <w:p w14:paraId="16644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风机</w:t>
                  </w:r>
                </w:p>
              </w:tc>
              <w:tc>
                <w:tcPr>
                  <w:tcW w:w="2014" w:type="dxa"/>
                  <w:tcBorders>
                    <w:tl2br w:val="nil"/>
                    <w:tr2bl w:val="nil"/>
                  </w:tcBorders>
                  <w:noWrap w:val="0"/>
                  <w:vAlign w:val="center"/>
                </w:tcPr>
                <w:p w14:paraId="10B157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0" w:type="dxa"/>
                  <w:tcBorders>
                    <w:tl2br w:val="nil"/>
                    <w:tr2bl w:val="nil"/>
                  </w:tcBorders>
                  <w:noWrap w:val="0"/>
                  <w:vAlign w:val="center"/>
                </w:tcPr>
                <w:p w14:paraId="080236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969" w:type="dxa"/>
                  <w:tcBorders>
                    <w:tl2br w:val="nil"/>
                    <w:tr2bl w:val="nil"/>
                  </w:tcBorders>
                  <w:noWrap w:val="0"/>
                  <w:vAlign w:val="center"/>
                </w:tcPr>
                <w:p w14:paraId="3FFCD3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bookmarkEnd w:id="17"/>
          </w:tbl>
          <w:p w14:paraId="0A7CF1A6">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7、劳动定员及工作制度</w:t>
            </w:r>
          </w:p>
          <w:p w14:paraId="663DBFEA">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人，生产职工</w:t>
            </w:r>
            <w:r>
              <w:rPr>
                <w:rFonts w:hint="eastAsia"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人，项目区设有食堂及宿舍，职工均在厂区食宿。</w:t>
            </w:r>
          </w:p>
          <w:p w14:paraId="1162668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b w:val="0"/>
                <w:bCs w:val="0"/>
                <w:color w:val="auto"/>
                <w:sz w:val="24"/>
                <w:szCs w:val="24"/>
                <w:highlight w:val="none"/>
                <w:lang w:val="en-US" w:eastAsia="zh-CN"/>
              </w:rPr>
              <w:t>本项目</w:t>
            </w:r>
            <w:r>
              <w:rPr>
                <w:rFonts w:hint="eastAsia"/>
                <w:color w:val="auto"/>
                <w:sz w:val="24"/>
              </w:rPr>
              <w:t>全年生产运行</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天，实行一班制，每班工作8小时，夜间不生产。年总生产时间为</w:t>
            </w:r>
            <w:r>
              <w:rPr>
                <w:rFonts w:hint="eastAsia" w:cs="Times New Roman"/>
                <w:color w:val="auto"/>
                <w:sz w:val="24"/>
                <w:szCs w:val="24"/>
                <w:highlight w:val="none"/>
                <w:lang w:val="en-US" w:eastAsia="zh-CN"/>
              </w:rPr>
              <w:t>2400</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bidi="en-US"/>
              </w:rPr>
              <w:t>。</w:t>
            </w:r>
          </w:p>
          <w:p w14:paraId="19F41357">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8、施工进度</w:t>
            </w:r>
          </w:p>
          <w:p w14:paraId="19008C1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14:paraId="5F9CC63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eastAsia="zh-CN"/>
              </w:rPr>
              <w:t>开工建设</w:t>
            </w:r>
            <w:r>
              <w:rPr>
                <w:rFonts w:hint="default" w:ascii="Times New Roman" w:hAnsi="Times New Roman" w:eastAsia="宋体" w:cs="Times New Roman"/>
                <w:color w:val="auto"/>
                <w:sz w:val="24"/>
                <w:highlight w:val="none"/>
              </w:rPr>
              <w:t>，于202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01</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eastAsia" w:cs="Times New Roman"/>
                <w:color w:val="auto"/>
                <w:sz w:val="24"/>
                <w:highlight w:val="none"/>
                <w:lang w:val="en-US" w:eastAsia="zh-CN"/>
              </w:rPr>
              <w:t>23</w:t>
            </w:r>
            <w:r>
              <w:rPr>
                <w:rFonts w:hint="default" w:ascii="Times New Roman" w:hAnsi="Times New Roman" w:eastAsia="宋体" w:cs="Times New Roman"/>
                <w:color w:val="auto"/>
                <w:sz w:val="24"/>
                <w:highlight w:val="none"/>
                <w:lang w:val="en-US" w:eastAsia="zh-CN"/>
              </w:rPr>
              <w:t>个月</w:t>
            </w:r>
            <w:r>
              <w:rPr>
                <w:rFonts w:hint="default" w:ascii="Times New Roman" w:hAnsi="Times New Roman" w:eastAsia="宋体" w:cs="Times New Roman"/>
                <w:color w:val="auto"/>
                <w:sz w:val="24"/>
                <w:highlight w:val="none"/>
              </w:rPr>
              <w:t>。</w:t>
            </w:r>
          </w:p>
          <w:p w14:paraId="54D96DB9">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9、环保投资</w:t>
            </w:r>
          </w:p>
          <w:p w14:paraId="7C684C97">
            <w:pP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eastAsia" w:cs="Times New Roman"/>
                <w:color w:val="auto"/>
                <w:sz w:val="24"/>
                <w:highlight w:val="none"/>
                <w:lang w:val="en-US" w:eastAsia="zh-CN"/>
              </w:rPr>
              <w:t>15728.2</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eastAsia" w:cs="Times New Roman"/>
                <w:color w:val="auto"/>
                <w:sz w:val="24"/>
                <w:highlight w:val="none"/>
                <w:lang w:val="en-US" w:eastAsia="zh-CN"/>
              </w:rPr>
              <w:t>68.1</w:t>
            </w:r>
            <w:r>
              <w:rPr>
                <w:rFonts w:hint="default" w:ascii="Times New Roman" w:hAnsi="Times New Roman" w:eastAsia="宋体" w:cs="Times New Roman"/>
                <w:color w:val="auto"/>
                <w:sz w:val="24"/>
                <w:highlight w:val="none"/>
              </w:rPr>
              <w:t>万元，占总投资的</w:t>
            </w:r>
            <w:r>
              <w:rPr>
                <w:rFonts w:hint="default"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43</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14:paraId="39A6D7E0">
            <w:pPr>
              <w:pStyle w:val="12"/>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rPr>
              <w:t xml:space="preserve">  环保投资概算表   单位：万</w:t>
            </w:r>
          </w:p>
          <w:tbl>
            <w:tblPr>
              <w:tblStyle w:val="26"/>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12"/>
              <w:gridCol w:w="1235"/>
              <w:gridCol w:w="4380"/>
              <w:gridCol w:w="686"/>
              <w:gridCol w:w="786"/>
            </w:tblGrid>
            <w:tr w14:paraId="1312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noWrap w:val="0"/>
                  <w:vAlign w:val="center"/>
                </w:tcPr>
                <w:p w14:paraId="06353198">
                  <w:pPr>
                    <w:pStyle w:val="6"/>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1212" w:type="dxa"/>
                  <w:noWrap w:val="0"/>
                  <w:vAlign w:val="center"/>
                </w:tcPr>
                <w:p w14:paraId="769B50AD">
                  <w:pPr>
                    <w:adjustRightInd w:val="0"/>
                    <w:snapToGrid w:val="0"/>
                    <w:jc w:val="center"/>
                    <w:rPr>
                      <w:rFonts w:hint="default" w:ascii="Times New Roman" w:hAnsi="Times New Roman" w:eastAsia="宋体" w:cs="Times New Roman"/>
                      <w:b/>
                      <w:color w:val="auto"/>
                      <w:sz w:val="21"/>
                      <w:szCs w:val="21"/>
                      <w:highlight w:val="none"/>
                    </w:rPr>
                  </w:pPr>
                  <w:r>
                    <w:rPr>
                      <w:rFonts w:hint="eastAsia"/>
                      <w:b/>
                      <w:bCs/>
                      <w:color w:val="auto"/>
                    </w:rPr>
                    <w:t>时段</w:t>
                  </w:r>
                </w:p>
              </w:tc>
              <w:tc>
                <w:tcPr>
                  <w:tcW w:w="1235" w:type="dxa"/>
                  <w:noWrap w:val="0"/>
                  <w:vAlign w:val="center"/>
                </w:tcPr>
                <w:p w14:paraId="31653054">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4380" w:type="dxa"/>
                  <w:noWrap w:val="0"/>
                  <w:vAlign w:val="center"/>
                </w:tcPr>
                <w:p w14:paraId="3F352D8A">
                  <w:pPr>
                    <w:pStyle w:val="6"/>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686" w:type="dxa"/>
                  <w:noWrap w:val="0"/>
                  <w:vAlign w:val="center"/>
                </w:tcPr>
                <w:p w14:paraId="5739F900">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786" w:type="dxa"/>
                  <w:noWrap w:val="0"/>
                  <w:vAlign w:val="center"/>
                </w:tcPr>
                <w:p w14:paraId="1E37D13D">
                  <w:pPr>
                    <w:pStyle w:val="6"/>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r>
            <w:tr w14:paraId="321B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7" w:type="dxa"/>
                  <w:vMerge w:val="restart"/>
                  <w:noWrap w:val="0"/>
                  <w:vAlign w:val="center"/>
                </w:tcPr>
                <w:p w14:paraId="06E6C8DA">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1212" w:type="dxa"/>
                  <w:vMerge w:val="restart"/>
                  <w:noWrap w:val="0"/>
                  <w:vAlign w:val="center"/>
                </w:tcPr>
                <w:p w14:paraId="6367887E">
                  <w:pPr>
                    <w:adjustRightInd w:val="0"/>
                    <w:snapToGrid w:val="0"/>
                    <w:jc w:val="center"/>
                    <w:rPr>
                      <w:rFonts w:hint="eastAsia" w:ascii="Times New Roman" w:hAnsi="Times New Roman" w:eastAsia="宋体" w:cs="Times New Roman"/>
                      <w:color w:val="auto"/>
                      <w:sz w:val="21"/>
                      <w:szCs w:val="21"/>
                      <w:highlight w:val="none"/>
                      <w:lang w:val="en-US" w:eastAsia="zh-CN"/>
                    </w:rPr>
                  </w:pPr>
                  <w:r>
                    <w:rPr>
                      <w:color w:val="auto"/>
                    </w:rPr>
                    <w:t>施工期</w:t>
                  </w:r>
                </w:p>
              </w:tc>
              <w:tc>
                <w:tcPr>
                  <w:tcW w:w="1235" w:type="dxa"/>
                  <w:vMerge w:val="restart"/>
                  <w:noWrap w:val="0"/>
                  <w:vAlign w:val="center"/>
                </w:tcPr>
                <w:p w14:paraId="4F764620">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施工粉尘</w:t>
                  </w:r>
                </w:p>
              </w:tc>
              <w:tc>
                <w:tcPr>
                  <w:tcW w:w="4380" w:type="dxa"/>
                  <w:noWrap w:val="0"/>
                  <w:vAlign w:val="center"/>
                </w:tcPr>
                <w:p w14:paraId="2CF9D2E3">
                  <w:pPr>
                    <w:adjustRightInd w:val="0"/>
                    <w:snapToGrid w:val="0"/>
                    <w:jc w:val="center"/>
                    <w:rPr>
                      <w:rFonts w:hint="default" w:ascii="Times New Roman" w:hAnsi="Times New Roman" w:eastAsia="宋体" w:cs="Times New Roman"/>
                      <w:color w:val="auto"/>
                      <w:sz w:val="21"/>
                      <w:szCs w:val="21"/>
                      <w:highlight w:val="none"/>
                      <w:lang w:val="en-US" w:eastAsia="zh-CN"/>
                    </w:rPr>
                  </w:pPr>
                  <w:r>
                    <w:rPr>
                      <w:color w:val="auto"/>
                    </w:rPr>
                    <w:t>洒水降尘</w:t>
                  </w:r>
                </w:p>
              </w:tc>
              <w:tc>
                <w:tcPr>
                  <w:tcW w:w="686" w:type="dxa"/>
                  <w:noWrap w:val="0"/>
                  <w:vAlign w:val="center"/>
                </w:tcPr>
                <w:p w14:paraId="735A44E0">
                  <w:pPr>
                    <w:adjustRightInd w:val="0"/>
                    <w:snapToGrid w:val="0"/>
                    <w:jc w:val="center"/>
                    <w:rPr>
                      <w:rFonts w:hint="eastAsia" w:ascii="Times New Roman" w:hAnsi="Times New Roman" w:eastAsia="宋体" w:cs="Times New Roman"/>
                      <w:b w:val="0"/>
                      <w:bCs/>
                      <w:color w:val="auto"/>
                      <w:sz w:val="21"/>
                      <w:szCs w:val="21"/>
                      <w:highlight w:val="none"/>
                      <w:lang w:val="en-US" w:eastAsia="zh-CN"/>
                    </w:rPr>
                  </w:pPr>
                  <w:r>
                    <w:rPr>
                      <w:rFonts w:hint="eastAsia"/>
                      <w:color w:val="auto"/>
                      <w:lang w:val="en-US" w:eastAsia="zh-CN"/>
                    </w:rPr>
                    <w:t>/</w:t>
                  </w:r>
                </w:p>
              </w:tc>
              <w:tc>
                <w:tcPr>
                  <w:tcW w:w="786" w:type="dxa"/>
                  <w:noWrap w:val="0"/>
                  <w:vAlign w:val="center"/>
                </w:tcPr>
                <w:p w14:paraId="78C8D86E">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color w:val="auto"/>
                    </w:rPr>
                    <w:t>0.5</w:t>
                  </w:r>
                </w:p>
              </w:tc>
            </w:tr>
            <w:tr w14:paraId="4B68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27" w:type="dxa"/>
                  <w:vMerge w:val="continue"/>
                  <w:noWrap w:val="0"/>
                  <w:vAlign w:val="center"/>
                </w:tcPr>
                <w:p w14:paraId="110359F2">
                  <w:pPr>
                    <w:spacing w:line="240" w:lineRule="auto"/>
                    <w:ind w:firstLine="0" w:firstLineChars="0"/>
                    <w:jc w:val="center"/>
                    <w:rPr>
                      <w:color w:val="auto"/>
                    </w:rPr>
                  </w:pPr>
                </w:p>
              </w:tc>
              <w:tc>
                <w:tcPr>
                  <w:tcW w:w="1212" w:type="dxa"/>
                  <w:vMerge w:val="continue"/>
                  <w:noWrap w:val="0"/>
                  <w:vAlign w:val="center"/>
                </w:tcPr>
                <w:p w14:paraId="361881C0">
                  <w:pPr>
                    <w:spacing w:line="240" w:lineRule="auto"/>
                    <w:ind w:firstLine="0" w:firstLineChars="0"/>
                    <w:jc w:val="center"/>
                    <w:rPr>
                      <w:color w:val="auto"/>
                    </w:rPr>
                  </w:pPr>
                </w:p>
              </w:tc>
              <w:tc>
                <w:tcPr>
                  <w:tcW w:w="1235" w:type="dxa"/>
                  <w:vMerge w:val="continue"/>
                  <w:noWrap w:val="0"/>
                  <w:vAlign w:val="center"/>
                </w:tcPr>
                <w:p w14:paraId="534096E0">
                  <w:pPr>
                    <w:spacing w:line="240" w:lineRule="auto"/>
                    <w:ind w:firstLine="0" w:firstLineChars="0"/>
                    <w:jc w:val="center"/>
                    <w:rPr>
                      <w:color w:val="auto"/>
                    </w:rPr>
                  </w:pPr>
                </w:p>
              </w:tc>
              <w:tc>
                <w:tcPr>
                  <w:tcW w:w="4380" w:type="dxa"/>
                  <w:noWrap w:val="0"/>
                  <w:vAlign w:val="center"/>
                </w:tcPr>
                <w:p w14:paraId="4F70129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rPr>
                    <w:t>土工布遮盖</w:t>
                  </w:r>
                </w:p>
              </w:tc>
              <w:tc>
                <w:tcPr>
                  <w:tcW w:w="686" w:type="dxa"/>
                  <w:noWrap w:val="0"/>
                  <w:vAlign w:val="center"/>
                </w:tcPr>
                <w:p w14:paraId="1635A6ED">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olor w:val="auto"/>
                      <w:lang w:val="en-US" w:eastAsia="zh-CN"/>
                    </w:rPr>
                    <w:t>/</w:t>
                  </w:r>
                </w:p>
              </w:tc>
              <w:tc>
                <w:tcPr>
                  <w:tcW w:w="786" w:type="dxa"/>
                  <w:noWrap w:val="0"/>
                  <w:vAlign w:val="center"/>
                </w:tcPr>
                <w:p w14:paraId="58495B4F">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rPr>
                    <w:t>1.0</w:t>
                  </w:r>
                </w:p>
              </w:tc>
            </w:tr>
            <w:tr w14:paraId="6C11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4F45E890">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restart"/>
                  <w:noWrap w:val="0"/>
                  <w:vAlign w:val="center"/>
                </w:tcPr>
                <w:p w14:paraId="7C0716DD">
                  <w:pPr>
                    <w:adjustRightInd w:val="0"/>
                    <w:snapToGrid w:val="0"/>
                    <w:jc w:val="center"/>
                    <w:rPr>
                      <w:rFonts w:hint="eastAsia" w:ascii="Times New Roman" w:hAnsi="Times New Roman" w:eastAsia="宋体" w:cs="Times New Roman"/>
                      <w:color w:val="auto"/>
                      <w:sz w:val="21"/>
                      <w:szCs w:val="21"/>
                      <w:highlight w:val="none"/>
                      <w:lang w:val="en-US" w:eastAsia="zh-CN"/>
                    </w:rPr>
                  </w:pPr>
                  <w:r>
                    <w:rPr>
                      <w:color w:val="auto"/>
                    </w:rPr>
                    <w:t>营运期</w:t>
                  </w:r>
                </w:p>
              </w:tc>
              <w:tc>
                <w:tcPr>
                  <w:tcW w:w="1235" w:type="dxa"/>
                  <w:noWrap w:val="0"/>
                  <w:vAlign w:val="center"/>
                </w:tcPr>
                <w:p w14:paraId="0F9AF6DF">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w:t>
                  </w:r>
                </w:p>
              </w:tc>
              <w:tc>
                <w:tcPr>
                  <w:tcW w:w="4380" w:type="dxa"/>
                  <w:noWrap w:val="0"/>
                  <w:vAlign w:val="center"/>
                </w:tcPr>
                <w:p w14:paraId="6A7870DC">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t/h的生物质锅炉</w:t>
                  </w:r>
                  <w:r>
                    <w:rPr>
                      <w:rFonts w:hint="eastAsia"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和2台导热油炉燃料燃烧废气</w:t>
                  </w:r>
                  <w:r>
                    <w:rPr>
                      <w:rFonts w:hint="default" w:ascii="Times New Roman" w:hAnsi="Times New Roman" w:eastAsia="宋体" w:cs="Times New Roman"/>
                      <w:color w:val="auto"/>
                      <w:sz w:val="21"/>
                      <w:szCs w:val="21"/>
                      <w:highlight w:val="none"/>
                      <w:lang w:val="en-US" w:eastAsia="zh-CN"/>
                    </w:rPr>
                    <w:t>共同经1套“高温布袋除尘器”处理后+1根</w:t>
                  </w: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17450.3649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86" w:type="dxa"/>
                  <w:noWrap w:val="0"/>
                  <w:vAlign w:val="center"/>
                </w:tcPr>
                <w:p w14:paraId="5FC26399">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786" w:type="dxa"/>
                  <w:noWrap w:val="0"/>
                  <w:vAlign w:val="center"/>
                </w:tcPr>
                <w:p w14:paraId="041EA43B">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.5</w:t>
                  </w:r>
                </w:p>
              </w:tc>
            </w:tr>
            <w:tr w14:paraId="6403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31F4B144">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01276266">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1235" w:type="dxa"/>
                  <w:noWrap w:val="0"/>
                  <w:vAlign w:val="center"/>
                </w:tcPr>
                <w:p w14:paraId="069E0C3E">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p>
              </w:tc>
              <w:tc>
                <w:tcPr>
                  <w:tcW w:w="4380" w:type="dxa"/>
                  <w:noWrap w:val="0"/>
                  <w:vAlign w:val="center"/>
                </w:tcPr>
                <w:p w14:paraId="1D10961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经</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DA002</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30000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86" w:type="dxa"/>
                  <w:noWrap w:val="0"/>
                  <w:vAlign w:val="center"/>
                </w:tcPr>
                <w:p w14:paraId="18409E4B">
                  <w:pP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786" w:type="dxa"/>
                  <w:noWrap w:val="0"/>
                  <w:vAlign w:val="center"/>
                </w:tcPr>
                <w:p w14:paraId="6BD85E8C">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r>
            <w:tr w14:paraId="22E2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31D4BBE8">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0043AA01">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1235" w:type="dxa"/>
                  <w:noWrap w:val="0"/>
                  <w:vAlign w:val="center"/>
                </w:tcPr>
                <w:p w14:paraId="594345E1">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p>
              </w:tc>
              <w:tc>
                <w:tcPr>
                  <w:tcW w:w="4380" w:type="dxa"/>
                  <w:noWrap w:val="0"/>
                  <w:vAlign w:val="center"/>
                </w:tcPr>
                <w:p w14:paraId="69BFC97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经</w:t>
                  </w: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DA003</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20000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686" w:type="dxa"/>
                  <w:noWrap w:val="0"/>
                  <w:vAlign w:val="center"/>
                </w:tcPr>
                <w:p w14:paraId="71E2541A">
                  <w:pP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786" w:type="dxa"/>
                  <w:noWrap w:val="0"/>
                  <w:vAlign w:val="center"/>
                </w:tcPr>
                <w:p w14:paraId="3BD975F1">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w:t>
                  </w:r>
                </w:p>
              </w:tc>
            </w:tr>
            <w:tr w14:paraId="2511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0F89F461">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0E868A3D">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1235" w:type="dxa"/>
                  <w:noWrap w:val="0"/>
                  <w:vAlign w:val="center"/>
                </w:tcPr>
                <w:p w14:paraId="0EA25172">
                  <w:pPr>
                    <w:adjustRightInd w:val="0"/>
                    <w:snapToGrid w:val="0"/>
                    <w:jc w:val="center"/>
                    <w:rPr>
                      <w:rFonts w:hint="eastAsia"/>
                      <w:bCs/>
                      <w:color w:val="auto"/>
                      <w:spacing w:val="-10"/>
                      <w:szCs w:val="21"/>
                      <w:lang w:eastAsia="zh-CN"/>
                    </w:rPr>
                  </w:pPr>
                  <w:r>
                    <w:rPr>
                      <w:rFonts w:hint="eastAsia"/>
                      <w:bCs/>
                      <w:color w:val="auto"/>
                      <w:spacing w:val="-10"/>
                      <w:szCs w:val="21"/>
                    </w:rPr>
                    <w:t>脱酸脱臭</w:t>
                  </w:r>
                  <w:r>
                    <w:rPr>
                      <w:rFonts w:hint="eastAsia"/>
                      <w:bCs/>
                      <w:color w:val="auto"/>
                      <w:spacing w:val="-10"/>
                      <w:szCs w:val="21"/>
                      <w:lang w:eastAsia="zh-CN"/>
                    </w:rPr>
                    <w:t>异味</w:t>
                  </w:r>
                </w:p>
              </w:tc>
              <w:tc>
                <w:tcPr>
                  <w:tcW w:w="4380" w:type="dxa"/>
                  <w:noWrap w:val="0"/>
                  <w:vAlign w:val="center"/>
                </w:tcPr>
                <w:p w14:paraId="38EE418A">
                  <w:pPr>
                    <w:adjustRightInd w:val="0"/>
                    <w:snapToGrid w:val="0"/>
                    <w:jc w:val="center"/>
                    <w:rPr>
                      <w:rFonts w:hint="default"/>
                      <w:bCs/>
                      <w:color w:val="auto"/>
                      <w:spacing w:val="-10"/>
                      <w:szCs w:val="21"/>
                      <w:lang w:val="en-US" w:eastAsia="zh-CN"/>
                    </w:rPr>
                  </w:pPr>
                  <w:r>
                    <w:rPr>
                      <w:rFonts w:hint="eastAsia"/>
                      <w:bCs/>
                      <w:color w:val="auto"/>
                      <w:spacing w:val="-10"/>
                      <w:szCs w:val="21"/>
                      <w:lang w:val="en-US" w:eastAsia="zh-CN"/>
                    </w:rPr>
                    <w:t>加强通风、自然扩散</w:t>
                  </w:r>
                </w:p>
              </w:tc>
              <w:tc>
                <w:tcPr>
                  <w:tcW w:w="686" w:type="dxa"/>
                  <w:noWrap w:val="0"/>
                  <w:vAlign w:val="center"/>
                </w:tcPr>
                <w:p w14:paraId="2E766461">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786" w:type="dxa"/>
                  <w:noWrap w:val="0"/>
                  <w:vAlign w:val="center"/>
                </w:tcPr>
                <w:p w14:paraId="319C9108">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0.5</w:t>
                  </w:r>
                </w:p>
              </w:tc>
            </w:tr>
            <w:tr w14:paraId="4E16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6691FF7A">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2D782086">
                  <w:pPr>
                    <w:adjustRightInd w:val="0"/>
                    <w:snapToGrid w:val="0"/>
                    <w:spacing w:line="0" w:lineRule="atLeast"/>
                    <w:jc w:val="center"/>
                    <w:rPr>
                      <w:rFonts w:hint="eastAsia" w:ascii="Times New Roman" w:hAnsi="Times New Roman" w:eastAsia="宋体" w:cs="Times New Roman"/>
                      <w:color w:val="auto"/>
                      <w:sz w:val="21"/>
                      <w:szCs w:val="21"/>
                      <w:highlight w:val="none"/>
                      <w:lang w:val="en-US" w:eastAsia="zh-CN"/>
                    </w:rPr>
                  </w:pPr>
                </w:p>
              </w:tc>
              <w:tc>
                <w:tcPr>
                  <w:tcW w:w="1235" w:type="dxa"/>
                  <w:noWrap w:val="0"/>
                  <w:vAlign w:val="center"/>
                </w:tcPr>
                <w:p w14:paraId="568DDC7F">
                  <w:pPr>
                    <w:adjustRightInd w:val="0"/>
                    <w:snapToGrid w:val="0"/>
                    <w:jc w:val="center"/>
                    <w:rPr>
                      <w:rFonts w:hint="eastAsia"/>
                      <w:bCs/>
                      <w:color w:val="auto"/>
                      <w:spacing w:val="-10"/>
                      <w:szCs w:val="21"/>
                      <w:lang w:eastAsia="zh-CN"/>
                    </w:rPr>
                  </w:pPr>
                  <w:r>
                    <w:rPr>
                      <w:rFonts w:hint="eastAsia"/>
                      <w:bCs/>
                      <w:color w:val="auto"/>
                      <w:spacing w:val="-10"/>
                      <w:szCs w:val="21"/>
                    </w:rPr>
                    <w:t>异味</w:t>
                  </w:r>
                </w:p>
              </w:tc>
              <w:tc>
                <w:tcPr>
                  <w:tcW w:w="4380" w:type="dxa"/>
                  <w:noWrap w:val="0"/>
                  <w:vAlign w:val="center"/>
                </w:tcPr>
                <w:p w14:paraId="0197731C">
                  <w:pPr>
                    <w:adjustRightInd w:val="0"/>
                    <w:snapToGrid w:val="0"/>
                    <w:jc w:val="center"/>
                    <w:rPr>
                      <w:rFonts w:hint="eastAsia"/>
                      <w:bCs/>
                      <w:color w:val="auto"/>
                      <w:spacing w:val="-10"/>
                      <w:szCs w:val="21"/>
                      <w:lang w:eastAsia="zh-CN"/>
                    </w:rPr>
                  </w:pPr>
                  <w:r>
                    <w:rPr>
                      <w:rFonts w:hint="eastAsia" w:ascii="Times New Roman" w:hAnsi="Times New Roman" w:eastAsia="宋体" w:cs="Times New Roman"/>
                      <w:color w:val="auto"/>
                      <w:kern w:val="0"/>
                      <w:sz w:val="21"/>
                      <w:szCs w:val="21"/>
                      <w:lang w:val="en-US" w:eastAsia="zh-CN" w:bidi="ar-SA"/>
                    </w:rPr>
                    <w:t>对生产车间地坪进行冲洗和消毒、加强管理；</w:t>
                  </w: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定期喷洒复合微生物除臭剂进行除臭</w:t>
                  </w:r>
                  <w:r>
                    <w:rPr>
                      <w:rFonts w:hint="default" w:ascii="Times New Roman" w:hAnsi="Times New Roman" w:eastAsia="宋体" w:cs="Times New Roman"/>
                      <w:color w:val="auto"/>
                      <w:sz w:val="21"/>
                      <w:szCs w:val="21"/>
                      <w:highlight w:val="none"/>
                      <w:lang w:val="en-US" w:eastAsia="zh-CN"/>
                    </w:rPr>
                    <w:t>。</w:t>
                  </w:r>
                </w:p>
              </w:tc>
              <w:tc>
                <w:tcPr>
                  <w:tcW w:w="686" w:type="dxa"/>
                  <w:noWrap w:val="0"/>
                  <w:vAlign w:val="center"/>
                </w:tcPr>
                <w:p w14:paraId="28C6E914">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w:t>
                  </w:r>
                </w:p>
              </w:tc>
              <w:tc>
                <w:tcPr>
                  <w:tcW w:w="786" w:type="dxa"/>
                  <w:noWrap w:val="0"/>
                  <w:vAlign w:val="center"/>
                </w:tcPr>
                <w:p w14:paraId="6AB55C93">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r>
            <w:tr w14:paraId="2744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Merge w:val="continue"/>
                  <w:noWrap w:val="0"/>
                  <w:vAlign w:val="center"/>
                </w:tcPr>
                <w:p w14:paraId="1E2A72DD">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1120370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highlight w:val="none"/>
                      <w:lang w:val="en-US" w:eastAsia="zh-CN"/>
                    </w:rPr>
                  </w:pPr>
                </w:p>
              </w:tc>
              <w:tc>
                <w:tcPr>
                  <w:tcW w:w="1235" w:type="dxa"/>
                  <w:noWrap w:val="0"/>
                  <w:vAlign w:val="center"/>
                </w:tcPr>
                <w:p w14:paraId="752471F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4380" w:type="dxa"/>
                  <w:noWrap w:val="0"/>
                  <w:vAlign w:val="center"/>
                </w:tcPr>
                <w:p w14:paraId="7FF61254">
                  <w:pPr>
                    <w:pStyle w:val="1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686" w:type="dxa"/>
                  <w:noWrap w:val="0"/>
                  <w:vAlign w:val="center"/>
                </w:tcPr>
                <w:p w14:paraId="2B9C12C9">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86" w:type="dxa"/>
                  <w:noWrap w:val="0"/>
                  <w:vAlign w:val="center"/>
                </w:tcPr>
                <w:p w14:paraId="378ABE42">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0.7</w:t>
                  </w:r>
                </w:p>
              </w:tc>
            </w:tr>
            <w:tr w14:paraId="022A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restart"/>
                  <w:noWrap w:val="0"/>
                  <w:vAlign w:val="center"/>
                </w:tcPr>
                <w:p w14:paraId="681C70B7">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212" w:type="dxa"/>
                  <w:noWrap w:val="0"/>
                  <w:vAlign w:val="center"/>
                </w:tcPr>
                <w:p w14:paraId="2BE7E533">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rPr>
                    <w:t>施工期</w:t>
                  </w:r>
                </w:p>
              </w:tc>
              <w:tc>
                <w:tcPr>
                  <w:tcW w:w="1235" w:type="dxa"/>
                  <w:noWrap w:val="0"/>
                  <w:vAlign w:val="center"/>
                </w:tcPr>
                <w:p w14:paraId="6F47BB7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施工废水</w:t>
                  </w:r>
                </w:p>
              </w:tc>
              <w:tc>
                <w:tcPr>
                  <w:tcW w:w="4380" w:type="dxa"/>
                  <w:noWrap w:val="0"/>
                  <w:vAlign w:val="center"/>
                </w:tcPr>
                <w:p w14:paraId="4C20EC0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bCs/>
                      <w:color w:val="auto"/>
                      <w:szCs w:val="21"/>
                    </w:rPr>
                    <w:t>1个容积为1m</w:t>
                  </w:r>
                  <w:r>
                    <w:rPr>
                      <w:rFonts w:hint="eastAsia"/>
                      <w:bCs/>
                      <w:color w:val="auto"/>
                      <w:szCs w:val="21"/>
                      <w:vertAlign w:val="superscript"/>
                    </w:rPr>
                    <w:t>3</w:t>
                  </w:r>
                  <w:r>
                    <w:rPr>
                      <w:rFonts w:hint="eastAsia"/>
                      <w:bCs/>
                      <w:color w:val="auto"/>
                      <w:szCs w:val="21"/>
                    </w:rPr>
                    <w:t>的沉淀池</w:t>
                  </w:r>
                </w:p>
              </w:tc>
              <w:tc>
                <w:tcPr>
                  <w:tcW w:w="686" w:type="dxa"/>
                  <w:noWrap w:val="0"/>
                  <w:vAlign w:val="center"/>
                </w:tcPr>
                <w:p w14:paraId="0F737035">
                  <w:pPr>
                    <w:pStyle w:val="79"/>
                    <w:adjustRightInd/>
                    <w:spacing w:before="0" w:after="0" w:line="240" w:lineRule="auto"/>
                    <w:jc w:val="center"/>
                    <w:rPr>
                      <w:rFonts w:hint="eastAsia"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1个</w:t>
                  </w:r>
                </w:p>
              </w:tc>
              <w:tc>
                <w:tcPr>
                  <w:tcW w:w="786" w:type="dxa"/>
                  <w:noWrap w:val="0"/>
                  <w:vAlign w:val="center"/>
                </w:tcPr>
                <w:p w14:paraId="1177CCC0">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r>
            <w:tr w14:paraId="471E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45618E12">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restart"/>
                  <w:noWrap w:val="0"/>
                  <w:vAlign w:val="center"/>
                </w:tcPr>
                <w:p w14:paraId="59318B8A">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运营期</w:t>
                  </w:r>
                </w:p>
              </w:tc>
              <w:tc>
                <w:tcPr>
                  <w:tcW w:w="1235" w:type="dxa"/>
                  <w:noWrap w:val="0"/>
                  <w:vAlign w:val="center"/>
                </w:tcPr>
                <w:p w14:paraId="7D81F5F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4380" w:type="dxa"/>
                  <w:noWrap w:val="0"/>
                  <w:vAlign w:val="center"/>
                </w:tcPr>
                <w:p w14:paraId="3B6B7178">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686" w:type="dxa"/>
                  <w:noWrap w:val="0"/>
                  <w:vAlign w:val="center"/>
                </w:tcPr>
                <w:p w14:paraId="5B74744B">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86" w:type="dxa"/>
                  <w:noWrap w:val="0"/>
                  <w:vAlign w:val="center"/>
                </w:tcPr>
                <w:p w14:paraId="326C04D1">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r>
                    <w:rPr>
                      <w:rFonts w:hint="eastAsia" w:cs="Times New Roman"/>
                      <w:bCs/>
                      <w:color w:val="auto"/>
                      <w:sz w:val="21"/>
                      <w:szCs w:val="21"/>
                      <w:highlight w:val="none"/>
                      <w:lang w:val="en-US" w:eastAsia="zh-CN"/>
                    </w:rPr>
                    <w:t>1</w:t>
                  </w:r>
                </w:p>
              </w:tc>
            </w:tr>
            <w:tr w14:paraId="2C45D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27" w:type="dxa"/>
                  <w:vMerge w:val="continue"/>
                  <w:noWrap w:val="0"/>
                  <w:vAlign w:val="center"/>
                </w:tcPr>
                <w:p w14:paraId="7D512629">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7573310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235" w:type="dxa"/>
                  <w:vMerge w:val="restart"/>
                  <w:noWrap w:val="0"/>
                  <w:vAlign w:val="center"/>
                </w:tcPr>
                <w:p w14:paraId="2C99539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综合废水</w:t>
                  </w:r>
                </w:p>
              </w:tc>
              <w:tc>
                <w:tcPr>
                  <w:tcW w:w="4380" w:type="dxa"/>
                  <w:noWrap w:val="0"/>
                  <w:vAlign w:val="center"/>
                </w:tcPr>
                <w:p w14:paraId="4FDE85B1">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686" w:type="dxa"/>
                  <w:noWrap w:val="0"/>
                  <w:vAlign w:val="center"/>
                </w:tcPr>
                <w:p w14:paraId="1D5056A4">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786" w:type="dxa"/>
                  <w:noWrap w:val="0"/>
                  <w:vAlign w:val="center"/>
                </w:tcPr>
                <w:p w14:paraId="4A5F1F6D">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14:paraId="2453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27" w:type="dxa"/>
                  <w:vMerge w:val="continue"/>
                  <w:noWrap w:val="0"/>
                  <w:vAlign w:val="center"/>
                </w:tcPr>
                <w:p w14:paraId="1F2482EB">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65C65EE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235" w:type="dxa"/>
                  <w:vMerge w:val="continue"/>
                  <w:noWrap w:val="0"/>
                  <w:vAlign w:val="center"/>
                </w:tcPr>
                <w:p w14:paraId="15FCC83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4380" w:type="dxa"/>
                  <w:noWrap w:val="0"/>
                  <w:vAlign w:val="center"/>
                </w:tcPr>
                <w:p w14:paraId="13B4419A">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686" w:type="dxa"/>
                  <w:noWrap w:val="0"/>
                  <w:vAlign w:val="center"/>
                </w:tcPr>
                <w:p w14:paraId="74FCD68D">
                  <w:pPr>
                    <w:pStyle w:val="79"/>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786" w:type="dxa"/>
                  <w:noWrap w:val="0"/>
                  <w:vAlign w:val="center"/>
                </w:tcPr>
                <w:p w14:paraId="5F79BEB4">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w:t>
                  </w:r>
                </w:p>
              </w:tc>
            </w:tr>
            <w:tr w14:paraId="5C54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4DD6087B">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18A3AEBA">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5" w:type="dxa"/>
                  <w:vMerge w:val="continue"/>
                  <w:noWrap w:val="0"/>
                  <w:vAlign w:val="center"/>
                </w:tcPr>
                <w:p w14:paraId="3571BAAD">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0" w:type="dxa"/>
                  <w:noWrap w:val="0"/>
                  <w:vAlign w:val="center"/>
                </w:tcPr>
                <w:p w14:paraId="2E08FC95">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686" w:type="dxa"/>
                  <w:noWrap w:val="0"/>
                  <w:vAlign w:val="center"/>
                </w:tcPr>
                <w:p w14:paraId="5FB55B2E">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786" w:type="dxa"/>
                  <w:noWrap w:val="0"/>
                  <w:vAlign w:val="center"/>
                </w:tcPr>
                <w:p w14:paraId="7782A943">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w:t>
                  </w:r>
                  <w:r>
                    <w:rPr>
                      <w:rFonts w:hint="eastAsia" w:cs="Times New Roman"/>
                      <w:bCs/>
                      <w:color w:val="auto"/>
                      <w:sz w:val="21"/>
                      <w:szCs w:val="21"/>
                      <w:highlight w:val="none"/>
                      <w:lang w:val="en-US" w:eastAsia="zh-CN"/>
                    </w:rPr>
                    <w:t>5</w:t>
                  </w:r>
                </w:p>
              </w:tc>
            </w:tr>
            <w:tr w14:paraId="4E24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75C5ED87">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5060A221">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5" w:type="dxa"/>
                  <w:vMerge w:val="continue"/>
                  <w:noWrap w:val="0"/>
                  <w:vAlign w:val="center"/>
                </w:tcPr>
                <w:p w14:paraId="516B9716">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0" w:type="dxa"/>
                  <w:noWrap w:val="0"/>
                  <w:vAlign w:val="center"/>
                </w:tcPr>
                <w:p w14:paraId="01A5708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eastAsia="zh-CN"/>
                    </w:rPr>
                    <w:t>污水处理设施</w:t>
                  </w:r>
                  <w:r>
                    <w:rPr>
                      <w:rFonts w:hint="default" w:ascii="Times New Roman" w:hAnsi="Times New Roman" w:eastAsia="宋体" w:cs="Times New Roman"/>
                      <w:color w:val="auto"/>
                      <w:sz w:val="21"/>
                      <w:szCs w:val="21"/>
                      <w:highlight w:val="none"/>
                    </w:rPr>
                    <w:t>。</w:t>
                  </w:r>
                </w:p>
              </w:tc>
              <w:tc>
                <w:tcPr>
                  <w:tcW w:w="686" w:type="dxa"/>
                  <w:noWrap w:val="0"/>
                  <w:vAlign w:val="center"/>
                </w:tcPr>
                <w:p w14:paraId="0D95906E">
                  <w:pPr>
                    <w:pStyle w:val="79"/>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786" w:type="dxa"/>
                  <w:noWrap w:val="0"/>
                  <w:vAlign w:val="center"/>
                </w:tcPr>
                <w:p w14:paraId="25CF3D84">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9</w:t>
                  </w:r>
                </w:p>
              </w:tc>
            </w:tr>
            <w:tr w14:paraId="5868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7247E5AC">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7A3B7BB2">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5" w:type="dxa"/>
                  <w:vMerge w:val="continue"/>
                  <w:noWrap w:val="0"/>
                  <w:vAlign w:val="center"/>
                </w:tcPr>
                <w:p w14:paraId="44EBF78C">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380" w:type="dxa"/>
                  <w:noWrap w:val="0"/>
                  <w:vAlign w:val="center"/>
                </w:tcPr>
                <w:p w14:paraId="5FEBD98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p>
              </w:tc>
              <w:tc>
                <w:tcPr>
                  <w:tcW w:w="686" w:type="dxa"/>
                  <w:noWrap w:val="0"/>
                  <w:vAlign w:val="center"/>
                </w:tcPr>
                <w:p w14:paraId="0FDBA6C9">
                  <w:pPr>
                    <w:pStyle w:val="79"/>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1个</w:t>
                  </w:r>
                </w:p>
              </w:tc>
              <w:tc>
                <w:tcPr>
                  <w:tcW w:w="786" w:type="dxa"/>
                  <w:noWrap w:val="0"/>
                  <w:vAlign w:val="center"/>
                </w:tcPr>
                <w:p w14:paraId="35295934">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w:t>
                  </w:r>
                </w:p>
              </w:tc>
            </w:tr>
            <w:tr w14:paraId="690B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noWrap w:val="0"/>
                  <w:vAlign w:val="center"/>
                </w:tcPr>
                <w:p w14:paraId="47645A08">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212" w:type="dxa"/>
                  <w:noWrap w:val="0"/>
                  <w:vAlign w:val="center"/>
                </w:tcPr>
                <w:p w14:paraId="1748D077">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运营期</w:t>
                  </w:r>
                </w:p>
              </w:tc>
              <w:tc>
                <w:tcPr>
                  <w:tcW w:w="1235" w:type="dxa"/>
                  <w:noWrap w:val="0"/>
                  <w:vAlign w:val="center"/>
                </w:tcPr>
                <w:p w14:paraId="15441885">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4380" w:type="dxa"/>
                  <w:noWrap w:val="0"/>
                  <w:vAlign w:val="center"/>
                </w:tcPr>
                <w:p w14:paraId="4DDAA0C1">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686" w:type="dxa"/>
                  <w:noWrap w:val="0"/>
                  <w:vAlign w:val="center"/>
                </w:tcPr>
                <w:p w14:paraId="0C719F1A">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86" w:type="dxa"/>
                  <w:noWrap w:val="0"/>
                  <w:vAlign w:val="center"/>
                </w:tcPr>
                <w:p w14:paraId="0624A722">
                  <w:pPr>
                    <w:spacing w:line="240" w:lineRule="auto"/>
                    <w:ind w:firstLine="0" w:firstLineChars="0"/>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eastAsia" w:cs="Times New Roman"/>
                      <w:bCs/>
                      <w:color w:val="auto"/>
                      <w:sz w:val="21"/>
                      <w:szCs w:val="21"/>
                      <w:highlight w:val="none"/>
                      <w:lang w:val="en-US" w:eastAsia="zh-CN"/>
                    </w:rPr>
                    <w:t>4</w:t>
                  </w:r>
                </w:p>
              </w:tc>
            </w:tr>
            <w:tr w14:paraId="0824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restart"/>
                  <w:noWrap w:val="0"/>
                  <w:vAlign w:val="center"/>
                </w:tcPr>
                <w:p w14:paraId="49232CD1">
                  <w:pPr>
                    <w:pStyle w:val="6"/>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1212" w:type="dxa"/>
                  <w:vMerge w:val="restart"/>
                  <w:noWrap w:val="0"/>
                  <w:vAlign w:val="center"/>
                </w:tcPr>
                <w:p w14:paraId="19901342">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运营期</w:t>
                  </w:r>
                </w:p>
              </w:tc>
              <w:tc>
                <w:tcPr>
                  <w:tcW w:w="1235" w:type="dxa"/>
                  <w:noWrap w:val="0"/>
                  <w:vAlign w:val="center"/>
                </w:tcPr>
                <w:p w14:paraId="295EBC1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380" w:type="dxa"/>
                  <w:noWrap w:val="0"/>
                  <w:vAlign w:val="center"/>
                </w:tcPr>
                <w:p w14:paraId="638A7BB4">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686" w:type="dxa"/>
                  <w:noWrap w:val="0"/>
                  <w:vAlign w:val="center"/>
                </w:tcPr>
                <w:p w14:paraId="06A7663B">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786" w:type="dxa"/>
                  <w:noWrap w:val="0"/>
                  <w:vAlign w:val="center"/>
                </w:tcPr>
                <w:p w14:paraId="3E1CCB03">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w:t>
                  </w:r>
                </w:p>
              </w:tc>
            </w:tr>
            <w:tr w14:paraId="721A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2C4512BE">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2BAA929B">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5" w:type="dxa"/>
                  <w:noWrap w:val="0"/>
                  <w:vAlign w:val="center"/>
                </w:tcPr>
                <w:p w14:paraId="31D69B0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4380" w:type="dxa"/>
                  <w:noWrap w:val="0"/>
                  <w:vAlign w:val="center"/>
                </w:tcPr>
                <w:p w14:paraId="419B6E10">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686" w:type="dxa"/>
                  <w:noWrap w:val="0"/>
                  <w:vAlign w:val="center"/>
                </w:tcPr>
                <w:p w14:paraId="3CA38FFA">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786" w:type="dxa"/>
                  <w:noWrap w:val="0"/>
                  <w:vAlign w:val="center"/>
                </w:tcPr>
                <w:p w14:paraId="7A1A747E">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14:paraId="2D45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11B3299D">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56A43FDB">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5" w:type="dxa"/>
                  <w:noWrap w:val="0"/>
                  <w:vAlign w:val="center"/>
                </w:tcPr>
                <w:p w14:paraId="05343FF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4380" w:type="dxa"/>
                  <w:noWrap w:val="0"/>
                  <w:vAlign w:val="center"/>
                </w:tcPr>
                <w:p w14:paraId="0B1A5440">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686" w:type="dxa"/>
                  <w:noWrap w:val="0"/>
                  <w:vAlign w:val="center"/>
                </w:tcPr>
                <w:p w14:paraId="65B12CC4">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786" w:type="dxa"/>
                  <w:noWrap w:val="0"/>
                  <w:vAlign w:val="center"/>
                </w:tcPr>
                <w:p w14:paraId="0B7B3C58">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r>
            <w:tr w14:paraId="2327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6E6ABC71">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34CDFD06">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5" w:type="dxa"/>
                  <w:noWrap w:val="0"/>
                  <w:vAlign w:val="center"/>
                </w:tcPr>
                <w:p w14:paraId="7AB82FC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4380" w:type="dxa"/>
                  <w:noWrap w:val="0"/>
                  <w:vAlign w:val="center"/>
                </w:tcPr>
                <w:p w14:paraId="3834BDF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686" w:type="dxa"/>
                  <w:noWrap w:val="0"/>
                  <w:vAlign w:val="center"/>
                </w:tcPr>
                <w:p w14:paraId="7A6C9D6A">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lang w:val="en-US" w:eastAsia="zh-CN"/>
                    </w:rPr>
                    <w:t>0m</w:t>
                  </w:r>
                  <w:r>
                    <w:rPr>
                      <w:rFonts w:hint="default" w:ascii="Times New Roman" w:hAnsi="Times New Roman" w:eastAsia="宋体" w:cs="Times New Roman"/>
                      <w:bCs/>
                      <w:color w:val="auto"/>
                      <w:sz w:val="21"/>
                      <w:szCs w:val="21"/>
                      <w:highlight w:val="none"/>
                      <w:vertAlign w:val="superscript"/>
                      <w:lang w:val="en-US" w:eastAsia="zh-CN"/>
                    </w:rPr>
                    <w:t>2</w:t>
                  </w:r>
                </w:p>
              </w:tc>
              <w:tc>
                <w:tcPr>
                  <w:tcW w:w="786" w:type="dxa"/>
                  <w:noWrap w:val="0"/>
                  <w:vAlign w:val="center"/>
                </w:tcPr>
                <w:p w14:paraId="1F60F58C">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14:paraId="73EC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14:paraId="02170B85">
                  <w:pPr>
                    <w:pStyle w:val="6"/>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12" w:type="dxa"/>
                  <w:vMerge w:val="continue"/>
                  <w:noWrap w:val="0"/>
                  <w:vAlign w:val="center"/>
                </w:tcPr>
                <w:p w14:paraId="41D99693">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35" w:type="dxa"/>
                  <w:noWrap w:val="0"/>
                  <w:vAlign w:val="center"/>
                </w:tcPr>
                <w:p w14:paraId="3E1B7DA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4380" w:type="dxa"/>
                  <w:noWrap w:val="0"/>
                  <w:vAlign w:val="center"/>
                </w:tcPr>
                <w:p w14:paraId="545795C5">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686" w:type="dxa"/>
                  <w:noWrap w:val="0"/>
                  <w:vAlign w:val="center"/>
                </w:tcPr>
                <w:p w14:paraId="33748CA2">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786" w:type="dxa"/>
                  <w:noWrap w:val="0"/>
                  <w:vAlign w:val="center"/>
                </w:tcPr>
                <w:p w14:paraId="61A60ECF">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r>
                    <w:rPr>
                      <w:rFonts w:hint="eastAsia" w:cs="Times New Roman"/>
                      <w:bCs/>
                      <w:color w:val="auto"/>
                      <w:sz w:val="21"/>
                      <w:szCs w:val="21"/>
                      <w:highlight w:val="none"/>
                      <w:lang w:val="en-US" w:eastAsia="zh-CN"/>
                    </w:rPr>
                    <w:t>8</w:t>
                  </w:r>
                </w:p>
              </w:tc>
            </w:tr>
            <w:tr w14:paraId="7080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restart"/>
                  <w:noWrap w:val="0"/>
                  <w:vAlign w:val="center"/>
                </w:tcPr>
                <w:p w14:paraId="2E24FC97">
                  <w:pPr>
                    <w:pStyle w:val="6"/>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其他</w:t>
                  </w:r>
                </w:p>
              </w:tc>
              <w:tc>
                <w:tcPr>
                  <w:tcW w:w="1212" w:type="dxa"/>
                  <w:vMerge w:val="restart"/>
                  <w:noWrap w:val="0"/>
                  <w:vAlign w:val="center"/>
                </w:tcPr>
                <w:p w14:paraId="122E0B7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35" w:type="dxa"/>
                  <w:noWrap w:val="0"/>
                  <w:vAlign w:val="center"/>
                </w:tcPr>
                <w:p w14:paraId="4F5FEA1D">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环保标识</w:t>
                  </w:r>
                </w:p>
              </w:tc>
              <w:tc>
                <w:tcPr>
                  <w:tcW w:w="4380" w:type="dxa"/>
                  <w:noWrap w:val="0"/>
                  <w:vAlign w:val="center"/>
                </w:tcPr>
                <w:p w14:paraId="264D2AA5">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86" w:type="dxa"/>
                  <w:noWrap w:val="0"/>
                  <w:vAlign w:val="center"/>
                </w:tcPr>
                <w:p w14:paraId="5CD21BBB">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786" w:type="dxa"/>
                  <w:noWrap w:val="0"/>
                  <w:vAlign w:val="center"/>
                </w:tcPr>
                <w:p w14:paraId="6B8E808E">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r>
            <w:tr w14:paraId="6F45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7" w:type="dxa"/>
                  <w:vMerge w:val="continue"/>
                  <w:noWrap w:val="0"/>
                  <w:vAlign w:val="center"/>
                </w:tcPr>
                <w:p w14:paraId="3376FA50">
                  <w:pPr>
                    <w:spacing w:line="240" w:lineRule="auto"/>
                    <w:ind w:firstLine="0" w:firstLineChars="0"/>
                    <w:jc w:val="center"/>
                    <w:rPr>
                      <w:color w:val="auto"/>
                    </w:rPr>
                  </w:pPr>
                </w:p>
              </w:tc>
              <w:tc>
                <w:tcPr>
                  <w:tcW w:w="1212" w:type="dxa"/>
                  <w:vMerge w:val="continue"/>
                  <w:noWrap w:val="0"/>
                  <w:vAlign w:val="center"/>
                </w:tcPr>
                <w:p w14:paraId="70396486">
                  <w:pPr>
                    <w:spacing w:line="240" w:lineRule="auto"/>
                    <w:ind w:firstLine="0" w:firstLineChars="0"/>
                    <w:jc w:val="center"/>
                    <w:rPr>
                      <w:color w:val="auto"/>
                    </w:rPr>
                  </w:pPr>
                </w:p>
              </w:tc>
              <w:tc>
                <w:tcPr>
                  <w:tcW w:w="1235" w:type="dxa"/>
                  <w:noWrap w:val="0"/>
                  <w:vAlign w:val="center"/>
                </w:tcPr>
                <w:p w14:paraId="783DC8BD">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成品油罐区防渗</w:t>
                  </w:r>
                </w:p>
              </w:tc>
              <w:tc>
                <w:tcPr>
                  <w:tcW w:w="4380" w:type="dxa"/>
                  <w:noWrap w:val="0"/>
                  <w:vAlign w:val="center"/>
                </w:tcPr>
                <w:p w14:paraId="5DEE751F">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lang w:val="zh-CN"/>
                    </w:rPr>
                    <w:t>防渗要求</w:t>
                  </w:r>
                  <w:r>
                    <w:rPr>
                      <w:color w:val="auto"/>
                      <w:sz w:val="21"/>
                      <w:szCs w:val="21"/>
                    </w:rPr>
                    <w:t>等效黏土层Mb≥</w:t>
                  </w:r>
                  <w:r>
                    <w:rPr>
                      <w:rFonts w:hint="eastAsia"/>
                      <w:color w:val="auto"/>
                      <w:sz w:val="21"/>
                      <w:szCs w:val="21"/>
                      <w:lang w:val="en-US" w:eastAsia="zh-CN"/>
                    </w:rPr>
                    <w:t>6.0</w:t>
                  </w:r>
                  <w:r>
                    <w:rPr>
                      <w:color w:val="auto"/>
                      <w:sz w:val="21"/>
                      <w:szCs w:val="21"/>
                    </w:rPr>
                    <w:t>m，K≤1.0×10</w:t>
                  </w:r>
                  <w:r>
                    <w:rPr>
                      <w:color w:val="auto"/>
                      <w:sz w:val="21"/>
                      <w:szCs w:val="21"/>
                      <w:vertAlign w:val="superscript"/>
                    </w:rPr>
                    <w:t>-7</w:t>
                  </w:r>
                  <w:r>
                    <w:rPr>
                      <w:color w:val="auto"/>
                      <w:sz w:val="21"/>
                      <w:szCs w:val="21"/>
                    </w:rPr>
                    <w:t>cm/s</w:t>
                  </w:r>
                </w:p>
              </w:tc>
              <w:tc>
                <w:tcPr>
                  <w:tcW w:w="686" w:type="dxa"/>
                  <w:noWrap w:val="0"/>
                  <w:vAlign w:val="center"/>
                </w:tcPr>
                <w:p w14:paraId="64CC7E2C">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86" w:type="dxa"/>
                  <w:noWrap w:val="0"/>
                  <w:vAlign w:val="center"/>
                </w:tcPr>
                <w:p w14:paraId="7FFBA37D">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14:paraId="6558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54" w:type="dxa"/>
                  <w:gridSpan w:val="4"/>
                  <w:noWrap w:val="0"/>
                  <w:vAlign w:val="center"/>
                </w:tcPr>
                <w:p w14:paraId="6FECB5A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686" w:type="dxa"/>
                  <w:noWrap w:val="0"/>
                  <w:vAlign w:val="center"/>
                </w:tcPr>
                <w:p w14:paraId="26668355">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786" w:type="dxa"/>
                  <w:noWrap w:val="0"/>
                  <w:vAlign w:val="center"/>
                </w:tcPr>
                <w:p w14:paraId="54690F92">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68.1</w:t>
                  </w:r>
                </w:p>
              </w:tc>
            </w:tr>
          </w:tbl>
          <w:p w14:paraId="1363B89A">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10、水平衡</w:t>
            </w:r>
          </w:p>
          <w:p w14:paraId="158F42B8">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14:paraId="28181561">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rPr>
              <w:t>本项目运营期用水包括</w:t>
            </w:r>
            <w:r>
              <w:rPr>
                <w:rFonts w:hint="default" w:ascii="Times New Roman" w:hAnsi="Times New Roman" w:eastAsia="宋体" w:cs="Times New Roman"/>
                <w:color w:val="auto"/>
                <w:sz w:val="24"/>
                <w:szCs w:val="24"/>
                <w:lang w:val="en-US" w:eastAsia="zh-CN"/>
              </w:rPr>
              <w:t>生产用水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办公生活</w:t>
            </w:r>
            <w:r>
              <w:rPr>
                <w:rFonts w:hint="default" w:ascii="Times New Roman" w:hAnsi="Times New Roman" w:eastAsia="宋体" w:cs="Times New Roman"/>
                <w:color w:val="auto"/>
                <w:sz w:val="24"/>
                <w:szCs w:val="24"/>
              </w:rPr>
              <w:t>用水</w:t>
            </w:r>
            <w:r>
              <w:rPr>
                <w:rFonts w:hint="default" w:ascii="Times New Roman" w:hAnsi="Times New Roman" w:eastAsia="宋体" w:cs="Times New Roman"/>
                <w:color w:val="auto"/>
                <w:sz w:val="24"/>
                <w:szCs w:val="24"/>
                <w:lang w:val="en-US" w:eastAsia="zh-CN"/>
              </w:rPr>
              <w:t>及绿化用水</w:t>
            </w:r>
            <w:r>
              <w:rPr>
                <w:rFonts w:hint="default" w:ascii="Times New Roman" w:hAnsi="Times New Roman" w:eastAsia="宋体" w:cs="Times New Roman"/>
                <w:color w:val="auto"/>
                <w:sz w:val="24"/>
                <w:szCs w:val="24"/>
              </w:rPr>
              <w:t>，废水主要为</w:t>
            </w:r>
            <w:r>
              <w:rPr>
                <w:rFonts w:hint="default" w:ascii="Times New Roman" w:hAnsi="Times New Roman" w:eastAsia="宋体" w:cs="Times New Roman"/>
                <w:color w:val="auto"/>
                <w:sz w:val="24"/>
                <w:szCs w:val="24"/>
                <w:lang w:val="en-US" w:eastAsia="zh-CN"/>
              </w:rPr>
              <w:t>生产废水及办公生活</w:t>
            </w:r>
            <w:r>
              <w:rPr>
                <w:rFonts w:hint="default" w:ascii="Times New Roman" w:hAnsi="Times New Roman" w:eastAsia="宋体" w:cs="Times New Roman"/>
                <w:color w:val="auto"/>
                <w:sz w:val="24"/>
                <w:szCs w:val="24"/>
              </w:rPr>
              <w:t>污水。</w:t>
            </w:r>
          </w:p>
          <w:p w14:paraId="30EB0B21">
            <w:pPr>
              <w:pStyle w:val="11"/>
              <w:keepNext w:val="0"/>
              <w:keepLines w:val="0"/>
              <w:pageBreakBefore w:val="0"/>
              <w:widowControl/>
              <w:kinsoku/>
              <w:wordWrap/>
              <w:overflowPunct/>
              <w:topLinePunct w:val="0"/>
              <w:autoSpaceDE/>
              <w:autoSpaceDN/>
              <w:bidi w:val="0"/>
              <w:snapToGrid w:val="0"/>
              <w:spacing w:after="0" w:line="360" w:lineRule="auto"/>
              <w:ind w:firstLine="482" w:firstLineChars="200"/>
              <w:textAlignment w:val="auto"/>
              <w:rPr>
                <w:rFonts w:hint="default" w:ascii="Times New Roman" w:hAnsi="Times New Roman" w:eastAsia="宋体" w:cs="Times New Roman"/>
                <w:b/>
                <w:bCs/>
                <w:snapToGrid w:val="0"/>
                <w:color w:val="auto"/>
                <w:sz w:val="24"/>
              </w:rPr>
            </w:pPr>
            <w:r>
              <w:rPr>
                <w:rFonts w:hint="default" w:ascii="Times New Roman" w:hAnsi="Times New Roman" w:eastAsia="宋体" w:cs="Times New Roman"/>
                <w:b/>
                <w:bCs/>
                <w:snapToGrid w:val="0"/>
                <w:color w:val="auto"/>
                <w:sz w:val="24"/>
              </w:rPr>
              <w:t>1）</w:t>
            </w:r>
            <w:r>
              <w:rPr>
                <w:rFonts w:hint="default" w:ascii="Times New Roman" w:hAnsi="Times New Roman" w:eastAsia="宋体" w:cs="Times New Roman"/>
                <w:b/>
                <w:bCs/>
                <w:color w:val="auto"/>
                <w:sz w:val="24"/>
                <w:szCs w:val="24"/>
                <w:lang w:val="en-US" w:eastAsia="zh-CN"/>
              </w:rPr>
              <w:t>生产车间用排水</w:t>
            </w:r>
          </w:p>
          <w:p w14:paraId="64E4D5AB">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eastAsia="zh-CN" w:bidi="ar"/>
              </w:rPr>
            </w:pPr>
            <w:r>
              <w:rPr>
                <w:rFonts w:hint="default" w:ascii="Times New Roman" w:hAnsi="Times New Roman" w:eastAsia="宋体" w:cs="Times New Roman"/>
                <w:color w:val="auto"/>
                <w:sz w:val="24"/>
                <w:szCs w:val="24"/>
              </w:rPr>
              <w:t>生产过程中用水环节包括</w:t>
            </w:r>
            <w:r>
              <w:rPr>
                <w:rFonts w:hint="eastAsia"/>
                <w:color w:val="auto"/>
                <w:sz w:val="24"/>
              </w:rPr>
              <w:t>锅炉用水、脱胶脱磷用水、车间地面清洗用水、设备清洁用水、真空泵机组用水、冷却用水；员工</w:t>
            </w:r>
            <w:r>
              <w:rPr>
                <w:rFonts w:hint="eastAsia"/>
                <w:color w:val="auto"/>
                <w:sz w:val="24"/>
                <w:lang w:val="en-US" w:eastAsia="zh-CN"/>
              </w:rPr>
              <w:t>生活</w:t>
            </w:r>
            <w:r>
              <w:rPr>
                <w:rFonts w:hint="eastAsia"/>
                <w:color w:val="auto"/>
                <w:sz w:val="24"/>
              </w:rPr>
              <w:t>用水。</w:t>
            </w:r>
            <w:r>
              <w:rPr>
                <w:rFonts w:hint="default" w:ascii="Times New Roman" w:hAnsi="Times New Roman" w:eastAsia="宋体" w:cs="Times New Roman"/>
                <w:color w:val="auto"/>
                <w:sz w:val="24"/>
                <w:szCs w:val="24"/>
                <w:lang w:eastAsia="zh-CN"/>
              </w:rPr>
              <w:t>废水包括：①</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color w:val="auto"/>
                <w:sz w:val="24"/>
                <w:szCs w:val="24"/>
                <w:highlight w:val="none"/>
                <w:lang w:eastAsia="zh-CN"/>
              </w:rPr>
              <w:t>锅炉排污水；②</w:t>
            </w:r>
            <w:r>
              <w:rPr>
                <w:rFonts w:hint="eastAsia"/>
                <w:color w:val="auto"/>
                <w:sz w:val="24"/>
              </w:rPr>
              <w:t>脱胶脱磷废水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③</w:t>
            </w:r>
            <w:r>
              <w:rPr>
                <w:rFonts w:hint="eastAsia" w:cs="Times New Roman"/>
                <w:color w:val="auto"/>
                <w:sz w:val="24"/>
                <w:szCs w:val="24"/>
                <w:highlight w:val="none"/>
                <w:lang w:val="en-US" w:eastAsia="zh-CN"/>
              </w:rPr>
              <w:t>车间地面清洗</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④设备清洗废水；⑤</w:t>
            </w:r>
            <w:r>
              <w:rPr>
                <w:rFonts w:hint="eastAsia"/>
                <w:color w:val="auto"/>
                <w:sz w:val="24"/>
              </w:rPr>
              <w:t>真空泵机组</w:t>
            </w:r>
            <w:r>
              <w:rPr>
                <w:rFonts w:hint="eastAsia"/>
                <w:color w:val="auto"/>
                <w:sz w:val="24"/>
                <w:lang w:val="en-US" w:eastAsia="zh-CN"/>
              </w:rPr>
              <w:t>废水</w:t>
            </w:r>
            <w:r>
              <w:rPr>
                <w:rFonts w:hint="default" w:ascii="Times New Roman" w:hAnsi="Times New Roman" w:eastAsia="宋体" w:cs="Times New Roman"/>
                <w:color w:val="auto"/>
                <w:sz w:val="24"/>
                <w:szCs w:val="24"/>
                <w:highlight w:val="none"/>
                <w:lang w:val="en-US" w:eastAsia="zh-CN"/>
              </w:rPr>
              <w:t>；⑥</w:t>
            </w:r>
            <w:r>
              <w:rPr>
                <w:rFonts w:hint="eastAsia"/>
                <w:color w:val="auto"/>
                <w:sz w:val="24"/>
              </w:rPr>
              <w:t>熔炼冷凝废水</w:t>
            </w:r>
            <w:r>
              <w:rPr>
                <w:rFonts w:hint="eastAsia"/>
                <w:color w:val="auto"/>
                <w:sz w:val="24"/>
                <w:lang w:eastAsia="zh-CN"/>
              </w:rPr>
              <w:t>；</w:t>
            </w:r>
            <w:r>
              <w:rPr>
                <w:rFonts w:hint="eastAsia"/>
                <w:color w:val="auto"/>
                <w:sz w:val="24"/>
                <w:lang w:val="en-US" w:eastAsia="zh-CN"/>
              </w:rPr>
              <w:t>⑦冷却废水；⑧腌制废水；⑨冰瓶冷凝废水</w:t>
            </w:r>
            <w:r>
              <w:rPr>
                <w:rFonts w:hint="default" w:ascii="Times New Roman" w:hAnsi="Times New Roman" w:eastAsia="宋体" w:cs="Times New Roman"/>
                <w:color w:val="auto"/>
                <w:sz w:val="24"/>
                <w:szCs w:val="24"/>
                <w:highlight w:val="none"/>
                <w:lang w:eastAsia="zh-CN"/>
              </w:rPr>
              <w:t>。</w:t>
            </w:r>
          </w:p>
          <w:p w14:paraId="5D86D43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eastAsia="zh-CN" w:bidi="ar"/>
              </w:rPr>
              <w:t>①</w:t>
            </w:r>
            <w:r>
              <w:rPr>
                <w:rFonts w:hint="default" w:ascii="Times New Roman" w:hAnsi="Times New Roman" w:eastAsia="宋体" w:cs="Times New Roman"/>
                <w:b w:val="0"/>
                <w:bCs w:val="0"/>
                <w:color w:val="auto"/>
                <w:sz w:val="24"/>
                <w:szCs w:val="24"/>
                <w:highlight w:val="none"/>
                <w:lang w:val="en-US" w:eastAsia="zh-CN"/>
              </w:rPr>
              <w:t>锅炉纯水制备废水、</w:t>
            </w:r>
            <w:r>
              <w:rPr>
                <w:rFonts w:hint="default" w:ascii="Times New Roman" w:hAnsi="Times New Roman" w:eastAsia="宋体" w:cs="Times New Roman"/>
                <w:b w:val="0"/>
                <w:bCs w:val="0"/>
                <w:color w:val="auto"/>
                <w:sz w:val="24"/>
                <w:szCs w:val="24"/>
                <w:highlight w:val="none"/>
                <w:lang w:eastAsia="zh-CN"/>
              </w:rPr>
              <w:t>锅炉排污水</w:t>
            </w:r>
          </w:p>
          <w:p w14:paraId="614578A8">
            <w:pPr>
              <w:keepNext w:val="0"/>
              <w:keepLines w:val="0"/>
              <w:pageBreakBefore w:val="0"/>
              <w:widowControl w:val="0"/>
              <w:kinsoku/>
              <w:wordWrap/>
              <w:overflowPunct/>
              <w:topLinePunct w:val="0"/>
              <w:autoSpaceDE/>
              <w:autoSpaceDN/>
              <w:bidi w:val="0"/>
              <w:spacing w:line="360" w:lineRule="auto"/>
              <w:ind w:firstLine="504" w:firstLineChars="200"/>
              <w:textAlignment w:val="auto"/>
              <w:rPr>
                <w:rFonts w:hint="default" w:ascii="Times New Roman" w:hAnsi="Times New Roman" w:eastAsia="宋体" w:cs="Times New Roman"/>
                <w:strike w:val="0"/>
                <w:dstrike w:val="0"/>
                <w:color w:val="auto"/>
                <w:sz w:val="24"/>
                <w:szCs w:val="24"/>
                <w:u w:val="none"/>
                <w:lang w:val="en-US" w:eastAsia="zh-CN"/>
              </w:rPr>
            </w:pPr>
            <w:r>
              <w:rPr>
                <w:rFonts w:hint="default" w:ascii="Times New Roman" w:hAnsi="Times New Roman" w:eastAsia="宋体" w:cs="Times New Roman"/>
                <w:bCs/>
                <w:color w:val="auto"/>
                <w:spacing w:val="6"/>
                <w:sz w:val="24"/>
              </w:rPr>
              <w:t>项目</w:t>
            </w:r>
            <w:r>
              <w:rPr>
                <w:rFonts w:hint="default" w:ascii="Times New Roman" w:hAnsi="Times New Roman" w:eastAsia="宋体" w:cs="Times New Roman"/>
                <w:bCs/>
                <w:color w:val="auto"/>
                <w:spacing w:val="6"/>
                <w:sz w:val="24"/>
                <w:lang w:eastAsia="zh-CN"/>
              </w:rPr>
              <w:t>拟</w:t>
            </w:r>
            <w:r>
              <w:rPr>
                <w:rFonts w:hint="default" w:ascii="Times New Roman" w:hAnsi="Times New Roman" w:eastAsia="宋体" w:cs="Times New Roman"/>
                <w:bCs/>
                <w:color w:val="auto"/>
                <w:spacing w:val="6"/>
                <w:sz w:val="24"/>
              </w:rPr>
              <w:t>设置</w:t>
            </w:r>
            <w:r>
              <w:rPr>
                <w:rFonts w:hint="eastAsia" w:ascii="Times New Roman" w:hAnsi="Times New Roman" w:eastAsia="宋体" w:cs="Times New Roman"/>
                <w:bCs/>
                <w:color w:val="auto"/>
                <w:spacing w:val="6"/>
                <w:sz w:val="24"/>
                <w:lang w:val="en-US" w:eastAsia="zh-CN"/>
              </w:rPr>
              <w:t>1</w:t>
            </w:r>
            <w:r>
              <w:rPr>
                <w:rFonts w:hint="default" w:ascii="Times New Roman" w:hAnsi="Times New Roman" w:eastAsia="宋体" w:cs="Times New Roman"/>
                <w:bCs/>
                <w:color w:val="auto"/>
                <w:spacing w:val="6"/>
                <w:sz w:val="24"/>
                <w:lang w:val="en-US" w:eastAsia="zh-CN"/>
              </w:rPr>
              <w:t>台</w:t>
            </w:r>
            <w:r>
              <w:rPr>
                <w:rFonts w:hint="eastAsia" w:cs="Times New Roman"/>
                <w:bCs/>
                <w:color w:val="auto"/>
                <w:spacing w:val="6"/>
                <w:sz w:val="24"/>
                <w:lang w:val="en-US" w:eastAsia="zh-CN"/>
              </w:rPr>
              <w:t>3</w:t>
            </w:r>
            <w:r>
              <w:rPr>
                <w:rFonts w:hint="default" w:ascii="Times New Roman" w:hAnsi="Times New Roman" w:eastAsia="宋体" w:cs="Times New Roman"/>
                <w:bCs/>
                <w:color w:val="auto"/>
                <w:spacing w:val="6"/>
                <w:sz w:val="24"/>
                <w:lang w:val="en-US" w:eastAsia="zh-CN"/>
              </w:rPr>
              <w:t>t/h的生物质锅炉为生产过程提供</w:t>
            </w:r>
            <w:r>
              <w:rPr>
                <w:rFonts w:hint="default" w:ascii="Times New Roman" w:hAnsi="Times New Roman" w:eastAsia="宋体" w:cs="Times New Roman"/>
                <w:color w:val="auto"/>
                <w:sz w:val="24"/>
              </w:rPr>
              <w:t>所需</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蒸汽，</w:t>
            </w:r>
            <w:r>
              <w:rPr>
                <w:rFonts w:hint="default" w:ascii="Times New Roman" w:hAnsi="Times New Roman" w:eastAsia="宋体" w:cs="Times New Roman"/>
                <w:strike w:val="0"/>
                <w:dstrike w:val="0"/>
                <w:color w:val="auto"/>
                <w:sz w:val="24"/>
                <w:szCs w:val="24"/>
                <w:u w:val="none"/>
                <w:lang w:val="en-US" w:eastAsia="zh-CN"/>
              </w:rPr>
              <w:t>锅炉用水需对自来水进行除泥沙、除铁锰、除钙镁、降低浊度和总硬度处理。</w:t>
            </w:r>
          </w:p>
          <w:p w14:paraId="111613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生物质锅炉排污水及锅炉纯水制备废水</w:t>
            </w:r>
            <w:r>
              <w:rPr>
                <w:rFonts w:hint="default" w:ascii="Times New Roman" w:hAnsi="Times New Roman" w:eastAsia="宋体" w:cs="Times New Roman"/>
                <w:color w:val="auto"/>
                <w:sz w:val="24"/>
                <w:szCs w:val="24"/>
              </w:rPr>
              <w:t>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工业废水量和“化学需氧量”中</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p>
          <w:p w14:paraId="12D4FD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工业锅炉（热力生产和供应行业）产排污系数表-工业废水量和“化学需氧量”</w:t>
            </w:r>
          </w:p>
          <w:tbl>
            <w:tblPr>
              <w:tblStyle w:val="26"/>
              <w:tblW w:w="8517"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656"/>
              <w:gridCol w:w="1051"/>
              <w:gridCol w:w="794"/>
              <w:gridCol w:w="1363"/>
              <w:gridCol w:w="1891"/>
              <w:gridCol w:w="2030"/>
            </w:tblGrid>
            <w:tr w14:paraId="0EAD6B6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tcBorders>
                    <w:tl2br w:val="nil"/>
                    <w:tr2bl w:val="nil"/>
                  </w:tcBorders>
                  <w:noWrap w:val="0"/>
                  <w:vAlign w:val="center"/>
                </w:tcPr>
                <w:p w14:paraId="1B00F33A">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56" w:type="dxa"/>
                  <w:tcBorders>
                    <w:tl2br w:val="nil"/>
                    <w:tr2bl w:val="nil"/>
                  </w:tcBorders>
                  <w:noWrap w:val="0"/>
                  <w:vAlign w:val="center"/>
                </w:tcPr>
                <w:p w14:paraId="15065F98">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1051" w:type="dxa"/>
                  <w:tcBorders>
                    <w:tl2br w:val="nil"/>
                    <w:tr2bl w:val="nil"/>
                  </w:tcBorders>
                  <w:noWrap w:val="0"/>
                  <w:vAlign w:val="center"/>
                </w:tcPr>
                <w:p w14:paraId="0A51BF93">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794" w:type="dxa"/>
                  <w:tcBorders>
                    <w:tl2br w:val="nil"/>
                    <w:tr2bl w:val="nil"/>
                  </w:tcBorders>
                  <w:noWrap w:val="0"/>
                  <w:vAlign w:val="center"/>
                </w:tcPr>
                <w:p w14:paraId="3A3E1428">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规模等级</w:t>
                  </w:r>
                </w:p>
              </w:tc>
              <w:tc>
                <w:tcPr>
                  <w:tcW w:w="1363" w:type="dxa"/>
                  <w:tcBorders>
                    <w:tl2br w:val="nil"/>
                    <w:tr2bl w:val="nil"/>
                  </w:tcBorders>
                  <w:noWrap w:val="0"/>
                  <w:vAlign w:val="center"/>
                </w:tcPr>
                <w:p w14:paraId="25D33390">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891" w:type="dxa"/>
                  <w:tcBorders>
                    <w:tl2br w:val="nil"/>
                    <w:tr2bl w:val="nil"/>
                  </w:tcBorders>
                  <w:noWrap w:val="0"/>
                  <w:vAlign w:val="center"/>
                </w:tcPr>
                <w:p w14:paraId="70648DE9">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2030" w:type="dxa"/>
                  <w:tcBorders>
                    <w:tl2br w:val="nil"/>
                    <w:tr2bl w:val="nil"/>
                  </w:tcBorders>
                  <w:noWrap w:val="0"/>
                  <w:vAlign w:val="center"/>
                </w:tcPr>
                <w:p w14:paraId="11414A1F">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r>
            <w:tr w14:paraId="2A45EE2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restart"/>
                  <w:tcBorders>
                    <w:tl2br w:val="nil"/>
                    <w:tr2bl w:val="nil"/>
                  </w:tcBorders>
                  <w:noWrap w:val="0"/>
                  <w:vAlign w:val="center"/>
                </w:tcPr>
                <w:p w14:paraId="400E0432">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56" w:type="dxa"/>
                  <w:vMerge w:val="restart"/>
                  <w:tcBorders>
                    <w:tl2br w:val="nil"/>
                    <w:tr2bl w:val="nil"/>
                  </w:tcBorders>
                  <w:noWrap w:val="0"/>
                  <w:vAlign w:val="center"/>
                </w:tcPr>
                <w:p w14:paraId="71A9F68E">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生物质</w:t>
                  </w:r>
                </w:p>
              </w:tc>
              <w:tc>
                <w:tcPr>
                  <w:tcW w:w="1051" w:type="dxa"/>
                  <w:vMerge w:val="restart"/>
                  <w:tcBorders>
                    <w:tl2br w:val="nil"/>
                    <w:tr2bl w:val="nil"/>
                  </w:tcBorders>
                  <w:noWrap w:val="0"/>
                  <w:vAlign w:val="center"/>
                </w:tcPr>
                <w:p w14:paraId="5486A294">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全部类型锅炉（炉外水处理）</w:t>
                  </w:r>
                </w:p>
              </w:tc>
              <w:tc>
                <w:tcPr>
                  <w:tcW w:w="794" w:type="dxa"/>
                  <w:vMerge w:val="restart"/>
                  <w:tcBorders>
                    <w:tl2br w:val="nil"/>
                    <w:tr2bl w:val="nil"/>
                  </w:tcBorders>
                  <w:noWrap w:val="0"/>
                  <w:vAlign w:val="center"/>
                </w:tcPr>
                <w:p w14:paraId="25C6B8A6">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所有规模</w:t>
                  </w:r>
                </w:p>
              </w:tc>
              <w:tc>
                <w:tcPr>
                  <w:tcW w:w="1363" w:type="dxa"/>
                  <w:tcBorders>
                    <w:tl2br w:val="nil"/>
                    <w:tr2bl w:val="nil"/>
                  </w:tcBorders>
                  <w:noWrap w:val="0"/>
                  <w:vAlign w:val="center"/>
                </w:tcPr>
                <w:p w14:paraId="2A1D7FC3">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工业废水量</w:t>
                  </w:r>
                </w:p>
              </w:tc>
              <w:tc>
                <w:tcPr>
                  <w:tcW w:w="1891" w:type="dxa"/>
                  <w:tcBorders>
                    <w:tl2br w:val="nil"/>
                    <w:tr2bl w:val="nil"/>
                  </w:tcBorders>
                  <w:noWrap w:val="0"/>
                  <w:vAlign w:val="center"/>
                </w:tcPr>
                <w:p w14:paraId="6624DD64">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14:paraId="37A3330D">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0.356</w:t>
                  </w:r>
                </w:p>
                <w:p w14:paraId="5435E94F">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（锅炉排污水0.259+软化处理废水（纯水制备废水）0.097）</w:t>
                  </w:r>
                </w:p>
              </w:tc>
            </w:tr>
            <w:tr w14:paraId="2EC5E23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32" w:type="dxa"/>
                  <w:vMerge w:val="continue"/>
                  <w:tcBorders>
                    <w:tl2br w:val="nil"/>
                    <w:tr2bl w:val="nil"/>
                  </w:tcBorders>
                  <w:noWrap w:val="0"/>
                  <w:vAlign w:val="center"/>
                </w:tcPr>
                <w:p w14:paraId="6B423EBD">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56" w:type="dxa"/>
                  <w:vMerge w:val="continue"/>
                  <w:tcBorders>
                    <w:tl2br w:val="nil"/>
                    <w:tr2bl w:val="nil"/>
                  </w:tcBorders>
                  <w:noWrap w:val="0"/>
                  <w:vAlign w:val="center"/>
                </w:tcPr>
                <w:p w14:paraId="7D2B60BC">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51" w:type="dxa"/>
                  <w:vMerge w:val="continue"/>
                  <w:tcBorders>
                    <w:tl2br w:val="nil"/>
                    <w:tr2bl w:val="nil"/>
                  </w:tcBorders>
                  <w:noWrap w:val="0"/>
                  <w:vAlign w:val="center"/>
                </w:tcPr>
                <w:p w14:paraId="5DD3CBBE">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94" w:type="dxa"/>
                  <w:vMerge w:val="continue"/>
                  <w:tcBorders>
                    <w:tl2br w:val="nil"/>
                    <w:tr2bl w:val="nil"/>
                  </w:tcBorders>
                  <w:noWrap w:val="0"/>
                  <w:vAlign w:val="center"/>
                </w:tcPr>
                <w:p w14:paraId="592908DE">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363" w:type="dxa"/>
                  <w:tcBorders>
                    <w:tl2br w:val="nil"/>
                    <w:tr2bl w:val="nil"/>
                  </w:tcBorders>
                  <w:noWrap w:val="0"/>
                  <w:vAlign w:val="center"/>
                </w:tcPr>
                <w:p w14:paraId="6AA360BE">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b w:val="0"/>
                      <w:bCs w:val="0"/>
                      <w:iCs/>
                      <w:color w:val="auto"/>
                      <w:sz w:val="21"/>
                      <w:szCs w:val="21"/>
                      <w:highlight w:val="none"/>
                      <w:lang w:val="en-US" w:eastAsia="zh-CN"/>
                    </w:rPr>
                    <w:t>化学需氧量</w:t>
                  </w:r>
                </w:p>
              </w:tc>
              <w:tc>
                <w:tcPr>
                  <w:tcW w:w="1891" w:type="dxa"/>
                  <w:tcBorders>
                    <w:tl2br w:val="nil"/>
                    <w:tr2bl w:val="nil"/>
                  </w:tcBorders>
                  <w:noWrap w:val="0"/>
                  <w:vAlign w:val="center"/>
                </w:tcPr>
                <w:p w14:paraId="4A633B2B">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30" w:type="dxa"/>
                  <w:tcBorders>
                    <w:tl2br w:val="nil"/>
                    <w:tr2bl w:val="nil"/>
                  </w:tcBorders>
                  <w:noWrap w:val="0"/>
                  <w:vAlign w:val="center"/>
                </w:tcPr>
                <w:p w14:paraId="09416012">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30</w:t>
                  </w:r>
                </w:p>
              </w:tc>
            </w:tr>
            <w:tr w14:paraId="2BFDEB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517" w:type="dxa"/>
                  <w:gridSpan w:val="7"/>
                  <w:tcBorders>
                    <w:tl2br w:val="nil"/>
                    <w:tr2bl w:val="nil"/>
                  </w:tcBorders>
                  <w:noWrap w:val="0"/>
                  <w:vAlign w:val="center"/>
                </w:tcPr>
                <w:p w14:paraId="2A3F866F">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rPr>
                    <w:t>注：</w:t>
                  </w:r>
                  <w:r>
                    <w:rPr>
                      <w:rFonts w:hint="default" w:ascii="Times New Roman" w:hAnsi="Times New Roman" w:eastAsia="宋体" w:cs="Times New Roman"/>
                      <w:color w:val="auto"/>
                      <w:szCs w:val="21"/>
                      <w:lang w:val="en-US" w:eastAsia="zh-CN"/>
                    </w:rPr>
                    <w:t>①</w:t>
                  </w:r>
                  <w:r>
                    <w:rPr>
                      <w:rFonts w:hint="default" w:ascii="Times New Roman" w:hAnsi="Times New Roman" w:eastAsia="宋体" w:cs="Times New Roman"/>
                      <w:color w:val="auto"/>
                      <w:szCs w:val="21"/>
                    </w:rPr>
                    <w:t>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，同时锅炉运行过程中同样会产生锅炉排污水。因此对于锅外水处理的情况应同时考虑锅炉排污水和软化处理废水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；表中锅外水处理系数包含锅炉排污水和软化处理废水</w:t>
                  </w:r>
                  <w:r>
                    <w:rPr>
                      <w:rFonts w:hint="default" w:ascii="Times New Roman" w:hAnsi="Times New Roman" w:eastAsia="宋体" w:cs="Times New Roman"/>
                      <w:color w:val="auto"/>
                      <w:szCs w:val="21"/>
                      <w:lang w:eastAsia="zh-CN"/>
                    </w:rPr>
                    <w:t>（纯水制备废水）</w:t>
                  </w:r>
                  <w:r>
                    <w:rPr>
                      <w:rFonts w:hint="default" w:ascii="Times New Roman" w:hAnsi="Times New Roman" w:eastAsia="宋体" w:cs="Times New Roman"/>
                      <w:color w:val="auto"/>
                      <w:szCs w:val="21"/>
                    </w:rPr>
                    <w:t>两部分。</w:t>
                  </w:r>
                </w:p>
              </w:tc>
            </w:tr>
          </w:tbl>
          <w:p w14:paraId="76DF28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trike w:val="0"/>
                <w:dstrike w:val="0"/>
                <w:color w:val="auto"/>
                <w:sz w:val="24"/>
                <w:szCs w:val="24"/>
                <w:u w:val="none"/>
              </w:rPr>
              <w:t>根据生产要求，</w:t>
            </w:r>
            <w:r>
              <w:rPr>
                <w:rFonts w:hint="default" w:ascii="Times New Roman" w:hAnsi="Times New Roman" w:eastAsia="宋体" w:cs="Times New Roman"/>
                <w:strike w:val="0"/>
                <w:dstrike w:val="0"/>
                <w:color w:val="auto"/>
                <w:sz w:val="24"/>
                <w:szCs w:val="24"/>
                <w:u w:val="none"/>
                <w:lang w:val="en-US" w:eastAsia="zh-CN"/>
              </w:rPr>
              <w:t>本</w:t>
            </w:r>
            <w:r>
              <w:rPr>
                <w:rFonts w:hint="default" w:ascii="Times New Roman" w:hAnsi="Times New Roman" w:eastAsia="宋体" w:cs="Times New Roman"/>
                <w:strike w:val="0"/>
                <w:dstrike w:val="0"/>
                <w:color w:val="auto"/>
                <w:sz w:val="24"/>
                <w:szCs w:val="24"/>
                <w:u w:val="none"/>
              </w:rPr>
              <w:t>项目</w:t>
            </w:r>
            <w:r>
              <w:rPr>
                <w:rFonts w:hint="default" w:ascii="Times New Roman" w:hAnsi="Times New Roman" w:eastAsia="宋体" w:cs="Times New Roman"/>
                <w:strike w:val="0"/>
                <w:dstrike w:val="0"/>
                <w:color w:val="auto"/>
                <w:spacing w:val="0"/>
                <w:sz w:val="24"/>
                <w:szCs w:val="24"/>
                <w:u w:val="none"/>
              </w:rPr>
              <w:t>锅炉补充用水均采用</w:t>
            </w:r>
            <w:r>
              <w:rPr>
                <w:rFonts w:hint="default" w:ascii="Times New Roman" w:hAnsi="Times New Roman" w:eastAsia="宋体" w:cs="Times New Roman"/>
                <w:strike w:val="0"/>
                <w:dstrike w:val="0"/>
                <w:color w:val="auto"/>
                <w:spacing w:val="0"/>
                <w:sz w:val="24"/>
                <w:szCs w:val="24"/>
                <w:u w:val="none"/>
                <w:lang w:val="en-US" w:eastAsia="zh-CN"/>
              </w:rPr>
              <w:t>炉外</w:t>
            </w:r>
            <w:r>
              <w:rPr>
                <w:rFonts w:hint="default" w:ascii="Times New Roman" w:hAnsi="Times New Roman" w:eastAsia="宋体" w:cs="Times New Roman"/>
                <w:strike w:val="0"/>
                <w:dstrike w:val="0"/>
                <w:color w:val="auto"/>
                <w:spacing w:val="0"/>
                <w:sz w:val="24"/>
                <w:szCs w:val="24"/>
                <w:highlight w:val="none"/>
                <w:u w:val="none"/>
                <w:lang w:val="en-US" w:eastAsia="zh-CN"/>
              </w:rPr>
              <w:t>制备的</w:t>
            </w:r>
            <w:r>
              <w:rPr>
                <w:rFonts w:hint="default" w:ascii="Times New Roman" w:hAnsi="Times New Roman" w:eastAsia="宋体" w:cs="Times New Roman"/>
                <w:strike w:val="0"/>
                <w:dstrike w:val="0"/>
                <w:color w:val="auto"/>
                <w:spacing w:val="0"/>
                <w:sz w:val="24"/>
                <w:szCs w:val="24"/>
                <w:highlight w:val="none"/>
                <w:u w:val="none"/>
                <w:lang w:eastAsia="zh-CN"/>
              </w:rPr>
              <w:t>软</w:t>
            </w:r>
            <w:r>
              <w:rPr>
                <w:rFonts w:hint="default" w:ascii="Times New Roman" w:hAnsi="Times New Roman" w:eastAsia="宋体" w:cs="Times New Roman"/>
                <w:strike w:val="0"/>
                <w:dstrike w:val="0"/>
                <w:color w:val="auto"/>
                <w:spacing w:val="0"/>
                <w:sz w:val="24"/>
                <w:szCs w:val="24"/>
                <w:highlight w:val="none"/>
                <w:u w:val="none"/>
              </w:rPr>
              <w:t>水</w:t>
            </w:r>
            <w:r>
              <w:rPr>
                <w:rFonts w:hint="default" w:ascii="Times New Roman" w:hAnsi="Times New Roman" w:eastAsia="宋体" w:cs="Times New Roman"/>
                <w:strike w:val="0"/>
                <w:dstrike w:val="0"/>
                <w:color w:val="auto"/>
                <w:sz w:val="24"/>
                <w:szCs w:val="24"/>
                <w:highlight w:val="none"/>
                <w:u w:val="none"/>
              </w:rPr>
              <w:t>。</w:t>
            </w:r>
            <w:r>
              <w:rPr>
                <w:rFonts w:hint="default" w:ascii="Times New Roman" w:hAnsi="Times New Roman" w:eastAsia="宋体" w:cs="Times New Roman"/>
                <w:bCs/>
                <w:color w:val="auto"/>
                <w:spacing w:val="6"/>
                <w:sz w:val="24"/>
                <w:szCs w:val="24"/>
                <w:highlight w:val="none"/>
              </w:rPr>
              <w:t>项目</w:t>
            </w:r>
            <w:r>
              <w:rPr>
                <w:rFonts w:hint="default" w:ascii="Times New Roman" w:hAnsi="Times New Roman" w:eastAsia="宋体" w:cs="Times New Roman"/>
                <w:bCs/>
                <w:color w:val="auto"/>
                <w:spacing w:val="6"/>
                <w:sz w:val="24"/>
                <w:szCs w:val="24"/>
                <w:highlight w:val="none"/>
                <w:lang w:eastAsia="zh-CN"/>
              </w:rPr>
              <w:t>拟</w:t>
            </w:r>
            <w:r>
              <w:rPr>
                <w:rFonts w:hint="default" w:ascii="Times New Roman" w:hAnsi="Times New Roman" w:eastAsia="宋体" w:cs="Times New Roman"/>
                <w:bCs/>
                <w:color w:val="auto"/>
                <w:spacing w:val="6"/>
                <w:sz w:val="24"/>
                <w:szCs w:val="24"/>
                <w:highlight w:val="none"/>
              </w:rPr>
              <w:t>设置</w:t>
            </w:r>
            <w:r>
              <w:rPr>
                <w:rFonts w:hint="eastAsia" w:ascii="Times New Roman" w:hAnsi="Times New Roman" w:eastAsia="宋体" w:cs="Times New Roman"/>
                <w:bCs/>
                <w:color w:val="auto"/>
                <w:spacing w:val="6"/>
                <w:sz w:val="24"/>
                <w:szCs w:val="24"/>
                <w:highlight w:val="none"/>
                <w:lang w:val="en-US" w:eastAsia="zh-CN"/>
              </w:rPr>
              <w:t>1</w:t>
            </w:r>
            <w:r>
              <w:rPr>
                <w:rFonts w:hint="default" w:ascii="Times New Roman" w:hAnsi="Times New Roman" w:eastAsia="宋体" w:cs="Times New Roman"/>
                <w:bCs/>
                <w:color w:val="auto"/>
                <w:spacing w:val="6"/>
                <w:sz w:val="24"/>
                <w:szCs w:val="24"/>
                <w:highlight w:val="none"/>
                <w:lang w:val="en-US" w:eastAsia="zh-CN"/>
              </w:rPr>
              <w:t>台</w:t>
            </w:r>
            <w:r>
              <w:rPr>
                <w:rFonts w:hint="eastAsia" w:cs="Times New Roman"/>
                <w:bCs/>
                <w:color w:val="auto"/>
                <w:spacing w:val="6"/>
                <w:sz w:val="24"/>
                <w:szCs w:val="24"/>
                <w:highlight w:val="none"/>
                <w:lang w:val="en-US" w:eastAsia="zh-CN"/>
              </w:rPr>
              <w:t>3</w:t>
            </w:r>
            <w:r>
              <w:rPr>
                <w:rFonts w:hint="default" w:ascii="Times New Roman" w:hAnsi="Times New Roman" w:eastAsia="宋体" w:cs="Times New Roman"/>
                <w:bCs/>
                <w:color w:val="auto"/>
                <w:spacing w:val="6"/>
                <w:sz w:val="24"/>
                <w:szCs w:val="24"/>
                <w:highlight w:val="none"/>
                <w:lang w:val="en-US" w:eastAsia="zh-CN"/>
              </w:rPr>
              <w:t>t/h的生物质蒸汽锅炉为生产过程提供</w:t>
            </w:r>
            <w:r>
              <w:rPr>
                <w:rFonts w:hint="default" w:ascii="Times New Roman" w:hAnsi="Times New Roman" w:eastAsia="宋体" w:cs="Times New Roman"/>
                <w:color w:val="auto"/>
                <w:sz w:val="24"/>
                <w:szCs w:val="24"/>
                <w:highlight w:val="none"/>
                <w:lang w:eastAsia="zh-CN"/>
              </w:rPr>
              <w:t>热量，</w:t>
            </w:r>
            <w:r>
              <w:rPr>
                <w:rFonts w:hint="default" w:ascii="Times New Roman" w:hAnsi="Times New Roman" w:eastAsia="宋体" w:cs="Times New Roman"/>
                <w:color w:val="auto"/>
                <w:sz w:val="24"/>
                <w:szCs w:val="24"/>
                <w:highlight w:val="none"/>
                <w:lang w:val="en-US" w:eastAsia="zh-CN"/>
              </w:rPr>
              <w:t>生物质用量为</w:t>
            </w:r>
            <w:r>
              <w:rPr>
                <w:rFonts w:hint="eastAsia" w:cs="Times New Roman"/>
                <w:color w:val="auto"/>
                <w:sz w:val="24"/>
                <w:lang w:val="en-US" w:eastAsia="zh-CN"/>
              </w:rPr>
              <w:t>520.7328</w:t>
            </w:r>
            <w:r>
              <w:rPr>
                <w:rFonts w:hint="default" w:ascii="Times New Roman" w:hAnsi="Times New Roman" w:eastAsia="宋体" w:cs="Times New Roman"/>
                <w:color w:val="auto"/>
                <w:sz w:val="24"/>
                <w:lang w:val="en-US" w:eastAsia="zh-CN"/>
              </w:rPr>
              <w:t>kg</w:t>
            </w:r>
            <w:r>
              <w:rPr>
                <w:rFonts w:hint="default" w:ascii="Times New Roman" w:hAnsi="Times New Roman" w:eastAsia="宋体" w:cs="Times New Roman"/>
                <w:color w:val="auto"/>
                <w:sz w:val="24"/>
              </w:rPr>
              <w:t>/h，</w:t>
            </w:r>
            <w:r>
              <w:rPr>
                <w:rFonts w:hint="eastAsia" w:cs="Times New Roman"/>
                <w:color w:val="auto"/>
                <w:sz w:val="24"/>
                <w:lang w:val="en-US" w:eastAsia="zh-CN"/>
              </w:rPr>
              <w:t>4165.8626</w:t>
            </w:r>
            <w:r>
              <w:rPr>
                <w:rFonts w:hint="default" w:ascii="Times New Roman" w:hAnsi="Times New Roman" w:eastAsia="宋体" w:cs="Times New Roman"/>
                <w:color w:val="auto"/>
                <w:sz w:val="24"/>
                <w:lang w:val="en-US" w:eastAsia="zh-CN"/>
              </w:rPr>
              <w:t>kg</w:t>
            </w:r>
            <w:r>
              <w:rPr>
                <w:rFonts w:hint="default" w:ascii="Times New Roman" w:hAnsi="Times New Roman" w:eastAsia="宋体" w:cs="Times New Roman"/>
                <w:color w:val="auto"/>
                <w:sz w:val="24"/>
              </w:rPr>
              <w:t>/d，</w:t>
            </w:r>
            <w:r>
              <w:rPr>
                <w:rFonts w:hint="eastAsia" w:cs="Times New Roman"/>
                <w:color w:val="auto"/>
                <w:sz w:val="24"/>
                <w:lang w:val="en-US" w:eastAsia="zh-CN"/>
              </w:rPr>
              <w:t>1249.7588</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szCs w:val="24"/>
                <w:highlight w:val="none"/>
                <w:lang w:val="en-US" w:eastAsia="zh-CN"/>
              </w:rPr>
              <w:t>，根据上表计算可知则</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323.6875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1.0790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0.1349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纯水制备废水</w:t>
            </w:r>
            <w:r>
              <w:rPr>
                <w:rFonts w:hint="default" w:ascii="Times New Roman" w:hAnsi="Times New Roman" w:eastAsia="宋体" w:cs="Times New Roman"/>
                <w:color w:val="auto"/>
                <w:sz w:val="24"/>
                <w:szCs w:val="24"/>
                <w:highlight w:val="none"/>
                <w:lang w:val="en-US" w:eastAsia="zh-CN"/>
              </w:rPr>
              <w:t>量为</w:t>
            </w:r>
            <w:r>
              <w:rPr>
                <w:rFonts w:hint="eastAsia" w:cs="Times New Roman"/>
                <w:color w:val="auto"/>
                <w:sz w:val="24"/>
                <w:szCs w:val="24"/>
                <w:highlight w:val="none"/>
                <w:lang w:val="en-US" w:eastAsia="zh-CN"/>
              </w:rPr>
              <w:t>121.2266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/a、0.</w:t>
            </w:r>
            <w:r>
              <w:rPr>
                <w:rFonts w:hint="eastAsia" w:cs="Times New Roman"/>
                <w:color w:val="auto"/>
                <w:sz w:val="24"/>
                <w:szCs w:val="24"/>
                <w:highlight w:val="none"/>
                <w:lang w:val="en-US" w:eastAsia="zh-CN"/>
              </w:rPr>
              <w:t>4041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/d、0.0</w:t>
            </w:r>
            <w:r>
              <w:rPr>
                <w:rFonts w:hint="eastAsia" w:cs="Times New Roman"/>
                <w:color w:val="auto"/>
                <w:sz w:val="24"/>
                <w:szCs w:val="24"/>
                <w:highlight w:val="none"/>
                <w:lang w:val="en-US" w:eastAsia="zh-CN"/>
              </w:rPr>
              <w:t>505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每年运行时间为</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天，每天运行</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default" w:ascii="Times New Roman" w:hAnsi="Times New Roman" w:eastAsia="宋体" w:cs="Times New Roman"/>
                <w:color w:val="auto"/>
                <w:sz w:val="24"/>
                <w:szCs w:val="24"/>
                <w:highlight w:val="none"/>
                <w:lang w:val="en-US" w:eastAsia="zh-CN"/>
              </w:rPr>
              <w:t>。</w:t>
            </w:r>
          </w:p>
          <w:p w14:paraId="5DD301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蒸汽平衡</w:t>
            </w:r>
            <w:r>
              <w:rPr>
                <w:rFonts w:hint="default" w:ascii="Times New Roman" w:hAnsi="Times New Roman" w:eastAsia="宋体" w:cs="Times New Roman"/>
                <w:color w:val="auto"/>
                <w:sz w:val="24"/>
                <w:highlight w:val="none"/>
              </w:rPr>
              <w:t>见图</w:t>
            </w:r>
            <w:r>
              <w:rPr>
                <w:rFonts w:hint="default" w:ascii="Times New Roman" w:hAnsi="Times New Roman" w:eastAsia="宋体" w:cs="Times New Roman"/>
                <w:color w:val="auto"/>
                <w:sz w:val="24"/>
                <w:highlight w:val="none"/>
                <w:lang w:val="en-US" w:eastAsia="zh-CN"/>
              </w:rPr>
              <w:t>2-1、2-2、2-3所示</w:t>
            </w:r>
            <w:r>
              <w:rPr>
                <w:rFonts w:hint="default" w:ascii="Times New Roman" w:hAnsi="Times New Roman" w:eastAsia="宋体" w:cs="Times New Roman"/>
                <w:color w:val="auto"/>
                <w:sz w:val="24"/>
                <w:highlight w:val="none"/>
              </w:rPr>
              <w:t>。</w:t>
            </w:r>
          </w:p>
          <w:p w14:paraId="5605D4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5" o:spt="75" type="#_x0000_t75" style="height:189.2pt;width:414.1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14:paraId="6BE9AE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2-1</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w:t>
            </w:r>
            <w:r>
              <w:rPr>
                <w:rFonts w:hint="eastAsia" w:cs="Times New Roman"/>
                <w:b/>
                <w:color w:val="auto"/>
                <w:sz w:val="21"/>
                <w:szCs w:val="21"/>
                <w:lang w:val="en-US" w:eastAsia="zh-CN"/>
              </w:rPr>
              <w:t>h</w:t>
            </w:r>
          </w:p>
          <w:p w14:paraId="28932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6" o:spt="75" type="#_x0000_t75" style="height:189.2pt;width:414.1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14:paraId="516F8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2-2</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/d</w:t>
            </w:r>
          </w:p>
          <w:p w14:paraId="4C469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189.2pt;width:414.1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14:paraId="666CA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图</w:t>
            </w:r>
            <w:r>
              <w:rPr>
                <w:rFonts w:hint="default" w:ascii="Times New Roman" w:hAnsi="Times New Roman" w:eastAsia="宋体" w:cs="Times New Roman"/>
                <w:b/>
                <w:color w:val="auto"/>
                <w:sz w:val="21"/>
                <w:szCs w:val="21"/>
                <w:lang w:val="en-US" w:eastAsia="zh-CN"/>
              </w:rPr>
              <w:t>2-3</w:t>
            </w:r>
            <w:r>
              <w:rPr>
                <w:rFonts w:hint="default" w:ascii="Times New Roman" w:hAnsi="Times New Roman" w:eastAsia="宋体" w:cs="Times New Roman"/>
                <w:b/>
                <w:color w:val="auto"/>
                <w:sz w:val="21"/>
                <w:szCs w:val="21"/>
              </w:rPr>
              <w:t xml:space="preserve">   项目蒸汽平衡图</w:t>
            </w:r>
            <w:r>
              <w:rPr>
                <w:rFonts w:hint="default" w:ascii="Times New Roman" w:hAnsi="Times New Roman" w:eastAsia="宋体" w:cs="Times New Roman"/>
                <w:b/>
                <w:color w:val="auto"/>
                <w:sz w:val="21"/>
                <w:szCs w:val="21"/>
                <w:lang w:val="en-US" w:eastAsia="zh-CN"/>
              </w:rPr>
              <w:t xml:space="preserve">   单位：:m</w:t>
            </w:r>
            <w:r>
              <w:rPr>
                <w:rFonts w:hint="default" w:ascii="Times New Roman" w:hAnsi="Times New Roman" w:eastAsia="宋体" w:cs="Times New Roman"/>
                <w:b/>
                <w:color w:val="auto"/>
                <w:sz w:val="21"/>
                <w:szCs w:val="21"/>
                <w:vertAlign w:val="superscript"/>
                <w:lang w:val="en-US" w:eastAsia="zh-CN"/>
              </w:rPr>
              <w:t>3</w:t>
            </w:r>
            <w:r>
              <w:rPr>
                <w:rFonts w:hint="default" w:ascii="Times New Roman" w:hAnsi="Times New Roman" w:eastAsia="宋体" w:cs="Times New Roman"/>
                <w:b/>
                <w:color w:val="auto"/>
                <w:sz w:val="21"/>
                <w:szCs w:val="21"/>
                <w:lang w:val="en-US" w:eastAsia="zh-CN"/>
              </w:rPr>
              <w:t>/</w:t>
            </w:r>
            <w:r>
              <w:rPr>
                <w:rFonts w:hint="eastAsia" w:cs="Times New Roman"/>
                <w:b/>
                <w:color w:val="auto"/>
                <w:sz w:val="21"/>
                <w:szCs w:val="21"/>
                <w:lang w:val="en-US" w:eastAsia="zh-CN"/>
              </w:rPr>
              <w:t>a</w:t>
            </w:r>
          </w:p>
          <w:p w14:paraId="5F912A7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rPr>
              <w:t>根据项目蒸汽平衡图可知，锅炉用水量为</w:t>
            </w:r>
            <w:r>
              <w:rPr>
                <w:rFonts w:hint="eastAsia" w:cs="Times New Roman"/>
                <w:color w:val="auto"/>
                <w:sz w:val="24"/>
                <w:szCs w:val="24"/>
                <w:highlight w:val="none"/>
                <w:lang w:val="en-US" w:eastAsia="zh-CN"/>
              </w:rPr>
              <w:t>3.1854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25.4832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（其中新水补充量为</w:t>
            </w:r>
            <w:r>
              <w:rPr>
                <w:rFonts w:hint="eastAsia" w:cs="Times New Roman"/>
                <w:color w:val="auto"/>
                <w:sz w:val="24"/>
                <w:szCs w:val="24"/>
                <w:highlight w:val="none"/>
                <w:lang w:val="en-US" w:eastAsia="zh-CN"/>
              </w:rPr>
              <w:t>0.7104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5.6832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，循环补水量为</w:t>
            </w:r>
            <w:r>
              <w:rPr>
                <w:rFonts w:hint="eastAsia" w:cs="Times New Roman"/>
                <w:color w:val="auto"/>
                <w:sz w:val="24"/>
                <w:szCs w:val="24"/>
                <w:highlight w:val="none"/>
                <w:lang w:val="en-US" w:eastAsia="zh-CN"/>
              </w:rPr>
              <w:t>2.475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19.8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纯水制备</w:t>
            </w:r>
            <w:r>
              <w:rPr>
                <w:rFonts w:hint="default" w:ascii="Times New Roman" w:hAnsi="Times New Roman" w:eastAsia="宋体" w:cs="Times New Roman"/>
                <w:color w:val="auto"/>
                <w:sz w:val="24"/>
                <w:szCs w:val="24"/>
                <w:highlight w:val="none"/>
                <w:lang w:val="en-US" w:eastAsia="zh-CN"/>
              </w:rPr>
              <w:t>系统</w:t>
            </w:r>
            <w:r>
              <w:rPr>
                <w:rFonts w:hint="default" w:ascii="Times New Roman" w:hAnsi="Times New Roman" w:eastAsia="宋体"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0505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1349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1.0792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/d；蒸汽冷凝水产生量为</w:t>
            </w:r>
            <w:r>
              <w:rPr>
                <w:rFonts w:hint="eastAsia" w:cs="Times New Roman"/>
                <w:color w:val="auto"/>
                <w:sz w:val="24"/>
                <w:szCs w:val="24"/>
                <w:highlight w:val="none"/>
                <w:lang w:val="en-US" w:eastAsia="zh-CN"/>
              </w:rPr>
              <w:t>2.475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19.8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val="zh-CN"/>
              </w:rPr>
              <w:t>软水制备系统</w:t>
            </w:r>
            <w:r>
              <w:rPr>
                <w:rFonts w:hint="default" w:ascii="Times New Roman" w:hAnsi="Times New Roman" w:eastAsia="宋体" w:cs="Times New Roman"/>
                <w:b w:val="0"/>
                <w:bCs w:val="0"/>
                <w:color w:val="auto"/>
                <w:sz w:val="24"/>
                <w:szCs w:val="24"/>
                <w:highlight w:val="none"/>
                <w:lang w:val="en-US" w:eastAsia="zh-CN"/>
              </w:rPr>
              <w:t>废水、锅炉排污水</w:t>
            </w:r>
            <w:r>
              <w:rPr>
                <w:rFonts w:hint="default" w:ascii="Times New Roman" w:hAnsi="Times New Roman" w:eastAsia="宋体" w:cs="Times New Roman"/>
                <w:color w:val="auto"/>
                <w:sz w:val="24"/>
                <w:szCs w:val="24"/>
                <w:highlight w:val="none"/>
                <w:lang w:val="en-US" w:eastAsia="zh-CN"/>
              </w:rPr>
              <w:t>全部收集进入污水处理设施进行处理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蒸汽冷凝水回用于锅炉补充水。</w:t>
            </w:r>
          </w:p>
          <w:p w14:paraId="5E92AE3F">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eastAsia" w:ascii="Times New Roman" w:hAnsi="Times New Roman" w:eastAsia="宋体" w:cs="Times New Roman"/>
                <w:b/>
                <w:bCs/>
                <w:snapToGrid w:val="0"/>
                <w:color w:val="auto"/>
                <w:sz w:val="24"/>
                <w:highlight w:val="yellow"/>
                <w:lang w:val="en-US" w:eastAsia="zh-CN"/>
              </w:rPr>
            </w:pPr>
            <w:r>
              <w:rPr>
                <w:rFonts w:hint="eastAsia" w:cs="Times New Roman"/>
                <w:color w:val="auto"/>
                <w:sz w:val="24"/>
                <w:szCs w:val="24"/>
                <w:highlight w:val="none"/>
                <w:lang w:val="en-US" w:eastAsia="zh-CN"/>
              </w:rPr>
              <w:t>②</w:t>
            </w:r>
            <w:r>
              <w:rPr>
                <w:rFonts w:hint="eastAsia"/>
                <w:color w:val="auto"/>
                <w:sz w:val="24"/>
              </w:rPr>
              <w:t>脱胶脱磷用水</w:t>
            </w:r>
            <w:r>
              <w:rPr>
                <w:rFonts w:hint="eastAsia"/>
                <w:color w:val="auto"/>
                <w:sz w:val="24"/>
                <w:lang w:eastAsia="zh-CN"/>
              </w:rPr>
              <w:t>（精炼牛油）</w:t>
            </w:r>
          </w:p>
          <w:p w14:paraId="13577513">
            <w:pPr>
              <w:adjustRightInd w:val="0"/>
              <w:snapToGrid w:val="0"/>
              <w:spacing w:line="360" w:lineRule="auto"/>
              <w:ind w:firstLine="480" w:firstLineChars="200"/>
              <w:rPr>
                <w:color w:val="auto"/>
                <w:sz w:val="24"/>
              </w:rPr>
            </w:pPr>
            <w:r>
              <w:rPr>
                <w:rFonts w:hint="eastAsia"/>
                <w:color w:val="auto"/>
                <w:sz w:val="24"/>
              </w:rPr>
              <w:t>脱胶脱磷罐内按35㎏/t毛油比例注入热盐水（盐水比例 1:7，由开水</w:t>
            </w:r>
            <w:r>
              <w:rPr>
                <w:rFonts w:hint="eastAsia"/>
                <w:color w:val="auto"/>
                <w:sz w:val="24"/>
                <w:lang w:eastAsia="zh-CN"/>
              </w:rPr>
              <w:t>（锅炉加热）</w:t>
            </w:r>
            <w:r>
              <w:rPr>
                <w:rFonts w:hint="eastAsia"/>
                <w:color w:val="auto"/>
                <w:sz w:val="24"/>
              </w:rPr>
              <w:t>兑制），不断搅拌，在搅拌器搅拌下油水混合、形成水乳状，再经沉淀后脂肪酸中重组分聚沉而形成沉淀，静止分层后，重组分沉淀、盐水均比油脂重而沉于脱胶罐下部，项目毛油约4000t/a，1</w:t>
            </w:r>
            <w:r>
              <w:rPr>
                <w:rFonts w:hint="eastAsia"/>
                <w:color w:val="auto"/>
                <w:sz w:val="24"/>
                <w:lang w:val="en-US" w:eastAsia="zh-CN"/>
              </w:rPr>
              <w:t>3.33</w:t>
            </w:r>
            <w:r>
              <w:rPr>
                <w:rFonts w:hint="eastAsia"/>
                <w:color w:val="auto"/>
                <w:sz w:val="24"/>
              </w:rPr>
              <w:t>t/d。则脱胶脱磷用水量为0.</w:t>
            </w:r>
            <w:r>
              <w:rPr>
                <w:rFonts w:hint="eastAsia"/>
                <w:color w:val="auto"/>
                <w:sz w:val="24"/>
                <w:lang w:val="en-US" w:eastAsia="zh-CN"/>
              </w:rPr>
              <w:t>4082</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122.4694</w:t>
            </w:r>
            <w:r>
              <w:rPr>
                <w:rFonts w:hint="eastAsia"/>
                <w:color w:val="auto"/>
                <w:sz w:val="24"/>
              </w:rPr>
              <w:t>m</w:t>
            </w:r>
            <w:r>
              <w:rPr>
                <w:rFonts w:hint="eastAsia"/>
                <w:color w:val="auto"/>
                <w:sz w:val="24"/>
                <w:vertAlign w:val="superscript"/>
              </w:rPr>
              <w:t>3</w:t>
            </w:r>
            <w:r>
              <w:rPr>
                <w:rFonts w:hint="eastAsia"/>
                <w:color w:val="auto"/>
                <w:sz w:val="24"/>
              </w:rPr>
              <w:t>/a，产污系数按80%计</w:t>
            </w:r>
            <w:r>
              <w:rPr>
                <w:rFonts w:hint="eastAsia"/>
                <w:color w:val="auto"/>
                <w:sz w:val="24"/>
                <w:lang w:eastAsia="zh-CN"/>
              </w:rPr>
              <w:t>（参考</w:t>
            </w:r>
            <w:r>
              <w:rPr>
                <w:rFonts w:hint="eastAsia" w:ascii="Times New Roman" w:hAnsi="Times New Roman" w:cs="宋体"/>
                <w:color w:val="auto"/>
                <w:sz w:val="24"/>
                <w:lang w:eastAsia="zh-CN"/>
              </w:rPr>
              <w:t>《</w:t>
            </w:r>
            <w:r>
              <w:rPr>
                <w:rFonts w:hint="eastAsia" w:ascii="Times New Roman" w:hAnsi="Times New Roman" w:cs="宋体"/>
                <w:color w:val="auto"/>
                <w:sz w:val="24"/>
              </w:rPr>
              <w:t>云南云味牛年加工精炼牛油4000吨建设项目</w:t>
            </w:r>
            <w:r>
              <w:rPr>
                <w:rFonts w:hint="default" w:ascii="Times New Roman" w:hAnsi="Times New Roman" w:cs="宋体"/>
                <w:color w:val="auto"/>
                <w:sz w:val="24"/>
                <w:lang w:val="en-US" w:eastAsia="zh-CN"/>
              </w:rPr>
              <w:t>竣工环境保护验收</w:t>
            </w:r>
            <w:r>
              <w:rPr>
                <w:rFonts w:hint="eastAsia" w:cs="宋体"/>
                <w:color w:val="auto"/>
                <w:sz w:val="24"/>
              </w:rPr>
              <w:t>》</w:t>
            </w:r>
            <w:r>
              <w:rPr>
                <w:rFonts w:hint="eastAsia" w:cs="宋体"/>
                <w:color w:val="auto"/>
                <w:sz w:val="24"/>
                <w:lang w:eastAsia="zh-CN"/>
              </w:rPr>
              <w:t>后实际运营参数</w:t>
            </w:r>
            <w:r>
              <w:rPr>
                <w:rFonts w:hint="eastAsia"/>
                <w:color w:val="auto"/>
                <w:sz w:val="24"/>
                <w:lang w:eastAsia="zh-CN"/>
              </w:rPr>
              <w:t>）</w:t>
            </w:r>
            <w:r>
              <w:rPr>
                <w:rFonts w:hint="eastAsia"/>
                <w:color w:val="auto"/>
                <w:sz w:val="24"/>
              </w:rPr>
              <w:t>，则脱胶脱磷废水产生量为0.</w:t>
            </w:r>
            <w:r>
              <w:rPr>
                <w:rFonts w:hint="eastAsia"/>
                <w:color w:val="auto"/>
                <w:sz w:val="24"/>
                <w:lang w:val="en-US" w:eastAsia="zh-CN"/>
              </w:rPr>
              <w:t>3266</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97.9680</w:t>
            </w:r>
            <w:r>
              <w:rPr>
                <w:rFonts w:hint="eastAsia"/>
                <w:color w:val="auto"/>
                <w:sz w:val="24"/>
              </w:rPr>
              <w:t>m</w:t>
            </w:r>
            <w:r>
              <w:rPr>
                <w:rFonts w:hint="eastAsia"/>
                <w:color w:val="auto"/>
                <w:sz w:val="24"/>
                <w:vertAlign w:val="superscript"/>
              </w:rPr>
              <w:t>3</w:t>
            </w:r>
            <w:r>
              <w:rPr>
                <w:rFonts w:hint="eastAsia"/>
                <w:color w:val="auto"/>
                <w:sz w:val="24"/>
              </w:rPr>
              <w:t>/a。</w:t>
            </w:r>
          </w:p>
          <w:p w14:paraId="3E78417D">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③</w:t>
            </w:r>
            <w:r>
              <w:rPr>
                <w:rFonts w:hint="eastAsia"/>
                <w:color w:val="auto"/>
                <w:sz w:val="24"/>
              </w:rPr>
              <w:t>真空泵机组用水</w:t>
            </w:r>
          </w:p>
          <w:p w14:paraId="7309914E">
            <w:pPr>
              <w:adjustRightInd w:val="0"/>
              <w:snapToGrid w:val="0"/>
              <w:spacing w:line="360" w:lineRule="auto"/>
              <w:ind w:firstLine="480" w:firstLineChars="200"/>
              <w:rPr>
                <w:color w:val="auto"/>
                <w:sz w:val="24"/>
              </w:rPr>
            </w:pPr>
            <w:r>
              <w:rPr>
                <w:rFonts w:hint="eastAsia"/>
                <w:color w:val="auto"/>
                <w:sz w:val="24"/>
              </w:rPr>
              <w:t>本项目共2台水喷射式真空泵机组，每台水箱容积为1m</w:t>
            </w:r>
            <w:r>
              <w:rPr>
                <w:rFonts w:hint="eastAsia"/>
                <w:color w:val="auto"/>
                <w:sz w:val="24"/>
                <w:vertAlign w:val="superscript"/>
              </w:rPr>
              <w:t>3</w:t>
            </w:r>
            <w:r>
              <w:rPr>
                <w:rFonts w:hint="eastAsia"/>
                <w:color w:val="auto"/>
                <w:sz w:val="24"/>
              </w:rPr>
              <w:t>。水箱内水循环使用，但由于其运行过程中将带入</w:t>
            </w:r>
            <w:r>
              <w:rPr>
                <w:rFonts w:hint="eastAsia"/>
                <w:color w:val="auto"/>
                <w:sz w:val="24"/>
                <w:lang w:eastAsia="zh-CN"/>
              </w:rPr>
              <w:t>油气</w:t>
            </w:r>
            <w:r>
              <w:rPr>
                <w:rFonts w:hint="eastAsia"/>
                <w:color w:val="auto"/>
                <w:sz w:val="24"/>
              </w:rPr>
              <w:t>分离器和列管冷凝器未去除的少量油脂，故应定期更换，更换频率为10天1次。</w:t>
            </w:r>
            <w:r>
              <w:rPr>
                <w:rFonts w:hint="eastAsia"/>
                <w:color w:val="auto"/>
                <w:sz w:val="24"/>
                <w:lang w:eastAsia="zh-CN"/>
              </w:rPr>
              <w:t>两台</w:t>
            </w:r>
            <w:r>
              <w:rPr>
                <w:rFonts w:hint="eastAsia"/>
                <w:color w:val="auto"/>
                <w:sz w:val="24"/>
              </w:rPr>
              <w:t>蒸发损失按20%计，则真空泵机组用水量为0.6m</w:t>
            </w:r>
            <w:r>
              <w:rPr>
                <w:rFonts w:hint="eastAsia"/>
                <w:color w:val="auto"/>
                <w:sz w:val="24"/>
                <w:vertAlign w:val="superscript"/>
              </w:rPr>
              <w:t>3</w:t>
            </w:r>
            <w:r>
              <w:rPr>
                <w:rFonts w:hint="eastAsia"/>
                <w:color w:val="auto"/>
                <w:sz w:val="24"/>
              </w:rPr>
              <w:t>/d，废水产生量为0.2m</w:t>
            </w:r>
            <w:r>
              <w:rPr>
                <w:rFonts w:hint="eastAsia"/>
                <w:color w:val="auto"/>
                <w:sz w:val="24"/>
                <w:vertAlign w:val="superscript"/>
              </w:rPr>
              <w:t>3</w:t>
            </w:r>
            <w:r>
              <w:rPr>
                <w:rFonts w:hint="eastAsia"/>
                <w:color w:val="auto"/>
                <w:sz w:val="24"/>
              </w:rPr>
              <w:t>/d。</w:t>
            </w:r>
            <w:r>
              <w:rPr>
                <w:rFonts w:hint="eastAsia"/>
                <w:bCs/>
                <w:color w:val="auto"/>
                <w:sz w:val="24"/>
              </w:rPr>
              <w:t>综上，水喷射式真空泵废水产生总量为0.2m</w:t>
            </w:r>
            <w:r>
              <w:rPr>
                <w:rFonts w:hint="eastAsia"/>
                <w:bCs/>
                <w:color w:val="auto"/>
                <w:sz w:val="24"/>
                <w:vertAlign w:val="superscript"/>
              </w:rPr>
              <w:t>3</w:t>
            </w:r>
            <w:r>
              <w:rPr>
                <w:rFonts w:hint="eastAsia"/>
                <w:bCs/>
                <w:color w:val="auto"/>
                <w:sz w:val="24"/>
              </w:rPr>
              <w:t>/d，</w:t>
            </w:r>
            <w:r>
              <w:rPr>
                <w:rFonts w:hint="eastAsia"/>
                <w:bCs/>
                <w:color w:val="auto"/>
                <w:sz w:val="24"/>
                <w:lang w:val="en-US" w:eastAsia="zh-CN"/>
              </w:rPr>
              <w:t>60</w:t>
            </w:r>
            <w:r>
              <w:rPr>
                <w:color w:val="auto"/>
                <w:sz w:val="24"/>
              </w:rPr>
              <w:t>m</w:t>
            </w:r>
            <w:r>
              <w:rPr>
                <w:color w:val="auto"/>
                <w:sz w:val="24"/>
                <w:vertAlign w:val="superscript"/>
              </w:rPr>
              <w:t>3</w:t>
            </w:r>
            <w:r>
              <w:rPr>
                <w:color w:val="auto"/>
                <w:sz w:val="24"/>
              </w:rPr>
              <w:t>/a</w:t>
            </w:r>
            <w:r>
              <w:rPr>
                <w:rFonts w:hint="eastAsia"/>
                <w:bCs/>
                <w:color w:val="auto"/>
                <w:sz w:val="24"/>
              </w:rPr>
              <w:t>。</w:t>
            </w:r>
          </w:p>
          <w:p w14:paraId="7EE35217">
            <w:pPr>
              <w:adjustRightInd w:val="0"/>
              <w:snapToGrid w:val="0"/>
              <w:spacing w:line="360" w:lineRule="auto"/>
              <w:ind w:firstLine="480" w:firstLineChars="200"/>
              <w:rPr>
                <w:rFonts w:hint="eastAsia"/>
                <w:color w:val="auto"/>
                <w:sz w:val="24"/>
              </w:rPr>
            </w:pPr>
            <w:r>
              <w:rPr>
                <w:rFonts w:hint="eastAsia" w:cs="Times New Roman"/>
                <w:b w:val="0"/>
                <w:bCs w:val="0"/>
                <w:snapToGrid w:val="0"/>
                <w:color w:val="auto"/>
                <w:sz w:val="24"/>
                <w:highlight w:val="none"/>
                <w:lang w:val="en-US" w:eastAsia="zh-CN"/>
              </w:rPr>
              <w:t>④</w:t>
            </w:r>
            <w:r>
              <w:rPr>
                <w:rFonts w:hint="eastAsia"/>
                <w:color w:val="auto"/>
                <w:sz w:val="24"/>
              </w:rPr>
              <w:t>熔炼冷凝废水</w:t>
            </w:r>
          </w:p>
          <w:p w14:paraId="68130498">
            <w:pPr>
              <w:adjustRightInd w:val="0"/>
              <w:snapToGrid w:val="0"/>
              <w:spacing w:line="360" w:lineRule="auto"/>
              <w:ind w:firstLine="480" w:firstLineChars="200"/>
              <w:rPr>
                <w:rFonts w:hint="eastAsia" w:eastAsia="宋体"/>
                <w:color w:val="auto"/>
                <w:sz w:val="24"/>
                <w:lang w:val="en-US" w:eastAsia="zh-CN"/>
              </w:rPr>
            </w:pPr>
            <w:r>
              <w:rPr>
                <w:rFonts w:hint="eastAsia"/>
                <w:color w:val="auto"/>
                <w:sz w:val="24"/>
                <w:lang w:val="en-US" w:eastAsia="zh-CN"/>
              </w:rPr>
              <w:t>A：</w:t>
            </w:r>
            <w:r>
              <w:rPr>
                <w:rFonts w:hint="eastAsia"/>
                <w:color w:val="auto"/>
                <w:sz w:val="24"/>
                <w:lang w:eastAsia="zh-CN"/>
              </w:rPr>
              <w:t>精炼牛油</w:t>
            </w:r>
          </w:p>
          <w:p w14:paraId="23045558">
            <w:pPr>
              <w:adjustRightInd w:val="0"/>
              <w:snapToGrid w:val="0"/>
              <w:spacing w:line="360" w:lineRule="auto"/>
              <w:ind w:firstLine="480" w:firstLineChars="200"/>
              <w:rPr>
                <w:color w:val="auto"/>
                <w:sz w:val="24"/>
              </w:rPr>
            </w:pPr>
            <w:r>
              <w:rPr>
                <w:rFonts w:hint="eastAsia"/>
                <w:color w:val="auto"/>
                <w:sz w:val="24"/>
              </w:rPr>
              <w:t>根据业主提供资料，原材料鲜牛油含水率约20%，本项目鲜牛油熔炼量为5000t/a，则脂肪预热及负压熔炼产生的蒸发量为1000t/a，水蒸气经分离冷凝装置处理后（冷凝率90%），冷凝废水产生量约为900t/a</w:t>
            </w:r>
            <w:r>
              <w:rPr>
                <w:rFonts w:hint="eastAsia"/>
                <w:color w:val="auto"/>
                <w:sz w:val="24"/>
                <w:lang w:eastAsia="zh-CN"/>
              </w:rPr>
              <w:t>，</w:t>
            </w:r>
            <w:r>
              <w:rPr>
                <w:rFonts w:hint="eastAsia"/>
                <w:color w:val="auto"/>
                <w:sz w:val="24"/>
                <w:lang w:val="en-US" w:eastAsia="zh-CN"/>
              </w:rPr>
              <w:t>3.0m</w:t>
            </w:r>
            <w:r>
              <w:rPr>
                <w:rFonts w:hint="eastAsia"/>
                <w:color w:val="auto"/>
                <w:sz w:val="24"/>
                <w:vertAlign w:val="superscript"/>
                <w:lang w:val="en-US" w:eastAsia="zh-CN"/>
              </w:rPr>
              <w:t>3</w:t>
            </w:r>
            <w:r>
              <w:rPr>
                <w:rFonts w:hint="eastAsia"/>
                <w:color w:val="auto"/>
                <w:sz w:val="24"/>
                <w:lang w:val="en-US" w:eastAsia="zh-CN"/>
              </w:rPr>
              <w:t>/d</w:t>
            </w:r>
            <w:r>
              <w:rPr>
                <w:rFonts w:hint="eastAsia"/>
                <w:color w:val="auto"/>
                <w:sz w:val="24"/>
              </w:rPr>
              <w:t>。</w:t>
            </w:r>
          </w:p>
          <w:p w14:paraId="38F5DF7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B：动物饲料油脂</w:t>
            </w:r>
          </w:p>
          <w:p w14:paraId="4DAC8562">
            <w:pPr>
              <w:adjustRightInd w:val="0"/>
              <w:snapToGrid w:val="0"/>
              <w:spacing w:line="360" w:lineRule="auto"/>
              <w:ind w:firstLine="480" w:firstLineChars="200"/>
              <w:rPr>
                <w:rFonts w:hint="eastAsia" w:cs="Times New Roman"/>
                <w:color w:val="auto"/>
                <w:sz w:val="24"/>
                <w:lang w:eastAsia="zh-CN"/>
              </w:rPr>
            </w:pPr>
            <w:r>
              <w:rPr>
                <w:rFonts w:hint="eastAsia" w:ascii="宋体" w:hAnsi="宋体" w:eastAsia="宋体" w:cs="宋体"/>
                <w:color w:val="auto"/>
                <w:kern w:val="0"/>
                <w:sz w:val="24"/>
                <w:szCs w:val="24"/>
                <w:lang w:val="en-US" w:eastAsia="zh-CN" w:bidi="ar"/>
              </w:rPr>
              <w:t>原</w:t>
            </w:r>
            <w:r>
              <w:rPr>
                <w:rFonts w:hint="eastAsia"/>
                <w:color w:val="auto"/>
                <w:sz w:val="24"/>
                <w:lang w:val="en-US" w:eastAsia="zh-CN"/>
              </w:rPr>
              <w:t>料水分经炼油锅内搅拌和真空抽压的方式蒸发，并通过设备冷凝回收系统处理后全部变成冷凝水。</w:t>
            </w:r>
            <w:r>
              <w:rPr>
                <w:rFonts w:hint="eastAsia"/>
                <w:color w:val="auto"/>
                <w:sz w:val="24"/>
              </w:rPr>
              <w:t>本项</w:t>
            </w:r>
            <w:r>
              <w:rPr>
                <w:rFonts w:hint="eastAsia"/>
                <w:color w:val="auto"/>
                <w:sz w:val="24"/>
                <w:szCs w:val="24"/>
              </w:rPr>
              <w:t>目</w:t>
            </w:r>
            <w:r>
              <w:rPr>
                <w:rFonts w:hint="eastAsia" w:ascii="Times New Roman" w:hAnsi="Times New Roman" w:eastAsia="宋体" w:cs="Times New Roman"/>
                <w:color w:val="auto"/>
                <w:sz w:val="24"/>
                <w:szCs w:val="24"/>
                <w:highlight w:val="none"/>
                <w:vertAlign w:val="baseline"/>
                <w:lang w:val="en-US" w:eastAsia="zh-CN"/>
              </w:rPr>
              <w:t>冷冻动物含油残渣</w:t>
            </w:r>
            <w:r>
              <w:rPr>
                <w:rFonts w:hint="eastAsia"/>
                <w:color w:val="auto"/>
                <w:sz w:val="24"/>
                <w:szCs w:val="24"/>
              </w:rPr>
              <w:t>熔炼量为</w:t>
            </w:r>
            <w:r>
              <w:rPr>
                <w:rFonts w:hint="eastAsia"/>
                <w:color w:val="auto"/>
                <w:sz w:val="24"/>
                <w:szCs w:val="24"/>
                <w:lang w:val="en-US" w:eastAsia="zh-CN"/>
              </w:rPr>
              <w:t>3595.03</w:t>
            </w:r>
            <w:r>
              <w:rPr>
                <w:rFonts w:hint="eastAsia"/>
                <w:color w:val="auto"/>
                <w:sz w:val="24"/>
                <w:szCs w:val="24"/>
              </w:rPr>
              <w:t>t/a，</w:t>
            </w:r>
            <w:r>
              <w:rPr>
                <w:rFonts w:hint="eastAsia"/>
                <w:color w:val="auto"/>
                <w:sz w:val="24"/>
                <w:szCs w:val="24"/>
                <w:lang w:eastAsia="zh-CN"/>
              </w:rPr>
              <w:t>含水率约为</w:t>
            </w:r>
            <w:r>
              <w:rPr>
                <w:rFonts w:hint="eastAsia"/>
                <w:color w:val="auto"/>
                <w:sz w:val="24"/>
                <w:szCs w:val="24"/>
                <w:lang w:val="en-US" w:eastAsia="zh-CN"/>
              </w:rPr>
              <w:t>38%；</w:t>
            </w:r>
            <w:r>
              <w:rPr>
                <w:rFonts w:hint="eastAsia" w:ascii="Times New Roman" w:hAnsi="Times New Roman" w:eastAsia="宋体" w:cs="Times New Roman"/>
                <w:color w:val="auto"/>
                <w:sz w:val="24"/>
                <w:szCs w:val="24"/>
                <w:highlight w:val="none"/>
                <w:vertAlign w:val="baseline"/>
                <w:lang w:val="en-US" w:eastAsia="zh-CN"/>
              </w:rPr>
              <w:t>鲜动物含油残渣</w:t>
            </w:r>
            <w:r>
              <w:rPr>
                <w:rFonts w:hint="eastAsia"/>
                <w:color w:val="auto"/>
                <w:sz w:val="24"/>
                <w:szCs w:val="24"/>
              </w:rPr>
              <w:t>熔炼量为</w:t>
            </w:r>
            <w:r>
              <w:rPr>
                <w:rFonts w:hint="eastAsia"/>
                <w:color w:val="auto"/>
                <w:sz w:val="24"/>
                <w:szCs w:val="24"/>
                <w:lang w:val="en-US" w:eastAsia="zh-CN"/>
              </w:rPr>
              <w:t>1743.59</w:t>
            </w:r>
            <w:r>
              <w:rPr>
                <w:rFonts w:hint="eastAsia"/>
                <w:color w:val="auto"/>
                <w:sz w:val="24"/>
                <w:szCs w:val="24"/>
              </w:rPr>
              <w:t>t/a</w:t>
            </w:r>
            <w:r>
              <w:rPr>
                <w:rFonts w:hint="eastAsia"/>
                <w:color w:val="auto"/>
                <w:sz w:val="24"/>
              </w:rPr>
              <w:t>，</w:t>
            </w:r>
            <w:r>
              <w:rPr>
                <w:rFonts w:hint="eastAsia"/>
                <w:color w:val="auto"/>
                <w:sz w:val="24"/>
                <w:szCs w:val="24"/>
                <w:lang w:eastAsia="zh-CN"/>
              </w:rPr>
              <w:t>含水率约为</w:t>
            </w:r>
            <w:r>
              <w:rPr>
                <w:rFonts w:hint="eastAsia"/>
                <w:color w:val="auto"/>
                <w:sz w:val="24"/>
                <w:szCs w:val="24"/>
                <w:lang w:val="en-US" w:eastAsia="zh-CN"/>
              </w:rPr>
              <w:t>35%；</w:t>
            </w:r>
            <w:r>
              <w:rPr>
                <w:rFonts w:hint="eastAsia"/>
                <w:color w:val="auto"/>
                <w:sz w:val="24"/>
              </w:rPr>
              <w:t>则脂肪预热及熔炼产生的蒸发量为</w:t>
            </w:r>
            <w:r>
              <w:rPr>
                <w:rFonts w:hint="eastAsia"/>
                <w:color w:val="auto"/>
                <w:sz w:val="24"/>
                <w:lang w:val="en-US" w:eastAsia="zh-CN"/>
              </w:rPr>
              <w:t>1976.3679</w:t>
            </w:r>
            <w:r>
              <w:rPr>
                <w:rFonts w:hint="eastAsia"/>
                <w:color w:val="auto"/>
                <w:sz w:val="24"/>
              </w:rPr>
              <w:t>t/a，水蒸气经分离冷凝装置处理后（冷凝率90%），冷凝废水产生量约为</w:t>
            </w:r>
            <w:r>
              <w:rPr>
                <w:rFonts w:hint="eastAsia"/>
                <w:color w:val="auto"/>
                <w:sz w:val="24"/>
                <w:lang w:val="en-US" w:eastAsia="zh-CN"/>
              </w:rPr>
              <w:t>1778.7311</w:t>
            </w:r>
            <w:r>
              <w:rPr>
                <w:rFonts w:hint="eastAsia"/>
                <w:color w:val="auto"/>
                <w:sz w:val="24"/>
              </w:rPr>
              <w:t>t/a</w:t>
            </w:r>
            <w:r>
              <w:rPr>
                <w:rFonts w:hint="eastAsia"/>
                <w:color w:val="auto"/>
                <w:sz w:val="24"/>
                <w:lang w:eastAsia="zh-CN"/>
              </w:rPr>
              <w:t>，</w:t>
            </w:r>
            <w:r>
              <w:rPr>
                <w:rFonts w:hint="eastAsia"/>
                <w:color w:val="auto"/>
                <w:sz w:val="24"/>
                <w:lang w:val="en-US" w:eastAsia="zh-CN"/>
              </w:rPr>
              <w:t>5.929m</w:t>
            </w:r>
            <w:r>
              <w:rPr>
                <w:rFonts w:hint="eastAsia"/>
                <w:color w:val="auto"/>
                <w:sz w:val="24"/>
                <w:vertAlign w:val="superscript"/>
                <w:lang w:val="en-US" w:eastAsia="zh-CN"/>
              </w:rPr>
              <w:t>3</w:t>
            </w:r>
            <w:r>
              <w:rPr>
                <w:rFonts w:hint="eastAsia"/>
                <w:color w:val="auto"/>
                <w:sz w:val="24"/>
                <w:lang w:val="en-US" w:eastAsia="zh-CN"/>
              </w:rPr>
              <w:t>/d</w:t>
            </w:r>
            <w:r>
              <w:rPr>
                <w:rFonts w:hint="eastAsia"/>
                <w:color w:val="auto"/>
                <w:sz w:val="24"/>
              </w:rPr>
              <w:t>。</w:t>
            </w:r>
          </w:p>
          <w:p w14:paraId="07A3609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eastAsia" w:cs="Times New Roman"/>
                <w:color w:val="auto"/>
                <w:sz w:val="24"/>
                <w:lang w:eastAsia="zh-CN"/>
              </w:rPr>
              <w:t>⑤冷却废水</w:t>
            </w:r>
          </w:p>
          <w:p w14:paraId="676F46E0">
            <w:pPr>
              <w:adjustRightInd w:val="0"/>
              <w:snapToGrid w:val="0"/>
              <w:spacing w:line="348"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highlight w:val="none"/>
              </w:rPr>
              <w:t>项目</w:t>
            </w:r>
            <w:r>
              <w:rPr>
                <w:rFonts w:hint="eastAsia"/>
                <w:color w:val="auto"/>
                <w:sz w:val="24"/>
              </w:rPr>
              <w:t>毛油和成品油</w:t>
            </w:r>
            <w:r>
              <w:rPr>
                <w:rFonts w:hint="eastAsia"/>
                <w:color w:val="auto"/>
                <w:sz w:val="24"/>
                <w:lang w:eastAsia="zh-CN"/>
              </w:rPr>
              <w:t>、动物饲料油脂</w:t>
            </w:r>
            <w:r>
              <w:rPr>
                <w:rFonts w:hint="default" w:ascii="Times New Roman" w:hAnsi="Times New Roman" w:eastAsia="宋体" w:cs="Times New Roman"/>
                <w:color w:val="auto"/>
                <w:sz w:val="24"/>
                <w:szCs w:val="24"/>
                <w:highlight w:val="none"/>
                <w:lang w:eastAsia="zh-CN"/>
              </w:rPr>
              <w:t>均需进行冷却，</w:t>
            </w:r>
            <w:r>
              <w:rPr>
                <w:rFonts w:hint="eastAsia" w:ascii="Times New Roman" w:hAnsi="Times New Roman" w:cs="Times New Roman"/>
                <w:color w:val="auto"/>
                <w:sz w:val="24"/>
                <w:szCs w:val="24"/>
                <w:highlight w:val="none"/>
                <w:lang w:eastAsia="zh-CN"/>
              </w:rPr>
              <w:t>本项目为间接冷却，</w:t>
            </w:r>
            <w:r>
              <w:rPr>
                <w:rFonts w:hint="default" w:ascii="Times New Roman" w:hAnsi="Times New Roman" w:eastAsia="宋体" w:cs="Times New Roman"/>
                <w:color w:val="auto"/>
                <w:sz w:val="24"/>
                <w:lang w:bidi="ar"/>
              </w:rPr>
              <w:t>根据《工业循环冷却水处理设计规范》（GB/T 50050-2017），本项目冷却水不与物料直接接触，且冷却水设置冷却塔及冷却循环水池进行冷却，冷却水与空气直接接触，因此本项目冷却系统为间冷开式循环冷却水系统。</w:t>
            </w:r>
          </w:p>
          <w:p w14:paraId="50C2FFB2">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本项目冷却系统用排水情况如下：</w:t>
            </w:r>
          </w:p>
          <w:p w14:paraId="5BF8F688">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A、参照中华人民共和国生态环境部2021年6月11日发布的《排放源统计调查产排污核算方法和系数手册》的公告（公告2021年第24号）中《</w:t>
            </w:r>
            <w:r>
              <w:rPr>
                <w:rFonts w:hint="eastAsia" w:ascii="Times New Roman" w:hAnsi="Times New Roman" w:eastAsia="宋体" w:cs="Times New Roman"/>
                <w:color w:val="auto"/>
                <w:sz w:val="24"/>
                <w:lang w:val="en-US" w:eastAsia="zh-CN"/>
              </w:rPr>
              <w:t>135</w:t>
            </w:r>
            <w:r>
              <w:rPr>
                <w:rFonts w:hint="eastAsia" w:ascii="Times New Roman" w:hAnsi="Times New Roman" w:eastAsia="宋体" w:cs="Times New Roman"/>
                <w:color w:val="auto"/>
                <w:sz w:val="24"/>
                <w:lang w:eastAsia="zh-CN"/>
              </w:rPr>
              <w:t>屠宰及肉类加工</w:t>
            </w:r>
            <w:r>
              <w:rPr>
                <w:rFonts w:hint="default" w:ascii="Times New Roman" w:hAnsi="Times New Roman" w:eastAsia="宋体" w:cs="Times New Roman"/>
                <w:color w:val="auto"/>
                <w:sz w:val="24"/>
              </w:rPr>
              <w:t>行业系数手册》</w:t>
            </w:r>
            <w:r>
              <w:rPr>
                <w:rFonts w:hint="eastAsia" w:ascii="Times New Roman" w:hAnsi="Times New Roman" w:eastAsia="宋体" w:cs="Times New Roman"/>
                <w:color w:val="auto"/>
                <w:sz w:val="24"/>
                <w:lang w:val="en-US" w:eastAsia="zh-CN"/>
              </w:rPr>
              <w:t>1353</w:t>
            </w:r>
            <w:r>
              <w:rPr>
                <w:rFonts w:hint="eastAsia" w:ascii="Times New Roman" w:hAnsi="Times New Roman" w:eastAsia="宋体" w:cs="Times New Roman"/>
                <w:color w:val="auto"/>
                <w:sz w:val="24"/>
                <w:lang w:eastAsia="zh-CN"/>
              </w:rPr>
              <w:t>肉制品及副产品加工</w:t>
            </w:r>
            <w:r>
              <w:rPr>
                <w:rFonts w:hint="default" w:ascii="Times New Roman" w:hAnsi="Times New Roman" w:eastAsia="宋体" w:cs="Times New Roman"/>
                <w:color w:val="auto"/>
                <w:sz w:val="24"/>
              </w:rPr>
              <w:t>行业系数表中的</w:t>
            </w:r>
            <w:r>
              <w:rPr>
                <w:rFonts w:hint="eastAsia" w:ascii="Times New Roman" w:hAnsi="Times New Roman" w:eastAsia="宋体" w:cs="Times New Roman"/>
                <w:color w:val="auto"/>
                <w:sz w:val="24"/>
                <w:lang w:eastAsia="zh-CN"/>
              </w:rPr>
              <w:t>动物油（动物脂肪）</w:t>
            </w:r>
            <w:r>
              <w:rPr>
                <w:rFonts w:hint="eastAsia" w:cs="Times New Roman"/>
                <w:color w:val="auto"/>
                <w:sz w:val="24"/>
                <w:lang w:eastAsia="zh-CN"/>
              </w:rPr>
              <w:t>产品</w:t>
            </w:r>
            <w:r>
              <w:rPr>
                <w:rFonts w:hint="default" w:ascii="Times New Roman" w:hAnsi="Times New Roman" w:eastAsia="宋体" w:cs="Times New Roman"/>
                <w:color w:val="auto"/>
                <w:sz w:val="24"/>
              </w:rPr>
              <w:t>排污系数进行计算</w:t>
            </w:r>
            <w:r>
              <w:rPr>
                <w:rFonts w:hint="default" w:ascii="Times New Roman" w:hAnsi="Times New Roman" w:eastAsia="宋体" w:cs="Times New Roman"/>
                <w:bCs/>
                <w:color w:val="auto"/>
                <w:spacing w:val="6"/>
                <w:sz w:val="24"/>
              </w:rPr>
              <w:t>，</w:t>
            </w:r>
            <w:r>
              <w:rPr>
                <w:rFonts w:hint="default" w:ascii="Times New Roman" w:hAnsi="Times New Roman" w:eastAsia="宋体" w:cs="Times New Roman"/>
                <w:bCs/>
                <w:color w:val="auto"/>
                <w:spacing w:val="6"/>
                <w:sz w:val="24"/>
                <w:highlight w:val="none"/>
                <w:lang w:val="en-US" w:eastAsia="zh-CN"/>
              </w:rPr>
              <w:t>生产过程废水量为</w:t>
            </w:r>
            <w:r>
              <w:rPr>
                <w:rFonts w:hint="eastAsia" w:ascii="Times New Roman" w:hAnsi="Times New Roman" w:eastAsia="宋体" w:cs="Times New Roman"/>
                <w:bCs/>
                <w:color w:val="auto"/>
                <w:spacing w:val="6"/>
                <w:sz w:val="24"/>
                <w:highlight w:val="none"/>
                <w:lang w:val="en-US" w:eastAsia="zh-CN"/>
              </w:rPr>
              <w:t>0.347</w:t>
            </w:r>
            <w:r>
              <w:rPr>
                <w:rFonts w:hint="default" w:ascii="Times New Roman" w:hAnsi="Times New Roman" w:eastAsia="宋体" w:cs="Times New Roman"/>
                <w:bCs/>
                <w:color w:val="auto"/>
                <w:spacing w:val="6"/>
                <w:sz w:val="24"/>
                <w:highlight w:val="none"/>
                <w:lang w:val="en-US" w:eastAsia="zh-CN"/>
              </w:rPr>
              <w:t>t/t-产品</w:t>
            </w:r>
            <w:r>
              <w:rPr>
                <w:rFonts w:hint="default" w:ascii="Times New Roman" w:hAnsi="Times New Roman" w:eastAsia="宋体" w:cs="Times New Roman"/>
                <w:color w:val="auto"/>
                <w:sz w:val="24"/>
              </w:rPr>
              <w:t>，项目年生产</w:t>
            </w:r>
            <w:r>
              <w:rPr>
                <w:rFonts w:hint="eastAsia" w:ascii="Times New Roman" w:hAnsi="Times New Roman" w:eastAsia="宋体" w:cs="Times New Roman"/>
                <w:color w:val="auto"/>
                <w:sz w:val="24"/>
                <w:lang w:eastAsia="zh-CN"/>
              </w:rPr>
              <w:t>精炼牛油</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000t</w:t>
            </w:r>
            <w:r>
              <w:rPr>
                <w:rFonts w:hint="eastAsia" w:ascii="Times New Roman" w:hAnsi="Times New Roman" w:eastAsia="宋体" w:cs="Times New Roman"/>
                <w:color w:val="auto"/>
                <w:sz w:val="24"/>
                <w:lang w:eastAsia="zh-CN"/>
              </w:rPr>
              <w:t>、</w:t>
            </w:r>
            <w:r>
              <w:rPr>
                <w:rFonts w:hint="eastAsia" w:ascii="宋体" w:hAnsi="宋体" w:eastAsia="宋体" w:cs="宋体"/>
                <w:color w:val="auto"/>
                <w:kern w:val="0"/>
                <w:sz w:val="24"/>
                <w:szCs w:val="24"/>
                <w:lang w:val="en-US" w:eastAsia="zh-CN" w:bidi="ar"/>
              </w:rPr>
              <w:t>动物饲料油3000t，</w:t>
            </w:r>
            <w:r>
              <w:rPr>
                <w:rFonts w:hint="default" w:ascii="Times New Roman" w:hAnsi="Times New Roman" w:eastAsia="宋体" w:cs="Times New Roman"/>
                <w:color w:val="auto"/>
                <w:sz w:val="24"/>
              </w:rPr>
              <w:t>则</w:t>
            </w:r>
            <w:r>
              <w:rPr>
                <w:rFonts w:hint="eastAsia" w:ascii="Times New Roman" w:hAnsi="Times New Roman" w:eastAsia="宋体" w:cs="Times New Roman"/>
                <w:color w:val="auto"/>
                <w:sz w:val="24"/>
                <w:lang w:eastAsia="zh-CN"/>
              </w:rPr>
              <w:t>废水量为</w:t>
            </w:r>
            <w:r>
              <w:rPr>
                <w:rFonts w:hint="eastAsia" w:ascii="Times New Roman" w:hAnsi="Times New Roman" w:eastAsia="宋体" w:cs="Times New Roman"/>
                <w:color w:val="auto"/>
                <w:sz w:val="24"/>
                <w:lang w:val="en-US" w:eastAsia="zh-CN"/>
              </w:rPr>
              <w:t>2429</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val="en-US" w:eastAsia="zh-CN"/>
              </w:rPr>
              <w:t>8.0967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1.012</w:t>
            </w:r>
            <w:r>
              <w:rPr>
                <w:rFonts w:hint="eastAsia" w:cs="Times New Roman"/>
                <w:color w:val="auto"/>
                <w:sz w:val="24"/>
                <w:lang w:val="en-US" w:eastAsia="zh-CN"/>
              </w:rPr>
              <w:t>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highlight w:val="none"/>
                <w:lang w:val="en-US" w:eastAsia="zh-CN" w:bidi="en-US"/>
              </w:rPr>
              <w:t>产污率按照80%计算，则</w:t>
            </w:r>
            <w:r>
              <w:rPr>
                <w:rFonts w:hint="default" w:ascii="Times New Roman" w:hAnsi="Times New Roman" w:eastAsia="宋体" w:cs="Times New Roman"/>
                <w:color w:val="auto"/>
                <w:sz w:val="24"/>
              </w:rPr>
              <w:t>冷却水总用量为</w:t>
            </w:r>
            <w:r>
              <w:rPr>
                <w:rFonts w:hint="eastAsia" w:eastAsia="宋体" w:cs="Times New Roman"/>
                <w:color w:val="auto"/>
                <w:sz w:val="24"/>
                <w:szCs w:val="24"/>
                <w:highlight w:val="none"/>
                <w:lang w:val="en-US" w:eastAsia="zh-CN" w:bidi="en-US"/>
              </w:rPr>
              <w:t>3036.2</w:t>
            </w:r>
            <w:r>
              <w:rPr>
                <w:rFonts w:hint="eastAsia" w:cs="Times New Roman"/>
                <w:color w:val="auto"/>
                <w:sz w:val="24"/>
                <w:szCs w:val="24"/>
                <w:highlight w:val="none"/>
                <w:lang w:val="en-US" w:eastAsia="zh-CN" w:bidi="en-US"/>
              </w:rPr>
              <w:t>5</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eastAsia="宋体" w:cs="Times New Roman"/>
                <w:color w:val="auto"/>
                <w:sz w:val="24"/>
                <w:szCs w:val="24"/>
                <w:highlight w:val="none"/>
                <w:lang w:val="en-US" w:eastAsia="zh-CN" w:bidi="en-US"/>
              </w:rPr>
              <w:t>10.1208</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1.2651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该部分用水量包括蒸发损耗补水量及循环水量。项目拟在</w:t>
            </w:r>
            <w:r>
              <w:rPr>
                <w:rFonts w:hint="eastAsia" w:ascii="Times New Roman" w:hAnsi="Times New Roman" w:eastAsia="宋体" w:cs="Times New Roman"/>
                <w:color w:val="auto"/>
                <w:sz w:val="24"/>
                <w:lang w:eastAsia="zh-CN"/>
              </w:rPr>
              <w:t>牛油加工与饲料油脂加工车间之间</w:t>
            </w:r>
            <w:r>
              <w:rPr>
                <w:rFonts w:hint="default" w:ascii="Times New Roman" w:hAnsi="Times New Roman" w:eastAsia="宋体" w:cs="Times New Roman"/>
                <w:color w:val="auto"/>
                <w:sz w:val="24"/>
              </w:rPr>
              <w:t>设置1个容积为</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的冷却循环水池及1个冷却水塔，冷却废水经循环冷却池冷却后大部分循环使用，少量的排污水与生活污水共同进入化粪池处理后排入市政污水管网。冷却过程中由于系统损耗</w:t>
            </w:r>
            <w:r>
              <w:rPr>
                <w:rFonts w:hint="default" w:ascii="Times New Roman" w:hAnsi="Times New Roman" w:eastAsia="宋体" w:cs="Times New Roman"/>
                <w:color w:val="auto"/>
                <w:sz w:val="24"/>
                <w:lang w:bidi="ar"/>
              </w:rPr>
              <w:t>（工件带走、蒸发损耗等）</w:t>
            </w:r>
            <w:r>
              <w:rPr>
                <w:rFonts w:hint="default" w:ascii="Times New Roman" w:hAnsi="Times New Roman" w:eastAsia="宋体" w:cs="Times New Roman"/>
                <w:color w:val="auto"/>
                <w:sz w:val="24"/>
              </w:rPr>
              <w:t>，需要补充新鲜水。</w:t>
            </w:r>
          </w:p>
          <w:p w14:paraId="3261DC27">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B、根据《工业循环冷却水处理设计规范》（GB/T 50050-2017）“3循环冷却水处理”中3.1-11间冷开式系统的设计浓缩倍数不宜大于5.0，且不应小于3.0，因此本项目浓缩倍数N取中间值4.0。</w:t>
            </w:r>
          </w:p>
          <w:p w14:paraId="6E1C652B">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C、根据《工业循环冷却水处理设计规范》（GB/T 50050-2017）“5补充水处理”中5.0.6开式系统的补充水量可按下列公式计算：</w:t>
            </w:r>
          </w:p>
          <w:p w14:paraId="7D8BAB0A">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N）/（N-1）       （1）</w:t>
            </w:r>
          </w:p>
          <w:p w14:paraId="73DEC979">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—补充水量（m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50E72D3D">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—蒸发水量（m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21EF2AE2">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bidi="ar"/>
              </w:rPr>
              <w:t>N</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bidi="ar"/>
              </w:rPr>
              <w:t>浓缩倍数，本项目取中间值4.0；</w:t>
            </w:r>
          </w:p>
          <w:p w14:paraId="45587461">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=k.t.Q</w:t>
            </w:r>
            <w:r>
              <w:rPr>
                <w:rFonts w:hint="default" w:ascii="Times New Roman" w:hAnsi="Times New Roman" w:eastAsia="宋体" w:cs="Times New Roman"/>
                <w:color w:val="auto"/>
                <w:sz w:val="24"/>
                <w:vertAlign w:val="subscript"/>
              </w:rPr>
              <w:t>r</w:t>
            </w:r>
            <w:r>
              <w:rPr>
                <w:rFonts w:hint="default" w:ascii="Times New Roman" w:hAnsi="Times New Roman" w:eastAsia="宋体" w:cs="Times New Roman"/>
                <w:color w:val="auto"/>
                <w:sz w:val="24"/>
              </w:rPr>
              <w:t xml:space="preserve">                   （2）</w:t>
            </w:r>
          </w:p>
          <w:p w14:paraId="2D771D1D">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—蒸发水量（m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3CD86A93">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r</w:t>
            </w:r>
            <w:r>
              <w:rPr>
                <w:rFonts w:hint="default" w:ascii="Times New Roman" w:hAnsi="Times New Roman" w:eastAsia="宋体" w:cs="Times New Roman"/>
                <w:color w:val="auto"/>
                <w:sz w:val="24"/>
              </w:rPr>
              <w:t>—循环冷却水量（m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/h），根据以上A中计算可知Q</w:t>
            </w:r>
            <w:r>
              <w:rPr>
                <w:rFonts w:hint="default" w:ascii="Times New Roman" w:hAnsi="Times New Roman" w:eastAsia="宋体" w:cs="Times New Roman"/>
                <w:color w:val="auto"/>
                <w:sz w:val="24"/>
                <w:vertAlign w:val="subscript"/>
              </w:rPr>
              <w:t>r</w:t>
            </w:r>
            <w:r>
              <w:rPr>
                <w:rFonts w:hint="default" w:ascii="Times New Roman" w:hAnsi="Times New Roman" w:eastAsia="宋体" w:cs="Times New Roman"/>
                <w:color w:val="auto"/>
                <w:sz w:val="24"/>
              </w:rPr>
              <w:t>为</w:t>
            </w:r>
            <w:r>
              <w:rPr>
                <w:rFonts w:hint="eastAsia" w:ascii="Times New Roman" w:hAnsi="Times New Roman" w:eastAsia="宋体" w:cs="Times New Roman"/>
                <w:color w:val="auto"/>
                <w:sz w:val="24"/>
                <w:lang w:val="en-US" w:eastAsia="zh-CN"/>
              </w:rPr>
              <w:t>1.2651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2DC16875">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t—循环冷却水进、出冷却塔温差（℃），根据业主提供资料可知，本项目循环冷却水进、出冷却塔温度分别为40℃，出塔温度为30℃，则t为10℃；</w:t>
            </w:r>
          </w:p>
          <w:p w14:paraId="7CDE7529">
            <w:pPr>
              <w:pStyle w:val="73"/>
              <w:adjustRightInd w:val="0"/>
              <w:snapToGrid w:val="0"/>
              <w:spacing w:line="348" w:lineRule="auto"/>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k—蒸发损失系数（1/℃），按下表取值，气温为中间值时采用内插法计算，本项目所在地进塔大气温度为20℃，则k值取0.0014。</w:t>
            </w:r>
          </w:p>
          <w:p w14:paraId="41D86F2D">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蒸发损失系数k</w:t>
            </w:r>
          </w:p>
          <w:tbl>
            <w:tblPr>
              <w:tblStyle w:val="26"/>
              <w:tblW w:w="873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1103"/>
              <w:gridCol w:w="1103"/>
              <w:gridCol w:w="1103"/>
              <w:gridCol w:w="1103"/>
              <w:gridCol w:w="1103"/>
              <w:gridCol w:w="1109"/>
            </w:tblGrid>
            <w:tr w14:paraId="3A9B09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10" w:type="dxa"/>
                  <w:tcBorders>
                    <w:left w:val="single" w:color="auto" w:sz="0" w:space="0"/>
                  </w:tcBorders>
                  <w:noWrap w:val="0"/>
                  <w:vAlign w:val="center"/>
                </w:tcPr>
                <w:p w14:paraId="0A2AA196">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进塔大气温度（℃）</w:t>
                  </w:r>
                </w:p>
              </w:tc>
              <w:tc>
                <w:tcPr>
                  <w:tcW w:w="1103" w:type="dxa"/>
                  <w:noWrap w:val="0"/>
                  <w:vAlign w:val="center"/>
                </w:tcPr>
                <w:p w14:paraId="7B9EBB46">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1103" w:type="dxa"/>
                  <w:noWrap w:val="0"/>
                  <w:vAlign w:val="center"/>
                </w:tcPr>
                <w:p w14:paraId="5A616D4E">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w:t>
                  </w:r>
                </w:p>
              </w:tc>
              <w:tc>
                <w:tcPr>
                  <w:tcW w:w="1103" w:type="dxa"/>
                  <w:noWrap w:val="0"/>
                  <w:vAlign w:val="center"/>
                </w:tcPr>
                <w:p w14:paraId="65356160">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1103" w:type="dxa"/>
                  <w:noWrap w:val="0"/>
                  <w:vAlign w:val="center"/>
                </w:tcPr>
                <w:p w14:paraId="438CE693">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w:t>
                  </w:r>
                </w:p>
              </w:tc>
              <w:tc>
                <w:tcPr>
                  <w:tcW w:w="1103" w:type="dxa"/>
                  <w:noWrap w:val="0"/>
                  <w:vAlign w:val="center"/>
                </w:tcPr>
                <w:p w14:paraId="05889DD9">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30</w:t>
                  </w:r>
                </w:p>
              </w:tc>
              <w:tc>
                <w:tcPr>
                  <w:tcW w:w="1109" w:type="dxa"/>
                  <w:tcBorders>
                    <w:right w:val="single" w:color="auto" w:sz="4" w:space="0"/>
                  </w:tcBorders>
                  <w:noWrap w:val="0"/>
                  <w:vAlign w:val="center"/>
                </w:tcPr>
                <w:p w14:paraId="2532674F">
                  <w:pPr>
                    <w:pStyle w:val="73"/>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40</w:t>
                  </w:r>
                </w:p>
              </w:tc>
            </w:tr>
            <w:tr w14:paraId="0CC45E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10" w:type="dxa"/>
                  <w:tcBorders>
                    <w:left w:val="single" w:color="auto" w:sz="4" w:space="0"/>
                  </w:tcBorders>
                  <w:noWrap w:val="0"/>
                  <w:vAlign w:val="center"/>
                </w:tcPr>
                <w:p w14:paraId="44BEC723">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k（1/℃）</w:t>
                  </w:r>
                </w:p>
              </w:tc>
              <w:tc>
                <w:tcPr>
                  <w:tcW w:w="1103" w:type="dxa"/>
                  <w:noWrap w:val="0"/>
                  <w:vAlign w:val="center"/>
                </w:tcPr>
                <w:p w14:paraId="1DE898B8">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0.0008</w:t>
                  </w:r>
                </w:p>
              </w:tc>
              <w:tc>
                <w:tcPr>
                  <w:tcW w:w="1103" w:type="dxa"/>
                  <w:noWrap w:val="0"/>
                  <w:vAlign w:val="center"/>
                </w:tcPr>
                <w:p w14:paraId="43370B60">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1103" w:type="dxa"/>
                  <w:noWrap w:val="0"/>
                  <w:vAlign w:val="center"/>
                </w:tcPr>
                <w:p w14:paraId="000E4C82">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0.0012</w:t>
                  </w:r>
                </w:p>
              </w:tc>
              <w:tc>
                <w:tcPr>
                  <w:tcW w:w="1103" w:type="dxa"/>
                  <w:noWrap w:val="0"/>
                  <w:vAlign w:val="center"/>
                </w:tcPr>
                <w:p w14:paraId="170D4BE4">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c>
                <w:tcPr>
                  <w:tcW w:w="1103" w:type="dxa"/>
                  <w:noWrap w:val="0"/>
                  <w:vAlign w:val="center"/>
                </w:tcPr>
                <w:p w14:paraId="5D6E8A6E">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1109" w:type="dxa"/>
                  <w:tcBorders>
                    <w:right w:val="single" w:color="auto" w:sz="4" w:space="0"/>
                  </w:tcBorders>
                  <w:noWrap w:val="0"/>
                  <w:vAlign w:val="center"/>
                </w:tcPr>
                <w:p w14:paraId="1A2802A3">
                  <w:pPr>
                    <w:pStyle w:val="73"/>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r>
          </w:tbl>
          <w:p w14:paraId="7D252682">
            <w:pPr>
              <w:pStyle w:val="73"/>
              <w:adjustRightInd w:val="0"/>
              <w:snapToGrid w:val="0"/>
              <w:ind w:firstLine="600" w:firstLineChars="2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根据以上公式（2）计算可知，本项目蒸发水量Q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为0.</w:t>
            </w:r>
            <w:r>
              <w:rPr>
                <w:rFonts w:hint="eastAsia" w:ascii="Times New Roman" w:hAnsi="Times New Roman" w:eastAsia="宋体" w:cs="Times New Roman"/>
                <w:color w:val="auto"/>
                <w:sz w:val="24"/>
                <w:lang w:val="en-US" w:eastAsia="zh-CN"/>
              </w:rPr>
              <w:t>0177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val="en-US" w:eastAsia="zh-CN"/>
              </w:rPr>
              <w:t>0.1417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42.5074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/a；根据以上公式（1）计算可知，本项目补充水量Q</w:t>
            </w:r>
            <w:r>
              <w:rPr>
                <w:rFonts w:hint="default" w:ascii="Times New Roman" w:hAnsi="Times New Roman" w:eastAsia="宋体" w:cs="Times New Roman"/>
                <w:color w:val="auto"/>
                <w:sz w:val="24"/>
                <w:vertAlign w:val="subscript"/>
              </w:rPr>
              <w:t>m</w:t>
            </w:r>
            <w:r>
              <w:rPr>
                <w:rFonts w:hint="default" w:ascii="Times New Roman" w:hAnsi="Times New Roman" w:eastAsia="宋体" w:cs="Times New Roman"/>
                <w:color w:val="auto"/>
                <w:sz w:val="24"/>
              </w:rPr>
              <w:t>为0.</w:t>
            </w:r>
            <w:r>
              <w:rPr>
                <w:rFonts w:hint="eastAsia" w:ascii="Times New Roman" w:hAnsi="Times New Roman" w:eastAsia="宋体" w:cs="Times New Roman"/>
                <w:color w:val="auto"/>
                <w:sz w:val="24"/>
                <w:lang w:val="en-US" w:eastAsia="zh-CN"/>
              </w:rPr>
              <w:t>0236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val="en-US" w:eastAsia="zh-CN"/>
              </w:rPr>
              <w:t>0.1888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56.64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14:paraId="2B0CA19B">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D、根据《工业循环冷却水处理设计规范》（GB/T 50050-2017）“7排水处理”中7.0.3开式系统的排污水量可按照下列公式进行计算：</w:t>
            </w:r>
          </w:p>
          <w:p w14:paraId="106FFC76">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b</w:t>
            </w: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c</w:t>
            </w:r>
            <w:r>
              <w:rPr>
                <w:rFonts w:hint="default" w:ascii="Times New Roman" w:hAnsi="Times New Roman" w:eastAsia="宋体" w:cs="Times New Roman"/>
                <w:color w:val="auto"/>
                <w:sz w:val="24"/>
                <w:lang w:bidi="ar"/>
              </w:rPr>
              <w:t>/（N-1））-Q</w:t>
            </w:r>
            <w:r>
              <w:rPr>
                <w:rFonts w:hint="default" w:ascii="Times New Roman" w:hAnsi="Times New Roman" w:eastAsia="宋体" w:cs="Times New Roman"/>
                <w:color w:val="auto"/>
                <w:sz w:val="24"/>
                <w:vertAlign w:val="subscript"/>
                <w:lang w:bidi="ar"/>
              </w:rPr>
              <w:t>w</w:t>
            </w:r>
            <w:r>
              <w:rPr>
                <w:rFonts w:hint="default" w:ascii="Times New Roman" w:hAnsi="Times New Roman" w:eastAsia="宋体" w:cs="Times New Roman"/>
                <w:color w:val="auto"/>
                <w:sz w:val="24"/>
              </w:rPr>
              <w:t xml:space="preserve">                  （3）</w:t>
            </w:r>
          </w:p>
          <w:p w14:paraId="0D762001">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式中：</w:t>
            </w: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b</w:t>
            </w:r>
            <w:r>
              <w:rPr>
                <w:rFonts w:hint="default" w:ascii="Times New Roman" w:hAnsi="Times New Roman" w:eastAsia="宋体" w:cs="Times New Roman"/>
                <w:color w:val="auto"/>
                <w:sz w:val="24"/>
              </w:rPr>
              <w:t>—排污水量（m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2044505D">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—蒸发水量（m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/h），根据以上计算可知，Q</w:t>
            </w:r>
            <w:r>
              <w:rPr>
                <w:rFonts w:hint="default" w:ascii="Times New Roman" w:hAnsi="Times New Roman" w:eastAsia="宋体" w:cs="Times New Roman"/>
                <w:color w:val="auto"/>
                <w:sz w:val="24"/>
                <w:vertAlign w:val="subscript"/>
              </w:rPr>
              <w:t>c</w:t>
            </w:r>
            <w:r>
              <w:rPr>
                <w:rFonts w:hint="default" w:ascii="Times New Roman" w:hAnsi="Times New Roman" w:eastAsia="宋体" w:cs="Times New Roman"/>
                <w:color w:val="auto"/>
                <w:sz w:val="24"/>
              </w:rPr>
              <w:t>为0.</w:t>
            </w:r>
            <w:r>
              <w:rPr>
                <w:rFonts w:hint="eastAsia" w:ascii="Times New Roman" w:hAnsi="Times New Roman" w:eastAsia="宋体" w:cs="Times New Roman"/>
                <w:color w:val="auto"/>
                <w:sz w:val="24"/>
                <w:lang w:val="en-US" w:eastAsia="zh-CN"/>
              </w:rPr>
              <w:t>0177</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bidi="ar"/>
              </w:rPr>
              <w:t>；</w:t>
            </w:r>
          </w:p>
          <w:p w14:paraId="1EA72ED5">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N</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bidi="ar"/>
              </w:rPr>
              <w:t>浓缩倍数，本项目取中间值4.0；</w:t>
            </w:r>
          </w:p>
          <w:p w14:paraId="6E102F4C">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w</w:t>
            </w:r>
            <w:r>
              <w:rPr>
                <w:rFonts w:hint="default" w:ascii="Times New Roman" w:hAnsi="Times New Roman" w:eastAsia="宋体" w:cs="Times New Roman"/>
                <w:color w:val="auto"/>
                <w:sz w:val="24"/>
                <w:lang w:bidi="ar"/>
              </w:rPr>
              <w:t>—风吹损失</w:t>
            </w:r>
            <w:r>
              <w:rPr>
                <w:rFonts w:hint="default" w:ascii="Times New Roman" w:hAnsi="Times New Roman" w:eastAsia="宋体" w:cs="Times New Roman"/>
                <w:color w:val="auto"/>
                <w:sz w:val="24"/>
              </w:rPr>
              <w:t>水量（m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/h），一般为蒸发水量的20%，则</w:t>
            </w:r>
            <w:r>
              <w:rPr>
                <w:rFonts w:hint="default" w:ascii="Times New Roman" w:hAnsi="Times New Roman" w:eastAsia="宋体" w:cs="Times New Roman"/>
                <w:color w:val="auto"/>
                <w:sz w:val="24"/>
                <w:lang w:bidi="ar"/>
              </w:rPr>
              <w:t>Q</w:t>
            </w:r>
            <w:r>
              <w:rPr>
                <w:rFonts w:hint="default" w:ascii="Times New Roman" w:hAnsi="Times New Roman" w:eastAsia="宋体" w:cs="Times New Roman"/>
                <w:color w:val="auto"/>
                <w:sz w:val="24"/>
                <w:vertAlign w:val="subscript"/>
                <w:lang w:bidi="ar"/>
              </w:rPr>
              <w:t>w</w:t>
            </w:r>
            <w:r>
              <w:rPr>
                <w:rFonts w:hint="default" w:ascii="Times New Roman" w:hAnsi="Times New Roman" w:eastAsia="宋体" w:cs="Times New Roman"/>
                <w:color w:val="auto"/>
                <w:sz w:val="24"/>
              </w:rPr>
              <w:t>为0.0</w:t>
            </w:r>
            <w:r>
              <w:rPr>
                <w:rFonts w:hint="eastAsia" w:ascii="Times New Roman" w:hAnsi="Times New Roman" w:eastAsia="宋体" w:cs="Times New Roman"/>
                <w:color w:val="auto"/>
                <w:sz w:val="24"/>
                <w:lang w:val="en-US" w:eastAsia="zh-CN"/>
              </w:rPr>
              <w:t>035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6E67DD9B">
            <w:pPr>
              <w:pStyle w:val="73"/>
              <w:adjustRightInd w:val="0"/>
              <w:snapToGrid w:val="0"/>
              <w:spacing w:line="348" w:lineRule="auto"/>
              <w:ind w:firstLine="600" w:firstLineChars="25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rPr>
              <w:t>根据以上公式（3）计算可知，本项目排污水量Q</w:t>
            </w:r>
            <w:r>
              <w:rPr>
                <w:rFonts w:hint="default" w:ascii="Times New Roman" w:hAnsi="Times New Roman" w:eastAsia="宋体" w:cs="Times New Roman"/>
                <w:color w:val="auto"/>
                <w:sz w:val="24"/>
                <w:vertAlign w:val="subscript"/>
              </w:rPr>
              <w:t>b</w:t>
            </w:r>
            <w:r>
              <w:rPr>
                <w:rFonts w:hint="default" w:ascii="Times New Roman" w:hAnsi="Times New Roman" w:eastAsia="宋体" w:cs="Times New Roman"/>
                <w:color w:val="auto"/>
                <w:sz w:val="24"/>
              </w:rPr>
              <w:t>为0.</w:t>
            </w:r>
            <w:r>
              <w:rPr>
                <w:rFonts w:hint="eastAsia" w:ascii="Times New Roman" w:hAnsi="Times New Roman" w:eastAsia="宋体" w:cs="Times New Roman"/>
                <w:color w:val="auto"/>
                <w:sz w:val="24"/>
                <w:lang w:val="en-US" w:eastAsia="zh-CN"/>
              </w:rPr>
              <w:t>0024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/h、0.</w:t>
            </w:r>
            <w:r>
              <w:rPr>
                <w:rFonts w:hint="eastAsia" w:ascii="Times New Roman" w:hAnsi="Times New Roman" w:eastAsia="宋体" w:cs="Times New Roman"/>
                <w:color w:val="auto"/>
                <w:sz w:val="24"/>
                <w:lang w:val="en-US" w:eastAsia="zh-CN"/>
              </w:rPr>
              <w:t>0192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5.76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14:paraId="14C7E33E">
            <w:pPr>
              <w:adjustRightInd w:val="0"/>
              <w:snapToGrid w:val="0"/>
              <w:spacing w:line="348" w:lineRule="auto"/>
              <w:ind w:firstLine="480" w:firstLineChars="200"/>
              <w:jc w:val="left"/>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综上，项目建设完成后</w:t>
            </w:r>
            <w:r>
              <w:rPr>
                <w:rFonts w:hint="default" w:ascii="Times New Roman" w:hAnsi="Times New Roman" w:eastAsia="宋体" w:cs="Times New Roman"/>
                <w:color w:val="auto"/>
                <w:sz w:val="24"/>
              </w:rPr>
              <w:t>冷却水总用量为</w:t>
            </w:r>
            <w:r>
              <w:rPr>
                <w:rFonts w:hint="eastAsia" w:eastAsia="宋体" w:cs="Times New Roman"/>
                <w:color w:val="auto"/>
                <w:sz w:val="24"/>
                <w:szCs w:val="24"/>
                <w:highlight w:val="none"/>
                <w:lang w:val="en-US" w:eastAsia="zh-CN" w:bidi="en-US"/>
              </w:rPr>
              <w:t>3036.25</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eastAsia="宋体" w:cs="Times New Roman"/>
                <w:color w:val="auto"/>
                <w:sz w:val="24"/>
                <w:szCs w:val="24"/>
                <w:highlight w:val="none"/>
                <w:lang w:val="en-US" w:eastAsia="zh-CN" w:bidi="en-US"/>
              </w:rPr>
              <w:t>10.1208</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1.2651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sz w:val="24"/>
              </w:rPr>
              <w:t>补充水量为0.</w:t>
            </w:r>
            <w:r>
              <w:rPr>
                <w:rFonts w:hint="eastAsia" w:ascii="Times New Roman" w:hAnsi="Times New Roman" w:eastAsia="宋体" w:cs="Times New Roman"/>
                <w:color w:val="auto"/>
                <w:sz w:val="24"/>
                <w:lang w:val="en-US" w:eastAsia="zh-CN"/>
              </w:rPr>
              <w:t>0236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eastAsia" w:ascii="Times New Roman" w:hAnsi="Times New Roman" w:eastAsia="宋体" w:cs="Times New Roman"/>
                <w:color w:val="auto"/>
                <w:sz w:val="24"/>
                <w:lang w:val="en-US" w:eastAsia="zh-CN"/>
              </w:rPr>
              <w:t>0.1888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56.64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/a，冷却系统排污水量为0.</w:t>
            </w:r>
            <w:r>
              <w:rPr>
                <w:rFonts w:hint="eastAsia" w:ascii="Times New Roman" w:hAnsi="Times New Roman" w:eastAsia="宋体" w:cs="Times New Roman"/>
                <w:color w:val="auto"/>
                <w:sz w:val="24"/>
                <w:lang w:val="en-US" w:eastAsia="zh-CN"/>
              </w:rPr>
              <w:t>0024</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/h、0.</w:t>
            </w:r>
            <w:r>
              <w:rPr>
                <w:rFonts w:hint="eastAsia" w:ascii="Times New Roman" w:hAnsi="Times New Roman" w:eastAsia="宋体" w:cs="Times New Roman"/>
                <w:color w:val="auto"/>
                <w:sz w:val="24"/>
                <w:lang w:val="en-US" w:eastAsia="zh-CN"/>
              </w:rPr>
              <w:t>0192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5.76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/a，此部分排污水与生活污水共同进入化粪池处理后排入市政污水管网。同时，项目厂区设冷却塔，并配套1个</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的冷却循环水池使用，本项目冷却水总用量为</w:t>
            </w:r>
            <w:r>
              <w:rPr>
                <w:rFonts w:hint="eastAsia" w:ascii="Times New Roman" w:hAnsi="Times New Roman" w:eastAsia="宋体" w:cs="Times New Roman"/>
                <w:color w:val="auto"/>
                <w:sz w:val="24"/>
                <w:lang w:val="en-US" w:eastAsia="zh-CN"/>
              </w:rPr>
              <w:t>1.2651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/h，冷却塔及冷却水池可</w:t>
            </w:r>
            <w:r>
              <w:rPr>
                <w:rFonts w:hint="default" w:ascii="Times New Roman" w:hAnsi="Times New Roman" w:eastAsia="宋体" w:cs="Times New Roman"/>
                <w:color w:val="auto"/>
                <w:sz w:val="24"/>
                <w:lang w:bidi="ar"/>
              </w:rPr>
              <w:t>满足使用要求。</w:t>
            </w:r>
          </w:p>
          <w:p w14:paraId="3636011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⑥</w:t>
            </w:r>
            <w:r>
              <w:rPr>
                <w:rFonts w:hint="eastAsia" w:ascii="Times New Roman" w:hAnsi="Times New Roman" w:eastAsia="宋体" w:cs="Times New Roman"/>
                <w:color w:val="auto"/>
                <w:sz w:val="24"/>
                <w:lang w:val="en-US" w:eastAsia="zh-CN"/>
              </w:rPr>
              <w:t>车间地面清洗</w:t>
            </w:r>
            <w:r>
              <w:rPr>
                <w:rFonts w:hint="default" w:ascii="Times New Roman" w:hAnsi="Times New Roman" w:eastAsia="宋体" w:cs="Times New Roman"/>
                <w:color w:val="auto"/>
                <w:sz w:val="24"/>
                <w:lang w:val="en-US" w:eastAsia="zh-CN"/>
              </w:rPr>
              <w:t>废水</w:t>
            </w:r>
          </w:p>
          <w:p w14:paraId="2C60D4D8">
            <w:pPr>
              <w:adjustRightInd w:val="0"/>
              <w:snapToGrid w:val="0"/>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color w:val="auto"/>
                <w:sz w:val="24"/>
              </w:rPr>
              <w:t>生产过程中为保持车间地面干净，每天会用拖把对地面进行清洁，而产生清洁废水，本项目</w:t>
            </w:r>
            <w:r>
              <w:rPr>
                <w:rFonts w:hint="eastAsia"/>
                <w:color w:val="auto"/>
                <w:sz w:val="24"/>
                <w:lang w:eastAsia="zh-CN"/>
              </w:rPr>
              <w:t>三个加工</w:t>
            </w:r>
            <w:r>
              <w:rPr>
                <w:rFonts w:hint="eastAsia"/>
                <w:color w:val="auto"/>
                <w:sz w:val="24"/>
              </w:rPr>
              <w:t>车间</w:t>
            </w:r>
            <w:r>
              <w:rPr>
                <w:rFonts w:hint="eastAsia"/>
                <w:color w:val="auto"/>
                <w:sz w:val="24"/>
                <w:lang w:eastAsia="zh-CN"/>
              </w:rPr>
              <w:t>需要清洗的地面</w:t>
            </w:r>
            <w:r>
              <w:rPr>
                <w:rFonts w:hint="eastAsia"/>
                <w:color w:val="auto"/>
                <w:sz w:val="24"/>
              </w:rPr>
              <w:t>面积约</w:t>
            </w:r>
            <w:r>
              <w:rPr>
                <w:rFonts w:hint="eastAsia"/>
                <w:color w:val="auto"/>
                <w:sz w:val="24"/>
                <w:lang w:val="en-US" w:eastAsia="zh-CN"/>
              </w:rPr>
              <w:t>8817.41</w:t>
            </w:r>
            <w:r>
              <w:rPr>
                <w:rFonts w:hint="eastAsia"/>
                <w:color w:val="auto"/>
                <w:sz w:val="24"/>
              </w:rPr>
              <w:t>m</w:t>
            </w:r>
            <w:r>
              <w:rPr>
                <w:rFonts w:hint="eastAsia"/>
                <w:color w:val="auto"/>
                <w:sz w:val="24"/>
                <w:vertAlign w:val="superscript"/>
              </w:rPr>
              <w:t>2</w:t>
            </w:r>
            <w:r>
              <w:rPr>
                <w:rFonts w:hint="eastAsia"/>
                <w:color w:val="auto"/>
                <w:sz w:val="24"/>
              </w:rPr>
              <w:t>，每日冲洗1次，用水量为0.2L/m</w:t>
            </w:r>
            <w:r>
              <w:rPr>
                <w:rFonts w:hint="eastAsia"/>
                <w:color w:val="auto"/>
                <w:sz w:val="24"/>
                <w:vertAlign w:val="superscript"/>
              </w:rPr>
              <w:t>2</w:t>
            </w:r>
            <w:r>
              <w:rPr>
                <w:rFonts w:hint="eastAsia"/>
                <w:color w:val="auto"/>
                <w:sz w:val="24"/>
              </w:rPr>
              <w:t>·次，则冲洗用水为</w:t>
            </w:r>
            <w:r>
              <w:rPr>
                <w:rFonts w:hint="eastAsia"/>
                <w:color w:val="auto"/>
                <w:sz w:val="24"/>
                <w:lang w:val="en-US" w:eastAsia="zh-CN"/>
              </w:rPr>
              <w:t>1.7635</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529.04</w:t>
            </w:r>
            <w:r>
              <w:rPr>
                <w:rFonts w:hint="eastAsia"/>
                <w:color w:val="auto"/>
                <w:sz w:val="24"/>
              </w:rPr>
              <w:t>m</w:t>
            </w:r>
            <w:r>
              <w:rPr>
                <w:rFonts w:hint="eastAsia"/>
                <w:color w:val="auto"/>
                <w:sz w:val="24"/>
                <w:vertAlign w:val="superscript"/>
              </w:rPr>
              <w:t>3</w:t>
            </w:r>
            <w:r>
              <w:rPr>
                <w:rFonts w:hint="eastAsia"/>
                <w:color w:val="auto"/>
                <w:sz w:val="24"/>
              </w:rPr>
              <w:t>/a。产污系数按</w:t>
            </w:r>
            <w:r>
              <w:rPr>
                <w:rFonts w:hint="eastAsia"/>
                <w:color w:val="auto"/>
                <w:sz w:val="24"/>
                <w:lang w:val="en-US" w:eastAsia="zh-CN"/>
              </w:rPr>
              <w:t>9</w:t>
            </w:r>
            <w:r>
              <w:rPr>
                <w:rFonts w:hint="eastAsia"/>
                <w:color w:val="auto"/>
                <w:sz w:val="24"/>
              </w:rPr>
              <w:t>0%计，则</w:t>
            </w:r>
            <w:r>
              <w:rPr>
                <w:rFonts w:hint="eastAsia"/>
                <w:color w:val="auto"/>
                <w:sz w:val="24"/>
                <w:lang w:eastAsia="zh-CN"/>
              </w:rPr>
              <w:t>车间地面清洗</w:t>
            </w:r>
            <w:r>
              <w:rPr>
                <w:rFonts w:hint="eastAsia"/>
                <w:color w:val="auto"/>
                <w:sz w:val="24"/>
              </w:rPr>
              <w:t>废水产生量为</w:t>
            </w:r>
            <w:r>
              <w:rPr>
                <w:rFonts w:hint="eastAsia"/>
                <w:color w:val="auto"/>
                <w:sz w:val="24"/>
                <w:lang w:val="en-US" w:eastAsia="zh-CN"/>
              </w:rPr>
              <w:t>1.5872</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476.16</w:t>
            </w:r>
            <w:r>
              <w:rPr>
                <w:rFonts w:hint="eastAsia"/>
                <w:color w:val="auto"/>
                <w:sz w:val="24"/>
              </w:rPr>
              <w:t>m</w:t>
            </w:r>
            <w:r>
              <w:rPr>
                <w:rFonts w:hint="eastAsia"/>
                <w:color w:val="auto"/>
                <w:sz w:val="24"/>
                <w:vertAlign w:val="superscript"/>
              </w:rPr>
              <w:t>3</w:t>
            </w:r>
            <w:r>
              <w:rPr>
                <w:rFonts w:hint="eastAsia"/>
                <w:color w:val="auto"/>
                <w:sz w:val="24"/>
              </w:rPr>
              <w:t>/a。</w:t>
            </w:r>
          </w:p>
          <w:p w14:paraId="777A48A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⑦</w:t>
            </w:r>
            <w:r>
              <w:rPr>
                <w:rFonts w:hint="default" w:ascii="Times New Roman" w:hAnsi="Times New Roman" w:eastAsia="宋体" w:cs="Times New Roman"/>
                <w:color w:val="auto"/>
                <w:sz w:val="24"/>
                <w:lang w:val="en-US" w:eastAsia="zh-CN"/>
              </w:rPr>
              <w:t>设备清洗废水</w:t>
            </w:r>
          </w:p>
          <w:p w14:paraId="0CF1F915">
            <w:pPr>
              <w:adjustRightInd w:val="0"/>
              <w:snapToGrid w:val="0"/>
              <w:spacing w:line="360" w:lineRule="auto"/>
              <w:ind w:firstLine="480" w:firstLineChars="200"/>
              <w:jc w:val="left"/>
              <w:rPr>
                <w:rFonts w:hint="default" w:ascii="Times New Roman" w:hAnsi="Times New Roman" w:eastAsia="宋体" w:cs="Times New Roman"/>
                <w:b/>
                <w:bCs/>
                <w:color w:val="auto"/>
                <w:sz w:val="24"/>
                <w:szCs w:val="24"/>
                <w:highlight w:val="none"/>
                <w:lang w:val="en-US" w:eastAsia="zh-CN"/>
              </w:rPr>
            </w:pPr>
            <w:r>
              <w:rPr>
                <w:rFonts w:hint="eastAsia"/>
                <w:color w:val="auto"/>
                <w:sz w:val="24"/>
              </w:rPr>
              <w:t>设备每3天清洗1次，用水约为</w:t>
            </w:r>
            <w:r>
              <w:rPr>
                <w:rFonts w:hint="eastAsia"/>
                <w:color w:val="auto"/>
                <w:sz w:val="24"/>
                <w:lang w:val="en-US" w:eastAsia="zh-CN"/>
              </w:rPr>
              <w:t>6</w:t>
            </w:r>
            <w:r>
              <w:rPr>
                <w:rFonts w:hint="eastAsia"/>
                <w:color w:val="auto"/>
                <w:sz w:val="24"/>
              </w:rPr>
              <w:t>.0m</w:t>
            </w:r>
            <w:r>
              <w:rPr>
                <w:rFonts w:hint="eastAsia"/>
                <w:color w:val="auto"/>
                <w:sz w:val="24"/>
                <w:vertAlign w:val="superscript"/>
              </w:rPr>
              <w:t>3</w:t>
            </w:r>
            <w:r>
              <w:rPr>
                <w:rFonts w:hint="eastAsia"/>
                <w:color w:val="auto"/>
                <w:sz w:val="24"/>
              </w:rPr>
              <w:t>/次，</w:t>
            </w:r>
            <w:r>
              <w:rPr>
                <w:rFonts w:hint="eastAsia"/>
                <w:color w:val="auto"/>
                <w:sz w:val="24"/>
                <w:lang w:eastAsia="zh-CN"/>
              </w:rPr>
              <w:t>用水量为</w:t>
            </w:r>
            <w:r>
              <w:rPr>
                <w:rFonts w:hint="eastAsia"/>
                <w:color w:val="auto"/>
                <w:sz w:val="24"/>
                <w:lang w:val="en-US" w:eastAsia="zh-CN"/>
              </w:rPr>
              <w:t>2.0</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600</w:t>
            </w:r>
            <w:r>
              <w:rPr>
                <w:rFonts w:hint="eastAsia"/>
                <w:color w:val="auto"/>
                <w:sz w:val="24"/>
              </w:rPr>
              <w:t>m</w:t>
            </w:r>
            <w:r>
              <w:rPr>
                <w:rFonts w:hint="eastAsia"/>
                <w:color w:val="auto"/>
                <w:sz w:val="24"/>
                <w:vertAlign w:val="superscript"/>
              </w:rPr>
              <w:t>3</w:t>
            </w:r>
            <w:r>
              <w:rPr>
                <w:rFonts w:hint="eastAsia"/>
                <w:color w:val="auto"/>
                <w:sz w:val="24"/>
              </w:rPr>
              <w:t>/a。清洗废水产生量为用水量的90%，即</w:t>
            </w:r>
            <w:r>
              <w:rPr>
                <w:rFonts w:hint="eastAsia"/>
                <w:color w:val="auto"/>
                <w:sz w:val="24"/>
                <w:lang w:val="en-US" w:eastAsia="zh-CN"/>
              </w:rPr>
              <w:t>1.8</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540</w:t>
            </w:r>
            <w:r>
              <w:rPr>
                <w:rFonts w:hint="eastAsia"/>
                <w:color w:val="auto"/>
                <w:sz w:val="24"/>
              </w:rPr>
              <w:t>m</w:t>
            </w:r>
            <w:r>
              <w:rPr>
                <w:rFonts w:hint="eastAsia"/>
                <w:color w:val="auto"/>
                <w:sz w:val="24"/>
                <w:vertAlign w:val="superscript"/>
              </w:rPr>
              <w:t>3</w:t>
            </w:r>
            <w:r>
              <w:rPr>
                <w:rFonts w:hint="eastAsia"/>
                <w:color w:val="auto"/>
                <w:sz w:val="24"/>
              </w:rPr>
              <w:t>/a。</w:t>
            </w:r>
          </w:p>
          <w:p w14:paraId="67185D1F">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olor w:val="auto"/>
                <w:sz w:val="24"/>
                <w:lang w:val="en-US" w:eastAsia="zh-CN"/>
              </w:rPr>
              <w:t>⑧腌制废水</w:t>
            </w:r>
          </w:p>
          <w:p w14:paraId="3FB8594B">
            <w:pPr>
              <w:pStyle w:val="11"/>
              <w:keepNext w:val="0"/>
              <w:keepLines w:val="0"/>
              <w:pageBreakBefore w:val="0"/>
              <w:widowControl/>
              <w:kinsoku/>
              <w:wordWrap/>
              <w:overflowPunct/>
              <w:topLinePunct w:val="0"/>
              <w:autoSpaceDE/>
              <w:autoSpaceDN/>
              <w:bidi w:val="0"/>
              <w:snapToGrid w:val="0"/>
              <w:spacing w:after="0"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eastAsia="宋体" w:cs="Times New Roman"/>
                <w:color w:val="auto"/>
                <w:sz w:val="24"/>
                <w:szCs w:val="24"/>
                <w:highlight w:val="none"/>
                <w:lang w:val="en-US" w:eastAsia="zh-CN"/>
              </w:rPr>
              <w:t>制作牛干巴腌制</w:t>
            </w:r>
            <w:r>
              <w:rPr>
                <w:rFonts w:hint="default" w:ascii="Times New Roman" w:hAnsi="Times New Roman" w:eastAsia="宋体" w:cs="Times New Roman"/>
                <w:color w:val="auto"/>
                <w:sz w:val="24"/>
                <w:szCs w:val="24"/>
                <w:highlight w:val="none"/>
                <w:lang w:val="en-US" w:eastAsia="zh-CN"/>
              </w:rPr>
              <w:t>过程会产生废水，废水产生量参照中华人民共和国生态环境部2021年6月11日发布的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135</w:t>
            </w:r>
            <w:r>
              <w:rPr>
                <w:rFonts w:hint="eastAsia" w:ascii="Times New Roman" w:hAnsi="Times New Roman" w:eastAsia="宋体" w:cs="Times New Roman"/>
                <w:color w:val="auto"/>
                <w:sz w:val="24"/>
                <w:lang w:eastAsia="zh-CN"/>
              </w:rPr>
              <w:t>屠宰及肉类加工</w:t>
            </w:r>
            <w:r>
              <w:rPr>
                <w:rFonts w:hint="default" w:ascii="Times New Roman" w:hAnsi="Times New Roman" w:eastAsia="宋体" w:cs="Times New Roman"/>
                <w:color w:val="auto"/>
                <w:sz w:val="24"/>
              </w:rPr>
              <w:t>行业系数手册》</w:t>
            </w:r>
            <w:r>
              <w:rPr>
                <w:rFonts w:hint="eastAsia" w:ascii="Times New Roman" w:hAnsi="Times New Roman" w:eastAsia="宋体" w:cs="Times New Roman"/>
                <w:color w:val="auto"/>
                <w:sz w:val="24"/>
                <w:lang w:val="en-US" w:eastAsia="zh-CN"/>
              </w:rPr>
              <w:t>1353</w:t>
            </w:r>
            <w:r>
              <w:rPr>
                <w:rFonts w:hint="eastAsia" w:ascii="Times New Roman" w:hAnsi="Times New Roman" w:eastAsia="宋体" w:cs="Times New Roman"/>
                <w:color w:val="auto"/>
                <w:sz w:val="24"/>
                <w:lang w:eastAsia="zh-CN"/>
              </w:rPr>
              <w:t>肉制品及副产品加工</w:t>
            </w:r>
            <w:r>
              <w:rPr>
                <w:rFonts w:hint="default" w:ascii="Times New Roman" w:hAnsi="Times New Roman" w:eastAsia="宋体" w:cs="Times New Roman"/>
                <w:color w:val="auto"/>
                <w:sz w:val="24"/>
              </w:rPr>
              <w:t>行业系数表中的</w:t>
            </w:r>
            <w:r>
              <w:rPr>
                <w:rFonts w:hint="eastAsia" w:ascii="Times New Roman" w:hAnsi="Times New Roman" w:eastAsia="宋体" w:cs="Times New Roman"/>
                <w:color w:val="auto"/>
                <w:sz w:val="24"/>
                <w:lang w:eastAsia="zh-CN"/>
              </w:rPr>
              <w:t>干炸肉制品</w:t>
            </w:r>
            <w:r>
              <w:rPr>
                <w:rFonts w:hint="default" w:ascii="Times New Roman" w:hAnsi="Times New Roman" w:eastAsia="宋体" w:cs="Times New Roman"/>
                <w:color w:val="auto"/>
                <w:sz w:val="24"/>
              </w:rPr>
              <w:t>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w:t>
            </w:r>
            <w:r>
              <w:rPr>
                <w:rFonts w:hint="eastAsia" w:eastAsia="宋体" w:cs="Times New Roman"/>
                <w:bCs/>
                <w:color w:val="auto"/>
                <w:spacing w:val="6"/>
                <w:sz w:val="24"/>
                <w:highlight w:val="none"/>
                <w:lang w:val="en-US" w:eastAsia="zh-CN"/>
              </w:rPr>
              <w:t>鲜牛肉</w:t>
            </w:r>
            <w:r>
              <w:rPr>
                <w:rFonts w:hint="default" w:ascii="Times New Roman" w:hAnsi="Times New Roman" w:eastAsia="宋体" w:cs="Times New Roman"/>
                <w:bCs/>
                <w:color w:val="auto"/>
                <w:spacing w:val="6"/>
                <w:sz w:val="24"/>
                <w:highlight w:val="none"/>
                <w:lang w:val="en-US" w:eastAsia="zh-CN"/>
              </w:rPr>
              <w:t>，工艺仅为</w:t>
            </w:r>
            <w:r>
              <w:rPr>
                <w:rFonts w:hint="eastAsia" w:eastAsia="宋体" w:cs="Times New Roman"/>
                <w:bCs/>
                <w:color w:val="auto"/>
                <w:spacing w:val="6"/>
                <w:sz w:val="24"/>
                <w:highlight w:val="none"/>
                <w:lang w:val="en-US" w:eastAsia="zh-CN"/>
              </w:rPr>
              <w:t>腌制</w:t>
            </w:r>
            <w:r>
              <w:rPr>
                <w:rFonts w:hint="default" w:ascii="Times New Roman" w:hAnsi="Times New Roman" w:eastAsia="宋体" w:cs="Times New Roman"/>
                <w:bCs/>
                <w:color w:val="auto"/>
                <w:spacing w:val="6"/>
                <w:sz w:val="24"/>
                <w:highlight w:val="none"/>
                <w:lang w:val="en-US" w:eastAsia="zh-CN"/>
              </w:rPr>
              <w:t>，由于该系数表中无</w:t>
            </w:r>
            <w:r>
              <w:rPr>
                <w:rFonts w:hint="eastAsia" w:eastAsia="宋体" w:cs="Times New Roman"/>
                <w:bCs/>
                <w:color w:val="auto"/>
                <w:spacing w:val="6"/>
                <w:sz w:val="24"/>
                <w:highlight w:val="none"/>
                <w:lang w:val="en-US" w:eastAsia="zh-CN"/>
              </w:rPr>
              <w:t>牛干巴</w:t>
            </w:r>
            <w:r>
              <w:rPr>
                <w:rFonts w:hint="default" w:ascii="Times New Roman" w:hAnsi="Times New Roman" w:eastAsia="宋体" w:cs="Times New Roman"/>
                <w:bCs/>
                <w:color w:val="auto"/>
                <w:spacing w:val="6"/>
                <w:sz w:val="24"/>
                <w:highlight w:val="none"/>
                <w:lang w:val="en-US" w:eastAsia="zh-CN"/>
              </w:rPr>
              <w:t>的产排污系数，因此本项目参照</w:t>
            </w:r>
            <w:r>
              <w:rPr>
                <w:rFonts w:hint="eastAsia" w:eastAsia="宋体" w:cs="Times New Roman"/>
                <w:bCs/>
                <w:color w:val="auto"/>
                <w:spacing w:val="6"/>
                <w:sz w:val="24"/>
                <w:highlight w:val="none"/>
                <w:lang w:val="en-US" w:eastAsia="zh-CN"/>
              </w:rPr>
              <w:t>干炸肉制品</w:t>
            </w:r>
            <w:r>
              <w:rPr>
                <w:rFonts w:hint="default" w:ascii="Times New Roman" w:hAnsi="Times New Roman" w:eastAsia="宋体" w:cs="Times New Roman"/>
                <w:bCs/>
                <w:color w:val="auto"/>
                <w:spacing w:val="6"/>
                <w:sz w:val="24"/>
                <w:highlight w:val="none"/>
                <w:lang w:val="en-US" w:eastAsia="zh-CN"/>
              </w:rPr>
              <w:t>产排污系数进行计算，</w:t>
            </w:r>
            <w:r>
              <w:rPr>
                <w:rFonts w:hint="eastAsia" w:eastAsia="宋体" w:cs="Times New Roman"/>
                <w:bCs/>
                <w:color w:val="auto"/>
                <w:spacing w:val="6"/>
                <w:sz w:val="24"/>
                <w:highlight w:val="none"/>
                <w:lang w:val="en-US" w:eastAsia="zh-CN"/>
              </w:rPr>
              <w:t>干炸肉制品</w:t>
            </w:r>
            <w:r>
              <w:rPr>
                <w:rFonts w:hint="default" w:ascii="Times New Roman" w:hAnsi="Times New Roman" w:eastAsia="宋体" w:cs="Times New Roman"/>
                <w:bCs/>
                <w:color w:val="auto"/>
                <w:spacing w:val="6"/>
                <w:sz w:val="24"/>
                <w:highlight w:val="none"/>
                <w:lang w:val="en-US" w:eastAsia="zh-CN"/>
              </w:rPr>
              <w:t>工艺名称为腌制+</w:t>
            </w:r>
            <w:r>
              <w:rPr>
                <w:rFonts w:hint="eastAsia" w:eastAsia="宋体" w:cs="Times New Roman"/>
                <w:bCs/>
                <w:color w:val="auto"/>
                <w:spacing w:val="6"/>
                <w:sz w:val="24"/>
                <w:highlight w:val="none"/>
                <w:lang w:val="en-US" w:eastAsia="zh-CN"/>
              </w:rPr>
              <w:t>干炸</w:t>
            </w:r>
            <w:r>
              <w:rPr>
                <w:rFonts w:hint="default" w:ascii="Times New Roman" w:hAnsi="Times New Roman" w:eastAsia="宋体" w:cs="Times New Roman"/>
                <w:bCs/>
                <w:color w:val="auto"/>
                <w:spacing w:val="6"/>
                <w:sz w:val="24"/>
                <w:highlight w:val="none"/>
                <w:lang w:val="en-US" w:eastAsia="zh-CN"/>
              </w:rPr>
              <w:t>，生产过程废水量为</w:t>
            </w:r>
            <w:r>
              <w:rPr>
                <w:rFonts w:hint="eastAsia" w:eastAsia="宋体" w:cs="Times New Roman"/>
                <w:bCs/>
                <w:color w:val="auto"/>
                <w:spacing w:val="6"/>
                <w:sz w:val="24"/>
                <w:highlight w:val="none"/>
                <w:lang w:val="en-US" w:eastAsia="zh-CN"/>
              </w:rPr>
              <w:t>2.2</w:t>
            </w:r>
            <w:r>
              <w:rPr>
                <w:rFonts w:hint="default" w:ascii="Times New Roman" w:hAnsi="Times New Roman" w:eastAsia="宋体" w:cs="Times New Roman"/>
                <w:bCs/>
                <w:color w:val="auto"/>
                <w:spacing w:val="6"/>
                <w:sz w:val="24"/>
                <w:highlight w:val="none"/>
                <w:lang w:val="en-US" w:eastAsia="zh-CN"/>
              </w:rPr>
              <w:t>t/t-产品，本项目</w:t>
            </w:r>
            <w:r>
              <w:rPr>
                <w:rFonts w:hint="eastAsia" w:eastAsia="宋体" w:cs="Times New Roman"/>
                <w:bCs/>
                <w:color w:val="auto"/>
                <w:spacing w:val="6"/>
                <w:sz w:val="24"/>
                <w:highlight w:val="none"/>
                <w:lang w:val="en-US" w:eastAsia="zh-CN"/>
              </w:rPr>
              <w:t>牛干巴</w:t>
            </w:r>
            <w:r>
              <w:rPr>
                <w:rFonts w:hint="default" w:ascii="Times New Roman" w:hAnsi="Times New Roman" w:eastAsia="宋体" w:cs="Times New Roman"/>
                <w:bCs/>
                <w:color w:val="auto"/>
                <w:spacing w:val="6"/>
                <w:sz w:val="24"/>
                <w:highlight w:val="none"/>
                <w:lang w:val="en-US" w:eastAsia="zh-CN"/>
              </w:rPr>
              <w:t>产品产量为</w:t>
            </w:r>
            <w:r>
              <w:rPr>
                <w:rFonts w:hint="eastAsia" w:eastAsia="宋体" w:cs="Times New Roman"/>
                <w:bCs/>
                <w:color w:val="auto"/>
                <w:spacing w:val="6"/>
                <w:sz w:val="24"/>
                <w:highlight w:val="none"/>
                <w:lang w:val="en-US" w:eastAsia="zh-CN"/>
              </w:rPr>
              <w:t>36</w:t>
            </w:r>
            <w:r>
              <w:rPr>
                <w:rFonts w:hint="default" w:ascii="Times New Roman" w:hAnsi="Times New Roman" w:eastAsia="宋体" w:cs="Times New Roman"/>
                <w:bCs/>
                <w:color w:val="auto"/>
                <w:spacing w:val="6"/>
                <w:sz w:val="24"/>
                <w:highlight w:val="none"/>
                <w:lang w:val="en-US" w:eastAsia="zh-CN"/>
              </w:rPr>
              <w:t>0t/a</w:t>
            </w:r>
            <w:r>
              <w:rPr>
                <w:rFonts w:hint="default" w:ascii="Times New Roman" w:hAnsi="Times New Roman" w:eastAsia="宋体" w:cs="Times New Roman"/>
                <w:bCs/>
                <w:color w:val="auto"/>
                <w:spacing w:val="6"/>
                <w:sz w:val="24"/>
                <w:szCs w:val="24"/>
                <w:highlight w:val="none"/>
                <w:lang w:val="en-US" w:eastAsia="zh-CN"/>
              </w:rPr>
              <w:t>，因此</w:t>
            </w:r>
            <w:r>
              <w:rPr>
                <w:rFonts w:hint="eastAsia" w:eastAsia="宋体" w:cs="Times New Roman"/>
                <w:bCs/>
                <w:color w:val="auto"/>
                <w:spacing w:val="6"/>
                <w:sz w:val="24"/>
                <w:highlight w:val="none"/>
                <w:lang w:val="en-US" w:eastAsia="zh-CN"/>
              </w:rPr>
              <w:t>牛干巴</w:t>
            </w:r>
            <w:r>
              <w:rPr>
                <w:rFonts w:hint="default" w:ascii="Times New Roman" w:hAnsi="Times New Roman" w:eastAsia="宋体" w:cs="Times New Roman"/>
                <w:color w:val="auto"/>
                <w:sz w:val="24"/>
                <w:szCs w:val="24"/>
                <w:highlight w:val="none"/>
                <w:lang w:val="zh-CN" w:bidi="en-US"/>
              </w:rPr>
              <w:t>生产过程</w:t>
            </w:r>
            <w:r>
              <w:rPr>
                <w:rFonts w:hint="default" w:ascii="Times New Roman" w:hAnsi="Times New Roman" w:eastAsia="宋体" w:cs="Times New Roman"/>
                <w:color w:val="auto"/>
                <w:sz w:val="24"/>
                <w:szCs w:val="24"/>
                <w:highlight w:val="none"/>
                <w:lang w:val="en-US" w:eastAsia="zh-CN" w:bidi="en-US"/>
              </w:rPr>
              <w:t>废水</w:t>
            </w:r>
            <w:r>
              <w:rPr>
                <w:rFonts w:hint="default" w:ascii="Times New Roman" w:hAnsi="Times New Roman" w:eastAsia="宋体" w:cs="Times New Roman"/>
                <w:color w:val="auto"/>
                <w:sz w:val="24"/>
                <w:szCs w:val="24"/>
                <w:highlight w:val="none"/>
                <w:lang w:val="zh-CN" w:bidi="en-US"/>
              </w:rPr>
              <w:t>产生</w:t>
            </w:r>
            <w:r>
              <w:rPr>
                <w:rFonts w:hint="default" w:ascii="Times New Roman" w:hAnsi="Times New Roman" w:eastAsia="宋体" w:cs="Times New Roman"/>
                <w:color w:val="auto"/>
                <w:sz w:val="24"/>
                <w:szCs w:val="24"/>
                <w:highlight w:val="none"/>
                <w:lang w:val="en-US" w:eastAsia="zh-CN" w:bidi="en-US"/>
              </w:rPr>
              <w:t>总</w:t>
            </w:r>
            <w:r>
              <w:rPr>
                <w:rFonts w:hint="default" w:ascii="Times New Roman" w:hAnsi="Times New Roman" w:eastAsia="宋体" w:cs="Times New Roman"/>
                <w:color w:val="auto"/>
                <w:sz w:val="24"/>
                <w:szCs w:val="24"/>
                <w:highlight w:val="none"/>
                <w:lang w:val="zh-CN" w:bidi="en-US"/>
              </w:rPr>
              <w:t>量为</w:t>
            </w:r>
            <w:r>
              <w:rPr>
                <w:rFonts w:hint="eastAsia" w:eastAsia="宋体" w:cs="Times New Roman"/>
                <w:color w:val="auto"/>
                <w:sz w:val="24"/>
                <w:szCs w:val="24"/>
                <w:highlight w:val="none"/>
                <w:lang w:val="en-US" w:eastAsia="zh-CN" w:bidi="en-US"/>
              </w:rPr>
              <w:t>792</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eastAsia="宋体" w:cs="Times New Roman"/>
                <w:color w:val="auto"/>
                <w:sz w:val="24"/>
                <w:szCs w:val="24"/>
                <w:highlight w:val="none"/>
                <w:lang w:val="en-US" w:eastAsia="zh-CN" w:bidi="en-US"/>
              </w:rPr>
              <w:t>2.64</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d，产污率按照80%计算，则</w:t>
            </w:r>
            <w:r>
              <w:rPr>
                <w:rFonts w:hint="eastAsia" w:eastAsia="宋体" w:cs="Times New Roman"/>
                <w:bCs/>
                <w:color w:val="auto"/>
                <w:spacing w:val="6"/>
                <w:sz w:val="24"/>
                <w:highlight w:val="none"/>
                <w:lang w:val="en-US" w:eastAsia="zh-CN"/>
              </w:rPr>
              <w:t>牛干巴</w:t>
            </w:r>
            <w:r>
              <w:rPr>
                <w:rFonts w:hint="default" w:ascii="Times New Roman" w:hAnsi="Times New Roman" w:eastAsia="宋体" w:cs="Times New Roman"/>
                <w:color w:val="auto"/>
                <w:sz w:val="24"/>
                <w:szCs w:val="24"/>
                <w:highlight w:val="none"/>
                <w:lang w:val="en-US" w:eastAsia="zh-CN" w:bidi="en-US"/>
              </w:rPr>
              <w:t>生产过程用水量为</w:t>
            </w:r>
            <w:r>
              <w:rPr>
                <w:rFonts w:hint="eastAsia" w:eastAsia="宋体" w:cs="Times New Roman"/>
                <w:color w:val="auto"/>
                <w:sz w:val="24"/>
                <w:szCs w:val="24"/>
                <w:highlight w:val="none"/>
                <w:lang w:val="en-US" w:eastAsia="zh-CN" w:bidi="en-US"/>
              </w:rPr>
              <w:t>990</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eastAsia="宋体" w:cs="Times New Roman"/>
                <w:color w:val="auto"/>
                <w:sz w:val="24"/>
                <w:szCs w:val="24"/>
                <w:highlight w:val="none"/>
                <w:lang w:val="en-US" w:eastAsia="zh-CN" w:bidi="en-US"/>
              </w:rPr>
              <w:t>3.3</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default" w:ascii="Times New Roman" w:hAnsi="Times New Roman" w:eastAsia="宋体" w:cs="Times New Roman"/>
                <w:color w:val="auto"/>
                <w:sz w:val="24"/>
                <w:szCs w:val="24"/>
                <w:highlight w:val="none"/>
                <w:lang w:val="zh-CN" w:bidi="en-US"/>
              </w:rPr>
              <w:t>。</w:t>
            </w:r>
          </w:p>
          <w:p w14:paraId="62A87B86">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⑨冰瓶冷凝废水</w:t>
            </w:r>
          </w:p>
          <w:p w14:paraId="04E03323">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设置一冰池主要用于制冰，购买冰瓶放进冰池，冰瓶结冰后用于产品及部分原料运输时的保存工作。因项目使用冰瓶进行制冰，水不与池体直接接触，因为不会产生废水，仅考虑冰瓶与空气接触后产生的冷凝水，该部分冷凝水较少，可自然蒸发，因此仅定性分析，不详细计算产生量。</w:t>
            </w:r>
          </w:p>
          <w:p w14:paraId="13986702">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绿化用水</w:t>
            </w:r>
          </w:p>
          <w:p w14:paraId="4C08974B">
            <w:pPr>
              <w:pStyle w:val="36"/>
              <w:keepNext w:val="0"/>
              <w:keepLines w:val="0"/>
              <w:pageBreakBefore w:val="0"/>
              <w:kinsoku/>
              <w:wordWrap/>
              <w:overflowPunct/>
              <w:topLinePunct w:val="0"/>
              <w:autoSpaceDE/>
              <w:autoSpaceDN/>
              <w:bidi w:val="0"/>
              <w:spacing w:line="360" w:lineRule="auto"/>
              <w:ind w:firstLine="47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w:t>
            </w:r>
            <w:r>
              <w:rPr>
                <w:rFonts w:hint="eastAsia" w:eastAsia="宋体" w:cs="Times New Roman"/>
                <w:b w:val="0"/>
                <w:bCs w:val="0"/>
                <w:color w:val="auto"/>
                <w:sz w:val="24"/>
                <w:szCs w:val="24"/>
                <w:highlight w:val="none"/>
                <w:lang w:val="en-US" w:eastAsia="zh-CN"/>
              </w:rPr>
              <w:t>1200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绿化为非雨天每天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量为3.</w:t>
            </w:r>
            <w:r>
              <w:rPr>
                <w:rFonts w:hint="eastAsia" w:eastAsia="宋体" w:cs="Times New Roman"/>
                <w:b w:val="0"/>
                <w:bCs w:val="0"/>
                <w:color w:val="auto"/>
                <w:sz w:val="24"/>
                <w:szCs w:val="24"/>
                <w:highlight w:val="none"/>
                <w:lang w:val="en-US" w:eastAsia="zh-CN"/>
              </w:rPr>
              <w:t>6</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7</w:t>
            </w:r>
            <w:r>
              <w:rPr>
                <w:rFonts w:hint="eastAsia" w:eastAsia="宋体" w:cs="Times New Roman"/>
                <w:color w:val="auto"/>
                <w:sz w:val="24"/>
                <w:szCs w:val="24"/>
                <w:highlight w:val="none"/>
                <w:lang w:val="en-US" w:eastAsia="zh-CN"/>
              </w:rPr>
              <w:t>52.4</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绿化用水为新鲜水，</w:t>
            </w:r>
            <w:r>
              <w:rPr>
                <w:rFonts w:hint="default" w:ascii="Times New Roman" w:hAnsi="Times New Roman" w:eastAsia="宋体" w:cs="Times New Roman"/>
                <w:color w:val="auto"/>
                <w:sz w:val="24"/>
                <w:szCs w:val="24"/>
                <w:highlight w:val="none"/>
                <w:lang w:val="en-US" w:eastAsia="zh-CN"/>
              </w:rPr>
              <w:t>洒</w:t>
            </w:r>
            <w:r>
              <w:rPr>
                <w:rFonts w:hint="default" w:ascii="Times New Roman" w:hAnsi="Times New Roman" w:eastAsia="宋体" w:cs="Times New Roman"/>
                <w:b w:val="0"/>
                <w:bCs w:val="0"/>
                <w:color w:val="auto"/>
                <w:sz w:val="24"/>
                <w:szCs w:val="24"/>
                <w:highlight w:val="none"/>
                <w:lang w:val="en-US" w:eastAsia="zh-CN"/>
              </w:rPr>
              <w:t>水后水分自然蒸发，不产生废水。</w:t>
            </w:r>
          </w:p>
          <w:p w14:paraId="1F51958C">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3）生活用水</w:t>
            </w:r>
          </w:p>
          <w:p w14:paraId="3608C031">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w:t>
            </w:r>
            <w:r>
              <w:rPr>
                <w:rFonts w:hint="eastAsia"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0人，年工作</w:t>
            </w:r>
            <w:r>
              <w:rPr>
                <w:rFonts w:hint="eastAsia" w:cs="Times New Roman"/>
                <w:caps w:val="0"/>
                <w:snapToGrid w:val="0"/>
                <w:color w:val="auto"/>
                <w:spacing w:val="0"/>
                <w:w w:val="100"/>
                <w:kern w:val="2"/>
                <w:position w:val="0"/>
                <w:sz w:val="24"/>
                <w:szCs w:val="24"/>
                <w:highlight w:val="none"/>
                <w:lang w:val="en-US" w:eastAsia="zh-CN" w:bidi="ar-SA"/>
              </w:rPr>
              <w:t>30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0天，均在项目区食宿，用水主要为食堂用水和其它办公生活用水。根据《云南省地方标准用水定额》（DB53/T168-2019）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w:t>
            </w:r>
            <w:r>
              <w:rPr>
                <w:rFonts w:hint="eastAsia"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600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w:t>
            </w:r>
            <w:r>
              <w:rPr>
                <w:rFonts w:hint="eastAsia" w:cs="Times New Roman"/>
                <w:caps w:val="0"/>
                <w:snapToGrid w:val="0"/>
                <w:color w:val="auto"/>
                <w:spacing w:val="0"/>
                <w:w w:val="100"/>
                <w:kern w:val="2"/>
                <w:position w:val="0"/>
                <w:sz w:val="24"/>
                <w:szCs w:val="24"/>
                <w:highlight w:val="none"/>
                <w:lang w:val="en-US" w:eastAsia="zh-CN" w:bidi="ar-SA"/>
              </w:rPr>
              <w:t>1.6</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480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14:paraId="7D427731">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w:t>
            </w:r>
            <w:r>
              <w:rPr>
                <w:rFonts w:hint="eastAsia" w:cs="Times New Roman"/>
                <w:caps w:val="0"/>
                <w:snapToGrid w:val="0"/>
                <w:color w:val="auto"/>
                <w:spacing w:val="0"/>
                <w:w w:val="100"/>
                <w:kern w:val="2"/>
                <w:position w:val="0"/>
                <w:sz w:val="24"/>
                <w:szCs w:val="24"/>
                <w:highlight w:val="none"/>
                <w:lang w:val="en-US" w:eastAsia="zh-CN" w:bidi="ar-SA"/>
              </w:rPr>
              <w:t>0.4</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120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w:t>
            </w:r>
            <w:r>
              <w:rPr>
                <w:rFonts w:hint="eastAsia" w:cs="Times New Roman"/>
                <w:caps w:val="0"/>
                <w:snapToGrid w:val="0"/>
                <w:color w:val="auto"/>
                <w:spacing w:val="0"/>
                <w:w w:val="100"/>
                <w:kern w:val="2"/>
                <w:position w:val="0"/>
                <w:sz w:val="24"/>
                <w:szCs w:val="24"/>
                <w:highlight w:val="none"/>
                <w:lang w:val="en-US" w:eastAsia="zh-CN" w:bidi="ar-SA"/>
              </w:rPr>
              <w:t>0.32</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96</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w:t>
            </w:r>
            <w:r>
              <w:rPr>
                <w:rFonts w:hint="eastAsia" w:cs="Times New Roman"/>
                <w:caps w:val="0"/>
                <w:snapToGrid w:val="0"/>
                <w:color w:val="auto"/>
                <w:spacing w:val="0"/>
                <w:w w:val="100"/>
                <w:kern w:val="2"/>
                <w:position w:val="0"/>
                <w:sz w:val="24"/>
                <w:szCs w:val="24"/>
                <w:highlight w:val="none"/>
                <w:lang w:val="en-US" w:eastAsia="zh-CN" w:bidi="ar-SA"/>
              </w:rPr>
              <w:t>1.6</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480</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w:t>
            </w:r>
            <w:r>
              <w:rPr>
                <w:rFonts w:hint="eastAsia" w:cs="Times New Roman"/>
                <w:caps w:val="0"/>
                <w:snapToGrid w:val="0"/>
                <w:color w:val="auto"/>
                <w:spacing w:val="0"/>
                <w:w w:val="100"/>
                <w:kern w:val="2"/>
                <w:position w:val="0"/>
                <w:sz w:val="24"/>
                <w:szCs w:val="24"/>
                <w:highlight w:val="none"/>
                <w:lang w:val="en-US" w:eastAsia="zh-CN" w:bidi="ar-SA"/>
              </w:rPr>
              <w:t>1.28</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w:t>
            </w:r>
            <w:r>
              <w:rPr>
                <w:rFonts w:hint="eastAsia" w:cs="Times New Roman"/>
                <w:caps w:val="0"/>
                <w:snapToGrid w:val="0"/>
                <w:color w:val="auto"/>
                <w:spacing w:val="0"/>
                <w:w w:val="100"/>
                <w:kern w:val="2"/>
                <w:position w:val="0"/>
                <w:sz w:val="24"/>
                <w:szCs w:val="24"/>
                <w:highlight w:val="none"/>
                <w:lang w:val="en-US" w:eastAsia="zh-CN" w:bidi="ar-SA"/>
              </w:rPr>
              <w:t>384</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14:paraId="108636A6">
            <w:pPr>
              <w:pStyle w:val="78"/>
              <w:keepNext w:val="0"/>
              <w:keepLines w:val="0"/>
              <w:pageBreakBefore w:val="0"/>
              <w:widowControl w:val="0"/>
              <w:kinsoku/>
              <w:wordWrap/>
              <w:overflowPunct/>
              <w:topLinePunct w:val="0"/>
              <w:autoSpaceDE/>
              <w:autoSpaceDN/>
              <w:bidi w:val="0"/>
              <w:spacing w:beforeLines="0" w:afterLines="0" w:line="360" w:lineRule="auto"/>
              <w:ind w:lef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）项目用排水情况汇总统计</w:t>
            </w:r>
          </w:p>
          <w:p w14:paraId="59610FC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w:t>
            </w:r>
            <w:r>
              <w:rPr>
                <w:rFonts w:hint="eastAsia" w:cs="Times New Roman"/>
                <w:b w:val="0"/>
                <w:bCs w:val="0"/>
                <w:color w:val="auto"/>
                <w:sz w:val="24"/>
                <w:szCs w:val="24"/>
                <w:highlight w:val="none"/>
                <w:lang w:val="en-US" w:eastAsia="zh-CN"/>
              </w:rPr>
              <w:t>、</w:t>
            </w:r>
            <w:r>
              <w:rPr>
                <w:rFonts w:hint="eastAsia"/>
                <w:color w:val="auto"/>
                <w:sz w:val="24"/>
              </w:rPr>
              <w:t>脱胶脱磷废水</w:t>
            </w:r>
            <w:r>
              <w:rPr>
                <w:rFonts w:hint="eastAsia"/>
                <w:color w:val="auto"/>
                <w:sz w:val="24"/>
                <w:lang w:eastAsia="zh-CN"/>
              </w:rPr>
              <w:t>、牛肉腌制废水、</w:t>
            </w:r>
            <w:r>
              <w:rPr>
                <w:rFonts w:hint="eastAsia" w:ascii="Times New Roman" w:hAnsi="Times New Roman" w:eastAsia="宋体" w:cs="Times New Roman"/>
                <w:color w:val="auto"/>
                <w:sz w:val="24"/>
                <w:lang w:val="en-US" w:eastAsia="zh-CN"/>
              </w:rPr>
              <w:t>车间地面清洗</w:t>
            </w:r>
            <w:r>
              <w:rPr>
                <w:rFonts w:hint="default" w:ascii="Times New Roman" w:hAnsi="Times New Roman" w:eastAsia="宋体" w:cs="Times New Roman"/>
                <w:color w:val="auto"/>
                <w:sz w:val="24"/>
                <w:lang w:val="en-US" w:eastAsia="zh-CN"/>
              </w:rPr>
              <w:t>废水</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设备清洗废水</w:t>
            </w:r>
            <w:r>
              <w:rPr>
                <w:rFonts w:hint="default" w:ascii="Times New Roman" w:hAnsi="Times New Roman" w:eastAsia="宋体" w:cs="Times New Roman"/>
                <w:b w:val="0"/>
                <w:bCs w:val="0"/>
                <w:color w:val="auto"/>
                <w:sz w:val="24"/>
                <w:szCs w:val="24"/>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14:paraId="018D1C1A">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eastAsia" w:cs="Times New Roman"/>
                <w:caps w:val="0"/>
                <w:snapToGrid w:val="0"/>
                <w:color w:val="auto"/>
                <w:spacing w:val="0"/>
                <w:w w:val="100"/>
                <w:kern w:val="2"/>
                <w:position w:val="0"/>
                <w:sz w:val="24"/>
                <w:szCs w:val="24"/>
                <w:highlight w:val="none"/>
                <w:lang w:val="en-US" w:eastAsia="zh-CN" w:bidi="ar-SA"/>
              </w:rPr>
              <w:t>10</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p>
          <w:p w14:paraId="23385EDF">
            <w:pPr>
              <w:keepNext w:val="0"/>
              <w:keepLines w:val="0"/>
              <w:pageBreakBefore w:val="0"/>
              <w:widowControl w:val="0"/>
              <w:kinsoku/>
              <w:wordWrap/>
              <w:overflowPunct/>
              <w:topLinePunct w:val="0"/>
              <w:bidi w:val="0"/>
              <w:snapToGrid w:val="0"/>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w:t>
            </w:r>
            <w:r>
              <w:rPr>
                <w:rFonts w:hint="eastAsia" w:cs="Times New Roman"/>
                <w:b/>
                <w:caps w:val="0"/>
                <w:snapToGrid w:val="0"/>
                <w:color w:val="auto"/>
                <w:spacing w:val="0"/>
                <w:w w:val="100"/>
                <w:position w:val="0"/>
                <w:sz w:val="21"/>
                <w:szCs w:val="21"/>
                <w:highlight w:val="none"/>
                <w:lang w:val="en-US" w:eastAsia="zh-CN"/>
              </w:rPr>
              <w:t>10</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项目用排水情况一览表</w:t>
            </w:r>
          </w:p>
          <w:tbl>
            <w:tblPr>
              <w:tblStyle w:val="26"/>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41"/>
              <w:gridCol w:w="555"/>
              <w:gridCol w:w="1019"/>
              <w:gridCol w:w="1130"/>
              <w:gridCol w:w="899"/>
              <w:gridCol w:w="1214"/>
              <w:gridCol w:w="934"/>
              <w:gridCol w:w="899"/>
              <w:gridCol w:w="1109"/>
            </w:tblGrid>
            <w:tr w14:paraId="4711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2" w:type="dxa"/>
                  <w:gridSpan w:val="3"/>
                  <w:vMerge w:val="restart"/>
                  <w:noWrap w:val="0"/>
                  <w:vAlign w:val="center"/>
                </w:tcPr>
                <w:p w14:paraId="4EC267B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1019" w:type="dxa"/>
                  <w:vMerge w:val="restart"/>
                  <w:noWrap w:val="0"/>
                  <w:vAlign w:val="center"/>
                </w:tcPr>
                <w:p w14:paraId="1AE42F4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1130" w:type="dxa"/>
                  <w:vMerge w:val="restart"/>
                  <w:noWrap w:val="0"/>
                  <w:vAlign w:val="center"/>
                </w:tcPr>
                <w:p w14:paraId="4FDDBED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2113" w:type="dxa"/>
                  <w:gridSpan w:val="2"/>
                  <w:noWrap w:val="0"/>
                  <w:vAlign w:val="center"/>
                </w:tcPr>
                <w:p w14:paraId="0FADB57D">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934" w:type="dxa"/>
                  <w:vMerge w:val="restart"/>
                  <w:noWrap w:val="0"/>
                  <w:vAlign w:val="center"/>
                </w:tcPr>
                <w:p w14:paraId="52EFA7F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2008" w:type="dxa"/>
                  <w:gridSpan w:val="2"/>
                  <w:noWrap w:val="0"/>
                  <w:vAlign w:val="center"/>
                </w:tcPr>
                <w:p w14:paraId="6F7402B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14:paraId="3CA6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2" w:type="dxa"/>
                  <w:gridSpan w:val="3"/>
                  <w:vMerge w:val="continue"/>
                  <w:noWrap w:val="0"/>
                  <w:vAlign w:val="center"/>
                </w:tcPr>
                <w:p w14:paraId="6D5D9999">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1019" w:type="dxa"/>
                  <w:vMerge w:val="continue"/>
                  <w:noWrap w:val="0"/>
                  <w:vAlign w:val="center"/>
                </w:tcPr>
                <w:p w14:paraId="194AFD9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1130" w:type="dxa"/>
                  <w:vMerge w:val="continue"/>
                  <w:noWrap w:val="0"/>
                  <w:vAlign w:val="center"/>
                </w:tcPr>
                <w:p w14:paraId="1B47C67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899" w:type="dxa"/>
                  <w:noWrap w:val="0"/>
                  <w:vAlign w:val="center"/>
                </w:tcPr>
                <w:p w14:paraId="101AE5D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1214" w:type="dxa"/>
                  <w:noWrap w:val="0"/>
                  <w:vAlign w:val="center"/>
                </w:tcPr>
                <w:p w14:paraId="1767660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934" w:type="dxa"/>
                  <w:vMerge w:val="continue"/>
                  <w:noWrap w:val="0"/>
                  <w:vAlign w:val="center"/>
                </w:tcPr>
                <w:p w14:paraId="42DEF69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899" w:type="dxa"/>
                  <w:noWrap w:val="0"/>
                  <w:vAlign w:val="center"/>
                </w:tcPr>
                <w:p w14:paraId="1126FEF6">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1109" w:type="dxa"/>
                  <w:noWrap w:val="0"/>
                  <w:vAlign w:val="center"/>
                </w:tcPr>
                <w:p w14:paraId="48073EF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14:paraId="7B7F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14:paraId="5070C5A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生产过程</w:t>
                  </w:r>
                </w:p>
              </w:tc>
              <w:tc>
                <w:tcPr>
                  <w:tcW w:w="1096" w:type="dxa"/>
                  <w:gridSpan w:val="2"/>
                  <w:noWrap w:val="0"/>
                  <w:vAlign w:val="center"/>
                </w:tcPr>
                <w:p w14:paraId="4327794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锅炉用水</w:t>
                  </w:r>
                </w:p>
              </w:tc>
              <w:tc>
                <w:tcPr>
                  <w:tcW w:w="1019" w:type="dxa"/>
                  <w:noWrap w:val="0"/>
                  <w:vAlign w:val="center"/>
                </w:tcPr>
                <w:p w14:paraId="66CA698E">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30" w:type="dxa"/>
                  <w:noWrap w:val="0"/>
                  <w:vAlign w:val="center"/>
                </w:tcPr>
                <w:p w14:paraId="17D08C1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3FC7E8EC">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25.4832</w:t>
                  </w:r>
                </w:p>
              </w:tc>
              <w:tc>
                <w:tcPr>
                  <w:tcW w:w="1214" w:type="dxa"/>
                  <w:noWrap w:val="0"/>
                  <w:vAlign w:val="center"/>
                </w:tcPr>
                <w:p w14:paraId="4E6BDF31">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7644.96</w:t>
                  </w:r>
                </w:p>
              </w:tc>
              <w:tc>
                <w:tcPr>
                  <w:tcW w:w="934" w:type="dxa"/>
                  <w:noWrap w:val="0"/>
                  <w:vAlign w:val="center"/>
                </w:tcPr>
                <w:p w14:paraId="2B591F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Cs/>
                      <w:color w:val="auto"/>
                      <w:sz w:val="21"/>
                      <w:szCs w:val="21"/>
                      <w:highlight w:val="none"/>
                      <w:lang w:val="en-US" w:eastAsia="zh-CN"/>
                    </w:rPr>
                    <w:t>0.356t/t-燃料</w:t>
                  </w:r>
                </w:p>
              </w:tc>
              <w:tc>
                <w:tcPr>
                  <w:tcW w:w="899" w:type="dxa"/>
                  <w:noWrap w:val="0"/>
                  <w:vAlign w:val="center"/>
                </w:tcPr>
                <w:p w14:paraId="66C140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1.4832</w:t>
                  </w:r>
                </w:p>
              </w:tc>
              <w:tc>
                <w:tcPr>
                  <w:tcW w:w="1109" w:type="dxa"/>
                  <w:noWrap w:val="0"/>
                  <w:vAlign w:val="center"/>
                </w:tcPr>
                <w:p w14:paraId="600F03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444.96</w:t>
                  </w:r>
                </w:p>
              </w:tc>
            </w:tr>
            <w:tr w14:paraId="4C22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14:paraId="46BAF0C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96" w:type="dxa"/>
                  <w:gridSpan w:val="2"/>
                  <w:noWrap w:val="0"/>
                  <w:vAlign w:val="center"/>
                </w:tcPr>
                <w:p w14:paraId="1464089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eastAsia="zh-CN"/>
                    </w:rPr>
                    <w:t>脱胶脱磷用水</w:t>
                  </w:r>
                </w:p>
              </w:tc>
              <w:tc>
                <w:tcPr>
                  <w:tcW w:w="1019" w:type="dxa"/>
                  <w:noWrap w:val="0"/>
                  <w:vAlign w:val="center"/>
                </w:tcPr>
                <w:p w14:paraId="6CC4CC94">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1130" w:type="dxa"/>
                  <w:noWrap w:val="0"/>
                  <w:vAlign w:val="center"/>
                </w:tcPr>
                <w:p w14:paraId="62AD8B4E">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4CF5D45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0.4082</w:t>
                  </w:r>
                </w:p>
              </w:tc>
              <w:tc>
                <w:tcPr>
                  <w:tcW w:w="1214" w:type="dxa"/>
                  <w:noWrap w:val="0"/>
                  <w:vAlign w:val="center"/>
                </w:tcPr>
                <w:p w14:paraId="03AF7885">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122.4694</w:t>
                  </w:r>
                </w:p>
              </w:tc>
              <w:tc>
                <w:tcPr>
                  <w:tcW w:w="934" w:type="dxa"/>
                  <w:noWrap w:val="0"/>
                  <w:vAlign w:val="center"/>
                </w:tcPr>
                <w:p w14:paraId="588DA16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0.8</w:t>
                  </w:r>
                </w:p>
              </w:tc>
              <w:tc>
                <w:tcPr>
                  <w:tcW w:w="899" w:type="dxa"/>
                  <w:noWrap w:val="0"/>
                  <w:vAlign w:val="center"/>
                </w:tcPr>
                <w:p w14:paraId="0CDFF786">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0.3266</w:t>
                  </w:r>
                </w:p>
              </w:tc>
              <w:tc>
                <w:tcPr>
                  <w:tcW w:w="1109" w:type="dxa"/>
                  <w:noWrap w:val="0"/>
                  <w:vAlign w:val="center"/>
                </w:tcPr>
                <w:p w14:paraId="59D20547">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97.9680</w:t>
                  </w:r>
                </w:p>
              </w:tc>
            </w:tr>
            <w:tr w14:paraId="7515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14:paraId="427B87A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96" w:type="dxa"/>
                  <w:gridSpan w:val="2"/>
                  <w:noWrap w:val="0"/>
                  <w:vAlign w:val="center"/>
                </w:tcPr>
                <w:p w14:paraId="42717E6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真空泵机组用水</w:t>
                  </w:r>
                </w:p>
              </w:tc>
              <w:tc>
                <w:tcPr>
                  <w:tcW w:w="1019" w:type="dxa"/>
                  <w:noWrap w:val="0"/>
                  <w:vAlign w:val="center"/>
                </w:tcPr>
                <w:p w14:paraId="5AB518DA">
                  <w:pP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130" w:type="dxa"/>
                  <w:noWrap w:val="0"/>
                  <w:vAlign w:val="center"/>
                </w:tcPr>
                <w:p w14:paraId="1332192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1A3DD76A">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0.6</w:t>
                  </w:r>
                </w:p>
              </w:tc>
              <w:tc>
                <w:tcPr>
                  <w:tcW w:w="1214" w:type="dxa"/>
                  <w:noWrap w:val="0"/>
                  <w:vAlign w:val="center"/>
                </w:tcPr>
                <w:p w14:paraId="5610CCF4">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180</w:t>
                  </w:r>
                </w:p>
              </w:tc>
              <w:tc>
                <w:tcPr>
                  <w:tcW w:w="934" w:type="dxa"/>
                  <w:noWrap w:val="0"/>
                  <w:vAlign w:val="center"/>
                </w:tcPr>
                <w:p w14:paraId="069F201E">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0043CD3E">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0.2</w:t>
                  </w:r>
                </w:p>
              </w:tc>
              <w:tc>
                <w:tcPr>
                  <w:tcW w:w="1109" w:type="dxa"/>
                  <w:noWrap w:val="0"/>
                  <w:vAlign w:val="center"/>
                </w:tcPr>
                <w:p w14:paraId="329AC7C7">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60</w:t>
                  </w:r>
                </w:p>
              </w:tc>
            </w:tr>
            <w:tr w14:paraId="307A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14:paraId="60823D9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541" w:type="dxa"/>
                  <w:vMerge w:val="restart"/>
                  <w:noWrap w:val="0"/>
                  <w:vAlign w:val="center"/>
                </w:tcPr>
                <w:p w14:paraId="630ADE63">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熔炼冷凝废水</w:t>
                  </w:r>
                </w:p>
              </w:tc>
              <w:tc>
                <w:tcPr>
                  <w:tcW w:w="555" w:type="dxa"/>
                  <w:noWrap w:val="0"/>
                  <w:vAlign w:val="center"/>
                </w:tcPr>
                <w:p w14:paraId="6625AA7F">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精炼牛油</w:t>
                  </w:r>
                </w:p>
              </w:tc>
              <w:tc>
                <w:tcPr>
                  <w:tcW w:w="1019" w:type="dxa"/>
                  <w:noWrap w:val="0"/>
                  <w:vAlign w:val="center"/>
                </w:tcPr>
                <w:p w14:paraId="1A864D26">
                  <w:pPr>
                    <w:snapToGrid w:val="0"/>
                    <w:jc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130" w:type="dxa"/>
                  <w:noWrap w:val="0"/>
                  <w:vAlign w:val="center"/>
                </w:tcPr>
                <w:p w14:paraId="78590B05">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35E30BE6">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w:t>
                  </w:r>
                </w:p>
              </w:tc>
              <w:tc>
                <w:tcPr>
                  <w:tcW w:w="1214" w:type="dxa"/>
                  <w:noWrap w:val="0"/>
                  <w:vAlign w:val="center"/>
                </w:tcPr>
                <w:p w14:paraId="492C01F7">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w:t>
                  </w:r>
                </w:p>
              </w:tc>
              <w:tc>
                <w:tcPr>
                  <w:tcW w:w="934" w:type="dxa"/>
                  <w:noWrap w:val="0"/>
                  <w:vAlign w:val="center"/>
                </w:tcPr>
                <w:p w14:paraId="692CAB61">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450FA7E0">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3.0</w:t>
                  </w:r>
                </w:p>
              </w:tc>
              <w:tc>
                <w:tcPr>
                  <w:tcW w:w="1109" w:type="dxa"/>
                  <w:noWrap w:val="0"/>
                  <w:vAlign w:val="center"/>
                </w:tcPr>
                <w:p w14:paraId="7EA42D0B">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900</w:t>
                  </w:r>
                </w:p>
              </w:tc>
            </w:tr>
            <w:tr w14:paraId="6992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14:paraId="5B505FF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541" w:type="dxa"/>
                  <w:vMerge w:val="continue"/>
                  <w:noWrap w:val="0"/>
                  <w:vAlign w:val="center"/>
                </w:tcPr>
                <w:p w14:paraId="627E021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p>
              </w:tc>
              <w:tc>
                <w:tcPr>
                  <w:tcW w:w="555" w:type="dxa"/>
                  <w:noWrap w:val="0"/>
                  <w:vAlign w:val="center"/>
                </w:tcPr>
                <w:p w14:paraId="436C6DF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动物饲料油脂</w:t>
                  </w:r>
                </w:p>
              </w:tc>
              <w:tc>
                <w:tcPr>
                  <w:tcW w:w="1019" w:type="dxa"/>
                  <w:noWrap w:val="0"/>
                  <w:vAlign w:val="center"/>
                </w:tcPr>
                <w:p w14:paraId="3FADCC6D">
                  <w:pPr>
                    <w:snapToGrid w:val="0"/>
                    <w:jc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130" w:type="dxa"/>
                  <w:noWrap w:val="0"/>
                  <w:vAlign w:val="center"/>
                </w:tcPr>
                <w:p w14:paraId="55F1E8B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176F70F4">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w:t>
                  </w:r>
                </w:p>
              </w:tc>
              <w:tc>
                <w:tcPr>
                  <w:tcW w:w="1214" w:type="dxa"/>
                  <w:noWrap w:val="0"/>
                  <w:vAlign w:val="center"/>
                </w:tcPr>
                <w:p w14:paraId="1A96653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w:t>
                  </w:r>
                </w:p>
              </w:tc>
              <w:tc>
                <w:tcPr>
                  <w:tcW w:w="934" w:type="dxa"/>
                  <w:noWrap w:val="0"/>
                  <w:vAlign w:val="center"/>
                </w:tcPr>
                <w:p w14:paraId="1580C4EE">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5337B0E1">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5.929</w:t>
                  </w:r>
                </w:p>
              </w:tc>
              <w:tc>
                <w:tcPr>
                  <w:tcW w:w="1109" w:type="dxa"/>
                  <w:noWrap w:val="0"/>
                  <w:vAlign w:val="center"/>
                </w:tcPr>
                <w:p w14:paraId="23061141">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1778.7311</w:t>
                  </w:r>
                </w:p>
              </w:tc>
            </w:tr>
            <w:tr w14:paraId="3CCD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14:paraId="25F65FC1">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96" w:type="dxa"/>
                  <w:gridSpan w:val="2"/>
                  <w:noWrap w:val="0"/>
                  <w:vAlign w:val="center"/>
                </w:tcPr>
                <w:p w14:paraId="5C9A1249">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冷却废水</w:t>
                  </w:r>
                </w:p>
              </w:tc>
              <w:tc>
                <w:tcPr>
                  <w:tcW w:w="1019" w:type="dxa"/>
                  <w:noWrap w:val="0"/>
                  <w:vAlign w:val="center"/>
                </w:tcPr>
                <w:p w14:paraId="2984262B">
                  <w:pPr>
                    <w:snapToGrid w:val="0"/>
                    <w:jc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1130" w:type="dxa"/>
                  <w:noWrap w:val="0"/>
                  <w:vAlign w:val="center"/>
                </w:tcPr>
                <w:p w14:paraId="14223162">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04828432">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10.1208</w:t>
                  </w:r>
                </w:p>
              </w:tc>
              <w:tc>
                <w:tcPr>
                  <w:tcW w:w="1214" w:type="dxa"/>
                  <w:noWrap w:val="0"/>
                  <w:vAlign w:val="center"/>
                </w:tcPr>
                <w:p w14:paraId="153D252B">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3036.25</w:t>
                  </w:r>
                </w:p>
              </w:tc>
              <w:tc>
                <w:tcPr>
                  <w:tcW w:w="934" w:type="dxa"/>
                  <w:noWrap w:val="0"/>
                  <w:vAlign w:val="center"/>
                </w:tcPr>
                <w:p w14:paraId="77978FE6">
                  <w:pPr>
                    <w:keepNext w:val="0"/>
                    <w:keepLines w:val="0"/>
                    <w:widowControl/>
                    <w:suppressLineNumbers w:val="0"/>
                    <w:jc w:val="center"/>
                    <w:textAlignment w:val="center"/>
                    <w:rPr>
                      <w:rFonts w:hint="eastAsia"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314CFE92">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0.0192</w:t>
                  </w:r>
                </w:p>
              </w:tc>
              <w:tc>
                <w:tcPr>
                  <w:tcW w:w="1109" w:type="dxa"/>
                  <w:noWrap w:val="0"/>
                  <w:vAlign w:val="center"/>
                </w:tcPr>
                <w:p w14:paraId="5D4AF2CB">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5.76</w:t>
                  </w:r>
                </w:p>
              </w:tc>
            </w:tr>
            <w:tr w14:paraId="7252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14:paraId="5AC450EF">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96" w:type="dxa"/>
                  <w:gridSpan w:val="2"/>
                  <w:noWrap w:val="0"/>
                  <w:vAlign w:val="center"/>
                </w:tcPr>
                <w:p w14:paraId="3A057D1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aps w:val="0"/>
                      <w:snapToGrid w:val="0"/>
                      <w:color w:val="auto"/>
                      <w:spacing w:val="0"/>
                      <w:w w:val="100"/>
                      <w:position w:val="0"/>
                      <w:sz w:val="21"/>
                      <w:szCs w:val="21"/>
                      <w:highlight w:val="none"/>
                      <w:lang w:val="en-US" w:eastAsia="zh-CN"/>
                    </w:rPr>
                    <w:t>车间地面清洗</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废水</w:t>
                  </w:r>
                </w:p>
              </w:tc>
              <w:tc>
                <w:tcPr>
                  <w:tcW w:w="1019" w:type="dxa"/>
                  <w:noWrap w:val="0"/>
                  <w:vAlign w:val="center"/>
                </w:tcPr>
                <w:p w14:paraId="3F48429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lang w:val="en-US" w:eastAsia="zh-CN"/>
                    </w:rPr>
                    <w:t>L/m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val="en-US" w:eastAsia="zh-CN"/>
                    </w:rPr>
                    <w:t>▪次</w:t>
                  </w:r>
                </w:p>
              </w:tc>
              <w:tc>
                <w:tcPr>
                  <w:tcW w:w="1130" w:type="dxa"/>
                  <w:noWrap w:val="0"/>
                  <w:vAlign w:val="center"/>
                </w:tcPr>
                <w:p w14:paraId="1EB95E7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8817.41</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899" w:type="dxa"/>
                  <w:noWrap w:val="0"/>
                  <w:vAlign w:val="center"/>
                </w:tcPr>
                <w:p w14:paraId="238CCEFE">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w:t>
                  </w:r>
                  <w:r>
                    <w:rPr>
                      <w:rFonts w:hint="eastAsia" w:cs="Times New Roman"/>
                      <w:caps w:val="0"/>
                      <w:snapToGrid w:val="0"/>
                      <w:color w:val="auto"/>
                      <w:spacing w:val="0"/>
                      <w:w w:val="100"/>
                      <w:position w:val="0"/>
                      <w:sz w:val="21"/>
                      <w:szCs w:val="21"/>
                      <w:highlight w:val="none"/>
                      <w:lang w:val="en-US" w:eastAsia="zh-CN"/>
                    </w:rPr>
                    <w:t>7635</w:t>
                  </w:r>
                </w:p>
              </w:tc>
              <w:tc>
                <w:tcPr>
                  <w:tcW w:w="1214" w:type="dxa"/>
                  <w:noWrap w:val="0"/>
                  <w:vAlign w:val="center"/>
                </w:tcPr>
                <w:p w14:paraId="1082025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529.04</w:t>
                  </w:r>
                </w:p>
              </w:tc>
              <w:tc>
                <w:tcPr>
                  <w:tcW w:w="934" w:type="dxa"/>
                  <w:noWrap w:val="0"/>
                  <w:vAlign w:val="center"/>
                </w:tcPr>
                <w:p w14:paraId="414F5A9D">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r>
                    <w:rPr>
                      <w:rFonts w:hint="eastAsia" w:cs="Times New Roman"/>
                      <w:caps w:val="0"/>
                      <w:snapToGrid w:val="0"/>
                      <w:color w:val="auto"/>
                      <w:spacing w:val="0"/>
                      <w:w w:val="100"/>
                      <w:position w:val="0"/>
                      <w:sz w:val="21"/>
                      <w:szCs w:val="21"/>
                      <w:highlight w:val="none"/>
                      <w:lang w:val="en-US" w:eastAsia="zh-CN"/>
                    </w:rPr>
                    <w:t>9</w:t>
                  </w:r>
                </w:p>
              </w:tc>
              <w:tc>
                <w:tcPr>
                  <w:tcW w:w="899" w:type="dxa"/>
                  <w:noWrap w:val="0"/>
                  <w:vAlign w:val="center"/>
                </w:tcPr>
                <w:p w14:paraId="1E4C087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1.5872</w:t>
                  </w:r>
                </w:p>
              </w:tc>
              <w:tc>
                <w:tcPr>
                  <w:tcW w:w="1109" w:type="dxa"/>
                  <w:noWrap w:val="0"/>
                  <w:vAlign w:val="center"/>
                </w:tcPr>
                <w:p w14:paraId="0420571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476.16</w:t>
                  </w:r>
                </w:p>
              </w:tc>
            </w:tr>
            <w:tr w14:paraId="6722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14:paraId="07989F64">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96" w:type="dxa"/>
                  <w:gridSpan w:val="2"/>
                  <w:noWrap w:val="0"/>
                  <w:vAlign w:val="center"/>
                </w:tcPr>
                <w:p w14:paraId="369501A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设备清洗废</w:t>
                  </w:r>
                  <w:r>
                    <w:rPr>
                      <w:rFonts w:hint="default" w:ascii="Times New Roman" w:hAnsi="Times New Roman" w:eastAsia="宋体" w:cs="Times New Roman"/>
                      <w:color w:val="auto"/>
                      <w:kern w:val="0"/>
                      <w:sz w:val="21"/>
                      <w:szCs w:val="21"/>
                      <w:highlight w:val="none"/>
                      <w:lang w:val="en-US" w:eastAsia="zh-CN"/>
                    </w:rPr>
                    <w:t>水</w:t>
                  </w:r>
                </w:p>
              </w:tc>
              <w:tc>
                <w:tcPr>
                  <w:tcW w:w="1019" w:type="dxa"/>
                  <w:noWrap w:val="0"/>
                  <w:vAlign w:val="center"/>
                </w:tcPr>
                <w:p w14:paraId="704CA4A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w:t>
                  </w:r>
                  <w:r>
                    <w:rPr>
                      <w:rFonts w:hint="default" w:ascii="Times New Roman" w:hAnsi="Times New Roman" w:eastAsia="宋体" w:cs="Times New Roman"/>
                      <w:color w:val="auto"/>
                      <w:kern w:val="0"/>
                      <w:sz w:val="21"/>
                      <w:szCs w:val="21"/>
                      <w:highlight w:val="none"/>
                      <w:lang w:val="en-US" w:eastAsia="zh-CN"/>
                    </w:rPr>
                    <w:t>m</w:t>
                  </w:r>
                  <w:r>
                    <w:rPr>
                      <w:rFonts w:hint="eastAsia"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▪次</w:t>
                  </w:r>
                </w:p>
              </w:tc>
              <w:tc>
                <w:tcPr>
                  <w:tcW w:w="1130" w:type="dxa"/>
                  <w:noWrap w:val="0"/>
                  <w:vAlign w:val="center"/>
                </w:tcPr>
                <w:p w14:paraId="25CF1AF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3d/次</w:t>
                  </w:r>
                </w:p>
              </w:tc>
              <w:tc>
                <w:tcPr>
                  <w:tcW w:w="899" w:type="dxa"/>
                  <w:noWrap w:val="0"/>
                  <w:vAlign w:val="center"/>
                </w:tcPr>
                <w:p w14:paraId="72D7AA9C">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2.0</w:t>
                  </w:r>
                </w:p>
              </w:tc>
              <w:tc>
                <w:tcPr>
                  <w:tcW w:w="1214" w:type="dxa"/>
                  <w:noWrap w:val="0"/>
                  <w:vAlign w:val="center"/>
                </w:tcPr>
                <w:p w14:paraId="2F0E59F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600</w:t>
                  </w:r>
                </w:p>
              </w:tc>
              <w:tc>
                <w:tcPr>
                  <w:tcW w:w="934" w:type="dxa"/>
                  <w:noWrap w:val="0"/>
                  <w:vAlign w:val="center"/>
                </w:tcPr>
                <w:p w14:paraId="06CEA1F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0.9</w:t>
                  </w:r>
                </w:p>
              </w:tc>
              <w:tc>
                <w:tcPr>
                  <w:tcW w:w="899" w:type="dxa"/>
                  <w:noWrap w:val="0"/>
                  <w:vAlign w:val="center"/>
                </w:tcPr>
                <w:p w14:paraId="481888C8">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1.8</w:t>
                  </w:r>
                </w:p>
              </w:tc>
              <w:tc>
                <w:tcPr>
                  <w:tcW w:w="1109" w:type="dxa"/>
                  <w:noWrap w:val="0"/>
                  <w:vAlign w:val="center"/>
                </w:tcPr>
                <w:p w14:paraId="361FE561">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540</w:t>
                  </w:r>
                </w:p>
              </w:tc>
            </w:tr>
            <w:tr w14:paraId="6B09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continue"/>
                  <w:noWrap w:val="0"/>
                  <w:vAlign w:val="center"/>
                </w:tcPr>
                <w:p w14:paraId="1534D113">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96" w:type="dxa"/>
                  <w:gridSpan w:val="2"/>
                  <w:noWrap w:val="0"/>
                  <w:vAlign w:val="center"/>
                </w:tcPr>
                <w:p w14:paraId="4022B319">
                  <w:pPr>
                    <w:keepNext w:val="0"/>
                    <w:keepLines w:val="0"/>
                    <w:widowControl w:val="0"/>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腌制废水</w:t>
                  </w:r>
                </w:p>
              </w:tc>
              <w:tc>
                <w:tcPr>
                  <w:tcW w:w="1019" w:type="dxa"/>
                  <w:noWrap w:val="0"/>
                  <w:vAlign w:val="center"/>
                </w:tcPr>
                <w:p w14:paraId="59722951">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130" w:type="dxa"/>
                  <w:noWrap w:val="0"/>
                  <w:vAlign w:val="center"/>
                </w:tcPr>
                <w:p w14:paraId="1F5DD509">
                  <w:pPr>
                    <w:keepNext w:val="0"/>
                    <w:keepLines w:val="0"/>
                    <w:widowControl w:val="0"/>
                    <w:suppressLineNumbers w:val="0"/>
                    <w:spacing w:before="0" w:beforeAutospacing="0" w:after="0" w:afterAutospacing="0"/>
                    <w:ind w:left="0" w:leftChars="0" w:right="0" w:right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899" w:type="dxa"/>
                  <w:noWrap w:val="0"/>
                  <w:vAlign w:val="center"/>
                </w:tcPr>
                <w:p w14:paraId="4F6695CE">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3.3</w:t>
                  </w:r>
                </w:p>
              </w:tc>
              <w:tc>
                <w:tcPr>
                  <w:tcW w:w="1214" w:type="dxa"/>
                  <w:noWrap w:val="0"/>
                  <w:vAlign w:val="center"/>
                </w:tcPr>
                <w:p w14:paraId="14A761D1">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990</w:t>
                  </w:r>
                </w:p>
              </w:tc>
              <w:tc>
                <w:tcPr>
                  <w:tcW w:w="934" w:type="dxa"/>
                  <w:noWrap w:val="0"/>
                  <w:vAlign w:val="center"/>
                </w:tcPr>
                <w:p w14:paraId="6AB4ACDD">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0.8</w:t>
                  </w:r>
                </w:p>
              </w:tc>
              <w:tc>
                <w:tcPr>
                  <w:tcW w:w="899" w:type="dxa"/>
                  <w:noWrap w:val="0"/>
                  <w:vAlign w:val="center"/>
                </w:tcPr>
                <w:p w14:paraId="39AE3384">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2.64</w:t>
                  </w:r>
                </w:p>
              </w:tc>
              <w:tc>
                <w:tcPr>
                  <w:tcW w:w="1109" w:type="dxa"/>
                  <w:noWrap w:val="0"/>
                  <w:vAlign w:val="center"/>
                </w:tcPr>
                <w:p w14:paraId="677C14DF">
                  <w:pPr>
                    <w:keepNext w:val="0"/>
                    <w:keepLines w:val="0"/>
                    <w:widowControl/>
                    <w:suppressLineNumbers w:val="0"/>
                    <w:jc w:val="center"/>
                    <w:textAlignment w:val="center"/>
                    <w:rPr>
                      <w:rFonts w:hint="default"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792</w:t>
                  </w:r>
                </w:p>
              </w:tc>
            </w:tr>
            <w:tr w14:paraId="5343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1" w:type="dxa"/>
                  <w:gridSpan w:val="5"/>
                  <w:noWrap w:val="0"/>
                  <w:vAlign w:val="center"/>
                </w:tcPr>
                <w:p w14:paraId="3A0CA31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899" w:type="dxa"/>
                  <w:noWrap w:val="0"/>
                  <w:vAlign w:val="center"/>
                </w:tcPr>
                <w:p w14:paraId="695D7244">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43.6757</w:t>
                  </w:r>
                </w:p>
              </w:tc>
              <w:tc>
                <w:tcPr>
                  <w:tcW w:w="1214" w:type="dxa"/>
                  <w:noWrap w:val="0"/>
                  <w:vAlign w:val="center"/>
                </w:tcPr>
                <w:p w14:paraId="1B58D7D5">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13102.7194</w:t>
                  </w:r>
                </w:p>
              </w:tc>
              <w:tc>
                <w:tcPr>
                  <w:tcW w:w="934" w:type="dxa"/>
                  <w:noWrap w:val="0"/>
                  <w:vAlign w:val="center"/>
                </w:tcPr>
                <w:p w14:paraId="5FB45038">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899" w:type="dxa"/>
                  <w:noWrap w:val="0"/>
                  <w:vAlign w:val="center"/>
                </w:tcPr>
                <w:p w14:paraId="25D9C63D">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16.9852</w:t>
                  </w:r>
                </w:p>
              </w:tc>
              <w:tc>
                <w:tcPr>
                  <w:tcW w:w="1109" w:type="dxa"/>
                  <w:noWrap w:val="0"/>
                  <w:vAlign w:val="center"/>
                </w:tcPr>
                <w:p w14:paraId="230AC8D5">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5095.5791</w:t>
                  </w:r>
                </w:p>
              </w:tc>
            </w:tr>
            <w:tr w14:paraId="20D1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6" w:type="dxa"/>
                  <w:vMerge w:val="restart"/>
                  <w:noWrap w:val="0"/>
                  <w:vAlign w:val="center"/>
                </w:tcPr>
                <w:p w14:paraId="35259310">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1096" w:type="dxa"/>
                  <w:gridSpan w:val="2"/>
                  <w:noWrap w:val="0"/>
                  <w:vAlign w:val="center"/>
                </w:tcPr>
                <w:p w14:paraId="033E827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食堂</w:t>
                  </w:r>
                </w:p>
              </w:tc>
              <w:tc>
                <w:tcPr>
                  <w:tcW w:w="1019" w:type="dxa"/>
                  <w:noWrap w:val="0"/>
                  <w:vAlign w:val="center"/>
                </w:tcPr>
                <w:p w14:paraId="02F2CD7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20L/人·d</w:t>
                  </w:r>
                </w:p>
              </w:tc>
              <w:tc>
                <w:tcPr>
                  <w:tcW w:w="1130" w:type="dxa"/>
                  <w:noWrap w:val="0"/>
                  <w:vAlign w:val="center"/>
                </w:tcPr>
                <w:p w14:paraId="2150E77A">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0人</w:t>
                  </w:r>
                </w:p>
              </w:tc>
              <w:tc>
                <w:tcPr>
                  <w:tcW w:w="899" w:type="dxa"/>
                  <w:noWrap w:val="0"/>
                  <w:vAlign w:val="center"/>
                </w:tcPr>
                <w:p w14:paraId="1D72B717">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0.4</w:t>
                  </w:r>
                </w:p>
              </w:tc>
              <w:tc>
                <w:tcPr>
                  <w:tcW w:w="1214" w:type="dxa"/>
                  <w:noWrap w:val="0"/>
                  <w:vAlign w:val="center"/>
                </w:tcPr>
                <w:p w14:paraId="5BF6480C">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120</w:t>
                  </w:r>
                </w:p>
              </w:tc>
              <w:tc>
                <w:tcPr>
                  <w:tcW w:w="934" w:type="dxa"/>
                  <w:noWrap w:val="0"/>
                  <w:vAlign w:val="center"/>
                </w:tcPr>
                <w:p w14:paraId="5FA56A2D">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899" w:type="dxa"/>
                  <w:noWrap w:val="0"/>
                  <w:vAlign w:val="center"/>
                </w:tcPr>
                <w:p w14:paraId="60DD716D">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r>
                    <w:rPr>
                      <w:rFonts w:hint="eastAsia" w:cs="Times New Roman"/>
                      <w:caps w:val="0"/>
                      <w:snapToGrid w:val="0"/>
                      <w:color w:val="auto"/>
                      <w:spacing w:val="0"/>
                      <w:w w:val="100"/>
                      <w:position w:val="0"/>
                      <w:sz w:val="21"/>
                      <w:szCs w:val="21"/>
                      <w:highlight w:val="none"/>
                      <w:lang w:val="en-US" w:eastAsia="zh-CN"/>
                    </w:rPr>
                    <w:t>32</w:t>
                  </w:r>
                </w:p>
              </w:tc>
              <w:tc>
                <w:tcPr>
                  <w:tcW w:w="1109" w:type="dxa"/>
                  <w:noWrap w:val="0"/>
                  <w:vAlign w:val="center"/>
                </w:tcPr>
                <w:p w14:paraId="3608CDC1">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96</w:t>
                  </w:r>
                </w:p>
              </w:tc>
            </w:tr>
            <w:tr w14:paraId="0C36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26" w:type="dxa"/>
                  <w:vMerge w:val="continue"/>
                  <w:noWrap w:val="0"/>
                  <w:vAlign w:val="center"/>
                </w:tcPr>
                <w:p w14:paraId="13F5D497">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096" w:type="dxa"/>
                  <w:gridSpan w:val="2"/>
                  <w:noWrap w:val="0"/>
                  <w:vAlign w:val="center"/>
                </w:tcPr>
                <w:p w14:paraId="718C2FFC">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p>
              </w:tc>
              <w:tc>
                <w:tcPr>
                  <w:tcW w:w="1019" w:type="dxa"/>
                  <w:noWrap w:val="0"/>
                  <w:vAlign w:val="center"/>
                </w:tcPr>
                <w:p w14:paraId="3829992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80L/人·d</w:t>
                  </w:r>
                </w:p>
              </w:tc>
              <w:tc>
                <w:tcPr>
                  <w:tcW w:w="1130" w:type="dxa"/>
                  <w:noWrap w:val="0"/>
                  <w:vAlign w:val="center"/>
                </w:tcPr>
                <w:p w14:paraId="57818ECB">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0人</w:t>
                  </w:r>
                </w:p>
              </w:tc>
              <w:tc>
                <w:tcPr>
                  <w:tcW w:w="899" w:type="dxa"/>
                  <w:noWrap w:val="0"/>
                  <w:vAlign w:val="center"/>
                </w:tcPr>
                <w:p w14:paraId="59E7CA36">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1.6</w:t>
                  </w:r>
                </w:p>
              </w:tc>
              <w:tc>
                <w:tcPr>
                  <w:tcW w:w="1214" w:type="dxa"/>
                  <w:noWrap w:val="0"/>
                  <w:vAlign w:val="center"/>
                </w:tcPr>
                <w:p w14:paraId="0F5B7E79">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480</w:t>
                  </w:r>
                </w:p>
              </w:tc>
              <w:tc>
                <w:tcPr>
                  <w:tcW w:w="934" w:type="dxa"/>
                  <w:noWrap w:val="0"/>
                  <w:vAlign w:val="center"/>
                </w:tcPr>
                <w:p w14:paraId="71598E2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899" w:type="dxa"/>
                  <w:noWrap w:val="0"/>
                  <w:vAlign w:val="center"/>
                </w:tcPr>
                <w:p w14:paraId="37A1032A">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1.28</w:t>
                  </w:r>
                </w:p>
              </w:tc>
              <w:tc>
                <w:tcPr>
                  <w:tcW w:w="1109" w:type="dxa"/>
                  <w:noWrap w:val="0"/>
                  <w:vAlign w:val="center"/>
                </w:tcPr>
                <w:p w14:paraId="2EB89D05">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384</w:t>
                  </w:r>
                </w:p>
              </w:tc>
            </w:tr>
            <w:tr w14:paraId="3833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1" w:type="dxa"/>
                  <w:gridSpan w:val="4"/>
                  <w:noWrap w:val="0"/>
                  <w:vAlign w:val="center"/>
                </w:tcPr>
                <w:p w14:paraId="13FE351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1130" w:type="dxa"/>
                  <w:noWrap w:val="0"/>
                  <w:vAlign w:val="center"/>
                </w:tcPr>
                <w:p w14:paraId="2FD24FD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899" w:type="dxa"/>
                  <w:noWrap w:val="0"/>
                  <w:vAlign w:val="center"/>
                </w:tcPr>
                <w:p w14:paraId="64D86E56">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14" w:type="dxa"/>
                  <w:noWrap w:val="0"/>
                  <w:vAlign w:val="center"/>
                </w:tcPr>
                <w:p w14:paraId="033B5BDC">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934" w:type="dxa"/>
                  <w:noWrap w:val="0"/>
                  <w:vAlign w:val="center"/>
                </w:tcPr>
                <w:p w14:paraId="46348ADA">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99" w:type="dxa"/>
                  <w:noWrap w:val="0"/>
                  <w:vAlign w:val="center"/>
                </w:tcPr>
                <w:p w14:paraId="7B1791C8">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109" w:type="dxa"/>
                  <w:noWrap w:val="0"/>
                  <w:vAlign w:val="center"/>
                </w:tcPr>
                <w:p w14:paraId="77B40B19">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480</w:t>
                  </w:r>
                </w:p>
              </w:tc>
            </w:tr>
            <w:tr w14:paraId="408D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2" w:type="dxa"/>
                  <w:gridSpan w:val="3"/>
                  <w:noWrap w:val="0"/>
                  <w:vAlign w:val="center"/>
                </w:tcPr>
                <w:p w14:paraId="77E7E2D8">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绿化</w:t>
                  </w:r>
                </w:p>
              </w:tc>
              <w:tc>
                <w:tcPr>
                  <w:tcW w:w="1019" w:type="dxa"/>
                  <w:noWrap w:val="0"/>
                  <w:vAlign w:val="center"/>
                </w:tcPr>
                <w:p w14:paraId="777F428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1130" w:type="dxa"/>
                  <w:noWrap w:val="0"/>
                  <w:vAlign w:val="center"/>
                </w:tcPr>
                <w:p w14:paraId="30E99EA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1200</w:t>
                  </w:r>
                  <w:r>
                    <w:rPr>
                      <w:rFonts w:hint="default" w:ascii="Times New Roman" w:hAnsi="Times New Roman" w:eastAsia="宋体" w:cs="Times New Roman"/>
                      <w:caps w:val="0"/>
                      <w:snapToGrid w:val="0"/>
                      <w:color w:val="auto"/>
                      <w:spacing w:val="0"/>
                      <w:w w:val="100"/>
                      <w:position w:val="0"/>
                      <w:sz w:val="21"/>
                      <w:szCs w:val="21"/>
                      <w:highlight w:val="none"/>
                      <w:lang w:val="en-US" w:eastAsia="zh-CN"/>
                    </w:rPr>
                    <w:t>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899" w:type="dxa"/>
                  <w:noWrap w:val="0"/>
                  <w:vAlign w:val="center"/>
                </w:tcPr>
                <w:p w14:paraId="355B82C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w:t>
                  </w:r>
                  <w:r>
                    <w:rPr>
                      <w:rFonts w:hint="eastAsia" w:cs="Times New Roman"/>
                      <w:caps w:val="0"/>
                      <w:snapToGrid w:val="0"/>
                      <w:color w:val="auto"/>
                      <w:spacing w:val="0"/>
                      <w:w w:val="100"/>
                      <w:position w:val="0"/>
                      <w:sz w:val="21"/>
                      <w:szCs w:val="21"/>
                      <w:highlight w:val="none"/>
                      <w:lang w:val="en-US" w:eastAsia="zh-CN"/>
                    </w:rPr>
                    <w:t>6</w:t>
                  </w:r>
                </w:p>
              </w:tc>
              <w:tc>
                <w:tcPr>
                  <w:tcW w:w="1214" w:type="dxa"/>
                  <w:noWrap w:val="0"/>
                  <w:vAlign w:val="center"/>
                </w:tcPr>
                <w:p w14:paraId="0A1E509E">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752.4</w:t>
                  </w:r>
                </w:p>
              </w:tc>
              <w:tc>
                <w:tcPr>
                  <w:tcW w:w="934" w:type="dxa"/>
                  <w:noWrap w:val="0"/>
                  <w:vAlign w:val="center"/>
                </w:tcPr>
                <w:p w14:paraId="74E31E8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99" w:type="dxa"/>
                  <w:noWrap w:val="0"/>
                  <w:vAlign w:val="center"/>
                </w:tcPr>
                <w:p w14:paraId="387A0DA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1109" w:type="dxa"/>
                  <w:noWrap w:val="0"/>
                  <w:vAlign w:val="center"/>
                </w:tcPr>
                <w:p w14:paraId="028A4EB0">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14:paraId="29DC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1" w:type="dxa"/>
                  <w:gridSpan w:val="5"/>
                  <w:noWrap w:val="0"/>
                  <w:vAlign w:val="center"/>
                </w:tcPr>
                <w:p w14:paraId="4F75DC86">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899" w:type="dxa"/>
                  <w:noWrap w:val="0"/>
                  <w:vAlign w:val="center"/>
                </w:tcPr>
                <w:p w14:paraId="2FBBA1A7">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3.</w:t>
                  </w:r>
                  <w:r>
                    <w:rPr>
                      <w:rFonts w:hint="eastAsia" w:cs="Times New Roman"/>
                      <w:caps w:val="0"/>
                      <w:snapToGrid w:val="0"/>
                      <w:color w:val="auto"/>
                      <w:spacing w:val="0"/>
                      <w:w w:val="100"/>
                      <w:position w:val="0"/>
                      <w:sz w:val="21"/>
                      <w:szCs w:val="21"/>
                      <w:highlight w:val="none"/>
                      <w:lang w:val="en-US" w:eastAsia="zh-CN"/>
                    </w:rPr>
                    <w:t>6</w:t>
                  </w:r>
                </w:p>
              </w:tc>
              <w:tc>
                <w:tcPr>
                  <w:tcW w:w="1214" w:type="dxa"/>
                  <w:noWrap w:val="0"/>
                  <w:vAlign w:val="center"/>
                </w:tcPr>
                <w:p w14:paraId="6A9B2F41">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eastAsia" w:cs="Times New Roman"/>
                      <w:caps w:val="0"/>
                      <w:snapToGrid w:val="0"/>
                      <w:color w:val="auto"/>
                      <w:spacing w:val="0"/>
                      <w:w w:val="100"/>
                      <w:position w:val="0"/>
                      <w:sz w:val="21"/>
                      <w:szCs w:val="21"/>
                      <w:highlight w:val="none"/>
                      <w:lang w:val="en-US" w:eastAsia="zh-CN"/>
                    </w:rPr>
                    <w:t>752.4</w:t>
                  </w:r>
                </w:p>
              </w:tc>
              <w:tc>
                <w:tcPr>
                  <w:tcW w:w="934" w:type="dxa"/>
                  <w:noWrap w:val="0"/>
                  <w:vAlign w:val="center"/>
                </w:tcPr>
                <w:p w14:paraId="03CA1D47">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99" w:type="dxa"/>
                  <w:noWrap w:val="0"/>
                  <w:vAlign w:val="center"/>
                </w:tcPr>
                <w:p w14:paraId="5734B9A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c>
                <w:tcPr>
                  <w:tcW w:w="1109" w:type="dxa"/>
                  <w:noWrap w:val="0"/>
                  <w:vAlign w:val="center"/>
                </w:tcPr>
                <w:p w14:paraId="3185B1A4">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0</w:t>
                  </w:r>
                </w:p>
              </w:tc>
            </w:tr>
            <w:tr w14:paraId="10C7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71" w:type="dxa"/>
                  <w:gridSpan w:val="5"/>
                  <w:noWrap w:val="0"/>
                  <w:vAlign w:val="center"/>
                </w:tcPr>
                <w:p w14:paraId="23467C51">
                  <w:pPr>
                    <w:keepNext w:val="0"/>
                    <w:keepLines w:val="0"/>
                    <w:pageBreakBefore w:val="0"/>
                    <w:widowControl/>
                    <w:suppressLineNumbers w:val="0"/>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合计</w:t>
                  </w:r>
                </w:p>
              </w:tc>
              <w:tc>
                <w:tcPr>
                  <w:tcW w:w="899" w:type="dxa"/>
                  <w:noWrap w:val="0"/>
                  <w:vAlign w:val="center"/>
                </w:tcPr>
                <w:p w14:paraId="4F840DB6">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49.2757</w:t>
                  </w:r>
                </w:p>
              </w:tc>
              <w:tc>
                <w:tcPr>
                  <w:tcW w:w="1214" w:type="dxa"/>
                  <w:noWrap w:val="0"/>
                  <w:vAlign w:val="center"/>
                </w:tcPr>
                <w:p w14:paraId="5DBED8D2">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14455.1194</w:t>
                  </w:r>
                </w:p>
              </w:tc>
              <w:tc>
                <w:tcPr>
                  <w:tcW w:w="934" w:type="dxa"/>
                  <w:noWrap w:val="0"/>
                  <w:vAlign w:val="center"/>
                </w:tcPr>
                <w:p w14:paraId="3228AA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899" w:type="dxa"/>
                  <w:noWrap w:val="0"/>
                  <w:vAlign w:val="center"/>
                </w:tcPr>
                <w:p w14:paraId="47DAA1C3">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18.5852</w:t>
                  </w:r>
                </w:p>
              </w:tc>
              <w:tc>
                <w:tcPr>
                  <w:tcW w:w="1109" w:type="dxa"/>
                  <w:noWrap w:val="0"/>
                  <w:vAlign w:val="center"/>
                </w:tcPr>
                <w:p w14:paraId="21AA6B7F">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5575.5791</w:t>
                  </w:r>
                </w:p>
              </w:tc>
            </w:tr>
          </w:tbl>
          <w:p w14:paraId="5563D1D0">
            <w:pPr>
              <w:pStyle w:val="11"/>
              <w:keepNext w:val="0"/>
              <w:keepLines w:val="0"/>
              <w:pageBreakBefore w:val="0"/>
              <w:widowControl w:val="0"/>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14:paraId="4E1865AB">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4、2-5</w:t>
            </w:r>
            <w:r>
              <w:rPr>
                <w:rFonts w:hint="default" w:ascii="Times New Roman" w:hAnsi="Times New Roman" w:eastAsia="宋体" w:cs="Times New Roman"/>
                <w:caps w:val="0"/>
                <w:snapToGrid w:val="0"/>
                <w:color w:val="auto"/>
                <w:spacing w:val="0"/>
                <w:w w:val="100"/>
                <w:position w:val="0"/>
                <w:sz w:val="24"/>
                <w:highlight w:val="none"/>
              </w:rPr>
              <w:t>所示。</w:t>
            </w:r>
          </w:p>
          <w:p w14:paraId="0F154B3E">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5593A8AC">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3EAF291B">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71A5D242">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5FA89684">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34C70E8B">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6FC0F18C">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1962EAA0">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63BF6A0C">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3E6414EC">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24FA0FA5">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7C5E2241">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5F6121ED">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465FB27E">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120821B1">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7537E8DE">
            <w:pPr>
              <w:pStyle w:val="11"/>
              <w:keepNext w:val="0"/>
              <w:keepLines w:val="0"/>
              <w:pageBreakBefore w:val="0"/>
              <w:widowControl w:val="0"/>
              <w:kinsoku/>
              <w:wordWrap/>
              <w:overflowPunct/>
              <w:topLinePunct w:val="0"/>
              <w:bidi w:val="0"/>
              <w:adjustRightInd w:val="0"/>
              <w:snapToGrid w:val="0"/>
              <w:spacing w:after="0" w:line="360" w:lineRule="auto"/>
              <w:ind w:firstLine="480" w:firstLineChars="200"/>
              <w:rPr>
                <w:rFonts w:hint="eastAsia" w:cs="Times New Roman"/>
                <w:caps w:val="0"/>
                <w:snapToGrid w:val="0"/>
                <w:color w:val="auto"/>
                <w:spacing w:val="0"/>
                <w:w w:val="100"/>
                <w:position w:val="0"/>
                <w:sz w:val="24"/>
                <w:highlight w:val="none"/>
                <w:lang w:eastAsia="zh-CN"/>
              </w:rPr>
            </w:pPr>
          </w:p>
          <w:p w14:paraId="7EEA77A8">
            <w:pPr>
              <w:pStyle w:val="11"/>
              <w:keepNext w:val="0"/>
              <w:keepLines w:val="0"/>
              <w:pageBreakBefore w:val="0"/>
              <w:widowControl w:val="0"/>
              <w:kinsoku/>
              <w:wordWrap/>
              <w:overflowPunct/>
              <w:topLinePunct w:val="0"/>
              <w:bidi w:val="0"/>
              <w:adjustRightInd w:val="0"/>
              <w:snapToGrid w:val="0"/>
              <w:spacing w:after="0" w:line="360" w:lineRule="auto"/>
              <w:ind w:firstLine="422" w:firstLineChars="200"/>
              <w:rPr>
                <w:rFonts w:hint="eastAsia" w:ascii="Times New Roman" w:hAnsi="Times New Roman" w:eastAsia="宋体" w:cs="Times New Roman"/>
                <w:b/>
                <w:bCs/>
                <w:caps w:val="0"/>
                <w:snapToGrid w:val="0"/>
                <w:color w:val="auto"/>
                <w:spacing w:val="0"/>
                <w:w w:val="100"/>
                <w:position w:val="0"/>
                <w:sz w:val="21"/>
                <w:szCs w:val="21"/>
                <w:highlight w:val="none"/>
                <w:lang w:eastAsia="zh-CN"/>
              </w:rPr>
            </w:pPr>
          </w:p>
          <w:p w14:paraId="051E305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object>
                <v:shape id="_x0000_i1028" o:spt="75" type="#_x0000_t75" style="height:376.9pt;width:435.7pt;" o:ole="t" filled="f" o:preferrelative="t" stroked="f" coordsize="21600,21600">
                  <v:path/>
                  <v:fill on="f" focussize="0,0"/>
                  <v:stroke on="f"/>
                  <v:imagedata r:id="rId17" o:title=""/>
                  <o:lock v:ext="edit" aspectratio="f"/>
                  <w10:wrap type="none"/>
                  <w10:anchorlock/>
                </v:shape>
                <o:OLEObject Type="Embed" ProgID="Visio.Drawing.15" ShapeID="_x0000_i1028" DrawAspect="Content" ObjectID="_1468075728" r:id="rId16">
                  <o:LockedField>false</o:LockedField>
                </o:OLEObject>
              </w:object>
            </w:r>
          </w:p>
          <w:p w14:paraId="6DB7666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4</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非雨天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14:paraId="08744B2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69A88D9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343EDDF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7832D5F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66381F3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7B67611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1DF19D2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265DA51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508221A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2E30B34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217276B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421FEEC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09BBE0A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cs="Times New Roman"/>
                <w:b/>
                <w:bCs/>
                <w:caps w:val="0"/>
                <w:snapToGrid w:val="0"/>
                <w:color w:val="auto"/>
                <w:spacing w:val="0"/>
                <w:w w:val="100"/>
                <w:position w:val="0"/>
                <w:sz w:val="21"/>
                <w:szCs w:val="21"/>
                <w:highlight w:val="none"/>
                <w:lang w:eastAsia="zh-CN"/>
              </w:rPr>
            </w:pPr>
          </w:p>
          <w:p w14:paraId="56F4F81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color w:val="auto"/>
                <w:sz w:val="24"/>
                <w:szCs w:val="24"/>
                <w:highlight w:val="none"/>
                <w:lang w:val="en-US" w:eastAsia="zh-CN"/>
              </w:rPr>
            </w:pPr>
          </w:p>
          <w:p w14:paraId="634A5D7F">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b/>
                <w:bCs/>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object>
                <v:shape id="_x0000_i1029" o:spt="75" type="#_x0000_t75" style="height:376.9pt;width:435.7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p>
          <w:p w14:paraId="2646F37D">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5</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雨天</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r>
      <w:tr w14:paraId="1833B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14:paraId="5875B584">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55" w:type="dxa"/>
            <w:vAlign w:val="top"/>
          </w:tcPr>
          <w:p w14:paraId="3E37681E">
            <w:pPr>
              <w:keepNext w:val="0"/>
              <w:keepLines w:val="0"/>
              <w:pageBreakBefore w:val="0"/>
              <w:widowControl w:val="0"/>
              <w:kinsoku/>
              <w:wordWrap/>
              <w:overflowPunct/>
              <w:topLinePunct w:val="0"/>
              <w:autoSpaceDE/>
              <w:autoSpaceDN/>
              <w:bidi w:val="0"/>
              <w:adjustRightInd/>
              <w:snapToGrid/>
              <w:spacing w:after="0" w:line="348" w:lineRule="auto"/>
              <w:textAlignment w:val="auto"/>
              <w:rPr>
                <w:rFonts w:hint="default" w:ascii="Times New Roman" w:hAnsi="Times New Roman" w:eastAsia="宋体" w:cs="Times New Roman"/>
                <w:b/>
                <w:color w:val="auto"/>
                <w:sz w:val="24"/>
                <w:highlight w:val="none"/>
                <w:lang w:val="en-US" w:eastAsia="zh-CN"/>
              </w:rPr>
            </w:pPr>
            <w:bookmarkStart w:id="18" w:name="_Toc16932"/>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14:paraId="58B93DE6">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1、施工主要工作内容</w:t>
            </w:r>
          </w:p>
          <w:p w14:paraId="052C696F">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Cs/>
                <w:color w:val="auto"/>
                <w:sz w:val="24"/>
              </w:rPr>
              <w:t>本项目</w:t>
            </w:r>
            <w:r>
              <w:rPr>
                <w:rFonts w:hint="default" w:ascii="Times New Roman" w:hAnsi="Times New Roman" w:eastAsia="宋体" w:cs="Times New Roman"/>
                <w:bCs/>
                <w:color w:val="auto"/>
                <w:sz w:val="24"/>
                <w:lang w:eastAsia="zh-CN"/>
              </w:rPr>
              <w:t>施工期主要建设生产厂房、办公生活综合楼</w:t>
            </w:r>
            <w:r>
              <w:rPr>
                <w:rFonts w:hint="default" w:ascii="Times New Roman" w:hAnsi="Times New Roman" w:eastAsia="宋体" w:cs="Times New Roman"/>
                <w:bCs/>
                <w:color w:val="auto"/>
                <w:sz w:val="24"/>
                <w:lang w:val="en-US" w:eastAsia="zh-CN"/>
              </w:rPr>
              <w:t>及相关辅助设施用房</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施工</w:t>
            </w:r>
            <w:r>
              <w:rPr>
                <w:rFonts w:hint="default" w:ascii="Times New Roman" w:hAnsi="Times New Roman" w:eastAsia="宋体" w:cs="Times New Roman"/>
                <w:bCs/>
                <w:color w:val="auto"/>
                <w:sz w:val="24"/>
                <w:lang w:eastAsia="zh-CN"/>
              </w:rPr>
              <w:t>期工艺流程及产污情况如下。</w:t>
            </w:r>
          </w:p>
          <w:p w14:paraId="0F3FC255">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、施工组织安排</w:t>
            </w:r>
          </w:p>
          <w:p w14:paraId="6A7DA1AF">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iCs/>
                <w:color w:val="auto"/>
                <w:sz w:val="24"/>
                <w:highlight w:val="none"/>
                <w:lang w:val="en-US" w:eastAsia="zh-CN"/>
              </w:rPr>
              <w:t>项目施工周期为</w:t>
            </w:r>
            <w:r>
              <w:rPr>
                <w:rFonts w:hint="eastAsia" w:cs="Times New Roman"/>
                <w:b w:val="0"/>
                <w:bCs w:val="0"/>
                <w:iCs/>
                <w:color w:val="auto"/>
                <w:sz w:val="24"/>
                <w:highlight w:val="none"/>
                <w:lang w:val="en-US" w:eastAsia="zh-CN"/>
              </w:rPr>
              <w:t>23</w:t>
            </w:r>
            <w:r>
              <w:rPr>
                <w:rFonts w:hint="default" w:ascii="Times New Roman" w:hAnsi="Times New Roman" w:eastAsia="宋体" w:cs="Times New Roman"/>
                <w:b w:val="0"/>
                <w:bCs w:val="0"/>
                <w:iCs/>
                <w:color w:val="auto"/>
                <w:sz w:val="24"/>
                <w:highlight w:val="none"/>
                <w:lang w:val="en-US" w:eastAsia="zh-CN"/>
              </w:rPr>
              <w:t>个月，</w:t>
            </w:r>
            <w:r>
              <w:rPr>
                <w:rFonts w:hint="default" w:ascii="Times New Roman" w:hAnsi="Times New Roman" w:eastAsia="宋体" w:cs="Times New Roman"/>
                <w:color w:val="auto"/>
                <w:sz w:val="24"/>
                <w:szCs w:val="24"/>
                <w:highlight w:val="none"/>
                <w:lang w:val="zh-CN"/>
              </w:rPr>
              <w:t>施工高峰期施工人员总量约为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0人，施工场地内不设置施工生活营地，施工人员的餐饮住宿均依托周边配套服务设施。</w:t>
            </w:r>
          </w:p>
          <w:p w14:paraId="1CD0821C">
            <w:pPr>
              <w:keepNext w:val="0"/>
              <w:keepLines w:val="0"/>
              <w:pageBreakBefore w:val="0"/>
              <w:widowControl w:val="0"/>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、施工产污环节分析</w:t>
            </w:r>
          </w:p>
          <w:p w14:paraId="56453FFB">
            <w:pPr>
              <w:pStyle w:val="23"/>
              <w:keepNext w:val="0"/>
              <w:keepLines w:val="0"/>
              <w:pageBreakBefore w:val="0"/>
              <w:numPr>
                <w:ilvl w:val="0"/>
                <w:numId w:val="0"/>
              </w:numPr>
              <w:kinsoku/>
              <w:wordWrap/>
              <w:overflowPunct/>
              <w:topLinePunct w:val="0"/>
              <w:autoSpaceDE/>
              <w:autoSpaceDN/>
              <w:bidi w:val="0"/>
              <w:adjustRightInd w:val="0"/>
              <w:snapToGrid w:val="0"/>
              <w:spacing w:before="0" w:beforeAutospacing="0" w:after="0" w:afterAutospacing="0" w:line="348"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施工期主要包括场地平整、土石方开挖、主体工程和配套设施建设、室内装修和外部景观绿化。施工期大致可分为土石方阶段及基础阶段、主体结构阶段和室内外装修安装阶段。施工工艺流程图及产污环节图见图2-6。</w:t>
            </w:r>
          </w:p>
          <w:p w14:paraId="17DBEBBC">
            <w:pPr>
              <w:pStyle w:val="23"/>
              <w:keepNext w:val="0"/>
              <w:keepLines w:val="0"/>
              <w:pageBreakBefore w:val="0"/>
              <w:numPr>
                <w:ilvl w:val="0"/>
                <w:numId w:val="0"/>
              </w:numPr>
              <w:kinsoku/>
              <w:wordWrap/>
              <w:overflowPunct/>
              <w:topLinePunct w:val="0"/>
              <w:bidi w:val="0"/>
              <w:adjustRightInd w:val="0"/>
              <w:snapToGrid w:val="0"/>
              <w:spacing w:before="0" w:beforeAutospacing="0" w:after="0" w:afterAutospacing="0" w:line="360" w:lineRule="auto"/>
              <w:ind w:firstLine="480" w:firstLineChars="20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object>
                <v:shape id="_x0000_i1030" o:spt="75" type="#_x0000_t75" style="height:117.1pt;width:404.9pt;" o:ole="t" filled="f" o:preferrelative="t" stroked="f" coordsize="21600,21600">
                  <v:path/>
                  <v:fill on="f" focussize="0,0"/>
                  <v:stroke on="f"/>
                  <v:imagedata r:id="rId21" o:title=""/>
                  <o:lock v:ext="edit" aspectratio="t"/>
                  <w10:wrap type="none"/>
                  <w10:anchorlock/>
                </v:shape>
                <o:OLEObject Type="Embed" ProgID="Visio.Drawing.11" ShapeID="_x0000_i1030" DrawAspect="Content" ObjectID="_1468075730" r:id="rId20">
                  <o:LockedField>false</o:LockedField>
                </o:OLEObject>
              </w:object>
            </w: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2-6</w:t>
            </w:r>
            <w:r>
              <w:rPr>
                <w:rFonts w:hint="default" w:ascii="Times New Roman" w:hAnsi="Times New Roman" w:eastAsia="宋体" w:cs="Times New Roman"/>
                <w:b/>
                <w:bCs/>
                <w:color w:val="auto"/>
                <w:sz w:val="21"/>
                <w:szCs w:val="21"/>
              </w:rPr>
              <w:t xml:space="preserve">   施工期工艺流程及产污环节示意图</w:t>
            </w:r>
          </w:p>
          <w:p w14:paraId="1C4D6CF1">
            <w:pPr>
              <w:keepNext w:val="0"/>
              <w:keepLines w:val="0"/>
              <w:pageBreakBefore w:val="0"/>
              <w:widowControl w:val="0"/>
              <w:kinsoku/>
              <w:wordWrap/>
              <w:overflowPunct/>
              <w:topLinePunct w:val="0"/>
              <w:autoSpaceDE w:val="0"/>
              <w:autoSpaceDN w:val="0"/>
              <w:bidi w:val="0"/>
              <w:adjustRightInd w:val="0"/>
              <w:snapToGrid w:val="0"/>
              <w:spacing w:line="351"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lang w:val="en-US" w:eastAsia="zh-CN"/>
              </w:rPr>
              <w:t>项目建设过程中不同施工阶段所采用的施</w:t>
            </w:r>
            <w:r>
              <w:rPr>
                <w:rFonts w:hint="default" w:ascii="Times New Roman" w:hAnsi="Times New Roman" w:eastAsia="宋体" w:cs="Times New Roman"/>
                <w:color w:val="auto"/>
                <w:sz w:val="24"/>
                <w:lang w:val="en-US" w:eastAsia="zh-CN"/>
              </w:rPr>
              <w:t>工方式不一样：在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14:paraId="11ECF807">
            <w:pPr>
              <w:keepNext w:val="0"/>
              <w:keepLines w:val="0"/>
              <w:pageBreakBefore w:val="0"/>
              <w:widowControl w:val="0"/>
              <w:kinsoku/>
              <w:wordWrap/>
              <w:overflowPunct/>
              <w:topLinePunct w:val="0"/>
              <w:autoSpaceDE/>
              <w:autoSpaceDN/>
              <w:bidi w:val="0"/>
              <w:adjustRightInd/>
              <w:snapToGrid/>
              <w:spacing w:line="351"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lang w:val="en-US" w:eastAsia="zh-CN"/>
              </w:rPr>
              <w:t>本项目施工过程中产生的主要污染物为废气</w:t>
            </w:r>
            <w:r>
              <w:rPr>
                <w:rFonts w:hint="default" w:ascii="Times New Roman" w:hAnsi="Times New Roman" w:eastAsia="宋体" w:cs="Times New Roman"/>
                <w:color w:val="auto"/>
                <w:sz w:val="24"/>
                <w:highlight w:val="none"/>
                <w:lang w:val="en-US" w:eastAsia="zh-CN"/>
              </w:rPr>
              <w:t>（扬尘、汽车尾气、涂料挥发的有机废气等）、施工机械和运输车辆产生的噪声、施工及施工人员产生的废水、建筑垃圾、弃渣土及施工人员生活垃圾等固体废物。</w:t>
            </w:r>
          </w:p>
          <w:p w14:paraId="4FBAAAF4">
            <w:pPr>
              <w:keepNext w:val="0"/>
              <w:keepLines w:val="0"/>
              <w:pageBreakBefore w:val="0"/>
              <w:widowControl w:val="0"/>
              <w:kinsoku/>
              <w:wordWrap/>
              <w:overflowPunct/>
              <w:topLinePunct w:val="0"/>
              <w:autoSpaceDE/>
              <w:autoSpaceDN/>
              <w:bidi w:val="0"/>
              <w:adjustRightInd/>
              <w:snapToGrid/>
              <w:spacing w:after="0" w:line="351"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14:paraId="55D1579D">
            <w:pPr>
              <w:keepNext w:val="0"/>
              <w:keepLines w:val="0"/>
              <w:pageBreakBefore w:val="0"/>
              <w:widowControl w:val="0"/>
              <w:kinsoku/>
              <w:wordWrap/>
              <w:overflowPunct/>
              <w:topLinePunct w:val="0"/>
              <w:bidi w:val="0"/>
              <w:spacing w:line="351" w:lineRule="auto"/>
              <w:ind w:firstLine="482" w:firstLineChars="200"/>
              <w:textAlignment w:val="auto"/>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14:paraId="0BB93E64">
            <w:pPr>
              <w:keepNext w:val="0"/>
              <w:keepLines w:val="0"/>
              <w:pageBreakBefore w:val="0"/>
              <w:widowControl w:val="0"/>
              <w:kinsoku/>
              <w:wordWrap/>
              <w:overflowPunct/>
              <w:topLinePunct w:val="0"/>
              <w:bidi w:val="0"/>
              <w:adjustRightInd w:val="0"/>
              <w:snapToGrid w:val="0"/>
              <w:spacing w:line="351"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精炼牛油</w:t>
            </w:r>
            <w:r>
              <w:rPr>
                <w:rFonts w:hint="default" w:ascii="Times New Roman" w:hAnsi="Times New Roman" w:eastAsia="宋体" w:cs="Times New Roman"/>
                <w:b/>
                <w:bCs/>
                <w:color w:val="auto"/>
                <w:kern w:val="2"/>
                <w:sz w:val="24"/>
                <w:szCs w:val="24"/>
                <w:highlight w:val="none"/>
                <w:lang w:val="en-US" w:eastAsia="zh-CN" w:bidi="ar"/>
              </w:rPr>
              <w:t>生产</w:t>
            </w:r>
          </w:p>
          <w:p w14:paraId="3E62F70A">
            <w:pPr>
              <w:pStyle w:val="25"/>
              <w:adjustRightInd w:val="0"/>
              <w:snapToGrid w:val="0"/>
              <w:spacing w:after="0" w:line="360" w:lineRule="auto"/>
              <w:ind w:left="0" w:leftChars="0" w:firstLine="480"/>
              <w:rPr>
                <w:rFonts w:hint="eastAsia"/>
                <w:color w:val="auto"/>
                <w:sz w:val="24"/>
                <w:szCs w:val="24"/>
                <w:lang w:eastAsia="zh-CN"/>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w:t>
            </w:r>
            <w:r>
              <w:rPr>
                <w:rFonts w:hint="eastAsia" w:ascii="Times New Roman" w:hAnsi="Times New Roman" w:eastAsia="宋体" w:cs="Times New Roman"/>
                <w:color w:val="auto"/>
                <w:sz w:val="24"/>
                <w:szCs w:val="24"/>
                <w:highlight w:val="none"/>
                <w:lang w:val="en-US" w:eastAsia="zh-CN"/>
              </w:rPr>
              <w:t>精炼牛油</w:t>
            </w:r>
            <w:r>
              <w:rPr>
                <w:rFonts w:hint="default" w:ascii="Times New Roman" w:hAnsi="Times New Roman" w:eastAsia="宋体" w:cs="Times New Roman"/>
                <w:color w:val="auto"/>
                <w:sz w:val="24"/>
                <w:szCs w:val="24"/>
                <w:highlight w:val="none"/>
                <w:lang w:val="en-US" w:eastAsia="zh-CN"/>
              </w:rPr>
              <w:t>生产规模为年产</w:t>
            </w:r>
            <w:r>
              <w:rPr>
                <w:rFonts w:hint="eastAsia" w:ascii="Times New Roman" w:hAnsi="Times New Roman" w:eastAsia="宋体" w:cs="Times New Roman"/>
                <w:color w:val="auto"/>
                <w:sz w:val="24"/>
                <w:szCs w:val="24"/>
                <w:highlight w:val="none"/>
                <w:lang w:val="en-US" w:eastAsia="zh-CN"/>
              </w:rPr>
              <w:t>400</w:t>
            </w:r>
            <w:r>
              <w:rPr>
                <w:rFonts w:hint="default" w:ascii="Times New Roman" w:hAnsi="Times New Roman" w:eastAsia="宋体" w:cs="Times New Roman"/>
                <w:color w:val="auto"/>
                <w:sz w:val="24"/>
                <w:szCs w:val="24"/>
                <w:highlight w:val="none"/>
                <w:lang w:val="en-US" w:eastAsia="zh-CN"/>
              </w:rPr>
              <w:t>0t，</w:t>
            </w:r>
            <w:r>
              <w:rPr>
                <w:rFonts w:hint="eastAsia"/>
                <w:color w:val="auto"/>
                <w:sz w:val="24"/>
                <w:szCs w:val="24"/>
              </w:rPr>
              <w:t>动物生脂负压熔炼生产工艺流程及产污节点如图2-</w:t>
            </w:r>
            <w:r>
              <w:rPr>
                <w:rFonts w:hint="eastAsia"/>
                <w:color w:val="auto"/>
                <w:sz w:val="24"/>
                <w:szCs w:val="24"/>
                <w:lang w:val="en-US" w:eastAsia="zh-CN"/>
              </w:rPr>
              <w:t>7</w:t>
            </w:r>
            <w:r>
              <w:rPr>
                <w:rFonts w:hint="eastAsia"/>
                <w:color w:val="auto"/>
                <w:sz w:val="24"/>
                <w:szCs w:val="24"/>
              </w:rPr>
              <w:t>所示。</w:t>
            </w:r>
          </w:p>
          <w:p w14:paraId="64EB773F">
            <w:pPr>
              <w:pStyle w:val="25"/>
              <w:adjustRightInd w:val="0"/>
              <w:snapToGrid w:val="0"/>
              <w:spacing w:after="0" w:line="360" w:lineRule="auto"/>
              <w:ind w:left="0" w:leftChars="0" w:firstLine="480"/>
              <w:rPr>
                <w:rFonts w:hint="eastAsia"/>
                <w:color w:val="auto"/>
                <w:sz w:val="24"/>
                <w:szCs w:val="24"/>
                <w:lang w:eastAsia="zh-CN"/>
              </w:rPr>
            </w:pPr>
          </w:p>
          <w:p w14:paraId="74A84825">
            <w:pPr>
              <w:pStyle w:val="25"/>
              <w:adjustRightInd w:val="0"/>
              <w:snapToGrid w:val="0"/>
              <w:spacing w:after="0" w:line="360" w:lineRule="auto"/>
              <w:ind w:left="0" w:leftChars="0" w:firstLine="480"/>
              <w:rPr>
                <w:rFonts w:hint="eastAsia"/>
                <w:color w:val="auto"/>
                <w:sz w:val="24"/>
                <w:szCs w:val="24"/>
                <w:lang w:eastAsia="zh-CN"/>
              </w:rPr>
            </w:pPr>
          </w:p>
          <w:p w14:paraId="15A5D463">
            <w:pPr>
              <w:pStyle w:val="25"/>
              <w:adjustRightInd w:val="0"/>
              <w:snapToGrid w:val="0"/>
              <w:spacing w:after="0" w:line="360" w:lineRule="auto"/>
              <w:ind w:left="0" w:leftChars="0" w:firstLine="480"/>
              <w:rPr>
                <w:rFonts w:hint="eastAsia"/>
                <w:color w:val="auto"/>
                <w:sz w:val="24"/>
                <w:szCs w:val="24"/>
                <w:lang w:eastAsia="zh-CN"/>
              </w:rPr>
            </w:pPr>
          </w:p>
          <w:p w14:paraId="5AA267E8">
            <w:pPr>
              <w:pStyle w:val="25"/>
              <w:adjustRightInd w:val="0"/>
              <w:snapToGrid w:val="0"/>
              <w:spacing w:after="0" w:line="360" w:lineRule="auto"/>
              <w:ind w:left="0" w:leftChars="0" w:firstLine="480"/>
              <w:rPr>
                <w:rFonts w:hint="eastAsia"/>
                <w:color w:val="auto"/>
                <w:sz w:val="24"/>
                <w:szCs w:val="24"/>
                <w:lang w:eastAsia="zh-CN"/>
              </w:rPr>
            </w:pPr>
          </w:p>
          <w:p w14:paraId="2FE16809">
            <w:pPr>
              <w:pStyle w:val="25"/>
              <w:adjustRightInd w:val="0"/>
              <w:snapToGrid w:val="0"/>
              <w:spacing w:after="0" w:line="360" w:lineRule="auto"/>
              <w:ind w:left="0" w:leftChars="0" w:firstLine="480"/>
              <w:rPr>
                <w:rFonts w:hint="eastAsia"/>
                <w:color w:val="auto"/>
                <w:sz w:val="24"/>
                <w:szCs w:val="24"/>
                <w:lang w:eastAsia="zh-CN"/>
              </w:rPr>
            </w:pPr>
          </w:p>
          <w:p w14:paraId="3C6D2813">
            <w:pPr>
              <w:pStyle w:val="25"/>
              <w:adjustRightInd w:val="0"/>
              <w:snapToGrid w:val="0"/>
              <w:spacing w:after="0" w:line="360" w:lineRule="auto"/>
              <w:ind w:left="0" w:leftChars="0" w:firstLine="480"/>
              <w:rPr>
                <w:rFonts w:hint="eastAsia"/>
                <w:color w:val="auto"/>
                <w:sz w:val="24"/>
                <w:szCs w:val="24"/>
                <w:lang w:eastAsia="zh-CN"/>
              </w:rPr>
            </w:pPr>
          </w:p>
          <w:p w14:paraId="2C82A8E5">
            <w:pPr>
              <w:pStyle w:val="25"/>
              <w:adjustRightInd w:val="0"/>
              <w:snapToGrid w:val="0"/>
              <w:spacing w:after="0" w:line="360" w:lineRule="auto"/>
              <w:ind w:left="0" w:leftChars="0" w:firstLine="480"/>
              <w:rPr>
                <w:rFonts w:hint="eastAsia"/>
                <w:color w:val="auto"/>
                <w:sz w:val="24"/>
                <w:szCs w:val="24"/>
                <w:lang w:eastAsia="zh-CN"/>
              </w:rPr>
            </w:pPr>
          </w:p>
          <w:p w14:paraId="29804108">
            <w:pPr>
              <w:pStyle w:val="25"/>
              <w:adjustRightInd w:val="0"/>
              <w:snapToGrid w:val="0"/>
              <w:spacing w:after="0" w:line="360" w:lineRule="auto"/>
              <w:ind w:left="0" w:leftChars="0" w:firstLine="480"/>
              <w:rPr>
                <w:rFonts w:hint="eastAsia"/>
                <w:color w:val="auto"/>
                <w:sz w:val="24"/>
                <w:szCs w:val="24"/>
                <w:lang w:eastAsia="zh-CN"/>
              </w:rPr>
            </w:pPr>
          </w:p>
          <w:p w14:paraId="439AA698">
            <w:pPr>
              <w:pStyle w:val="25"/>
              <w:adjustRightInd w:val="0"/>
              <w:snapToGrid w:val="0"/>
              <w:spacing w:after="0" w:line="360" w:lineRule="auto"/>
              <w:ind w:left="0" w:leftChars="0" w:firstLine="480"/>
              <w:rPr>
                <w:rFonts w:hint="eastAsia"/>
                <w:color w:val="auto"/>
                <w:sz w:val="24"/>
                <w:szCs w:val="24"/>
                <w:lang w:eastAsia="zh-CN"/>
              </w:rPr>
            </w:pPr>
          </w:p>
          <w:p w14:paraId="1FD99057">
            <w:pPr>
              <w:pStyle w:val="25"/>
              <w:adjustRightInd w:val="0"/>
              <w:snapToGrid w:val="0"/>
              <w:spacing w:after="0" w:line="360" w:lineRule="auto"/>
              <w:ind w:left="0" w:leftChars="0" w:firstLine="480"/>
              <w:rPr>
                <w:rFonts w:hint="eastAsia"/>
                <w:color w:val="auto"/>
                <w:sz w:val="24"/>
                <w:szCs w:val="24"/>
                <w:lang w:eastAsia="zh-CN"/>
              </w:rPr>
            </w:pPr>
          </w:p>
          <w:p w14:paraId="01FDE7E1">
            <w:pPr>
              <w:pStyle w:val="25"/>
              <w:adjustRightInd w:val="0"/>
              <w:snapToGrid w:val="0"/>
              <w:spacing w:after="0" w:line="360" w:lineRule="auto"/>
              <w:ind w:left="0" w:leftChars="0" w:firstLine="480"/>
              <w:rPr>
                <w:rFonts w:hint="eastAsia" w:eastAsia="宋体"/>
                <w:color w:val="auto"/>
                <w:sz w:val="24"/>
                <w:szCs w:val="24"/>
                <w:lang w:eastAsia="zh-CN"/>
              </w:rPr>
            </w:pPr>
          </w:p>
          <w:p w14:paraId="7313E72C">
            <w:pPr>
              <w:pStyle w:val="48"/>
              <w:spacing w:line="360" w:lineRule="auto"/>
              <w:ind w:firstLine="0"/>
              <w:jc w:val="center"/>
              <w:rPr>
                <w:rFonts w:ascii="Times New Roman" w:hAnsi="Times New Roman" w:eastAsia="宋体" w:cs="Times New Roman"/>
                <w:b w:val="0"/>
                <w:color w:val="auto"/>
                <w:sz w:val="24"/>
                <w:lang w:eastAsia="zh-CN"/>
              </w:rPr>
            </w:pPr>
            <w:r>
              <w:rPr>
                <w:rFonts w:ascii="Times New Roman" w:hAnsi="Times New Roman" w:eastAsia="宋体" w:cs="Times New Roman"/>
                <w:b w:val="0"/>
                <w:color w:val="auto"/>
                <w:sz w:val="24"/>
                <w:lang w:eastAsia="zh-CN"/>
              </w:rPr>
              <w:pict>
                <v:shape id="_x0000_s1026" o:spid="_x0000_s1026" o:spt="75" type="#_x0000_t75" style="position:absolute;left:0pt;margin-left:21.3pt;margin-top:0pt;height:232.9pt;width:394.3pt;mso-wrap-distance-bottom:0pt;mso-wrap-distance-left:9pt;mso-wrap-distance-right:9pt;mso-wrap-distance-top:0pt;z-index:251661312;mso-width-relative:page;mso-height-relative:page;" o:ole="t" filled="f" o:preferrelative="t" stroked="f" coordsize="21600,21600">
                  <v:path/>
                  <v:fill on="f" focussize="0,0"/>
                  <v:stroke on="f"/>
                  <v:imagedata r:id="rId23" o:title=""/>
                  <o:lock v:ext="edit" aspectratio="f"/>
                  <w10:wrap type="square"/>
                </v:shape>
                <o:OLEObject Type="Embed" ProgID="Visio.Drawing.15" ShapeID="_x0000_s1026" DrawAspect="Content" ObjectID="_1468075731" r:id="rId22">
                  <o:LockedField>false</o:LockedField>
                </o:OLEObject>
              </w:pict>
            </w:r>
          </w:p>
          <w:p w14:paraId="7764EFFC">
            <w:pPr>
              <w:pStyle w:val="48"/>
              <w:spacing w:line="360" w:lineRule="auto"/>
              <w:ind w:firstLine="0"/>
              <w:jc w:val="center"/>
              <w:rPr>
                <w:rFonts w:ascii="Times New Roman" w:hAnsi="Times New Roman" w:eastAsia="宋体"/>
                <w:b/>
                <w:bCs w:val="0"/>
                <w:color w:val="auto"/>
                <w:sz w:val="21"/>
                <w:szCs w:val="21"/>
                <w:lang w:eastAsia="zh-CN"/>
              </w:rPr>
            </w:pPr>
            <w:r>
              <w:rPr>
                <w:rFonts w:hint="eastAsia" w:ascii="Times New Roman" w:hAnsi="Times New Roman" w:eastAsia="宋体"/>
                <w:b/>
                <w:bCs w:val="0"/>
                <w:color w:val="auto"/>
                <w:sz w:val="21"/>
                <w:szCs w:val="21"/>
                <w:lang w:eastAsia="zh-CN"/>
              </w:rPr>
              <w:t>图2-</w:t>
            </w:r>
            <w:r>
              <w:rPr>
                <w:rFonts w:hint="eastAsia"/>
                <w:b/>
                <w:bCs w:val="0"/>
                <w:color w:val="auto"/>
                <w:sz w:val="21"/>
                <w:szCs w:val="21"/>
                <w:lang w:val="en-US" w:eastAsia="zh-CN"/>
              </w:rPr>
              <w:t>7</w:t>
            </w:r>
            <w:r>
              <w:rPr>
                <w:rFonts w:hint="eastAsia" w:ascii="Times New Roman" w:hAnsi="Times New Roman" w:eastAsia="宋体"/>
                <w:b/>
                <w:bCs w:val="0"/>
                <w:color w:val="auto"/>
                <w:sz w:val="21"/>
                <w:szCs w:val="21"/>
                <w:lang w:eastAsia="zh-CN"/>
              </w:rPr>
              <w:t xml:space="preserve">  项目动物生脂负压熔炼生产工艺流程及产污环节图</w:t>
            </w:r>
          </w:p>
          <w:p w14:paraId="5705337E">
            <w:pPr>
              <w:pStyle w:val="48"/>
              <w:spacing w:line="360" w:lineRule="auto"/>
              <w:ind w:firstLineChars="200"/>
              <w:jc w:val="left"/>
              <w:rPr>
                <w:rFonts w:ascii="Times New Roman" w:hAnsi="Times New Roman"/>
                <w:bCs/>
                <w:color w:val="auto"/>
                <w:sz w:val="24"/>
                <w:lang w:eastAsia="zh-CN"/>
              </w:rPr>
            </w:pPr>
            <w:r>
              <w:rPr>
                <w:rFonts w:ascii="Times New Roman" w:hAnsi="Times New Roman"/>
                <w:bCs/>
                <w:color w:val="auto"/>
                <w:sz w:val="24"/>
                <w:lang w:eastAsia="zh-CN"/>
              </w:rPr>
              <w:t>工艺流程简述：</w:t>
            </w:r>
          </w:p>
          <w:p w14:paraId="6B15B209">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1</w:t>
            </w:r>
            <w:r>
              <w:rPr>
                <w:rFonts w:hint="eastAsia" w:eastAsia="Times New Roman"/>
                <w:b/>
                <w:bCs/>
                <w:color w:val="auto"/>
                <w:sz w:val="24"/>
                <w:lang w:val="zh-CN"/>
              </w:rPr>
              <w:t>）自然解冻</w:t>
            </w:r>
          </w:p>
          <w:p w14:paraId="39C7BC4B">
            <w:pPr>
              <w:adjustRightInd w:val="0"/>
              <w:snapToGrid w:val="0"/>
              <w:spacing w:line="360" w:lineRule="auto"/>
              <w:ind w:firstLine="480" w:firstLineChars="200"/>
              <w:rPr>
                <w:rFonts w:hint="eastAsia" w:eastAsia="Times New Roman"/>
                <w:color w:val="auto"/>
                <w:sz w:val="24"/>
                <w:lang w:val="zh-CN"/>
              </w:rPr>
            </w:pPr>
            <w:r>
              <w:rPr>
                <w:rFonts w:hint="eastAsia" w:eastAsia="Times New Roman"/>
                <w:color w:val="auto"/>
                <w:sz w:val="24"/>
                <w:lang w:val="zh-CN"/>
              </w:rPr>
              <w:t>项目外购鲜牛油至项目区内，在解冻拆包投料车间进行自然解冻拆包投料。</w:t>
            </w:r>
          </w:p>
          <w:p w14:paraId="578FB051">
            <w:pPr>
              <w:adjustRightInd w:val="0"/>
              <w:snapToGrid w:val="0"/>
              <w:spacing w:line="360" w:lineRule="auto"/>
              <w:ind w:firstLine="480" w:firstLineChars="200"/>
              <w:rPr>
                <w:rFonts w:eastAsia="Times New Roman"/>
                <w:color w:val="auto"/>
                <w:sz w:val="24"/>
              </w:rPr>
            </w:pPr>
            <w:r>
              <w:rPr>
                <w:rFonts w:hint="eastAsia" w:eastAsia="Times New Roman"/>
                <w:color w:val="auto"/>
                <w:sz w:val="24"/>
                <w:lang w:val="zh-CN"/>
              </w:rPr>
              <w:t>此工序产生废包装袋</w:t>
            </w:r>
            <w:r>
              <w:rPr>
                <w:rFonts w:hint="eastAsia" w:eastAsia="宋体"/>
                <w:color w:val="auto"/>
                <w:sz w:val="24"/>
                <w:lang w:val="en-US" w:eastAsia="zh-CN"/>
              </w:rPr>
              <w:t>S1</w:t>
            </w:r>
            <w:r>
              <w:rPr>
                <w:rFonts w:hint="eastAsia" w:eastAsia="Times New Roman"/>
                <w:color w:val="auto"/>
                <w:sz w:val="24"/>
                <w:lang w:val="zh-CN"/>
              </w:rPr>
              <w:t>及设备噪声</w:t>
            </w:r>
            <w:r>
              <w:rPr>
                <w:rFonts w:hint="eastAsia" w:eastAsia="宋体"/>
                <w:color w:val="auto"/>
                <w:sz w:val="24"/>
                <w:lang w:val="en-US" w:eastAsia="zh-CN"/>
              </w:rPr>
              <w:t>N</w:t>
            </w:r>
            <w:r>
              <w:rPr>
                <w:rFonts w:hint="eastAsia" w:eastAsia="Times New Roman"/>
                <w:color w:val="auto"/>
                <w:sz w:val="24"/>
              </w:rPr>
              <w:t>。</w:t>
            </w:r>
          </w:p>
          <w:p w14:paraId="1F70E3A2">
            <w:pPr>
              <w:adjustRightInd w:val="0"/>
              <w:snapToGrid w:val="0"/>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2</w:t>
            </w:r>
            <w:r>
              <w:rPr>
                <w:rFonts w:hint="eastAsia" w:eastAsia="Times New Roman"/>
                <w:b/>
                <w:bCs/>
                <w:color w:val="auto"/>
                <w:sz w:val="24"/>
                <w:lang w:val="zh-CN"/>
              </w:rPr>
              <w:t>）绞碎</w:t>
            </w:r>
          </w:p>
          <w:p w14:paraId="4CBA997B">
            <w:pPr>
              <w:adjustRightInd w:val="0"/>
              <w:snapToGrid w:val="0"/>
              <w:spacing w:line="360" w:lineRule="auto"/>
              <w:ind w:firstLine="480" w:firstLineChars="200"/>
              <w:rPr>
                <w:rFonts w:hint="eastAsia" w:eastAsia="Times New Roman"/>
                <w:color w:val="auto"/>
                <w:sz w:val="24"/>
                <w:lang w:val="zh-CN"/>
              </w:rPr>
            </w:pPr>
            <w:r>
              <w:rPr>
                <w:rFonts w:hint="eastAsia" w:eastAsia="Times New Roman"/>
                <w:color w:val="auto"/>
                <w:sz w:val="24"/>
                <w:lang w:val="zh-CN"/>
              </w:rPr>
              <w:t>采用重型齿合绞肉机设备， 冻料鲜料通用处理。原料经绞碎机处理绞成颗粒状态，粉碎后的物料利用链板式输送机提升至分料输送机，分料输送机采用无轴绞龙螺旋叶片传动设计。</w:t>
            </w:r>
          </w:p>
          <w:p w14:paraId="31ACAE99">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此工序产生设备噪声</w:t>
            </w:r>
            <w:r>
              <w:rPr>
                <w:rFonts w:hint="eastAsia" w:eastAsia="宋体"/>
                <w:color w:val="auto"/>
                <w:sz w:val="24"/>
                <w:lang w:val="en-US" w:eastAsia="zh-CN"/>
              </w:rPr>
              <w:t>N</w:t>
            </w:r>
            <w:r>
              <w:rPr>
                <w:rFonts w:hint="eastAsia" w:eastAsia="Times New Roman"/>
                <w:color w:val="auto"/>
                <w:sz w:val="24"/>
                <w:lang w:val="zh-CN"/>
              </w:rPr>
              <w:t>。</w:t>
            </w:r>
          </w:p>
          <w:p w14:paraId="38ED3110">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3</w:t>
            </w:r>
            <w:r>
              <w:rPr>
                <w:rFonts w:hint="eastAsia" w:eastAsia="Times New Roman"/>
                <w:b/>
                <w:bCs/>
                <w:color w:val="auto"/>
                <w:sz w:val="24"/>
                <w:lang w:val="zh-CN"/>
              </w:rPr>
              <w:t>）负压熔炼</w:t>
            </w:r>
          </w:p>
          <w:p w14:paraId="6E7CCA21">
            <w:pPr>
              <w:adjustRightInd w:val="0"/>
              <w:snapToGrid w:val="0"/>
              <w:spacing w:line="360" w:lineRule="auto"/>
              <w:ind w:firstLine="480" w:firstLineChars="200"/>
              <w:rPr>
                <w:rFonts w:hint="eastAsia"/>
                <w:color w:val="auto"/>
                <w:sz w:val="24"/>
                <w:lang w:eastAsia="zh-CN"/>
              </w:rPr>
            </w:pPr>
            <w:r>
              <w:rPr>
                <w:rFonts w:hint="eastAsia" w:eastAsia="Times New Roman"/>
                <w:color w:val="auto"/>
                <w:sz w:val="24"/>
                <w:lang w:val="zh-CN"/>
              </w:rPr>
              <w:t>采用卧式熔炼锅，采用双搅拌结构，分料绞龙均匀地将原料分料输送进入熔炼锅内，启动真空泵使熔炼锅内形成负压状态，导热油升温进行熔炼。在负压真空状态下，原料的熔炼温度到85度后水分开始蒸发，熔炼温度升温至100度，水分基本蒸发完全，待物料温度升温到120度左右物料基本熔炼完成，通过视孔观察油脂状态及油渣的干湿度，油脂起泡油渣成硬状后关闭加热阀门、启动油渣分离机开始放料进行油渣分离。根据原料等级不同，熔炼时间一般为1.5-3小时左右。</w:t>
            </w:r>
            <w:r>
              <w:rPr>
                <w:rFonts w:hint="eastAsia" w:eastAsia="宋体"/>
                <w:color w:val="auto"/>
                <w:sz w:val="24"/>
                <w:lang w:eastAsia="zh-CN"/>
              </w:rPr>
              <w:t>项目采用</w:t>
            </w:r>
            <w:r>
              <w:rPr>
                <w:rFonts w:hint="eastAsia"/>
                <w:color w:val="auto"/>
                <w:sz w:val="24"/>
              </w:rPr>
              <w:t>1台</w:t>
            </w:r>
            <w:r>
              <w:rPr>
                <w:rFonts w:hint="eastAsia"/>
                <w:color w:val="auto"/>
                <w:sz w:val="24"/>
                <w:lang w:eastAsia="zh-CN"/>
              </w:rPr>
              <w:t>燃生物质颗粒导热油炉提供热能。</w:t>
            </w:r>
          </w:p>
          <w:p w14:paraId="5B728CE2">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此工序产生燃料燃烧废气</w:t>
            </w:r>
            <w:r>
              <w:rPr>
                <w:rFonts w:hint="eastAsia" w:eastAsia="宋体"/>
                <w:color w:val="auto"/>
                <w:sz w:val="24"/>
                <w:lang w:val="en-US" w:eastAsia="zh-CN"/>
              </w:rPr>
              <w:t>G1、</w:t>
            </w:r>
            <w:r>
              <w:rPr>
                <w:rFonts w:hint="eastAsia" w:eastAsia="Times New Roman"/>
                <w:color w:val="auto"/>
                <w:sz w:val="24"/>
                <w:lang w:val="zh-CN"/>
              </w:rPr>
              <w:t>熔炼废气</w:t>
            </w:r>
            <w:r>
              <w:rPr>
                <w:rFonts w:hint="eastAsia" w:eastAsia="宋体"/>
                <w:color w:val="auto"/>
                <w:sz w:val="24"/>
                <w:lang w:val="en-US" w:eastAsia="zh-CN"/>
              </w:rPr>
              <w:t>G2</w:t>
            </w:r>
            <w:r>
              <w:rPr>
                <w:rFonts w:hint="eastAsia" w:eastAsia="Times New Roman"/>
                <w:color w:val="auto"/>
                <w:sz w:val="24"/>
                <w:lang w:val="zh-CN"/>
              </w:rPr>
              <w:t>、异味</w:t>
            </w:r>
            <w:r>
              <w:rPr>
                <w:rFonts w:hint="eastAsia" w:eastAsia="宋体"/>
                <w:color w:val="auto"/>
                <w:sz w:val="24"/>
                <w:lang w:val="en-US" w:eastAsia="zh-CN"/>
              </w:rPr>
              <w:t>、</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布袋除尘器收集的粉尘S6、燃烧炉渣S7、废导热油S8</w:t>
            </w:r>
            <w:r>
              <w:rPr>
                <w:rFonts w:hint="eastAsia" w:eastAsia="Times New Roman"/>
                <w:color w:val="auto"/>
                <w:sz w:val="24"/>
                <w:lang w:val="zh-CN"/>
              </w:rPr>
              <w:t>等。</w:t>
            </w:r>
          </w:p>
          <w:p w14:paraId="7E957AD1">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4</w:t>
            </w:r>
            <w:r>
              <w:rPr>
                <w:rFonts w:hint="eastAsia" w:eastAsia="Times New Roman"/>
                <w:b/>
                <w:bCs/>
                <w:color w:val="auto"/>
                <w:sz w:val="24"/>
                <w:lang w:val="zh-CN"/>
              </w:rPr>
              <w:t>）真空冷凝</w:t>
            </w:r>
          </w:p>
          <w:p w14:paraId="215157A6">
            <w:pPr>
              <w:spacing w:before="6" w:line="358" w:lineRule="auto"/>
              <w:ind w:left="38" w:right="4" w:firstLine="468"/>
              <w:rPr>
                <w:rFonts w:eastAsia="Times New Roman"/>
                <w:color w:val="auto"/>
                <w:sz w:val="24"/>
                <w:lang w:val="zh-CN"/>
              </w:rPr>
            </w:pPr>
            <w:r>
              <w:rPr>
                <w:rFonts w:hint="eastAsia"/>
                <w:color w:val="auto"/>
                <w:sz w:val="24"/>
                <w:szCs w:val="24"/>
                <w:lang w:eastAsia="zh-CN"/>
              </w:rPr>
              <w:t>该工序主要用于处理负压熔炼过程中产生的废气，利用真空冷凝系统进行回收，</w:t>
            </w:r>
            <w:r>
              <w:rPr>
                <w:rFonts w:ascii="宋体" w:hAnsi="宋体" w:cs="宋体"/>
                <w:color w:val="auto"/>
                <w:sz w:val="24"/>
              </w:rPr>
              <w:t>采用水喷射式真空喷泵机组</w:t>
            </w:r>
            <w:r>
              <w:rPr>
                <w:rFonts w:ascii="宋体" w:hAnsi="宋体" w:cs="宋体"/>
                <w:color w:val="auto"/>
                <w:spacing w:val="-50"/>
                <w:sz w:val="24"/>
              </w:rPr>
              <w:t>，</w:t>
            </w:r>
            <w:r>
              <w:rPr>
                <w:rFonts w:ascii="宋体" w:hAnsi="宋体" w:cs="宋体"/>
                <w:color w:val="auto"/>
                <w:sz w:val="24"/>
              </w:rPr>
              <w:t>该设备抽</w:t>
            </w:r>
            <w:r>
              <w:rPr>
                <w:rFonts w:hint="eastAsia" w:ascii="宋体" w:hAnsi="宋体" w:cs="宋体"/>
                <w:color w:val="auto"/>
                <w:sz w:val="24"/>
                <w:lang w:eastAsia="zh-CN"/>
              </w:rPr>
              <w:t>气量</w:t>
            </w:r>
            <w:r>
              <w:rPr>
                <w:rFonts w:ascii="宋体" w:hAnsi="宋体" w:cs="宋体"/>
                <w:color w:val="auto"/>
                <w:sz w:val="24"/>
              </w:rPr>
              <w:t>大</w:t>
            </w:r>
            <w:r>
              <w:rPr>
                <w:rFonts w:ascii="宋体" w:hAnsi="宋体" w:cs="宋体"/>
                <w:color w:val="auto"/>
                <w:spacing w:val="-50"/>
                <w:sz w:val="24"/>
              </w:rPr>
              <w:t>，</w:t>
            </w:r>
            <w:r>
              <w:rPr>
                <w:rFonts w:hint="eastAsia" w:ascii="宋体" w:hAnsi="宋体" w:cs="宋体"/>
                <w:color w:val="auto"/>
                <w:spacing w:val="-50"/>
                <w:sz w:val="24"/>
                <w:lang w:val="en-US" w:eastAsia="zh-CN"/>
              </w:rPr>
              <w:t>,</w:t>
            </w:r>
            <w:r>
              <w:rPr>
                <w:rFonts w:ascii="宋体" w:hAnsi="宋体" w:cs="宋体"/>
                <w:color w:val="auto"/>
                <w:sz w:val="24"/>
              </w:rPr>
              <w:t>运行平稳</w:t>
            </w:r>
            <w:r>
              <w:rPr>
                <w:rFonts w:ascii="宋体" w:hAnsi="宋体" w:cs="宋体"/>
                <w:color w:val="auto"/>
                <w:spacing w:val="-52"/>
                <w:sz w:val="24"/>
              </w:rPr>
              <w:t>。</w:t>
            </w:r>
            <w:r>
              <w:rPr>
                <w:rFonts w:ascii="宋体" w:hAnsi="宋体" w:cs="宋体"/>
                <w:color w:val="auto"/>
                <w:sz w:val="24"/>
              </w:rPr>
              <w:t>真空机组配套列管式换热器</w:t>
            </w:r>
            <w:r>
              <w:rPr>
                <w:rFonts w:ascii="宋体" w:hAnsi="宋体" w:cs="宋体"/>
                <w:color w:val="auto"/>
                <w:spacing w:val="-51"/>
                <w:sz w:val="24"/>
              </w:rPr>
              <w:t>，</w:t>
            </w:r>
            <w:r>
              <w:rPr>
                <w:rFonts w:ascii="宋体" w:hAnsi="宋体" w:cs="宋体"/>
                <w:color w:val="auto"/>
                <w:sz w:val="24"/>
              </w:rPr>
              <w:t>原料中蒸发</w:t>
            </w:r>
            <w:r>
              <w:rPr>
                <w:rFonts w:hint="eastAsia" w:ascii="宋体" w:hAnsi="宋体" w:cs="宋体"/>
                <w:color w:val="auto"/>
                <w:sz w:val="24"/>
                <w:lang w:eastAsia="zh-CN"/>
              </w:rPr>
              <w:t>的水蒸气</w:t>
            </w:r>
            <w:r>
              <w:rPr>
                <w:rFonts w:ascii="宋体" w:hAnsi="宋体" w:cs="宋体"/>
                <w:color w:val="auto"/>
                <w:sz w:val="24"/>
              </w:rPr>
              <w:t>分子混合油烟异味分子挥发物在真空状态下快速从原料油脂中分离</w:t>
            </w:r>
            <w:r>
              <w:rPr>
                <w:rFonts w:ascii="宋体" w:hAnsi="宋体" w:cs="宋体"/>
                <w:color w:val="auto"/>
                <w:spacing w:val="-103"/>
                <w:sz w:val="24"/>
              </w:rPr>
              <w:t>，</w:t>
            </w:r>
            <w:r>
              <w:rPr>
                <w:rFonts w:ascii="宋体" w:hAnsi="宋体" w:cs="宋体"/>
                <w:color w:val="auto"/>
                <w:spacing w:val="-120"/>
                <w:sz w:val="24"/>
              </w:rPr>
              <w:t xml:space="preserve"> </w:t>
            </w:r>
            <w:r>
              <w:rPr>
                <w:rFonts w:ascii="宋体" w:hAnsi="宋体" w:cs="宋体"/>
                <w:color w:val="auto"/>
                <w:sz w:val="24"/>
              </w:rPr>
              <w:t>随真空管道气流进入列管换热器</w:t>
            </w:r>
            <w:r>
              <w:rPr>
                <w:rFonts w:ascii="宋体" w:hAnsi="宋体" w:cs="宋体"/>
                <w:color w:val="auto"/>
                <w:spacing w:val="-53"/>
                <w:sz w:val="24"/>
              </w:rPr>
              <w:t>，</w:t>
            </w:r>
            <w:r>
              <w:rPr>
                <w:rFonts w:ascii="宋体" w:hAnsi="宋体" w:cs="宋体"/>
                <w:color w:val="auto"/>
                <w:sz w:val="24"/>
              </w:rPr>
              <w:t>换热器采用冷水逆流循环降温</w:t>
            </w:r>
            <w:r>
              <w:rPr>
                <w:rFonts w:ascii="宋体" w:hAnsi="宋体" w:cs="宋体"/>
                <w:color w:val="auto"/>
                <w:spacing w:val="-52"/>
                <w:sz w:val="24"/>
              </w:rPr>
              <w:t>，</w:t>
            </w:r>
            <w:r>
              <w:rPr>
                <w:rFonts w:ascii="宋体" w:hAnsi="宋体" w:cs="宋体"/>
                <w:color w:val="auto"/>
                <w:sz w:val="24"/>
              </w:rPr>
              <w:t>在冷凝作用下将蒸汽油烟挥发物汽-液转化</w:t>
            </w:r>
            <w:r>
              <w:rPr>
                <w:rFonts w:ascii="宋体" w:hAnsi="宋体" w:cs="宋体"/>
                <w:color w:val="auto"/>
                <w:spacing w:val="-52"/>
                <w:sz w:val="24"/>
              </w:rPr>
              <w:t>，</w:t>
            </w:r>
            <w:r>
              <w:rPr>
                <w:rFonts w:ascii="宋体" w:hAnsi="宋体" w:cs="宋体"/>
                <w:color w:val="auto"/>
                <w:sz w:val="24"/>
              </w:rPr>
              <w:t>形成蒸馏水收集到分液罐内</w:t>
            </w:r>
            <w:r>
              <w:rPr>
                <w:rFonts w:hint="eastAsia" w:ascii="宋体" w:hAnsi="宋体" w:cs="宋体"/>
                <w:color w:val="auto"/>
                <w:sz w:val="24"/>
                <w:lang w:eastAsia="zh-CN"/>
              </w:rPr>
              <w:t>，剩余的尾气经油烟净化装置</w:t>
            </w:r>
            <w:r>
              <w:rPr>
                <w:rFonts w:hint="eastAsia" w:ascii="宋体" w:hAnsi="宋体" w:cs="宋体"/>
                <w:color w:val="auto"/>
                <w:sz w:val="24"/>
                <w:lang w:val="en-US" w:eastAsia="zh-CN"/>
              </w:rPr>
              <w:t>处理后通过一根15m高的排气筒（DA002）排放</w:t>
            </w:r>
            <w:r>
              <w:rPr>
                <w:rFonts w:ascii="宋体" w:hAnsi="宋体" w:cs="宋体"/>
                <w:color w:val="auto"/>
                <w:spacing w:val="-4"/>
                <w:sz w:val="24"/>
              </w:rPr>
              <w:t>。</w:t>
            </w:r>
          </w:p>
          <w:p w14:paraId="6109E850">
            <w:pPr>
              <w:adjustRightInd w:val="0"/>
              <w:snapToGrid w:val="0"/>
              <w:spacing w:line="360" w:lineRule="auto"/>
              <w:ind w:firstLine="480" w:firstLineChars="200"/>
              <w:rPr>
                <w:rFonts w:hint="eastAsia" w:eastAsia="Times New Roman"/>
                <w:b/>
                <w:bCs/>
                <w:color w:val="auto"/>
                <w:sz w:val="24"/>
                <w:lang w:val="zh-CN"/>
              </w:rPr>
            </w:pPr>
            <w:r>
              <w:rPr>
                <w:rFonts w:hint="eastAsia" w:eastAsia="Times New Roman"/>
                <w:color w:val="auto"/>
                <w:sz w:val="24"/>
                <w:lang w:val="zh-CN"/>
              </w:rPr>
              <w:t>此工序产生真空泵废水</w:t>
            </w:r>
            <w:r>
              <w:rPr>
                <w:rFonts w:hint="eastAsia" w:eastAsia="宋体"/>
                <w:color w:val="auto"/>
                <w:sz w:val="24"/>
                <w:lang w:val="en-US" w:eastAsia="zh-CN"/>
              </w:rPr>
              <w:t>W3、冷凝废水W4、</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p>
          <w:p w14:paraId="52EC1488">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5</w:t>
            </w:r>
            <w:r>
              <w:rPr>
                <w:rFonts w:hint="eastAsia" w:eastAsia="Times New Roman"/>
                <w:b/>
                <w:bCs/>
                <w:color w:val="auto"/>
                <w:sz w:val="24"/>
                <w:lang w:val="zh-CN"/>
              </w:rPr>
              <w:t>）油渣分离</w:t>
            </w:r>
          </w:p>
          <w:p w14:paraId="79986D76">
            <w:pPr>
              <w:spacing w:line="359" w:lineRule="auto"/>
              <w:ind w:left="38" w:right="71" w:firstLine="468"/>
              <w:rPr>
                <w:rFonts w:hint="eastAsia" w:ascii="宋体" w:hAnsi="宋体" w:cs="宋体"/>
                <w:color w:val="auto"/>
                <w:spacing w:val="-2"/>
                <w:sz w:val="24"/>
                <w:lang w:eastAsia="zh-CN"/>
              </w:rPr>
            </w:pPr>
            <w:r>
              <w:rPr>
                <w:rFonts w:ascii="宋体" w:hAnsi="宋体" w:cs="宋体"/>
                <w:color w:val="auto"/>
                <w:sz w:val="24"/>
              </w:rPr>
              <w:t>采用筛板式油渣分离机将提炼后的油渣混合物进行油渣粗分离</w:t>
            </w:r>
            <w:r>
              <w:rPr>
                <w:rFonts w:hint="eastAsia" w:ascii="宋体" w:hAnsi="宋体" w:cs="宋体"/>
                <w:color w:val="auto"/>
                <w:sz w:val="24"/>
              </w:rPr>
              <w:t>，大于</w:t>
            </w:r>
            <w:r>
              <w:rPr>
                <w:rFonts w:ascii="宋体" w:hAnsi="宋体" w:cs="宋体"/>
                <w:color w:val="auto"/>
                <w:sz w:val="24"/>
              </w:rPr>
              <w:t>0.4mm的油渣经过刮板输送设备送入压榨工段</w:t>
            </w:r>
            <w:r>
              <w:rPr>
                <w:rFonts w:ascii="宋体" w:hAnsi="宋体" w:cs="宋体"/>
                <w:color w:val="auto"/>
                <w:spacing w:val="-111"/>
                <w:sz w:val="24"/>
              </w:rPr>
              <w:t>，</w:t>
            </w:r>
            <w:r>
              <w:rPr>
                <w:rFonts w:ascii="宋体" w:hAnsi="宋体" w:cs="宋体"/>
                <w:color w:val="auto"/>
                <w:spacing w:val="-120"/>
                <w:sz w:val="24"/>
              </w:rPr>
              <w:t xml:space="preserve"> </w:t>
            </w:r>
            <w:r>
              <w:rPr>
                <w:rFonts w:ascii="宋体" w:hAnsi="宋体" w:cs="宋体"/>
                <w:color w:val="auto"/>
                <w:sz w:val="24"/>
              </w:rPr>
              <w:t>微细油渣及毛油混合物泵入叶片过滤机进行精细过滤</w:t>
            </w:r>
            <w:r>
              <w:rPr>
                <w:rFonts w:ascii="宋体" w:hAnsi="宋体" w:cs="宋体"/>
                <w:color w:val="auto"/>
                <w:spacing w:val="-51"/>
                <w:sz w:val="24"/>
              </w:rPr>
              <w:t>，</w:t>
            </w:r>
            <w:r>
              <w:rPr>
                <w:rFonts w:ascii="宋体" w:hAnsi="宋体" w:cs="宋体"/>
                <w:color w:val="auto"/>
                <w:sz w:val="24"/>
              </w:rPr>
              <w:t>过滤板采用316L不锈钢材质</w:t>
            </w:r>
            <w:r>
              <w:rPr>
                <w:rFonts w:ascii="宋体" w:hAnsi="宋体" w:cs="宋体"/>
                <w:color w:val="auto"/>
                <w:spacing w:val="-51"/>
                <w:sz w:val="24"/>
              </w:rPr>
              <w:t>，</w:t>
            </w:r>
            <w:r>
              <w:rPr>
                <w:rFonts w:ascii="宋体" w:hAnsi="宋体" w:cs="宋体"/>
                <w:color w:val="auto"/>
                <w:sz w:val="24"/>
              </w:rPr>
              <w:t>过滤精度≥99%</w:t>
            </w:r>
            <w:r>
              <w:rPr>
                <w:rFonts w:ascii="宋体" w:hAnsi="宋体" w:cs="宋体"/>
                <w:color w:val="auto"/>
                <w:spacing w:val="-3"/>
                <w:sz w:val="24"/>
              </w:rPr>
              <w:t>，</w:t>
            </w:r>
            <w:r>
              <w:rPr>
                <w:rFonts w:ascii="宋体" w:hAnsi="宋体" w:cs="宋体"/>
                <w:color w:val="auto"/>
                <w:sz w:val="24"/>
              </w:rPr>
              <w:t>油脂精细过滤达到澄清透明状态</w:t>
            </w:r>
            <w:r>
              <w:rPr>
                <w:rFonts w:ascii="宋体" w:hAnsi="宋体" w:cs="宋体"/>
                <w:color w:val="auto"/>
                <w:spacing w:val="-2"/>
                <w:sz w:val="24"/>
              </w:rPr>
              <w:t>，</w:t>
            </w:r>
            <w:r>
              <w:rPr>
                <w:rFonts w:hint="eastAsia" w:ascii="宋体" w:hAnsi="宋体" w:cs="宋体"/>
                <w:color w:val="auto"/>
                <w:sz w:val="24"/>
              </w:rPr>
              <w:t>毛油</w:t>
            </w:r>
            <w:r>
              <w:rPr>
                <w:rFonts w:ascii="宋体" w:hAnsi="宋体" w:cs="宋体"/>
                <w:color w:val="auto"/>
                <w:sz w:val="24"/>
              </w:rPr>
              <w:t>输送至</w:t>
            </w:r>
            <w:r>
              <w:rPr>
                <w:rFonts w:hint="eastAsia" w:ascii="宋体" w:hAnsi="宋体" w:cs="宋体"/>
                <w:color w:val="auto"/>
                <w:sz w:val="24"/>
                <w:lang w:eastAsia="zh-CN"/>
              </w:rPr>
              <w:t>毛</w:t>
            </w:r>
            <w:r>
              <w:rPr>
                <w:rFonts w:ascii="宋体" w:hAnsi="宋体" w:cs="宋体"/>
                <w:color w:val="auto"/>
                <w:sz w:val="24"/>
              </w:rPr>
              <w:t>油罐</w:t>
            </w:r>
            <w:r>
              <w:rPr>
                <w:rFonts w:hint="eastAsia" w:ascii="宋体" w:hAnsi="宋体" w:cs="宋体"/>
                <w:color w:val="auto"/>
                <w:sz w:val="24"/>
                <w:lang w:eastAsia="zh-CN"/>
              </w:rPr>
              <w:t>中</w:t>
            </w:r>
            <w:r>
              <w:rPr>
                <w:rFonts w:ascii="宋体" w:hAnsi="宋体" w:cs="宋体"/>
                <w:color w:val="auto"/>
                <w:spacing w:val="-2"/>
                <w:sz w:val="24"/>
              </w:rPr>
              <w:t>。</w:t>
            </w:r>
            <w:r>
              <w:rPr>
                <w:rFonts w:hint="eastAsia" w:ascii="宋体" w:hAnsi="宋体" w:cs="宋体"/>
                <w:color w:val="auto"/>
                <w:spacing w:val="-2"/>
                <w:sz w:val="24"/>
                <w:lang w:eastAsia="zh-CN"/>
              </w:rPr>
              <w:t>精细过滤产生的过滤物为少部分肉渣，肉渣进入压榨工序。</w:t>
            </w:r>
          </w:p>
          <w:p w14:paraId="5B9F15EC">
            <w:pPr>
              <w:spacing w:line="359" w:lineRule="auto"/>
              <w:ind w:left="38" w:right="71" w:firstLine="468"/>
              <w:rPr>
                <w:color w:val="auto"/>
                <w:sz w:val="24"/>
                <w:lang w:val="zh-CN"/>
              </w:rPr>
            </w:pPr>
            <w:r>
              <w:rPr>
                <w:rFonts w:hint="eastAsia" w:ascii="宋体" w:hAnsi="宋体" w:cs="宋体"/>
                <w:color w:val="auto"/>
                <w:spacing w:val="-2"/>
                <w:sz w:val="24"/>
              </w:rPr>
              <w:t>此工序产生</w:t>
            </w:r>
            <w:r>
              <w:rPr>
                <w:rFonts w:hint="eastAsia" w:ascii="宋体" w:hAnsi="宋体" w:cs="宋体"/>
                <w:color w:val="auto"/>
                <w:spacing w:val="-2"/>
                <w:sz w:val="24"/>
                <w:lang w:eastAsia="zh-CN"/>
              </w:rPr>
              <w:t>设备</w:t>
            </w:r>
            <w:r>
              <w:rPr>
                <w:rFonts w:hint="eastAsia" w:ascii="宋体" w:hAnsi="宋体" w:cs="宋体"/>
                <w:color w:val="auto"/>
                <w:spacing w:val="-2"/>
                <w:sz w:val="24"/>
              </w:rPr>
              <w:t>噪声</w:t>
            </w:r>
            <w:r>
              <w:rPr>
                <w:rFonts w:hint="eastAsia" w:ascii="宋体" w:hAnsi="宋体" w:cs="宋体"/>
                <w:color w:val="auto"/>
                <w:spacing w:val="-2"/>
                <w:sz w:val="24"/>
                <w:lang w:val="en-US" w:eastAsia="zh-CN"/>
              </w:rPr>
              <w:t>N</w:t>
            </w:r>
            <w:r>
              <w:rPr>
                <w:rFonts w:hint="eastAsia" w:ascii="宋体" w:hAnsi="宋体" w:cs="宋体"/>
                <w:color w:val="auto"/>
                <w:spacing w:val="-2"/>
                <w:sz w:val="24"/>
              </w:rPr>
              <w:t>。</w:t>
            </w:r>
          </w:p>
          <w:p w14:paraId="02ADF603">
            <w:pPr>
              <w:spacing w:line="360" w:lineRule="auto"/>
              <w:ind w:firstLine="482" w:firstLineChars="200"/>
              <w:rPr>
                <w:rFonts w:eastAsia="Times New Roman"/>
                <w:b/>
                <w:bCs/>
                <w:color w:val="auto"/>
                <w:sz w:val="24"/>
                <w:lang w:val="zh-CN"/>
              </w:rPr>
            </w:pPr>
            <w:r>
              <w:rPr>
                <w:rFonts w:hint="eastAsia"/>
                <w:b/>
                <w:bCs/>
                <w:color w:val="auto"/>
                <w:sz w:val="24"/>
              </w:rPr>
              <w:t>（6）肉渣压榨</w:t>
            </w:r>
          </w:p>
          <w:p w14:paraId="35015BB6">
            <w:pPr>
              <w:spacing w:before="4" w:line="363" w:lineRule="auto"/>
              <w:ind w:left="37" w:firstLine="469"/>
              <w:rPr>
                <w:rFonts w:ascii="宋体" w:hAnsi="宋体" w:cs="宋体"/>
                <w:color w:val="auto"/>
                <w:spacing w:val="-17"/>
                <w:sz w:val="24"/>
              </w:rPr>
            </w:pPr>
            <w:r>
              <w:rPr>
                <w:rFonts w:ascii="宋体" w:hAnsi="宋体" w:cs="宋体"/>
                <w:color w:val="auto"/>
                <w:sz w:val="24"/>
              </w:rPr>
              <w:t>采用动物肉渣专用LZY200型螺旋榨油机</w:t>
            </w:r>
            <w:r>
              <w:rPr>
                <w:rFonts w:hint="eastAsia" w:ascii="宋体" w:hAnsi="宋体" w:cs="宋体"/>
                <w:color w:val="auto"/>
                <w:sz w:val="24"/>
              </w:rPr>
              <w:t>，</w:t>
            </w:r>
            <w:r>
              <w:rPr>
                <w:rFonts w:ascii="宋体" w:hAnsi="宋体" w:cs="宋体"/>
                <w:color w:val="auto"/>
                <w:sz w:val="24"/>
              </w:rPr>
              <w:t>该榨机性能优良</w:t>
            </w:r>
            <w:r>
              <w:rPr>
                <w:rFonts w:hint="eastAsia" w:ascii="宋体" w:hAnsi="宋体" w:cs="宋体"/>
                <w:color w:val="auto"/>
                <w:sz w:val="24"/>
              </w:rPr>
              <w:t>，</w:t>
            </w:r>
            <w:r>
              <w:rPr>
                <w:rFonts w:ascii="宋体" w:hAnsi="宋体" w:cs="宋体"/>
                <w:color w:val="auto"/>
                <w:sz w:val="24"/>
              </w:rPr>
              <w:t>榨樘压力调节至适合动物肉渣一次压榨的适宜状态</w:t>
            </w:r>
            <w:r>
              <w:rPr>
                <w:rFonts w:hint="eastAsia" w:ascii="宋体" w:hAnsi="宋体" w:cs="宋体"/>
                <w:color w:val="auto"/>
                <w:sz w:val="24"/>
              </w:rPr>
              <w:t>，</w:t>
            </w:r>
            <w:r>
              <w:rPr>
                <w:rFonts w:ascii="宋体" w:hAnsi="宋体" w:cs="宋体"/>
                <w:color w:val="auto"/>
                <w:sz w:val="24"/>
              </w:rPr>
              <w:t>压榨饼一次成形</w:t>
            </w:r>
            <w:r>
              <w:rPr>
                <w:rFonts w:hint="eastAsia" w:ascii="宋体" w:hAnsi="宋体" w:cs="宋体"/>
                <w:color w:val="auto"/>
                <w:sz w:val="24"/>
                <w:lang w:eastAsia="zh-CN"/>
              </w:rPr>
              <w:t>，</w:t>
            </w:r>
            <w:r>
              <w:rPr>
                <w:rFonts w:ascii="宋体" w:hAnsi="宋体" w:cs="宋体"/>
                <w:color w:val="auto"/>
                <w:sz w:val="24"/>
              </w:rPr>
              <w:t>榨饼残油10%左右</w:t>
            </w:r>
            <w:r>
              <w:rPr>
                <w:rFonts w:hint="eastAsia" w:ascii="宋体" w:hAnsi="宋体" w:cs="宋体"/>
                <w:color w:val="auto"/>
                <w:sz w:val="24"/>
              </w:rPr>
              <w:t>，</w:t>
            </w:r>
            <w:r>
              <w:rPr>
                <w:rFonts w:ascii="宋体" w:hAnsi="宋体" w:cs="宋体"/>
                <w:color w:val="auto"/>
                <w:spacing w:val="-120"/>
                <w:sz w:val="24"/>
              </w:rPr>
              <w:t xml:space="preserve"> </w:t>
            </w:r>
            <w:r>
              <w:rPr>
                <w:rFonts w:ascii="宋体" w:hAnsi="宋体" w:cs="宋体"/>
                <w:color w:val="auto"/>
                <w:sz w:val="24"/>
              </w:rPr>
              <w:t>压榨饼颜色鲜艳</w:t>
            </w:r>
            <w:r>
              <w:rPr>
                <w:rFonts w:ascii="宋体" w:hAnsi="宋体" w:cs="宋体"/>
                <w:color w:val="auto"/>
                <w:spacing w:val="-7"/>
                <w:sz w:val="24"/>
              </w:rPr>
              <w:t>，</w:t>
            </w:r>
            <w:r>
              <w:rPr>
                <w:rFonts w:ascii="宋体" w:hAnsi="宋体" w:cs="宋体"/>
                <w:color w:val="auto"/>
                <w:spacing w:val="-120"/>
                <w:sz w:val="24"/>
              </w:rPr>
              <w:t xml:space="preserve"> </w:t>
            </w:r>
            <w:r>
              <w:rPr>
                <w:rFonts w:ascii="宋体" w:hAnsi="宋体" w:cs="宋体"/>
                <w:color w:val="auto"/>
                <w:sz w:val="24"/>
              </w:rPr>
              <w:t>结构松散</w:t>
            </w:r>
            <w:r>
              <w:rPr>
                <w:rFonts w:ascii="宋体" w:hAnsi="宋体" w:cs="宋体"/>
                <w:color w:val="auto"/>
                <w:spacing w:val="-7"/>
                <w:sz w:val="24"/>
              </w:rPr>
              <w:t>、</w:t>
            </w:r>
            <w:r>
              <w:rPr>
                <w:rFonts w:ascii="宋体" w:hAnsi="宋体" w:cs="宋体"/>
                <w:color w:val="auto"/>
                <w:sz w:val="24"/>
              </w:rPr>
              <w:t>粉末度低</w:t>
            </w:r>
            <w:r>
              <w:rPr>
                <w:rFonts w:ascii="宋体" w:hAnsi="宋体" w:cs="宋体"/>
                <w:color w:val="auto"/>
                <w:spacing w:val="-7"/>
                <w:sz w:val="24"/>
              </w:rPr>
              <w:t>。</w:t>
            </w:r>
            <w:r>
              <w:rPr>
                <w:rFonts w:ascii="宋体" w:hAnsi="宋体" w:cs="宋体"/>
                <w:color w:val="auto"/>
                <w:sz w:val="24"/>
              </w:rPr>
              <w:t>压榨油颜色浅亮</w:t>
            </w:r>
            <w:r>
              <w:rPr>
                <w:rFonts w:ascii="宋体" w:hAnsi="宋体" w:cs="宋体"/>
                <w:color w:val="auto"/>
                <w:spacing w:val="-7"/>
                <w:sz w:val="24"/>
              </w:rPr>
              <w:t>，</w:t>
            </w:r>
            <w:r>
              <w:rPr>
                <w:rFonts w:ascii="宋体" w:hAnsi="宋体" w:cs="宋体"/>
                <w:color w:val="auto"/>
                <w:sz w:val="24"/>
              </w:rPr>
              <w:t>杂质少</w:t>
            </w:r>
            <w:r>
              <w:rPr>
                <w:rFonts w:ascii="宋体" w:hAnsi="宋体" w:cs="宋体"/>
                <w:color w:val="auto"/>
                <w:spacing w:val="-18"/>
                <w:sz w:val="24"/>
              </w:rPr>
              <w:t>，</w:t>
            </w:r>
            <w:r>
              <w:rPr>
                <w:rFonts w:ascii="宋体" w:hAnsi="宋体" w:cs="宋体"/>
                <w:color w:val="auto"/>
                <w:spacing w:val="-120"/>
                <w:sz w:val="24"/>
              </w:rPr>
              <w:t xml:space="preserve"> </w:t>
            </w:r>
            <w:r>
              <w:rPr>
                <w:rFonts w:ascii="宋体" w:hAnsi="宋体" w:cs="宋体"/>
                <w:color w:val="auto"/>
                <w:sz w:val="24"/>
              </w:rPr>
              <w:t>香味纯正品质优秀</w:t>
            </w:r>
            <w:r>
              <w:rPr>
                <w:rFonts w:ascii="宋体" w:hAnsi="宋体" w:cs="宋体"/>
                <w:color w:val="auto"/>
                <w:spacing w:val="-17"/>
                <w:sz w:val="24"/>
              </w:rPr>
              <w:t>。</w:t>
            </w:r>
          </w:p>
          <w:p w14:paraId="7693F6AD">
            <w:pPr>
              <w:spacing w:before="4" w:line="363" w:lineRule="auto"/>
              <w:ind w:left="37" w:firstLine="469"/>
              <w:rPr>
                <w:rFonts w:ascii="宋体" w:hAnsi="宋体" w:cs="宋体"/>
                <w:color w:val="auto"/>
                <w:spacing w:val="-17"/>
                <w:sz w:val="24"/>
              </w:rPr>
            </w:pPr>
            <w:r>
              <w:rPr>
                <w:rFonts w:hint="eastAsia" w:ascii="宋体" w:hAnsi="宋体" w:cs="宋体"/>
                <w:color w:val="auto"/>
                <w:spacing w:val="-17"/>
                <w:sz w:val="24"/>
              </w:rPr>
              <w:t>此工序产生</w:t>
            </w:r>
            <w:r>
              <w:rPr>
                <w:rFonts w:hint="eastAsia" w:ascii="宋体" w:hAnsi="宋体" w:cs="宋体"/>
                <w:color w:val="auto"/>
                <w:spacing w:val="-17"/>
                <w:sz w:val="24"/>
                <w:lang w:eastAsia="zh-CN"/>
              </w:rPr>
              <w:t>设备</w:t>
            </w:r>
            <w:r>
              <w:rPr>
                <w:rFonts w:hint="eastAsia" w:ascii="宋体" w:hAnsi="宋体" w:cs="宋体"/>
                <w:color w:val="auto"/>
                <w:spacing w:val="-17"/>
                <w:sz w:val="24"/>
              </w:rPr>
              <w:t>噪声</w:t>
            </w:r>
            <w:r>
              <w:rPr>
                <w:rFonts w:hint="eastAsia" w:ascii="宋体" w:hAnsi="宋体" w:cs="宋体"/>
                <w:color w:val="auto"/>
                <w:spacing w:val="-17"/>
                <w:sz w:val="24"/>
                <w:lang w:val="en-US" w:eastAsia="zh-CN"/>
              </w:rPr>
              <w:t>N</w:t>
            </w:r>
            <w:r>
              <w:rPr>
                <w:rFonts w:hint="eastAsia" w:ascii="宋体" w:hAnsi="宋体" w:cs="宋体"/>
                <w:color w:val="auto"/>
                <w:spacing w:val="-17"/>
                <w:sz w:val="24"/>
              </w:rPr>
              <w:t>。</w:t>
            </w:r>
          </w:p>
          <w:p w14:paraId="5740BC31">
            <w:pPr>
              <w:pStyle w:val="25"/>
              <w:adjustRightInd w:val="0"/>
              <w:snapToGrid w:val="0"/>
              <w:spacing w:after="0" w:line="360" w:lineRule="auto"/>
              <w:ind w:left="0" w:leftChars="0" w:firstLine="480"/>
              <w:rPr>
                <w:rFonts w:hint="eastAsia"/>
                <w:color w:val="auto"/>
                <w:sz w:val="24"/>
                <w:szCs w:val="24"/>
              </w:rPr>
            </w:pPr>
            <w:r>
              <w:rPr>
                <w:rFonts w:hint="eastAsia" w:ascii="Times New Roman" w:hAnsi="Times New Roman" w:eastAsia="宋体"/>
                <w:bCs/>
                <w:color w:val="auto"/>
                <w:sz w:val="24"/>
                <w:szCs w:val="24"/>
                <w:lang w:eastAsia="zh-CN"/>
              </w:rPr>
              <w:t>食用牛油物理精炼</w:t>
            </w:r>
            <w:r>
              <w:rPr>
                <w:rFonts w:hint="eastAsia"/>
                <w:color w:val="auto"/>
                <w:sz w:val="24"/>
                <w:szCs w:val="24"/>
              </w:rPr>
              <w:t>工艺流程及产污节点如图2-</w:t>
            </w:r>
            <w:r>
              <w:rPr>
                <w:rFonts w:hint="eastAsia"/>
                <w:color w:val="auto"/>
                <w:sz w:val="24"/>
                <w:szCs w:val="24"/>
                <w:lang w:val="en-US" w:eastAsia="zh-CN"/>
              </w:rPr>
              <w:t>8</w:t>
            </w:r>
            <w:r>
              <w:rPr>
                <w:rFonts w:hint="eastAsia"/>
                <w:color w:val="auto"/>
                <w:sz w:val="24"/>
                <w:szCs w:val="24"/>
              </w:rPr>
              <w:t>所示。</w:t>
            </w:r>
          </w:p>
          <w:p w14:paraId="4B519A18">
            <w:pPr>
              <w:pStyle w:val="25"/>
              <w:adjustRightInd w:val="0"/>
              <w:snapToGrid w:val="0"/>
              <w:spacing w:after="0" w:line="360" w:lineRule="auto"/>
              <w:ind w:left="0" w:leftChars="0" w:firstLine="480"/>
              <w:rPr>
                <w:rFonts w:hint="eastAsia"/>
                <w:color w:val="auto"/>
                <w:sz w:val="24"/>
                <w:szCs w:val="24"/>
              </w:rPr>
            </w:pPr>
          </w:p>
          <w:p w14:paraId="5F8610AD">
            <w:pPr>
              <w:pStyle w:val="25"/>
              <w:adjustRightInd w:val="0"/>
              <w:snapToGrid w:val="0"/>
              <w:spacing w:after="0" w:line="360" w:lineRule="auto"/>
              <w:ind w:left="0" w:leftChars="0" w:firstLine="480"/>
              <w:rPr>
                <w:rFonts w:hint="eastAsia"/>
                <w:color w:val="auto"/>
                <w:sz w:val="24"/>
                <w:szCs w:val="24"/>
              </w:rPr>
            </w:pPr>
          </w:p>
          <w:p w14:paraId="39BBC91B">
            <w:pPr>
              <w:pStyle w:val="25"/>
              <w:adjustRightInd w:val="0"/>
              <w:snapToGrid w:val="0"/>
              <w:spacing w:after="0" w:line="360" w:lineRule="auto"/>
              <w:ind w:left="0" w:leftChars="0" w:firstLine="480"/>
              <w:rPr>
                <w:rFonts w:hint="eastAsia"/>
                <w:color w:val="auto"/>
                <w:sz w:val="24"/>
                <w:szCs w:val="24"/>
              </w:rPr>
            </w:pPr>
          </w:p>
          <w:p w14:paraId="3E06C0AE">
            <w:pPr>
              <w:pStyle w:val="25"/>
              <w:adjustRightInd w:val="0"/>
              <w:snapToGrid w:val="0"/>
              <w:spacing w:after="0" w:line="360" w:lineRule="auto"/>
              <w:ind w:left="0" w:leftChars="0" w:firstLine="480"/>
              <w:rPr>
                <w:rFonts w:hint="eastAsia"/>
                <w:color w:val="auto"/>
                <w:sz w:val="24"/>
                <w:szCs w:val="24"/>
              </w:rPr>
            </w:pPr>
          </w:p>
          <w:p w14:paraId="6E79AF34">
            <w:pPr>
              <w:pStyle w:val="25"/>
              <w:adjustRightInd w:val="0"/>
              <w:snapToGrid w:val="0"/>
              <w:spacing w:after="0" w:line="360" w:lineRule="auto"/>
              <w:ind w:left="0" w:leftChars="0" w:firstLine="480"/>
              <w:rPr>
                <w:rFonts w:hint="eastAsia"/>
                <w:color w:val="auto"/>
                <w:sz w:val="24"/>
                <w:szCs w:val="24"/>
              </w:rPr>
            </w:pPr>
          </w:p>
          <w:p w14:paraId="3410198B">
            <w:pPr>
              <w:pStyle w:val="25"/>
              <w:adjustRightInd w:val="0"/>
              <w:snapToGrid w:val="0"/>
              <w:spacing w:after="0" w:line="360" w:lineRule="auto"/>
              <w:ind w:left="0" w:leftChars="0" w:firstLine="480"/>
              <w:rPr>
                <w:rFonts w:hint="eastAsia" w:eastAsia="宋体"/>
                <w:color w:val="auto"/>
                <w:lang w:eastAsia="zh-CN"/>
              </w:rPr>
            </w:pPr>
          </w:p>
          <w:p w14:paraId="64AAEDD6">
            <w:pPr>
              <w:pStyle w:val="48"/>
              <w:spacing w:line="360" w:lineRule="auto"/>
              <w:ind w:firstLine="0"/>
              <w:jc w:val="center"/>
              <w:rPr>
                <w:rFonts w:hint="eastAsia" w:cs="Times New Roman"/>
                <w:bCs/>
                <w:color w:val="auto"/>
                <w:sz w:val="24"/>
                <w:lang w:eastAsia="zh-CN"/>
              </w:rPr>
            </w:pPr>
            <w:r>
              <w:rPr>
                <w:rFonts w:hint="eastAsia" w:cs="Times New Roman"/>
                <w:bCs/>
                <w:color w:val="auto"/>
                <w:sz w:val="24"/>
                <w:lang w:eastAsia="zh-CN"/>
              </w:rPr>
              <w:object>
                <v:shape id="_x0000_i1031" o:spt="75" type="#_x0000_t75" style="height:177.05pt;width:415.55pt;" o:ole="t" filled="f" o:preferrelative="t" stroked="f" coordsize="21600,21600">
                  <v:path/>
                  <v:fill on="f" focussize="0,0"/>
                  <v:stroke on="f"/>
                  <v:imagedata r:id="rId25" o:title=""/>
                  <o:lock v:ext="edit" aspectratio="f"/>
                  <w10:wrap type="none"/>
                  <w10:anchorlock/>
                </v:shape>
                <o:OLEObject Type="Embed" ProgID="Visio.Drawing.15" ShapeID="_x0000_i1031" DrawAspect="Content" ObjectID="_1468075732" r:id="rId24">
                  <o:LockedField>false</o:LockedField>
                </o:OLEObject>
              </w:object>
            </w:r>
          </w:p>
          <w:p w14:paraId="5960C758">
            <w:pPr>
              <w:pStyle w:val="48"/>
              <w:spacing w:line="360" w:lineRule="auto"/>
              <w:ind w:firstLine="0"/>
              <w:jc w:val="center"/>
              <w:rPr>
                <w:rFonts w:cs="Times New Roman"/>
                <w:b/>
                <w:bCs w:val="0"/>
                <w:color w:val="auto"/>
                <w:sz w:val="21"/>
                <w:szCs w:val="21"/>
                <w:lang w:eastAsia="zh-CN"/>
              </w:rPr>
            </w:pPr>
            <w:r>
              <w:rPr>
                <w:rFonts w:hint="eastAsia" w:ascii="Times New Roman" w:hAnsi="Times New Roman" w:eastAsia="宋体"/>
                <w:b/>
                <w:bCs w:val="0"/>
                <w:color w:val="auto"/>
                <w:sz w:val="21"/>
                <w:szCs w:val="21"/>
                <w:lang w:eastAsia="zh-CN"/>
              </w:rPr>
              <w:t>图2-</w:t>
            </w:r>
            <w:r>
              <w:rPr>
                <w:rFonts w:hint="eastAsia"/>
                <w:b/>
                <w:bCs w:val="0"/>
                <w:color w:val="auto"/>
                <w:sz w:val="21"/>
                <w:szCs w:val="21"/>
                <w:lang w:val="en-US" w:eastAsia="zh-CN"/>
              </w:rPr>
              <w:t>8</w:t>
            </w:r>
            <w:r>
              <w:rPr>
                <w:rFonts w:hint="eastAsia" w:ascii="Times New Roman" w:hAnsi="Times New Roman" w:eastAsia="宋体"/>
                <w:b/>
                <w:bCs w:val="0"/>
                <w:color w:val="auto"/>
                <w:sz w:val="21"/>
                <w:szCs w:val="21"/>
                <w:lang w:eastAsia="zh-CN"/>
              </w:rPr>
              <w:t xml:space="preserve">  项目食用牛油物理精炼</w:t>
            </w:r>
            <w:r>
              <w:rPr>
                <w:rFonts w:hint="eastAsia"/>
                <w:b/>
                <w:bCs w:val="0"/>
                <w:color w:val="auto"/>
                <w:sz w:val="21"/>
                <w:szCs w:val="21"/>
                <w:lang w:eastAsia="zh-CN"/>
              </w:rPr>
              <w:t>工艺</w:t>
            </w:r>
            <w:r>
              <w:rPr>
                <w:rFonts w:hint="eastAsia" w:ascii="Times New Roman" w:hAnsi="Times New Roman" w:eastAsia="宋体"/>
                <w:b/>
                <w:bCs w:val="0"/>
                <w:color w:val="auto"/>
                <w:sz w:val="21"/>
                <w:szCs w:val="21"/>
                <w:lang w:eastAsia="zh-CN"/>
              </w:rPr>
              <w:t>生产工艺流程及产污环节图</w:t>
            </w:r>
          </w:p>
          <w:p w14:paraId="7E87A2FB">
            <w:pPr>
              <w:pStyle w:val="48"/>
              <w:spacing w:line="360" w:lineRule="auto"/>
              <w:ind w:firstLineChars="200"/>
              <w:jc w:val="left"/>
              <w:rPr>
                <w:rFonts w:ascii="Times New Roman" w:hAnsi="Times New Roman"/>
                <w:bCs/>
                <w:color w:val="auto"/>
                <w:sz w:val="24"/>
                <w:lang w:eastAsia="zh-CN"/>
              </w:rPr>
            </w:pPr>
            <w:r>
              <w:rPr>
                <w:rFonts w:ascii="Times New Roman" w:hAnsi="Times New Roman"/>
                <w:bCs/>
                <w:color w:val="auto"/>
                <w:sz w:val="24"/>
                <w:lang w:eastAsia="zh-CN"/>
              </w:rPr>
              <w:t>工艺流程简述：</w:t>
            </w:r>
          </w:p>
          <w:p w14:paraId="15E3FF76">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1</w:t>
            </w:r>
            <w:r>
              <w:rPr>
                <w:rFonts w:hint="eastAsia" w:eastAsia="Times New Roman"/>
                <w:b/>
                <w:bCs/>
                <w:color w:val="auto"/>
                <w:sz w:val="24"/>
                <w:lang w:val="zh-CN"/>
              </w:rPr>
              <w:t>）脱胶脱磷</w:t>
            </w:r>
          </w:p>
          <w:p w14:paraId="6E73DA3D">
            <w:pPr>
              <w:keepNext w:val="0"/>
              <w:keepLines w:val="0"/>
              <w:pageBreakBefore w:val="0"/>
              <w:widowControl w:val="0"/>
              <w:numPr>
                <w:ilvl w:val="0"/>
                <w:numId w:val="0"/>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Times New Roman"/>
                <w:color w:val="auto"/>
                <w:sz w:val="24"/>
                <w:szCs w:val="24"/>
                <w:lang w:val="zh-CN"/>
              </w:rPr>
            </w:pPr>
            <w:r>
              <w:rPr>
                <w:rFonts w:ascii="宋体" w:hAnsi="宋体" w:cs="宋体"/>
                <w:color w:val="auto"/>
                <w:sz w:val="24"/>
              </w:rPr>
              <w:t>升温</w:t>
            </w:r>
            <w:r>
              <w:rPr>
                <w:rFonts w:ascii="宋体" w:hAnsi="宋体" w:cs="宋体"/>
                <w:color w:val="auto"/>
                <w:spacing w:val="-24"/>
                <w:sz w:val="24"/>
              </w:rPr>
              <w:t>：</w:t>
            </w:r>
            <w:r>
              <w:rPr>
                <w:rFonts w:ascii="宋体" w:hAnsi="宋体" w:cs="宋体"/>
                <w:color w:val="auto"/>
                <w:sz w:val="24"/>
              </w:rPr>
              <w:t>毛油泵入精炼锅内</w:t>
            </w:r>
            <w:r>
              <w:rPr>
                <w:rFonts w:ascii="宋体" w:hAnsi="宋体" w:cs="宋体"/>
                <w:color w:val="auto"/>
                <w:spacing w:val="-24"/>
                <w:sz w:val="24"/>
              </w:rPr>
              <w:t>，</w:t>
            </w:r>
            <w:r>
              <w:rPr>
                <w:rFonts w:ascii="宋体" w:hAnsi="宋体" w:cs="宋体"/>
                <w:color w:val="auto"/>
                <w:sz w:val="24"/>
              </w:rPr>
              <w:t>一边快速搅拌</w:t>
            </w:r>
            <w:r>
              <w:rPr>
                <w:rFonts w:ascii="宋体" w:hAnsi="宋体" w:cs="宋体"/>
                <w:color w:val="auto"/>
                <w:spacing w:val="-21"/>
                <w:sz w:val="24"/>
              </w:rPr>
              <w:t>，</w:t>
            </w:r>
            <w:r>
              <w:rPr>
                <w:rFonts w:ascii="宋体" w:hAnsi="宋体" w:cs="宋体"/>
                <w:color w:val="auto"/>
                <w:sz w:val="24"/>
              </w:rPr>
              <w:t>一边用导热油加热</w:t>
            </w:r>
            <w:r>
              <w:rPr>
                <w:rFonts w:ascii="宋体" w:hAnsi="宋体" w:cs="宋体"/>
                <w:color w:val="auto"/>
                <w:spacing w:val="-21"/>
                <w:sz w:val="24"/>
              </w:rPr>
              <w:t>，</w:t>
            </w:r>
            <w:r>
              <w:rPr>
                <w:rFonts w:ascii="宋体" w:hAnsi="宋体" w:cs="宋体"/>
                <w:color w:val="auto"/>
                <w:spacing w:val="-120"/>
                <w:sz w:val="24"/>
              </w:rPr>
              <w:t xml:space="preserve"> </w:t>
            </w:r>
            <w:r>
              <w:rPr>
                <w:rFonts w:ascii="宋体" w:hAnsi="宋体" w:cs="宋体"/>
                <w:color w:val="auto"/>
                <w:sz w:val="24"/>
              </w:rPr>
              <w:t>温度升到</w:t>
            </w:r>
            <w:r>
              <w:rPr>
                <w:rFonts w:ascii="宋体" w:hAnsi="宋体" w:cs="宋体"/>
                <w:color w:val="auto"/>
                <w:spacing w:val="-2"/>
                <w:sz w:val="24"/>
              </w:rPr>
              <w:t xml:space="preserve"> </w:t>
            </w:r>
            <w:r>
              <w:rPr>
                <w:rFonts w:ascii="宋体" w:hAnsi="宋体" w:cs="宋体"/>
                <w:color w:val="auto"/>
                <w:sz w:val="24"/>
              </w:rPr>
              <w:t>50~60℃</w:t>
            </w:r>
            <w:r>
              <w:rPr>
                <w:rFonts w:ascii="宋体" w:hAnsi="宋体" w:cs="宋体"/>
                <w:color w:val="auto"/>
                <w:spacing w:val="-21"/>
                <w:sz w:val="24"/>
              </w:rPr>
              <w:t>。</w:t>
            </w:r>
            <w:r>
              <w:rPr>
                <w:rFonts w:ascii="宋体" w:hAnsi="宋体" w:cs="宋体"/>
                <w:color w:val="auto"/>
                <w:sz w:val="24"/>
              </w:rPr>
              <w:t>加</w:t>
            </w:r>
            <w:r>
              <w:rPr>
                <w:rFonts w:hint="eastAsia" w:ascii="宋体" w:hAnsi="宋体" w:cs="宋体"/>
                <w:color w:val="auto"/>
                <w:sz w:val="24"/>
              </w:rPr>
              <w:t>盐</w:t>
            </w:r>
            <w:r>
              <w:rPr>
                <w:rFonts w:ascii="宋体" w:hAnsi="宋体" w:cs="宋体"/>
                <w:color w:val="auto"/>
                <w:sz w:val="24"/>
              </w:rPr>
              <w:t>水水化</w:t>
            </w:r>
            <w:r>
              <w:rPr>
                <w:rFonts w:ascii="宋体" w:hAnsi="宋体" w:cs="宋体"/>
                <w:color w:val="auto"/>
                <w:spacing w:val="-21"/>
                <w:sz w:val="24"/>
              </w:rPr>
              <w:t>：</w:t>
            </w:r>
            <w:r>
              <w:rPr>
                <w:rFonts w:ascii="宋体" w:hAnsi="宋体" w:cs="宋体"/>
                <w:color w:val="auto"/>
                <w:spacing w:val="-120"/>
                <w:sz w:val="24"/>
              </w:rPr>
              <w:t xml:space="preserve"> </w:t>
            </w:r>
            <w:r>
              <w:rPr>
                <w:rFonts w:ascii="宋体" w:hAnsi="宋体" w:cs="宋体"/>
                <w:color w:val="auto"/>
                <w:sz w:val="24"/>
              </w:rPr>
              <w:t>要掌握好加水量</w:t>
            </w:r>
            <w:r>
              <w:rPr>
                <w:rFonts w:ascii="宋体" w:hAnsi="宋体" w:cs="宋体"/>
                <w:color w:val="auto"/>
                <w:spacing w:val="-35"/>
                <w:sz w:val="24"/>
              </w:rPr>
              <w:t>、</w:t>
            </w:r>
            <w:r>
              <w:rPr>
                <w:rFonts w:ascii="宋体" w:hAnsi="宋体" w:cs="宋体"/>
                <w:color w:val="auto"/>
                <w:sz w:val="24"/>
              </w:rPr>
              <w:t>温度和加水速度</w:t>
            </w:r>
            <w:r>
              <w:rPr>
                <w:rFonts w:ascii="宋体" w:hAnsi="宋体" w:cs="宋体"/>
                <w:color w:val="auto"/>
                <w:spacing w:val="-34"/>
                <w:sz w:val="24"/>
              </w:rPr>
              <w:t>，</w:t>
            </w:r>
            <w:r>
              <w:rPr>
                <w:rFonts w:ascii="宋体" w:hAnsi="宋体" w:cs="宋体"/>
                <w:color w:val="auto"/>
                <w:spacing w:val="-120"/>
                <w:sz w:val="24"/>
              </w:rPr>
              <w:t xml:space="preserve"> </w:t>
            </w:r>
            <w:r>
              <w:rPr>
                <w:rFonts w:ascii="宋体" w:hAnsi="宋体" w:cs="宋体"/>
                <w:color w:val="auto"/>
                <w:sz w:val="24"/>
              </w:rPr>
              <w:t>加盐水量为磷脂含量的3倍左右</w:t>
            </w:r>
            <w:r>
              <w:rPr>
                <w:rFonts w:ascii="宋体" w:hAnsi="宋体" w:cs="宋体"/>
                <w:color w:val="auto"/>
                <w:spacing w:val="-45"/>
                <w:sz w:val="24"/>
              </w:rPr>
              <w:t>，</w:t>
            </w:r>
            <w:r>
              <w:rPr>
                <w:rFonts w:ascii="宋体" w:hAnsi="宋体" w:cs="宋体"/>
                <w:color w:val="auto"/>
                <w:sz w:val="24"/>
              </w:rPr>
              <w:t>水的温度要高于油温</w:t>
            </w:r>
            <w:r>
              <w:rPr>
                <w:rFonts w:ascii="宋体" w:hAnsi="宋体" w:cs="宋体"/>
                <w:color w:val="auto"/>
                <w:spacing w:val="-45"/>
                <w:sz w:val="24"/>
              </w:rPr>
              <w:t>。</w:t>
            </w:r>
            <w:r>
              <w:rPr>
                <w:rFonts w:hint="default" w:ascii="Times New Roman" w:hAnsi="Times New Roman" w:eastAsia="Times New Roman"/>
                <w:color w:val="auto"/>
                <w:sz w:val="24"/>
                <w:szCs w:val="24"/>
                <w:lang w:val="zh-CN"/>
              </w:rPr>
              <w:t>静置沉降，分离油脚：静置时间一般为4-8小时，根据具体情况而定，冬季应在沉淀分离时，在沉降过程中可稍微加热使油温维持在70℃左右，以利于沉淀分离。</w:t>
            </w:r>
          </w:p>
          <w:p w14:paraId="2B240CB0">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油脚S4</w:t>
            </w:r>
            <w:r>
              <w:rPr>
                <w:rFonts w:hint="eastAsia" w:eastAsia="Times New Roman"/>
                <w:color w:val="auto"/>
                <w:sz w:val="24"/>
                <w:lang w:val="zh-CN"/>
              </w:rPr>
              <w:t>等。</w:t>
            </w:r>
          </w:p>
          <w:p w14:paraId="20869F55">
            <w:pPr>
              <w:spacing w:before="8" w:line="359" w:lineRule="auto"/>
              <w:ind w:left="123" w:right="16" w:firstLine="470"/>
              <w:rPr>
                <w:rFonts w:hint="eastAsia" w:eastAsia="宋体"/>
                <w:b/>
                <w:bCs/>
                <w:color w:val="auto"/>
                <w:sz w:val="24"/>
                <w:lang w:val="zh-CN" w:eastAsia="zh-CN"/>
              </w:rPr>
            </w:pPr>
            <w:r>
              <w:rPr>
                <w:rFonts w:hint="eastAsia" w:eastAsia="宋体"/>
                <w:b/>
                <w:bCs/>
                <w:color w:val="auto"/>
                <w:sz w:val="24"/>
                <w:lang w:val="zh-CN" w:eastAsia="zh-CN"/>
              </w:rPr>
              <w:t>（</w:t>
            </w:r>
            <w:r>
              <w:rPr>
                <w:rFonts w:hint="eastAsia" w:eastAsia="宋体"/>
                <w:b/>
                <w:bCs/>
                <w:color w:val="auto"/>
                <w:sz w:val="24"/>
                <w:lang w:val="en-US" w:eastAsia="zh-CN"/>
              </w:rPr>
              <w:t>2</w:t>
            </w:r>
            <w:r>
              <w:rPr>
                <w:rFonts w:hint="eastAsia" w:eastAsia="宋体"/>
                <w:b/>
                <w:bCs/>
                <w:color w:val="auto"/>
                <w:sz w:val="24"/>
                <w:lang w:val="zh-CN" w:eastAsia="zh-CN"/>
              </w:rPr>
              <w:t>）真空干燥</w:t>
            </w:r>
          </w:p>
          <w:p w14:paraId="2A242556">
            <w:pPr>
              <w:adjustRightInd w:val="0"/>
              <w:snapToGrid w:val="0"/>
              <w:spacing w:line="360" w:lineRule="auto"/>
              <w:ind w:firstLine="480" w:firstLineChars="200"/>
              <w:rPr>
                <w:rFonts w:hint="eastAsia" w:eastAsia="宋体"/>
                <w:color w:val="auto"/>
                <w:sz w:val="24"/>
                <w:lang w:val="en-US" w:eastAsia="zh-CN"/>
              </w:rPr>
            </w:pPr>
            <w:r>
              <w:rPr>
                <w:rFonts w:hint="eastAsia" w:eastAsia="宋体"/>
                <w:color w:val="auto"/>
                <w:sz w:val="24"/>
                <w:lang w:val="en-US" w:eastAsia="zh-CN"/>
              </w:rPr>
              <w:t>水化净油中含水分，因此需要进行脱水处理，真空脱水，油温控制在 90~100℃，真空残压为 4~7kPa(30~50mmHg)， 直到小样检验合格为止。</w:t>
            </w:r>
          </w:p>
          <w:p w14:paraId="5504EF85">
            <w:pPr>
              <w:adjustRightInd w:val="0"/>
              <w:snapToGrid w:val="0"/>
              <w:spacing w:line="360" w:lineRule="auto"/>
              <w:ind w:firstLine="480" w:firstLineChars="200"/>
              <w:rPr>
                <w:rFonts w:hint="eastAsia" w:eastAsia="Times New Roman"/>
                <w:b/>
                <w:bCs/>
                <w:color w:val="auto"/>
                <w:sz w:val="24"/>
                <w:lang w:val="zh-CN"/>
              </w:rPr>
            </w:pPr>
            <w:r>
              <w:rPr>
                <w:rFonts w:hint="eastAsia" w:eastAsia="Times New Roman"/>
                <w:color w:val="auto"/>
                <w:sz w:val="24"/>
                <w:lang w:val="zh-CN"/>
              </w:rPr>
              <w:t>此工序产生脱磷脱胶废水</w:t>
            </w:r>
            <w:r>
              <w:rPr>
                <w:rFonts w:hint="eastAsia" w:eastAsia="宋体"/>
                <w:color w:val="auto"/>
                <w:sz w:val="24"/>
                <w:lang w:val="en-US" w:eastAsia="zh-CN"/>
              </w:rPr>
              <w:t>W2</w:t>
            </w:r>
            <w:r>
              <w:rPr>
                <w:rFonts w:hint="eastAsia" w:eastAsia="Times New Roman"/>
                <w:color w:val="auto"/>
                <w:sz w:val="24"/>
                <w:lang w:val="zh-CN"/>
              </w:rPr>
              <w:t>、异味、设备噪声</w:t>
            </w:r>
            <w:r>
              <w:rPr>
                <w:rFonts w:hint="eastAsia" w:eastAsia="宋体"/>
                <w:color w:val="auto"/>
                <w:sz w:val="24"/>
                <w:lang w:val="en-US" w:eastAsia="zh-CN"/>
              </w:rPr>
              <w:t>N</w:t>
            </w:r>
            <w:r>
              <w:rPr>
                <w:rFonts w:hint="eastAsia" w:eastAsia="Times New Roman"/>
                <w:color w:val="auto"/>
                <w:sz w:val="24"/>
                <w:lang w:val="zh-CN"/>
              </w:rPr>
              <w:t>等。</w:t>
            </w:r>
          </w:p>
          <w:p w14:paraId="009F29DF">
            <w:pPr>
              <w:adjustRightInd w:val="0"/>
              <w:snapToGrid w:val="0"/>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宋体"/>
                <w:b/>
                <w:bCs/>
                <w:color w:val="auto"/>
                <w:sz w:val="24"/>
                <w:lang w:val="en-US" w:eastAsia="zh-CN"/>
              </w:rPr>
              <w:t>3</w:t>
            </w:r>
            <w:r>
              <w:rPr>
                <w:rFonts w:hint="eastAsia" w:eastAsia="Times New Roman"/>
                <w:b/>
                <w:bCs/>
                <w:color w:val="auto"/>
                <w:sz w:val="24"/>
                <w:lang w:val="zh-CN"/>
              </w:rPr>
              <w:t>）脱色</w:t>
            </w:r>
          </w:p>
          <w:p w14:paraId="7BF03CB3">
            <w:pPr>
              <w:adjustRightInd w:val="0"/>
              <w:snapToGrid w:val="0"/>
              <w:spacing w:line="360" w:lineRule="auto"/>
              <w:ind w:firstLine="528" w:firstLineChars="220"/>
              <w:rPr>
                <w:rFonts w:ascii="宋体" w:hAnsi="宋体" w:cs="宋体"/>
                <w:color w:val="auto"/>
                <w:sz w:val="24"/>
              </w:rPr>
            </w:pPr>
            <w:r>
              <w:rPr>
                <w:rFonts w:ascii="宋体" w:hAnsi="宋体" w:cs="宋体"/>
                <w:color w:val="auto"/>
                <w:sz w:val="24"/>
              </w:rPr>
              <w:t>脱色工序的主要作用是脱除油中的色素</w:t>
            </w:r>
            <w:r>
              <w:rPr>
                <w:rFonts w:ascii="宋体" w:hAnsi="宋体" w:cs="宋体"/>
                <w:color w:val="auto"/>
                <w:spacing w:val="-52"/>
                <w:sz w:val="24"/>
              </w:rPr>
              <w:t>、</w:t>
            </w:r>
            <w:r>
              <w:rPr>
                <w:rFonts w:ascii="宋体" w:hAnsi="宋体" w:cs="宋体"/>
                <w:color w:val="auto"/>
                <w:sz w:val="24"/>
              </w:rPr>
              <w:t>残存的微量的皂粒和金属离子</w:t>
            </w:r>
            <w:r>
              <w:rPr>
                <w:rFonts w:ascii="宋体" w:hAnsi="宋体" w:cs="宋体"/>
                <w:color w:val="auto"/>
                <w:spacing w:val="-54"/>
                <w:sz w:val="24"/>
              </w:rPr>
              <w:t>。</w:t>
            </w:r>
            <w:r>
              <w:rPr>
                <w:rFonts w:ascii="宋体" w:hAnsi="宋体" w:cs="宋体"/>
                <w:color w:val="auto"/>
                <w:spacing w:val="12"/>
                <w:sz w:val="24"/>
              </w:rPr>
              <w:t>将水化脱胶</w:t>
            </w:r>
            <w:r>
              <w:rPr>
                <w:rFonts w:ascii="宋体" w:hAnsi="宋体" w:cs="宋体"/>
                <w:color w:val="auto"/>
                <w:spacing w:val="13"/>
                <w:sz w:val="24"/>
              </w:rPr>
              <w:t>、</w:t>
            </w:r>
            <w:r>
              <w:rPr>
                <w:rFonts w:ascii="宋体" w:hAnsi="宋体" w:cs="宋体"/>
                <w:color w:val="auto"/>
                <w:spacing w:val="12"/>
                <w:sz w:val="24"/>
              </w:rPr>
              <w:t>脱酸后的油进入脱色器内</w:t>
            </w:r>
            <w:r>
              <w:rPr>
                <w:rFonts w:ascii="宋体" w:hAnsi="宋体" w:cs="宋体"/>
                <w:color w:val="auto"/>
                <w:spacing w:val="13"/>
                <w:sz w:val="24"/>
              </w:rPr>
              <w:t>，</w:t>
            </w:r>
            <w:r>
              <w:rPr>
                <w:rFonts w:ascii="宋体" w:hAnsi="宋体" w:cs="宋体"/>
                <w:color w:val="auto"/>
                <w:spacing w:val="12"/>
                <w:sz w:val="24"/>
              </w:rPr>
              <w:t>在真空状态</w:t>
            </w:r>
            <w:r>
              <w:rPr>
                <w:rFonts w:ascii="宋体" w:hAnsi="宋体" w:cs="宋体"/>
                <w:color w:val="auto"/>
                <w:spacing w:val="11"/>
                <w:sz w:val="24"/>
              </w:rPr>
              <w:t>下</w:t>
            </w:r>
            <w:r>
              <w:rPr>
                <w:rFonts w:ascii="宋体" w:hAnsi="宋体" w:cs="宋体"/>
                <w:color w:val="auto"/>
                <w:spacing w:val="-33"/>
                <w:sz w:val="24"/>
              </w:rPr>
              <w:t>，</w:t>
            </w:r>
            <w:r>
              <w:rPr>
                <w:rFonts w:ascii="宋体" w:hAnsi="宋体" w:cs="宋体"/>
                <w:color w:val="auto"/>
                <w:sz w:val="24"/>
              </w:rPr>
              <w:t>边搅拌边升温</w:t>
            </w:r>
            <w:r>
              <w:rPr>
                <w:rFonts w:ascii="宋体" w:hAnsi="宋体" w:cs="宋体"/>
                <w:color w:val="auto"/>
                <w:spacing w:val="-33"/>
                <w:sz w:val="24"/>
              </w:rPr>
              <w:t>，</w:t>
            </w:r>
            <w:r>
              <w:rPr>
                <w:rFonts w:ascii="宋体" w:hAnsi="宋体" w:cs="宋体"/>
                <w:color w:val="auto"/>
                <w:sz w:val="24"/>
              </w:rPr>
              <w:t>然后把定量脱色剂（</w:t>
            </w:r>
            <w:r>
              <w:rPr>
                <w:rFonts w:hint="eastAsia" w:ascii="宋体" w:hAnsi="宋体" w:cs="宋体"/>
                <w:color w:val="auto"/>
                <w:sz w:val="24"/>
              </w:rPr>
              <w:t>可食用</w:t>
            </w:r>
            <w:r>
              <w:rPr>
                <w:rFonts w:ascii="宋体" w:hAnsi="宋体" w:cs="宋体"/>
                <w:color w:val="auto"/>
                <w:sz w:val="24"/>
              </w:rPr>
              <w:t>白土</w:t>
            </w:r>
            <w:r>
              <w:rPr>
                <w:rFonts w:ascii="宋体" w:hAnsi="宋体" w:cs="宋体"/>
                <w:color w:val="auto"/>
                <w:spacing w:val="-56"/>
                <w:sz w:val="24"/>
              </w:rPr>
              <w:t>），</w:t>
            </w:r>
            <w:r>
              <w:rPr>
                <w:rFonts w:ascii="宋体" w:hAnsi="宋体" w:cs="宋体"/>
                <w:color w:val="auto"/>
                <w:sz w:val="24"/>
              </w:rPr>
              <w:t>利用真空气压吸入油中</w:t>
            </w:r>
            <w:r>
              <w:rPr>
                <w:rFonts w:hint="eastAsia" w:ascii="宋体" w:hAnsi="宋体" w:cs="宋体"/>
                <w:color w:val="auto"/>
                <w:sz w:val="24"/>
              </w:rPr>
              <w:t>，</w:t>
            </w:r>
            <w:r>
              <w:rPr>
                <w:rFonts w:ascii="宋体" w:hAnsi="宋体" w:cs="宋体"/>
                <w:color w:val="auto"/>
                <w:sz w:val="24"/>
              </w:rPr>
              <w:t>并继续搅拌升温到</w:t>
            </w:r>
            <w:r>
              <w:rPr>
                <w:rFonts w:hint="eastAsia" w:ascii="宋体" w:hAnsi="宋体" w:cs="宋体"/>
                <w:color w:val="auto"/>
                <w:sz w:val="24"/>
              </w:rPr>
              <w:t>，</w:t>
            </w:r>
            <w:r>
              <w:rPr>
                <w:rFonts w:ascii="宋体" w:hAnsi="宋体" w:cs="宋体"/>
                <w:color w:val="auto"/>
                <w:sz w:val="24"/>
              </w:rPr>
              <w:t>维持30分钟左右的混合反应时间</w:t>
            </w:r>
            <w:r>
              <w:rPr>
                <w:rFonts w:ascii="宋体" w:hAnsi="宋体" w:cs="宋体"/>
                <w:color w:val="auto"/>
                <w:spacing w:val="-88"/>
                <w:sz w:val="24"/>
              </w:rPr>
              <w:t>。</w:t>
            </w:r>
          </w:p>
          <w:p w14:paraId="4ED91C77">
            <w:pPr>
              <w:adjustRightInd w:val="0"/>
              <w:snapToGrid w:val="0"/>
              <w:spacing w:line="360" w:lineRule="auto"/>
              <w:ind w:firstLine="481"/>
              <w:rPr>
                <w:rFonts w:eastAsia="Times New Roman"/>
                <w:color w:val="auto"/>
                <w:sz w:val="24"/>
                <w:lang w:val="zh-CN"/>
              </w:rPr>
            </w:pPr>
            <w:r>
              <w:rPr>
                <w:rFonts w:ascii="宋体" w:hAnsi="宋体" w:cs="宋体"/>
                <w:color w:val="auto"/>
                <w:spacing w:val="1"/>
                <w:sz w:val="24"/>
              </w:rPr>
              <w:t>最后在</w:t>
            </w:r>
            <w:r>
              <w:rPr>
                <w:rFonts w:ascii="宋体" w:hAnsi="宋体" w:cs="宋体"/>
                <w:color w:val="auto"/>
                <w:sz w:val="24"/>
              </w:rPr>
              <w:t>脱色罐内将油温降至70℃左右</w:t>
            </w:r>
            <w:r>
              <w:rPr>
                <w:rFonts w:ascii="宋体" w:hAnsi="宋体" w:cs="宋体"/>
                <w:color w:val="auto"/>
                <w:spacing w:val="1"/>
                <w:sz w:val="24"/>
              </w:rPr>
              <w:t>，</w:t>
            </w:r>
            <w:r>
              <w:rPr>
                <w:rFonts w:ascii="宋体" w:hAnsi="宋体" w:cs="宋体"/>
                <w:color w:val="auto"/>
                <w:sz w:val="24"/>
              </w:rPr>
              <w:t>破真空</w:t>
            </w:r>
            <w:r>
              <w:rPr>
                <w:rFonts w:ascii="宋体" w:hAnsi="宋体" w:cs="宋体"/>
                <w:color w:val="auto"/>
                <w:spacing w:val="1"/>
                <w:sz w:val="24"/>
              </w:rPr>
              <w:t>，</w:t>
            </w:r>
            <w:r>
              <w:rPr>
                <w:rFonts w:ascii="宋体" w:hAnsi="宋体" w:cs="宋体"/>
                <w:color w:val="auto"/>
                <w:sz w:val="24"/>
              </w:rPr>
              <w:t>用泵打入脱色过滤机</w:t>
            </w:r>
            <w:r>
              <w:rPr>
                <w:rFonts w:hint="eastAsia" w:ascii="宋体" w:hAnsi="宋体" w:cs="宋体"/>
                <w:color w:val="auto"/>
                <w:sz w:val="24"/>
              </w:rPr>
              <w:t>，</w:t>
            </w:r>
            <w:r>
              <w:rPr>
                <w:rFonts w:ascii="宋体" w:hAnsi="宋体" w:cs="宋体"/>
                <w:color w:val="auto"/>
                <w:sz w:val="24"/>
              </w:rPr>
              <w:t>开始循环过滤</w:t>
            </w:r>
            <w:r>
              <w:rPr>
                <w:rFonts w:ascii="宋体" w:hAnsi="宋体" w:cs="宋体"/>
                <w:color w:val="auto"/>
                <w:spacing w:val="-1"/>
                <w:sz w:val="24"/>
              </w:rPr>
              <w:t>，</w:t>
            </w:r>
            <w:r>
              <w:rPr>
                <w:rFonts w:ascii="宋体" w:hAnsi="宋体" w:cs="宋体"/>
                <w:color w:val="auto"/>
                <w:sz w:val="24"/>
              </w:rPr>
              <w:t>为减少滤渣（废白土）</w:t>
            </w:r>
            <w:r>
              <w:rPr>
                <w:rFonts w:ascii="宋体" w:hAnsi="宋体" w:cs="宋体"/>
                <w:color w:val="auto"/>
                <w:spacing w:val="-108"/>
                <w:sz w:val="24"/>
              </w:rPr>
              <w:t xml:space="preserve"> </w:t>
            </w:r>
            <w:r>
              <w:rPr>
                <w:rFonts w:ascii="宋体" w:hAnsi="宋体" w:cs="宋体"/>
                <w:color w:val="auto"/>
                <w:sz w:val="24"/>
              </w:rPr>
              <w:t>中的含油量，需要用空气压缩机/蒸汽气体吹入滤油机</w:t>
            </w:r>
            <w:r>
              <w:rPr>
                <w:rFonts w:ascii="宋体" w:hAnsi="宋体" w:cs="宋体"/>
                <w:color w:val="auto"/>
                <w:spacing w:val="-21"/>
                <w:sz w:val="24"/>
              </w:rPr>
              <w:t>，</w:t>
            </w:r>
            <w:r>
              <w:rPr>
                <w:rFonts w:ascii="宋体" w:hAnsi="宋体" w:cs="宋体"/>
                <w:color w:val="auto"/>
                <w:sz w:val="24"/>
              </w:rPr>
              <w:t>进一步回收残油</w:t>
            </w:r>
            <w:r>
              <w:rPr>
                <w:rFonts w:hint="eastAsia" w:eastAsia="Times New Roman"/>
                <w:color w:val="auto"/>
                <w:sz w:val="24"/>
                <w:lang w:val="zh-CN"/>
              </w:rPr>
              <w:t>。废白土定期交由专门公司回收分离废油和白土分离处置。</w:t>
            </w:r>
          </w:p>
          <w:p w14:paraId="5A0158B3">
            <w:pPr>
              <w:adjustRightInd w:val="0"/>
              <w:snapToGrid w:val="0"/>
              <w:spacing w:line="360" w:lineRule="auto"/>
              <w:ind w:firstLine="480" w:firstLineChars="200"/>
              <w:rPr>
                <w:rFonts w:hint="eastAsia" w:eastAsia="Times New Roman"/>
                <w:b/>
                <w:bCs/>
                <w:color w:val="auto"/>
                <w:sz w:val="24"/>
                <w:lang w:val="zh-CN"/>
              </w:rPr>
            </w:pPr>
            <w:r>
              <w:rPr>
                <w:rFonts w:hint="eastAsia" w:eastAsia="Times New Roman"/>
                <w:color w:val="auto"/>
                <w:sz w:val="24"/>
                <w:lang w:val="zh-CN"/>
              </w:rPr>
              <w:t>此工序产生设备噪声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废白土S3</w:t>
            </w:r>
            <w:r>
              <w:rPr>
                <w:rFonts w:hint="eastAsia" w:eastAsia="Times New Roman"/>
                <w:color w:val="auto"/>
                <w:sz w:val="24"/>
                <w:lang w:val="zh-CN"/>
              </w:rPr>
              <w:t>等。</w:t>
            </w:r>
          </w:p>
          <w:p w14:paraId="3F96F3C9">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宋体"/>
                <w:b/>
                <w:bCs/>
                <w:color w:val="auto"/>
                <w:sz w:val="24"/>
                <w:lang w:val="en-US" w:eastAsia="zh-CN"/>
              </w:rPr>
              <w:t>4</w:t>
            </w:r>
            <w:r>
              <w:rPr>
                <w:rFonts w:hint="eastAsia" w:eastAsia="Times New Roman"/>
                <w:b/>
                <w:bCs/>
                <w:color w:val="auto"/>
                <w:sz w:val="24"/>
                <w:lang w:val="zh-CN"/>
              </w:rPr>
              <w:t>）热交换、加热</w:t>
            </w:r>
          </w:p>
          <w:p w14:paraId="003CD0DF">
            <w:pPr>
              <w:adjustRightInd w:val="0"/>
              <w:snapToGrid w:val="0"/>
              <w:spacing w:line="360" w:lineRule="auto"/>
              <w:ind w:left="479" w:leftChars="228" w:firstLine="0" w:firstLineChars="0"/>
              <w:rPr>
                <w:rFonts w:hint="eastAsia" w:eastAsia="宋体"/>
                <w:color w:val="auto"/>
                <w:sz w:val="24"/>
                <w:lang w:val="en-US" w:eastAsia="zh-CN"/>
              </w:rPr>
            </w:pPr>
            <w:r>
              <w:rPr>
                <w:rFonts w:hint="eastAsia" w:eastAsia="Times New Roman"/>
                <w:color w:val="auto"/>
                <w:sz w:val="24"/>
                <w:lang w:val="zh-CN"/>
              </w:rPr>
              <w:t>采用导热油升温进行热交换。</w:t>
            </w:r>
            <w:r>
              <w:rPr>
                <w:rFonts w:hint="eastAsia" w:eastAsia="宋体"/>
                <w:color w:val="auto"/>
                <w:sz w:val="24"/>
                <w:lang w:eastAsia="zh-CN"/>
              </w:rPr>
              <w:t>项目采用</w:t>
            </w:r>
            <w:r>
              <w:rPr>
                <w:rFonts w:hint="eastAsia"/>
                <w:color w:val="auto"/>
                <w:sz w:val="24"/>
              </w:rPr>
              <w:t>1台</w:t>
            </w:r>
            <w:r>
              <w:rPr>
                <w:rFonts w:hint="eastAsia"/>
                <w:color w:val="auto"/>
                <w:sz w:val="24"/>
                <w:lang w:eastAsia="zh-CN"/>
              </w:rPr>
              <w:t>燃生物质颗粒导热油炉提供热能</w:t>
            </w:r>
            <w:r>
              <w:rPr>
                <w:color w:val="auto"/>
                <w:sz w:val="24"/>
              </w:rPr>
              <w:t>，</w:t>
            </w:r>
            <w:r>
              <w:rPr>
                <w:rFonts w:hint="eastAsia" w:eastAsia="Times New Roman"/>
                <w:color w:val="auto"/>
                <w:sz w:val="24"/>
                <w:lang w:val="zh-CN"/>
              </w:rPr>
              <w:t>此工序产生燃料燃烧废气</w:t>
            </w:r>
            <w:r>
              <w:rPr>
                <w:rFonts w:hint="eastAsia" w:eastAsia="宋体"/>
                <w:color w:val="auto"/>
                <w:sz w:val="24"/>
                <w:lang w:val="en-US" w:eastAsia="zh-CN"/>
              </w:rPr>
              <w:t>G1、</w:t>
            </w:r>
            <w:r>
              <w:rPr>
                <w:rFonts w:hint="eastAsia" w:eastAsia="Times New Roman"/>
                <w:color w:val="auto"/>
                <w:sz w:val="24"/>
                <w:lang w:val="zh-CN"/>
              </w:rPr>
              <w:t>异味、设备噪声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布袋除尘器收集的粉尘S6、</w:t>
            </w:r>
          </w:p>
          <w:p w14:paraId="2EF313A6">
            <w:pPr>
              <w:adjustRightInd w:val="0"/>
              <w:snapToGrid w:val="0"/>
              <w:spacing w:line="360" w:lineRule="auto"/>
              <w:rPr>
                <w:rFonts w:eastAsia="Times New Roman"/>
                <w:color w:val="auto"/>
                <w:sz w:val="24"/>
                <w:lang w:val="zh-CN"/>
              </w:rPr>
            </w:pPr>
            <w:r>
              <w:rPr>
                <w:rFonts w:hint="eastAsia" w:eastAsia="宋体"/>
                <w:color w:val="auto"/>
                <w:sz w:val="24"/>
                <w:lang w:val="en-US" w:eastAsia="zh-CN"/>
              </w:rPr>
              <w:t>燃烧炉渣S7、废导热油S8</w:t>
            </w:r>
            <w:r>
              <w:rPr>
                <w:rFonts w:hint="eastAsia" w:eastAsia="Times New Roman"/>
                <w:color w:val="auto"/>
                <w:sz w:val="24"/>
                <w:lang w:val="zh-CN"/>
              </w:rPr>
              <w:t>等。</w:t>
            </w:r>
          </w:p>
          <w:p w14:paraId="5B4B625D">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宋体"/>
                <w:b/>
                <w:bCs/>
                <w:color w:val="auto"/>
                <w:sz w:val="24"/>
                <w:lang w:val="en-US" w:eastAsia="zh-CN"/>
              </w:rPr>
              <w:t>5</w:t>
            </w:r>
            <w:r>
              <w:rPr>
                <w:rFonts w:hint="eastAsia" w:eastAsia="Times New Roman"/>
                <w:b/>
                <w:bCs/>
                <w:color w:val="auto"/>
                <w:sz w:val="24"/>
                <w:lang w:val="zh-CN"/>
              </w:rPr>
              <w:t>）蒸馏脱酸脱臭</w:t>
            </w:r>
          </w:p>
          <w:p w14:paraId="64B2DE39">
            <w:pPr>
              <w:adjustRightInd w:val="0"/>
              <w:snapToGrid w:val="0"/>
              <w:spacing w:line="360" w:lineRule="auto"/>
              <w:ind w:firstLine="480" w:firstLineChars="200"/>
              <w:rPr>
                <w:rFonts w:hint="eastAsia"/>
                <w:color w:val="auto"/>
                <w:sz w:val="24"/>
                <w:lang w:eastAsia="zh-CN"/>
              </w:rPr>
            </w:pPr>
            <w:r>
              <w:rPr>
                <w:rFonts w:ascii="宋体" w:hAnsi="宋体" w:cs="宋体"/>
                <w:color w:val="auto"/>
                <w:sz w:val="24"/>
              </w:rPr>
              <w:t>脱色油进入螺旋板换热器回收大部分热量</w:t>
            </w:r>
            <w:r>
              <w:rPr>
                <w:rFonts w:hint="eastAsia" w:ascii="宋体" w:hAnsi="宋体" w:cs="宋体"/>
                <w:color w:val="auto"/>
                <w:sz w:val="24"/>
                <w:lang w:eastAsia="zh-CN"/>
              </w:rPr>
              <w:t>，因温度不够需再</w:t>
            </w:r>
            <w:r>
              <w:rPr>
                <w:rFonts w:ascii="宋体" w:hAnsi="宋体" w:cs="宋体"/>
                <w:color w:val="auto"/>
                <w:sz w:val="24"/>
              </w:rPr>
              <w:t>通过加热器升温</w:t>
            </w:r>
            <w:r>
              <w:rPr>
                <w:rFonts w:ascii="宋体" w:hAnsi="宋体" w:cs="宋体"/>
                <w:color w:val="auto"/>
                <w:spacing w:val="-110"/>
                <w:sz w:val="24"/>
              </w:rPr>
              <w:t xml:space="preserve"> </w:t>
            </w:r>
            <w:r>
              <w:rPr>
                <w:rFonts w:ascii="宋体" w:hAnsi="宋体" w:cs="宋体"/>
                <w:color w:val="auto"/>
                <w:sz w:val="24"/>
              </w:rPr>
              <w:t>后进入脱酸脱臭塔。脱酸脱臭塔为组合式，上层式结构填料</w:t>
            </w:r>
            <w:r>
              <w:rPr>
                <w:rFonts w:ascii="宋体" w:hAnsi="宋体" w:cs="宋体"/>
                <w:color w:val="auto"/>
                <w:spacing w:val="-36"/>
                <w:sz w:val="24"/>
              </w:rPr>
              <w:t>，</w:t>
            </w:r>
            <w:r>
              <w:rPr>
                <w:rFonts w:ascii="宋体" w:hAnsi="宋体" w:cs="宋体"/>
                <w:color w:val="auto"/>
                <w:spacing w:val="-120"/>
                <w:sz w:val="24"/>
              </w:rPr>
              <w:t xml:space="preserve"> </w:t>
            </w:r>
            <w:r>
              <w:rPr>
                <w:rFonts w:ascii="宋体" w:hAnsi="宋体" w:cs="宋体"/>
                <w:color w:val="auto"/>
                <w:sz w:val="24"/>
              </w:rPr>
              <w:t>主要用来脱去游离脂肪酸等臭味组分</w:t>
            </w:r>
            <w:r>
              <w:rPr>
                <w:rFonts w:ascii="宋体" w:hAnsi="宋体" w:cs="宋体"/>
                <w:color w:val="auto"/>
                <w:spacing w:val="-36"/>
                <w:sz w:val="24"/>
              </w:rPr>
              <w:t>，</w:t>
            </w:r>
            <w:r>
              <w:rPr>
                <w:rFonts w:ascii="宋体" w:hAnsi="宋体" w:cs="宋体"/>
                <w:color w:val="auto"/>
                <w:spacing w:val="-120"/>
                <w:sz w:val="24"/>
              </w:rPr>
              <w:t xml:space="preserve"> </w:t>
            </w:r>
            <w:r>
              <w:rPr>
                <w:rFonts w:ascii="宋体" w:hAnsi="宋体" w:cs="宋体"/>
                <w:color w:val="auto"/>
                <w:sz w:val="24"/>
              </w:rPr>
              <w:t>下层是板式塔</w:t>
            </w:r>
            <w:r>
              <w:rPr>
                <w:rFonts w:ascii="宋体" w:hAnsi="宋体" w:cs="宋体"/>
                <w:color w:val="auto"/>
                <w:spacing w:val="-36"/>
                <w:sz w:val="24"/>
              </w:rPr>
              <w:t>，</w:t>
            </w:r>
            <w:r>
              <w:rPr>
                <w:rFonts w:ascii="宋体" w:hAnsi="宋体" w:cs="宋体"/>
                <w:color w:val="auto"/>
                <w:spacing w:val="-120"/>
                <w:sz w:val="24"/>
              </w:rPr>
              <w:t xml:space="preserve"> </w:t>
            </w:r>
            <w:r>
              <w:rPr>
                <w:rFonts w:ascii="宋体" w:hAnsi="宋体" w:cs="宋体"/>
                <w:color w:val="auto"/>
                <w:sz w:val="24"/>
              </w:rPr>
              <w:t>主要</w:t>
            </w:r>
            <w:r>
              <w:rPr>
                <w:rFonts w:hint="eastAsia" w:ascii="宋体" w:hAnsi="宋体" w:cs="宋体"/>
                <w:color w:val="auto"/>
                <w:sz w:val="24"/>
                <w:lang w:eastAsia="zh-CN"/>
              </w:rPr>
              <w:t>起到</w:t>
            </w:r>
            <w:r>
              <w:rPr>
                <w:rFonts w:ascii="宋体" w:hAnsi="宋体" w:cs="宋体"/>
                <w:color w:val="auto"/>
                <w:sz w:val="24"/>
              </w:rPr>
              <w:t>脱臭的效果</w:t>
            </w:r>
            <w:r>
              <w:rPr>
                <w:rFonts w:ascii="宋体" w:hAnsi="宋体" w:cs="宋体"/>
                <w:color w:val="auto"/>
                <w:spacing w:val="-53"/>
                <w:sz w:val="24"/>
              </w:rPr>
              <w:t>，</w:t>
            </w:r>
            <w:r>
              <w:rPr>
                <w:rFonts w:ascii="宋体" w:hAnsi="宋体" w:cs="宋体"/>
                <w:color w:val="auto"/>
                <w:spacing w:val="-120"/>
                <w:sz w:val="24"/>
              </w:rPr>
              <w:t xml:space="preserve"> </w:t>
            </w:r>
            <w:r>
              <w:rPr>
                <w:rFonts w:ascii="宋体" w:hAnsi="宋体" w:cs="宋体"/>
                <w:color w:val="auto"/>
                <w:sz w:val="24"/>
              </w:rPr>
              <w:t>并将油中的过氧化值脱到零</w:t>
            </w:r>
            <w:r>
              <w:rPr>
                <w:rFonts w:ascii="宋体" w:hAnsi="宋体" w:cs="宋体"/>
                <w:color w:val="auto"/>
                <w:spacing w:val="-53"/>
                <w:sz w:val="24"/>
              </w:rPr>
              <w:t>。</w:t>
            </w:r>
            <w:r>
              <w:rPr>
                <w:rFonts w:ascii="宋体" w:hAnsi="宋体" w:cs="宋体"/>
                <w:color w:val="auto"/>
                <w:sz w:val="24"/>
              </w:rPr>
              <w:t>脱臭塔出来的油经过换热器吸收大部分热量</w:t>
            </w:r>
            <w:r>
              <w:rPr>
                <w:rFonts w:ascii="宋体" w:hAnsi="宋体" w:cs="宋体"/>
                <w:color w:val="auto"/>
                <w:spacing w:val="1"/>
                <w:sz w:val="24"/>
              </w:rPr>
              <w:t>后再与毛油进一步</w:t>
            </w:r>
            <w:r>
              <w:rPr>
                <w:rFonts w:ascii="宋体" w:hAnsi="宋体" w:cs="宋体"/>
                <w:color w:val="auto"/>
                <w:sz w:val="24"/>
              </w:rPr>
              <w:t>换热</w:t>
            </w:r>
            <w:r>
              <w:rPr>
                <w:rFonts w:ascii="宋体" w:hAnsi="宋体" w:cs="宋体"/>
                <w:color w:val="auto"/>
                <w:spacing w:val="1"/>
                <w:sz w:val="24"/>
              </w:rPr>
              <w:t>，</w:t>
            </w:r>
            <w:r>
              <w:rPr>
                <w:rFonts w:ascii="宋体" w:hAnsi="宋体" w:cs="宋体"/>
                <w:color w:val="auto"/>
                <w:sz w:val="24"/>
              </w:rPr>
              <w:t>然后经冷却器冷却到50℃以下泵入成品油罐</w:t>
            </w:r>
            <w:r>
              <w:rPr>
                <w:rFonts w:ascii="宋体" w:hAnsi="宋体" w:cs="宋体"/>
                <w:color w:val="auto"/>
                <w:spacing w:val="1"/>
                <w:sz w:val="24"/>
              </w:rPr>
              <w:t>。</w:t>
            </w:r>
            <w:r>
              <w:rPr>
                <w:rFonts w:ascii="宋体" w:hAnsi="宋体" w:cs="宋体"/>
                <w:color w:val="auto"/>
                <w:sz w:val="24"/>
              </w:rPr>
              <w:t>蒸馏出</w:t>
            </w:r>
            <w:r>
              <w:rPr>
                <w:rFonts w:ascii="宋体" w:hAnsi="宋体" w:cs="宋体"/>
                <w:color w:val="auto"/>
                <w:spacing w:val="1"/>
                <w:sz w:val="24"/>
              </w:rPr>
              <w:t>来的脂肪酸等</w:t>
            </w:r>
            <w:r>
              <w:rPr>
                <w:rFonts w:ascii="宋体" w:hAnsi="宋体" w:cs="宋体"/>
                <w:color w:val="auto"/>
                <w:sz w:val="24"/>
              </w:rPr>
              <w:t>物质</w:t>
            </w:r>
            <w:r>
              <w:rPr>
                <w:rFonts w:ascii="宋体" w:hAnsi="宋体" w:cs="宋体"/>
                <w:color w:val="auto"/>
                <w:spacing w:val="1"/>
                <w:sz w:val="24"/>
              </w:rPr>
              <w:t>，</w:t>
            </w:r>
            <w:r>
              <w:rPr>
                <w:rFonts w:ascii="宋体" w:hAnsi="宋体" w:cs="宋体"/>
                <w:color w:val="auto"/>
                <w:sz w:val="24"/>
              </w:rPr>
              <w:t>用填料式捕集器捕集</w:t>
            </w:r>
            <w:r>
              <w:rPr>
                <w:rFonts w:ascii="宋体" w:hAnsi="宋体" w:cs="宋体"/>
                <w:color w:val="auto"/>
                <w:spacing w:val="1"/>
                <w:sz w:val="24"/>
              </w:rPr>
              <w:t>，</w:t>
            </w:r>
            <w:r>
              <w:rPr>
                <w:rFonts w:ascii="宋体" w:hAnsi="宋体" w:cs="宋体"/>
                <w:color w:val="auto"/>
                <w:sz w:val="24"/>
              </w:rPr>
              <w:t>捕集液为低温的游离脂肪酸</w:t>
            </w:r>
            <w:r>
              <w:rPr>
                <w:rFonts w:ascii="宋体" w:hAnsi="宋体" w:cs="宋体"/>
                <w:color w:val="auto"/>
                <w:spacing w:val="-53"/>
                <w:sz w:val="24"/>
              </w:rPr>
              <w:t>。</w:t>
            </w:r>
            <w:r>
              <w:rPr>
                <w:rFonts w:ascii="宋体" w:hAnsi="宋体" w:cs="宋体"/>
                <w:color w:val="auto"/>
                <w:sz w:val="24"/>
              </w:rPr>
              <w:t>当脂肪酸暂存罐的液位较高时则送到脂肪酸储罐储存</w:t>
            </w:r>
            <w:r>
              <w:rPr>
                <w:rFonts w:ascii="宋体" w:hAnsi="宋体" w:cs="宋体"/>
                <w:color w:val="auto"/>
                <w:spacing w:val="-53"/>
                <w:sz w:val="24"/>
              </w:rPr>
              <w:t>，</w:t>
            </w:r>
            <w:r>
              <w:rPr>
                <w:rFonts w:ascii="宋体" w:hAnsi="宋体" w:cs="宋体"/>
                <w:color w:val="auto"/>
                <w:spacing w:val="-120"/>
                <w:sz w:val="24"/>
              </w:rPr>
              <w:t xml:space="preserve"> </w:t>
            </w:r>
            <w:r>
              <w:rPr>
                <w:rFonts w:ascii="宋体" w:hAnsi="宋体" w:cs="宋体"/>
                <w:color w:val="auto"/>
                <w:sz w:val="24"/>
              </w:rPr>
              <w:t>脂肪酸储罐内的回收的脂肪酸循环经过列管式冷凝器进行循环冷却后进行储存</w:t>
            </w:r>
            <w:r>
              <w:rPr>
                <w:rFonts w:ascii="宋体" w:hAnsi="宋体" w:cs="宋体"/>
                <w:color w:val="auto"/>
                <w:spacing w:val="-43"/>
                <w:sz w:val="24"/>
              </w:rPr>
              <w:t>。</w:t>
            </w:r>
            <w:r>
              <w:rPr>
                <w:rFonts w:hint="eastAsia" w:eastAsia="宋体"/>
                <w:color w:val="auto"/>
                <w:sz w:val="24"/>
                <w:lang w:eastAsia="zh-CN"/>
              </w:rPr>
              <w:t>项目采用</w:t>
            </w:r>
            <w:r>
              <w:rPr>
                <w:rFonts w:hint="eastAsia"/>
                <w:color w:val="auto"/>
                <w:sz w:val="24"/>
              </w:rPr>
              <w:t>1台</w:t>
            </w:r>
            <w:r>
              <w:rPr>
                <w:rFonts w:hint="eastAsia"/>
                <w:color w:val="auto"/>
                <w:sz w:val="24"/>
                <w:lang w:eastAsia="zh-CN"/>
              </w:rPr>
              <w:t>燃生物质颗粒的</w:t>
            </w:r>
            <w:r>
              <w:rPr>
                <w:rFonts w:hint="eastAsia"/>
                <w:color w:val="auto"/>
                <w:sz w:val="24"/>
                <w:lang w:val="en-US" w:eastAsia="zh-CN"/>
              </w:rPr>
              <w:t>3</w:t>
            </w:r>
            <w:r>
              <w:rPr>
                <w:color w:val="auto"/>
                <w:sz w:val="24"/>
              </w:rPr>
              <w:t>t/h锅炉</w:t>
            </w:r>
            <w:r>
              <w:rPr>
                <w:rFonts w:hint="eastAsia"/>
                <w:color w:val="auto"/>
                <w:sz w:val="24"/>
                <w:lang w:eastAsia="zh-CN"/>
              </w:rPr>
              <w:t>为该环节提供蒸汽。</w:t>
            </w:r>
          </w:p>
          <w:p w14:paraId="23D6FDF6">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此工序产生燃料燃烧废气</w:t>
            </w:r>
            <w:r>
              <w:rPr>
                <w:rFonts w:hint="eastAsia" w:eastAsia="宋体"/>
                <w:color w:val="auto"/>
                <w:sz w:val="24"/>
                <w:lang w:val="en-US" w:eastAsia="zh-CN"/>
              </w:rPr>
              <w:t>G1、</w:t>
            </w:r>
            <w:r>
              <w:rPr>
                <w:rFonts w:hint="eastAsia" w:eastAsia="Times New Roman"/>
                <w:color w:val="auto"/>
                <w:sz w:val="24"/>
                <w:lang w:val="zh-CN"/>
              </w:rPr>
              <w:t>脱酸脱臭异味</w:t>
            </w:r>
            <w:r>
              <w:rPr>
                <w:rFonts w:hint="eastAsia" w:eastAsia="宋体"/>
                <w:color w:val="auto"/>
                <w:sz w:val="24"/>
                <w:lang w:val="en-US" w:eastAsia="zh-CN"/>
              </w:rPr>
              <w:t>G3</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布袋除尘器收集的粉尘S6、燃烧炉渣S7</w:t>
            </w:r>
            <w:r>
              <w:rPr>
                <w:rFonts w:hint="eastAsia" w:eastAsia="Times New Roman"/>
                <w:color w:val="auto"/>
                <w:sz w:val="24"/>
                <w:lang w:val="zh-CN"/>
              </w:rPr>
              <w:t>等。</w:t>
            </w:r>
          </w:p>
          <w:p w14:paraId="009046F3">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ascii="宋体" w:hAnsi="宋体" w:cs="宋体"/>
                <w:color w:val="auto"/>
                <w:sz w:val="24"/>
              </w:rPr>
              <w:t>游离脂肪酸等</w:t>
            </w:r>
            <w:r>
              <w:rPr>
                <w:rFonts w:hint="eastAsia" w:ascii="宋体" w:hAnsi="宋体" w:cs="宋体"/>
                <w:color w:val="auto"/>
                <w:spacing w:val="-17"/>
                <w:sz w:val="24"/>
                <w:lang w:eastAsia="zh-CN"/>
              </w:rPr>
              <w:t>经过</w:t>
            </w:r>
            <w:r>
              <w:rPr>
                <w:rFonts w:hint="eastAsia"/>
                <w:color w:val="auto"/>
                <w:sz w:val="24"/>
              </w:rPr>
              <w:t>回收装置（脱臭塔（</w:t>
            </w:r>
            <w:r>
              <w:rPr>
                <w:rFonts w:hint="eastAsia"/>
                <w:bCs/>
                <w:color w:val="auto"/>
                <w:sz w:val="24"/>
              </w:rPr>
              <w:t>脱臭塔由捕集器+冷凝罐组成</w:t>
            </w:r>
            <w:r>
              <w:rPr>
                <w:rFonts w:hint="eastAsia"/>
                <w:color w:val="auto"/>
                <w:sz w:val="24"/>
              </w:rPr>
              <w:t>）、脂肪酸捕集器、气液分离器）</w:t>
            </w:r>
            <w:r>
              <w:rPr>
                <w:rFonts w:hint="eastAsia"/>
                <w:color w:val="auto"/>
                <w:sz w:val="24"/>
                <w:lang w:eastAsia="zh-CN"/>
              </w:rPr>
              <w:t>处理后，</w:t>
            </w:r>
            <w:r>
              <w:rPr>
                <w:rFonts w:hint="eastAsia"/>
                <w:bCs/>
                <w:color w:val="auto"/>
                <w:sz w:val="24"/>
              </w:rPr>
              <w:t>回收后的脂肪酸</w:t>
            </w:r>
            <w:r>
              <w:rPr>
                <w:rFonts w:hint="eastAsia"/>
                <w:bCs/>
                <w:color w:val="auto"/>
                <w:sz w:val="24"/>
                <w:lang w:eastAsia="zh-CN"/>
              </w:rPr>
              <w:t>（</w:t>
            </w:r>
            <w:r>
              <w:rPr>
                <w:rFonts w:hint="eastAsia"/>
                <w:bCs/>
                <w:color w:val="auto"/>
                <w:sz w:val="24"/>
                <w:lang w:val="en-US" w:eastAsia="zh-CN"/>
              </w:rPr>
              <w:t>99%</w:t>
            </w:r>
            <w:r>
              <w:rPr>
                <w:rFonts w:hint="eastAsia"/>
                <w:bCs/>
                <w:color w:val="auto"/>
                <w:sz w:val="24"/>
                <w:lang w:eastAsia="zh-CN"/>
              </w:rPr>
              <w:t>）外售</w:t>
            </w:r>
            <w:r>
              <w:rPr>
                <w:rFonts w:hint="eastAsia"/>
                <w:bCs/>
                <w:color w:val="auto"/>
                <w:sz w:val="24"/>
              </w:rPr>
              <w:t>，剩余未回收的废气在罐车来装液态脂肪酸时随着接口少量溢出</w:t>
            </w:r>
            <w:r>
              <w:rPr>
                <w:rFonts w:hint="eastAsia"/>
                <w:bCs/>
                <w:color w:val="auto"/>
                <w:sz w:val="24"/>
                <w:lang w:eastAsia="zh-CN"/>
              </w:rPr>
              <w:t>（平时均为密闭状态，不打开）。</w:t>
            </w:r>
          </w:p>
          <w:bookmarkEnd w:id="18"/>
          <w:p w14:paraId="4E9B4D7F">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牛干巴</w:t>
            </w:r>
            <w:r>
              <w:rPr>
                <w:rFonts w:hint="default" w:ascii="Times New Roman" w:hAnsi="Times New Roman" w:eastAsia="宋体" w:cs="Times New Roman"/>
                <w:b/>
                <w:bCs/>
                <w:color w:val="auto"/>
                <w:sz w:val="24"/>
                <w:szCs w:val="24"/>
                <w:highlight w:val="none"/>
                <w:lang w:val="en-US" w:eastAsia="zh-CN"/>
              </w:rPr>
              <w:t>生产</w:t>
            </w:r>
          </w:p>
          <w:p w14:paraId="1E1FB5AA">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设计牛干巴生产规模为年产360t，</w:t>
            </w:r>
            <w:r>
              <w:rPr>
                <w:rFonts w:hint="default" w:ascii="Times New Roman" w:hAnsi="Times New Roman" w:eastAsia="宋体" w:cs="Times New Roman"/>
                <w:color w:val="auto"/>
                <w:kern w:val="2"/>
                <w:sz w:val="24"/>
                <w:szCs w:val="24"/>
                <w:lang w:val="en-US" w:eastAsia="zh-CN" w:bidi="ar-SA"/>
              </w:rPr>
              <w:t>牛干巴属于半成品加工。具</w:t>
            </w:r>
            <w:bookmarkStart w:id="19" w:name="OLE_LINK2"/>
            <w:r>
              <w:rPr>
                <w:rFonts w:hint="default" w:ascii="Times New Roman" w:hAnsi="Times New Roman" w:eastAsia="宋体" w:cs="Times New Roman"/>
                <w:color w:val="auto"/>
                <w:kern w:val="2"/>
                <w:sz w:val="24"/>
                <w:szCs w:val="24"/>
                <w:lang w:val="en-US" w:eastAsia="zh-CN" w:bidi="ar-SA"/>
              </w:rPr>
              <w:t>体生产工艺流程见图2-</w:t>
            </w:r>
            <w:r>
              <w:rPr>
                <w:rFonts w:hint="default" w:ascii="Times New Roman" w:hAnsi="Times New Roman" w:cs="Times New Roman"/>
                <w:color w:val="auto"/>
                <w:kern w:val="2"/>
                <w:sz w:val="24"/>
                <w:szCs w:val="24"/>
                <w:lang w:val="en-US" w:eastAsia="zh-CN" w:bidi="ar-SA"/>
              </w:rPr>
              <w:t>9</w:t>
            </w:r>
            <w:r>
              <w:rPr>
                <w:rFonts w:hint="default" w:ascii="Times New Roman" w:hAnsi="Times New Roman" w:eastAsia="宋体" w:cs="Times New Roman"/>
                <w:color w:val="auto"/>
                <w:kern w:val="2"/>
                <w:sz w:val="24"/>
                <w:szCs w:val="24"/>
                <w:lang w:val="en-US" w:eastAsia="zh-CN" w:bidi="ar-SA"/>
              </w:rPr>
              <w:t>。</w:t>
            </w:r>
          </w:p>
          <w:bookmarkEnd w:id="19"/>
          <w:p w14:paraId="019C14D4">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object>
                <v:shape id="_x0000_i1032" o:spt="75" type="#_x0000_t75" style="height:82.85pt;width:418.3pt;" o:ole="t" filled="f" o:preferrelative="t" stroked="f" coordsize="21600,21600">
                  <v:path/>
                  <v:fill on="f" focussize="0,0"/>
                  <v:stroke on="f"/>
                  <v:imagedata r:id="rId27" o:title=""/>
                  <o:lock v:ext="edit" aspectratio="f"/>
                  <w10:wrap type="none"/>
                  <w10:anchorlock/>
                </v:shape>
                <o:OLEObject Type="Embed" ProgID="Visio.Drawing.11" ShapeID="_x0000_i1032" DrawAspect="Content" ObjectID="_1468075733" r:id="rId26">
                  <o:LockedField>false</o:LockedField>
                </o:OLEObject>
              </w:object>
            </w:r>
          </w:p>
          <w:p w14:paraId="2FBCAA1D">
            <w:pPr>
              <w:pStyle w:val="48"/>
              <w:spacing w:line="360" w:lineRule="auto"/>
              <w:ind w:firstLine="0"/>
              <w:jc w:val="center"/>
              <w:rPr>
                <w:rFonts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图</w:t>
            </w:r>
            <w:r>
              <w:rPr>
                <w:rFonts w:hint="eastAsia"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 xml:space="preserve">  牛干巴</w:t>
            </w:r>
            <w:r>
              <w:rPr>
                <w:rFonts w:hint="eastAsia" w:ascii="Times New Roman" w:hAnsi="Times New Roman" w:eastAsia="宋体"/>
                <w:b/>
                <w:bCs/>
                <w:color w:val="auto"/>
                <w:sz w:val="21"/>
                <w:szCs w:val="21"/>
                <w:lang w:eastAsia="zh-CN"/>
              </w:rPr>
              <w:t>生产工艺流程及产污环节图</w:t>
            </w:r>
          </w:p>
          <w:p w14:paraId="19DC8068">
            <w:pPr>
              <w:rPr>
                <w:rFonts w:hint="default" w:ascii="Times New Roman" w:hAnsi="Times New Roman" w:eastAsia="宋体" w:cs="Times New Roman"/>
                <w:color w:val="auto"/>
                <w:lang w:val="en-US" w:eastAsia="zh-CN"/>
              </w:rPr>
            </w:pPr>
          </w:p>
          <w:p w14:paraId="57E9B88E">
            <w:pPr>
              <w:pStyle w:val="48"/>
              <w:spacing w:line="360" w:lineRule="auto"/>
              <w:ind w:firstLineChars="200"/>
              <w:jc w:val="left"/>
              <w:rPr>
                <w:rFonts w:ascii="Times New Roman" w:hAnsi="Times New Roman"/>
                <w:b/>
                <w:bCs w:val="0"/>
                <w:color w:val="auto"/>
                <w:sz w:val="24"/>
                <w:lang w:eastAsia="zh-CN"/>
              </w:rPr>
            </w:pPr>
            <w:r>
              <w:rPr>
                <w:rFonts w:ascii="Times New Roman" w:hAnsi="Times New Roman"/>
                <w:b/>
                <w:bCs w:val="0"/>
                <w:color w:val="auto"/>
                <w:sz w:val="24"/>
                <w:lang w:eastAsia="zh-CN"/>
              </w:rPr>
              <w:t>工艺流程简述：</w:t>
            </w:r>
          </w:p>
          <w:p w14:paraId="3398D402">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宋体" w:hAnsi="宋体" w:eastAsia="宋体" w:cs="宋体"/>
                <w:color w:val="auto"/>
                <w:kern w:val="2"/>
                <w:sz w:val="24"/>
                <w:szCs w:val="24"/>
                <w:lang w:val="en-US" w:eastAsia="zh-CN" w:bidi="ar-SA"/>
              </w:rPr>
              <w:t>牛干巴加工过程中，首先将盐巴、花椒两种涂料均匀</w:t>
            </w:r>
            <w:r>
              <w:rPr>
                <w:rFonts w:hint="eastAsia" w:ascii="宋体" w:hAnsi="宋体" w:cs="宋体"/>
                <w:color w:val="auto"/>
                <w:kern w:val="2"/>
                <w:sz w:val="24"/>
                <w:szCs w:val="24"/>
                <w:lang w:val="en-US" w:eastAsia="zh-CN" w:bidi="ar-SA"/>
              </w:rPr>
              <w:t>地</w:t>
            </w:r>
            <w:r>
              <w:rPr>
                <w:rFonts w:hint="default" w:ascii="宋体" w:hAnsi="宋体" w:eastAsia="宋体" w:cs="宋体"/>
                <w:color w:val="auto"/>
                <w:kern w:val="2"/>
                <w:sz w:val="24"/>
                <w:szCs w:val="24"/>
                <w:lang w:val="en-US" w:eastAsia="zh-CN" w:bidi="ar-SA"/>
              </w:rPr>
              <w:t>涂抹在大块新鲜牛肉上，涂抹调料后的牛肉块放入陶罐中腌制30天左右，然后取出于晾晒房中晾晒10天左右，晾晒之后，牛肉含水率降低至50左右，50%左右水分的牛干巴可以长期常温存放，不变质，且具有与新鲜牛肉不一样的口感。</w:t>
            </w:r>
          </w:p>
          <w:p w14:paraId="1EF54ADA">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eastAsia="Times New Roman"/>
                <w:color w:val="auto"/>
                <w:sz w:val="24"/>
                <w:lang w:val="zh-CN"/>
              </w:rPr>
              <w:t>此工序产生腌制废水</w:t>
            </w:r>
            <w:r>
              <w:rPr>
                <w:rFonts w:hint="eastAsia" w:eastAsia="宋体"/>
                <w:color w:val="auto"/>
                <w:sz w:val="24"/>
                <w:lang w:val="en-US" w:eastAsia="zh-CN"/>
              </w:rPr>
              <w:t>W5</w:t>
            </w:r>
            <w:r>
              <w:rPr>
                <w:rFonts w:hint="eastAsia" w:eastAsia="Times New Roman"/>
                <w:color w:val="auto"/>
                <w:sz w:val="24"/>
                <w:lang w:val="zh-CN"/>
              </w:rPr>
              <w:t>、异味、噪声等。</w:t>
            </w:r>
          </w:p>
          <w:p w14:paraId="576856CD">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动物饲料油脂生产</w:t>
            </w:r>
          </w:p>
          <w:p w14:paraId="278451C3">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
              </w:rPr>
              <w:t>本项目</w:t>
            </w:r>
            <w:r>
              <w:rPr>
                <w:rFonts w:hint="default" w:ascii="Times New Roman" w:hAnsi="Times New Roman" w:eastAsia="宋体" w:cs="Times New Roman"/>
                <w:color w:val="auto"/>
                <w:sz w:val="24"/>
                <w:szCs w:val="24"/>
                <w:highlight w:val="none"/>
                <w:lang w:val="en-US" w:eastAsia="zh-CN"/>
              </w:rPr>
              <w:t>设计</w:t>
            </w:r>
            <w:r>
              <w:rPr>
                <w:rFonts w:hint="eastAsia" w:ascii="Times New Roman" w:hAnsi="Times New Roman" w:eastAsia="宋体" w:cs="Times New Roman"/>
                <w:color w:val="auto"/>
                <w:sz w:val="24"/>
                <w:szCs w:val="24"/>
                <w:highlight w:val="none"/>
                <w:lang w:val="en-US" w:eastAsia="zh-CN"/>
              </w:rPr>
              <w:t>动物饲料油脂</w:t>
            </w:r>
            <w:r>
              <w:rPr>
                <w:rFonts w:hint="default" w:ascii="Times New Roman" w:hAnsi="Times New Roman" w:eastAsia="宋体" w:cs="Times New Roman"/>
                <w:color w:val="auto"/>
                <w:sz w:val="24"/>
                <w:szCs w:val="24"/>
                <w:highlight w:val="none"/>
                <w:lang w:val="en-US" w:eastAsia="zh-CN"/>
              </w:rPr>
              <w:t>生产规模为年产</w:t>
            </w:r>
            <w:r>
              <w:rPr>
                <w:rFonts w:hint="eastAsia" w:ascii="Times New Roman" w:hAnsi="Times New Roman" w:eastAsia="宋体"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lang w:val="en-US" w:eastAsia="zh-CN"/>
              </w:rPr>
              <w:t>0t，</w:t>
            </w:r>
            <w:r>
              <w:rPr>
                <w:rFonts w:hint="default" w:ascii="Times New Roman" w:hAnsi="Times New Roman" w:eastAsia="宋体" w:cs="Times New Roman"/>
                <w:color w:val="auto"/>
                <w:sz w:val="24"/>
                <w:szCs w:val="24"/>
              </w:rPr>
              <w:t>生产工艺流程及产排污节点见图</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所示。</w:t>
            </w:r>
          </w:p>
          <w:p w14:paraId="4D0765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rPr>
            </w:pPr>
            <w:r>
              <w:rPr>
                <w:rFonts w:ascii="Times New Roman" w:hAnsi="Times New Roman" w:eastAsia="宋体" w:cs="Times New Roman"/>
                <w:b w:val="0"/>
                <w:color w:val="auto"/>
                <w:sz w:val="24"/>
                <w:lang w:eastAsia="zh-CN"/>
              </w:rPr>
              <w:object>
                <v:shape id="_x0000_i1033" o:spt="75" type="#_x0000_t75" style="height:226.65pt;width:394.3pt;" o:ole="t" filled="f" o:preferrelative="t" stroked="f" coordsize="21600,21600">
                  <v:path/>
                  <v:fill on="f" focussize="0,0"/>
                  <v:stroke on="f"/>
                  <v:imagedata r:id="rId29" o:title=""/>
                  <o:lock v:ext="edit" aspectratio="f"/>
                  <w10:wrap type="none"/>
                  <w10:anchorlock/>
                </v:shape>
                <o:OLEObject Type="Embed" ProgID="Visio.Drawing.15" ShapeID="_x0000_i1033" DrawAspect="Content" ObjectID="_1468075734" r:id="rId28">
                  <o:LockedField>false</o:LockedField>
                </o:OLEObject>
              </w:object>
            </w:r>
          </w:p>
          <w:p w14:paraId="7B767F41">
            <w:pPr>
              <w:pStyle w:val="48"/>
              <w:spacing w:line="360" w:lineRule="auto"/>
              <w:ind w:firstLine="0"/>
              <w:jc w:val="center"/>
              <w:rPr>
                <w:rFonts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动物饲料油脂</w:t>
            </w:r>
            <w:r>
              <w:rPr>
                <w:rFonts w:hint="eastAsia" w:ascii="Times New Roman" w:hAnsi="Times New Roman" w:eastAsia="宋体"/>
                <w:b/>
                <w:bCs/>
                <w:color w:val="auto"/>
                <w:sz w:val="21"/>
                <w:szCs w:val="21"/>
                <w:lang w:eastAsia="zh-CN"/>
              </w:rPr>
              <w:t>生产工艺流程及产污环节图</w:t>
            </w:r>
          </w:p>
          <w:p w14:paraId="2423EF10">
            <w:pPr>
              <w:pStyle w:val="15"/>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lang w:val="en-US" w:eastAsia="zh-CN"/>
              </w:rPr>
            </w:pPr>
          </w:p>
          <w:p w14:paraId="41B7045E">
            <w:pPr>
              <w:pStyle w:val="48"/>
              <w:spacing w:line="360" w:lineRule="auto"/>
              <w:ind w:firstLineChars="200"/>
              <w:jc w:val="left"/>
              <w:rPr>
                <w:rFonts w:ascii="Times New Roman" w:hAnsi="Times New Roman"/>
                <w:bCs/>
                <w:color w:val="auto"/>
                <w:sz w:val="24"/>
                <w:lang w:eastAsia="zh-CN"/>
              </w:rPr>
            </w:pPr>
            <w:r>
              <w:rPr>
                <w:rFonts w:ascii="Times New Roman" w:hAnsi="Times New Roman"/>
                <w:bCs/>
                <w:color w:val="auto"/>
                <w:sz w:val="24"/>
                <w:lang w:eastAsia="zh-CN"/>
              </w:rPr>
              <w:t>工艺流程简述：</w:t>
            </w:r>
          </w:p>
          <w:p w14:paraId="646DFCA3">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1</w:t>
            </w:r>
            <w:r>
              <w:rPr>
                <w:rFonts w:hint="eastAsia" w:eastAsia="Times New Roman"/>
                <w:b/>
                <w:bCs/>
                <w:color w:val="auto"/>
                <w:sz w:val="24"/>
                <w:lang w:val="zh-CN"/>
              </w:rPr>
              <w:t>）自然解冻</w:t>
            </w:r>
          </w:p>
          <w:p w14:paraId="476BB059">
            <w:pPr>
              <w:adjustRightInd w:val="0"/>
              <w:snapToGrid w:val="0"/>
              <w:spacing w:line="360" w:lineRule="auto"/>
              <w:ind w:firstLine="480" w:firstLineChars="200"/>
              <w:rPr>
                <w:rFonts w:hint="eastAsia" w:eastAsia="Times New Roman"/>
                <w:color w:val="auto"/>
                <w:sz w:val="24"/>
                <w:lang w:val="zh-CN"/>
              </w:rPr>
            </w:pPr>
            <w:r>
              <w:rPr>
                <w:rFonts w:hint="eastAsia" w:eastAsia="Times New Roman"/>
                <w:color w:val="auto"/>
                <w:sz w:val="24"/>
                <w:lang w:val="zh-CN"/>
              </w:rPr>
              <w:t>项目外</w:t>
            </w:r>
            <w:r>
              <w:rPr>
                <w:rFonts w:hint="eastAsia" w:ascii="Times New Roman" w:hAnsi="Times New Roman" w:eastAsia="Times New Roman" w:cs="Times New Roman"/>
                <w:color w:val="auto"/>
                <w:sz w:val="24"/>
                <w:lang w:val="zh-CN"/>
              </w:rPr>
              <w:t>购</w:t>
            </w:r>
            <w:r>
              <w:rPr>
                <w:rFonts w:hint="eastAsia" w:ascii="Times New Roman" w:hAnsi="Times New Roman" w:eastAsia="Times New Roman" w:cs="Times New Roman"/>
                <w:color w:val="auto"/>
                <w:sz w:val="24"/>
                <w:lang w:val="en-US" w:eastAsia="zh-CN"/>
              </w:rPr>
              <w:t>冷冻动物含油残渣、鲜动物含油残渣</w:t>
            </w:r>
            <w:r>
              <w:rPr>
                <w:rFonts w:hint="eastAsia" w:eastAsia="Times New Roman"/>
                <w:color w:val="auto"/>
                <w:sz w:val="24"/>
                <w:lang w:val="zh-CN"/>
              </w:rPr>
              <w:t>至项目区内，在解冻拆包投料车间进行自然解冻拆包投料。</w:t>
            </w:r>
          </w:p>
          <w:p w14:paraId="7F8EE62C">
            <w:pPr>
              <w:adjustRightInd w:val="0"/>
              <w:snapToGrid w:val="0"/>
              <w:spacing w:line="360" w:lineRule="auto"/>
              <w:ind w:firstLine="480" w:firstLineChars="200"/>
              <w:rPr>
                <w:rFonts w:eastAsia="Times New Roman"/>
                <w:color w:val="auto"/>
                <w:sz w:val="24"/>
              </w:rPr>
            </w:pPr>
            <w:r>
              <w:rPr>
                <w:rFonts w:hint="eastAsia" w:eastAsia="Times New Roman"/>
                <w:color w:val="auto"/>
                <w:sz w:val="24"/>
                <w:lang w:val="zh-CN"/>
              </w:rPr>
              <w:t>此工序产生废包装袋</w:t>
            </w:r>
            <w:r>
              <w:rPr>
                <w:rFonts w:hint="eastAsia" w:eastAsia="宋体"/>
                <w:color w:val="auto"/>
                <w:sz w:val="24"/>
                <w:lang w:val="en-US" w:eastAsia="zh-CN"/>
              </w:rPr>
              <w:t>S1</w:t>
            </w:r>
            <w:r>
              <w:rPr>
                <w:rFonts w:hint="eastAsia" w:eastAsia="Times New Roman"/>
                <w:color w:val="auto"/>
                <w:sz w:val="24"/>
                <w:lang w:val="zh-CN"/>
              </w:rPr>
              <w:t>及设备噪声</w:t>
            </w:r>
            <w:r>
              <w:rPr>
                <w:rFonts w:hint="eastAsia" w:eastAsia="宋体"/>
                <w:color w:val="auto"/>
                <w:sz w:val="24"/>
                <w:lang w:val="en-US" w:eastAsia="zh-CN"/>
              </w:rPr>
              <w:t>N</w:t>
            </w:r>
            <w:r>
              <w:rPr>
                <w:rFonts w:hint="eastAsia" w:eastAsia="Times New Roman"/>
                <w:color w:val="auto"/>
                <w:sz w:val="24"/>
              </w:rPr>
              <w:t>。</w:t>
            </w:r>
          </w:p>
          <w:p w14:paraId="00AC9B0C">
            <w:pPr>
              <w:adjustRightInd w:val="0"/>
              <w:snapToGrid w:val="0"/>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eastAsia="Times New Roman"/>
                <w:b/>
                <w:bCs/>
                <w:color w:val="auto"/>
                <w:sz w:val="24"/>
              </w:rPr>
              <w:t>2</w:t>
            </w:r>
            <w:r>
              <w:rPr>
                <w:rFonts w:hint="eastAsia" w:eastAsia="Times New Roman"/>
                <w:b/>
                <w:bCs/>
                <w:color w:val="auto"/>
                <w:sz w:val="24"/>
                <w:lang w:val="zh-CN"/>
              </w:rPr>
              <w:t>）绞碎</w:t>
            </w:r>
          </w:p>
          <w:p w14:paraId="05F25B31">
            <w:pPr>
              <w:adjustRightInd w:val="0"/>
              <w:snapToGrid w:val="0"/>
              <w:spacing w:line="360" w:lineRule="auto"/>
              <w:ind w:firstLine="480" w:firstLineChars="200"/>
              <w:rPr>
                <w:rFonts w:hint="eastAsia" w:ascii="Times New Roman" w:hAnsi="Times New Roman" w:eastAsia="Times New Roman" w:cs="Times New Roman"/>
                <w:color w:val="auto"/>
                <w:sz w:val="24"/>
                <w:lang w:val="en-US" w:eastAsia="zh-CN"/>
              </w:rPr>
            </w:pPr>
            <w:r>
              <w:rPr>
                <w:rFonts w:hint="eastAsia" w:ascii="Times New Roman" w:hAnsi="Times New Roman" w:eastAsia="Times New Roman" w:cs="Times New Roman"/>
                <w:color w:val="auto"/>
                <w:sz w:val="24"/>
                <w:lang w:val="zh-CN" w:eastAsia="zh-CN"/>
              </w:rPr>
              <w:t>采用绞肉机设备，冻料鲜料通用处理</w:t>
            </w:r>
            <w:r>
              <w:rPr>
                <w:rFonts w:hint="eastAsia" w:ascii="Times New Roman" w:hAnsi="Times New Roman" w:eastAsia="Times New Roman" w:cs="Times New Roman"/>
                <w:color w:val="auto"/>
                <w:sz w:val="24"/>
                <w:lang w:val="en-US" w:eastAsia="zh-CN"/>
              </w:rPr>
              <w:t>原料进入绞肉机，由于物料本身的重力和螺旋供料器的旋转，把物料连续地送往绞刀口进行切碎。因为螺旋供料器的螺距后面应比前面小，但螺旋轴的直径后面比前面大，这样对物料产生了一定的挤压力，这个力迫使已切碎的肉从格板上的孔眼中排出。</w:t>
            </w:r>
          </w:p>
          <w:p w14:paraId="225C53CF">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此工序产生设备噪声</w:t>
            </w:r>
            <w:r>
              <w:rPr>
                <w:rFonts w:hint="eastAsia" w:eastAsia="宋体"/>
                <w:color w:val="auto"/>
                <w:sz w:val="24"/>
                <w:lang w:val="en-US" w:eastAsia="zh-CN"/>
              </w:rPr>
              <w:t>N</w:t>
            </w:r>
            <w:r>
              <w:rPr>
                <w:rFonts w:hint="eastAsia" w:eastAsia="Times New Roman"/>
                <w:color w:val="auto"/>
                <w:sz w:val="24"/>
                <w:lang w:val="zh-CN"/>
              </w:rPr>
              <w:t>。</w:t>
            </w:r>
          </w:p>
          <w:p w14:paraId="2E24205C">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3</w:t>
            </w:r>
            <w:r>
              <w:rPr>
                <w:rFonts w:hint="eastAsia" w:eastAsia="Times New Roman"/>
                <w:b/>
                <w:bCs/>
                <w:color w:val="auto"/>
                <w:sz w:val="24"/>
                <w:lang w:val="zh-CN"/>
              </w:rPr>
              <w:t>）负压熔炼</w:t>
            </w:r>
          </w:p>
          <w:p w14:paraId="5552AB2C">
            <w:pPr>
              <w:adjustRightInd w:val="0"/>
              <w:snapToGrid w:val="0"/>
              <w:spacing w:line="360" w:lineRule="auto"/>
              <w:ind w:firstLine="480" w:firstLineChars="200"/>
              <w:rPr>
                <w:rFonts w:hint="eastAsia" w:ascii="Times New Roman" w:hAnsi="Times New Roman" w:eastAsia="Times New Roman" w:cs="Times New Roman"/>
                <w:color w:val="auto"/>
                <w:sz w:val="24"/>
                <w:lang w:val="zh-CN" w:eastAsia="zh-CN"/>
              </w:rPr>
            </w:pPr>
            <w:r>
              <w:rPr>
                <w:rFonts w:hint="eastAsia" w:ascii="Times New Roman" w:hAnsi="Times New Roman" w:eastAsia="Times New Roman" w:cs="Times New Roman"/>
                <w:color w:val="auto"/>
                <w:sz w:val="24"/>
                <w:lang w:val="en-US" w:eastAsia="zh-CN"/>
              </w:rPr>
              <w:t>绞碎后的原料投入进料口，物料经过绞龙的作用进入密闭熔炼锅进行熬油。绞碎后的原料在熔炼锅内预热后形成固液混合物。在熬炼温度升至</w:t>
            </w:r>
            <w:r>
              <w:rPr>
                <w:rFonts w:hint="default" w:ascii="Times New Roman" w:hAnsi="Times New Roman" w:eastAsia="Times New Roman" w:cs="Times New Roman"/>
                <w:color w:val="auto"/>
                <w:sz w:val="24"/>
                <w:lang w:val="en-US" w:eastAsia="zh-CN"/>
              </w:rPr>
              <w:t>100-120</w:t>
            </w:r>
            <w:r>
              <w:rPr>
                <w:rFonts w:hint="eastAsia" w:ascii="Times New Roman" w:hAnsi="Times New Roman" w:eastAsia="Times New Roman" w:cs="Times New Roman"/>
                <w:color w:val="auto"/>
                <w:sz w:val="24"/>
                <w:lang w:val="en-US" w:eastAsia="zh-CN"/>
              </w:rPr>
              <w:t>℃，水分基本蒸发完成，物料可快速实现油、水、渣分离，待物料温度升至</w:t>
            </w:r>
            <w:r>
              <w:rPr>
                <w:rFonts w:hint="default" w:ascii="Times New Roman" w:hAnsi="Times New Roman" w:eastAsia="Times New Roman" w:cs="Times New Roman"/>
                <w:color w:val="auto"/>
                <w:sz w:val="24"/>
                <w:lang w:val="en-US" w:eastAsia="zh-CN"/>
              </w:rPr>
              <w:t>120</w:t>
            </w:r>
            <w:r>
              <w:rPr>
                <w:rFonts w:hint="eastAsia" w:ascii="Times New Roman" w:hAnsi="Times New Roman" w:eastAsia="Times New Roman" w:cs="Times New Roman"/>
                <w:color w:val="auto"/>
                <w:sz w:val="24"/>
                <w:lang w:val="en-US" w:eastAsia="zh-CN"/>
              </w:rPr>
              <w:t>℃左右，物料基本熔炼完成，通过视孔观察油脂状态及油渣的干湿度，油脂起泡油渣成硬状后停止加热，根据原料等级不同，熬炼时间一般为</w:t>
            </w:r>
            <w:r>
              <w:rPr>
                <w:rFonts w:hint="default" w:ascii="Times New Roman" w:hAnsi="Times New Roman" w:eastAsia="Times New Roman" w:cs="Times New Roman"/>
                <w:color w:val="auto"/>
                <w:sz w:val="24"/>
                <w:lang w:val="en-US" w:eastAsia="zh-CN"/>
              </w:rPr>
              <w:t>1.5-3</w:t>
            </w:r>
            <w:r>
              <w:rPr>
                <w:rFonts w:hint="eastAsia" w:ascii="Times New Roman" w:hAnsi="Times New Roman" w:eastAsia="Times New Roman" w:cs="Times New Roman"/>
                <w:color w:val="auto"/>
                <w:sz w:val="24"/>
                <w:lang w:val="en-US" w:eastAsia="zh-CN"/>
              </w:rPr>
              <w:t>小时左右。</w:t>
            </w:r>
            <w:r>
              <w:rPr>
                <w:rFonts w:hint="eastAsia" w:ascii="Times New Roman" w:hAnsi="Times New Roman" w:eastAsia="Times New Roman" w:cs="Times New Roman"/>
                <w:color w:val="auto"/>
                <w:sz w:val="24"/>
                <w:lang w:val="zh-CN" w:eastAsia="zh-CN"/>
              </w:rPr>
              <w:t>项目采用</w:t>
            </w:r>
            <w:r>
              <w:rPr>
                <w:rFonts w:hint="eastAsia" w:ascii="Times New Roman" w:hAnsi="Times New Roman" w:eastAsia="Times New Roman" w:cs="Times New Roman"/>
                <w:color w:val="auto"/>
                <w:sz w:val="24"/>
                <w:lang w:val="zh-CN"/>
              </w:rPr>
              <w:t>1台</w:t>
            </w:r>
            <w:r>
              <w:rPr>
                <w:rFonts w:hint="eastAsia" w:ascii="Times New Roman" w:hAnsi="Times New Roman" w:eastAsia="Times New Roman" w:cs="Times New Roman"/>
                <w:color w:val="auto"/>
                <w:sz w:val="24"/>
                <w:lang w:val="zh-CN" w:eastAsia="zh-CN"/>
              </w:rPr>
              <w:t>燃生物质颗粒导热油炉提供热能。</w:t>
            </w:r>
          </w:p>
          <w:p w14:paraId="6FE931AF">
            <w:pPr>
              <w:adjustRightInd w:val="0"/>
              <w:snapToGrid w:val="0"/>
              <w:spacing w:line="360" w:lineRule="auto"/>
              <w:ind w:firstLine="480" w:firstLineChars="200"/>
              <w:rPr>
                <w:rFonts w:eastAsia="Times New Roman"/>
                <w:color w:val="auto"/>
                <w:sz w:val="24"/>
                <w:lang w:val="zh-CN"/>
              </w:rPr>
            </w:pPr>
            <w:r>
              <w:rPr>
                <w:rFonts w:hint="eastAsia" w:eastAsia="Times New Roman"/>
                <w:color w:val="auto"/>
                <w:sz w:val="24"/>
                <w:lang w:val="zh-CN"/>
              </w:rPr>
              <w:t>此工序产生燃料燃烧废气</w:t>
            </w:r>
            <w:r>
              <w:rPr>
                <w:rFonts w:hint="eastAsia" w:eastAsia="宋体"/>
                <w:color w:val="auto"/>
                <w:sz w:val="24"/>
                <w:lang w:val="en-US" w:eastAsia="zh-CN"/>
              </w:rPr>
              <w:t>G1、</w:t>
            </w:r>
            <w:r>
              <w:rPr>
                <w:rFonts w:hint="eastAsia" w:eastAsia="Times New Roman"/>
                <w:color w:val="auto"/>
                <w:sz w:val="24"/>
                <w:lang w:val="zh-CN"/>
              </w:rPr>
              <w:t>熔炼废气</w:t>
            </w:r>
            <w:r>
              <w:rPr>
                <w:rFonts w:hint="eastAsia" w:eastAsia="宋体"/>
                <w:color w:val="auto"/>
                <w:sz w:val="24"/>
                <w:lang w:val="en-US" w:eastAsia="zh-CN"/>
              </w:rPr>
              <w:t>G2</w:t>
            </w:r>
            <w:r>
              <w:rPr>
                <w:rFonts w:hint="eastAsia" w:eastAsia="Times New Roman"/>
                <w:color w:val="auto"/>
                <w:sz w:val="24"/>
                <w:lang w:val="zh-CN"/>
              </w:rPr>
              <w:t>、异味</w:t>
            </w:r>
            <w:r>
              <w:rPr>
                <w:rFonts w:hint="eastAsia" w:eastAsia="宋体"/>
                <w:color w:val="auto"/>
                <w:sz w:val="24"/>
                <w:lang w:val="en-US" w:eastAsia="zh-CN"/>
              </w:rPr>
              <w:t>、</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r>
              <w:rPr>
                <w:rFonts w:hint="eastAsia" w:eastAsia="宋体"/>
                <w:color w:val="auto"/>
                <w:sz w:val="24"/>
                <w:lang w:val="en-US" w:eastAsia="zh-CN"/>
              </w:rPr>
              <w:t>布袋除尘器收集的粉尘S6、燃烧炉渣S7、废导热油S8</w:t>
            </w:r>
            <w:r>
              <w:rPr>
                <w:rFonts w:hint="eastAsia" w:eastAsia="Times New Roman"/>
                <w:color w:val="auto"/>
                <w:sz w:val="24"/>
                <w:lang w:val="zh-CN"/>
              </w:rPr>
              <w:t>等。</w:t>
            </w:r>
          </w:p>
          <w:p w14:paraId="53F64EE2">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4</w:t>
            </w:r>
            <w:r>
              <w:rPr>
                <w:rFonts w:hint="eastAsia" w:eastAsia="Times New Roman"/>
                <w:b/>
                <w:bCs/>
                <w:color w:val="auto"/>
                <w:sz w:val="24"/>
                <w:lang w:val="zh-CN"/>
              </w:rPr>
              <w:t>）真空冷凝</w:t>
            </w:r>
          </w:p>
          <w:p w14:paraId="009C8A70">
            <w:pPr>
              <w:spacing w:before="6" w:line="358" w:lineRule="auto"/>
              <w:ind w:left="38" w:right="4" w:firstLine="468"/>
              <w:rPr>
                <w:rFonts w:eastAsia="Times New Roman"/>
                <w:color w:val="auto"/>
                <w:sz w:val="24"/>
                <w:lang w:val="zh-CN"/>
              </w:rPr>
            </w:pPr>
            <w:r>
              <w:rPr>
                <w:rFonts w:hint="eastAsia"/>
                <w:color w:val="auto"/>
                <w:sz w:val="24"/>
                <w:szCs w:val="24"/>
                <w:lang w:eastAsia="zh-CN"/>
              </w:rPr>
              <w:t>该工序主要用于处理负压熔炼过程中产生的废气，利用真空冷凝系统进行回收，</w:t>
            </w:r>
            <w:r>
              <w:rPr>
                <w:rFonts w:ascii="宋体" w:hAnsi="宋体" w:cs="宋体"/>
                <w:color w:val="auto"/>
                <w:sz w:val="24"/>
              </w:rPr>
              <w:t>采用水喷射式真空喷泵机组</w:t>
            </w:r>
            <w:r>
              <w:rPr>
                <w:rFonts w:ascii="宋体" w:hAnsi="宋体" w:cs="宋体"/>
                <w:color w:val="auto"/>
                <w:spacing w:val="-50"/>
                <w:sz w:val="24"/>
              </w:rPr>
              <w:t>，</w:t>
            </w:r>
            <w:r>
              <w:rPr>
                <w:rFonts w:ascii="宋体" w:hAnsi="宋体" w:cs="宋体"/>
                <w:color w:val="auto"/>
                <w:sz w:val="24"/>
              </w:rPr>
              <w:t>该设备抽</w:t>
            </w:r>
            <w:r>
              <w:rPr>
                <w:rFonts w:hint="eastAsia" w:ascii="宋体" w:hAnsi="宋体" w:cs="宋体"/>
                <w:color w:val="auto"/>
                <w:sz w:val="24"/>
                <w:lang w:eastAsia="zh-CN"/>
              </w:rPr>
              <w:t>气量</w:t>
            </w:r>
            <w:r>
              <w:rPr>
                <w:rFonts w:ascii="宋体" w:hAnsi="宋体" w:cs="宋体"/>
                <w:color w:val="auto"/>
                <w:sz w:val="24"/>
              </w:rPr>
              <w:t>大</w:t>
            </w:r>
            <w:r>
              <w:rPr>
                <w:rFonts w:ascii="宋体" w:hAnsi="宋体" w:cs="宋体"/>
                <w:color w:val="auto"/>
                <w:spacing w:val="-50"/>
                <w:sz w:val="24"/>
              </w:rPr>
              <w:t>，</w:t>
            </w:r>
            <w:r>
              <w:rPr>
                <w:rFonts w:hint="eastAsia" w:ascii="宋体" w:hAnsi="宋体" w:cs="宋体"/>
                <w:color w:val="auto"/>
                <w:spacing w:val="-50"/>
                <w:sz w:val="24"/>
                <w:lang w:val="en-US" w:eastAsia="zh-CN"/>
              </w:rPr>
              <w:t>,</w:t>
            </w:r>
            <w:r>
              <w:rPr>
                <w:rFonts w:ascii="宋体" w:hAnsi="宋体" w:cs="宋体"/>
                <w:color w:val="auto"/>
                <w:sz w:val="24"/>
              </w:rPr>
              <w:t>运行平稳</w:t>
            </w:r>
            <w:r>
              <w:rPr>
                <w:rFonts w:ascii="宋体" w:hAnsi="宋体" w:cs="宋体"/>
                <w:color w:val="auto"/>
                <w:spacing w:val="-52"/>
                <w:sz w:val="24"/>
              </w:rPr>
              <w:t>。</w:t>
            </w:r>
            <w:r>
              <w:rPr>
                <w:rFonts w:ascii="宋体" w:hAnsi="宋体" w:cs="宋体"/>
                <w:color w:val="auto"/>
                <w:sz w:val="24"/>
              </w:rPr>
              <w:t>真空机组配套列管式换热器</w:t>
            </w:r>
            <w:r>
              <w:rPr>
                <w:rFonts w:ascii="宋体" w:hAnsi="宋体" w:cs="宋体"/>
                <w:color w:val="auto"/>
                <w:spacing w:val="-51"/>
                <w:sz w:val="24"/>
              </w:rPr>
              <w:t>，</w:t>
            </w:r>
            <w:r>
              <w:rPr>
                <w:rFonts w:ascii="宋体" w:hAnsi="宋体" w:cs="宋体"/>
                <w:color w:val="auto"/>
                <w:sz w:val="24"/>
              </w:rPr>
              <w:t>原料中蒸发</w:t>
            </w:r>
            <w:r>
              <w:rPr>
                <w:rFonts w:hint="eastAsia" w:ascii="宋体" w:hAnsi="宋体" w:cs="宋体"/>
                <w:color w:val="auto"/>
                <w:sz w:val="24"/>
                <w:lang w:eastAsia="zh-CN"/>
              </w:rPr>
              <w:t>的水蒸气</w:t>
            </w:r>
            <w:r>
              <w:rPr>
                <w:rFonts w:ascii="宋体" w:hAnsi="宋体" w:cs="宋体"/>
                <w:color w:val="auto"/>
                <w:sz w:val="24"/>
              </w:rPr>
              <w:t>分子混合油烟异味分子挥发物在真空状态下快速从原料油脂中分离</w:t>
            </w:r>
            <w:r>
              <w:rPr>
                <w:rFonts w:ascii="宋体" w:hAnsi="宋体" w:cs="宋体"/>
                <w:color w:val="auto"/>
                <w:spacing w:val="-103"/>
                <w:sz w:val="24"/>
              </w:rPr>
              <w:t>，</w:t>
            </w:r>
            <w:r>
              <w:rPr>
                <w:rFonts w:ascii="宋体" w:hAnsi="宋体" w:cs="宋体"/>
                <w:color w:val="auto"/>
                <w:spacing w:val="-120"/>
                <w:sz w:val="24"/>
              </w:rPr>
              <w:t xml:space="preserve"> </w:t>
            </w:r>
            <w:r>
              <w:rPr>
                <w:rFonts w:ascii="宋体" w:hAnsi="宋体" w:cs="宋体"/>
                <w:color w:val="auto"/>
                <w:sz w:val="24"/>
              </w:rPr>
              <w:t>随真空管道气流进入列管换热器</w:t>
            </w:r>
            <w:r>
              <w:rPr>
                <w:rFonts w:ascii="宋体" w:hAnsi="宋体" w:cs="宋体"/>
                <w:color w:val="auto"/>
                <w:spacing w:val="-53"/>
                <w:sz w:val="24"/>
              </w:rPr>
              <w:t>，</w:t>
            </w:r>
            <w:r>
              <w:rPr>
                <w:rFonts w:ascii="宋体" w:hAnsi="宋体" w:cs="宋体"/>
                <w:color w:val="auto"/>
                <w:sz w:val="24"/>
              </w:rPr>
              <w:t>换热器采用冷水逆流循环降温</w:t>
            </w:r>
            <w:r>
              <w:rPr>
                <w:rFonts w:ascii="宋体" w:hAnsi="宋体" w:cs="宋体"/>
                <w:color w:val="auto"/>
                <w:spacing w:val="-52"/>
                <w:sz w:val="24"/>
              </w:rPr>
              <w:t>，</w:t>
            </w:r>
            <w:r>
              <w:rPr>
                <w:rFonts w:ascii="宋体" w:hAnsi="宋体" w:cs="宋体"/>
                <w:color w:val="auto"/>
                <w:sz w:val="24"/>
              </w:rPr>
              <w:t>在冷凝作用下将蒸汽油烟挥发物汽-液转化</w:t>
            </w:r>
            <w:r>
              <w:rPr>
                <w:rFonts w:ascii="宋体" w:hAnsi="宋体" w:cs="宋体"/>
                <w:color w:val="auto"/>
                <w:spacing w:val="-52"/>
                <w:sz w:val="24"/>
              </w:rPr>
              <w:t>，</w:t>
            </w:r>
            <w:r>
              <w:rPr>
                <w:rFonts w:ascii="宋体" w:hAnsi="宋体" w:cs="宋体"/>
                <w:color w:val="auto"/>
                <w:sz w:val="24"/>
              </w:rPr>
              <w:t>形成蒸馏水收集到分液罐内</w:t>
            </w:r>
            <w:r>
              <w:rPr>
                <w:rFonts w:hint="eastAsia" w:ascii="宋体" w:hAnsi="宋体" w:cs="宋体"/>
                <w:color w:val="auto"/>
                <w:sz w:val="24"/>
                <w:lang w:eastAsia="zh-CN"/>
              </w:rPr>
              <w:t>，剩余的尾气经油烟净化装置</w:t>
            </w:r>
            <w:r>
              <w:rPr>
                <w:rFonts w:hint="eastAsia" w:ascii="宋体" w:hAnsi="宋体" w:cs="宋体"/>
                <w:color w:val="auto"/>
                <w:sz w:val="24"/>
                <w:lang w:val="en-US" w:eastAsia="zh-CN"/>
              </w:rPr>
              <w:t>处理后通过一根15m高的排气筒（DA003）排放</w:t>
            </w:r>
            <w:r>
              <w:rPr>
                <w:rFonts w:ascii="宋体" w:hAnsi="宋体" w:cs="宋体"/>
                <w:color w:val="auto"/>
                <w:spacing w:val="-4"/>
                <w:sz w:val="24"/>
              </w:rPr>
              <w:t>。</w:t>
            </w:r>
          </w:p>
          <w:p w14:paraId="511406E9">
            <w:pPr>
              <w:adjustRightInd w:val="0"/>
              <w:snapToGrid w:val="0"/>
              <w:spacing w:line="360" w:lineRule="auto"/>
              <w:ind w:firstLine="480" w:firstLineChars="200"/>
              <w:rPr>
                <w:rFonts w:hint="eastAsia" w:eastAsia="Times New Roman"/>
                <w:b/>
                <w:bCs/>
                <w:color w:val="auto"/>
                <w:sz w:val="24"/>
                <w:lang w:val="zh-CN"/>
              </w:rPr>
            </w:pPr>
            <w:r>
              <w:rPr>
                <w:rFonts w:hint="eastAsia" w:eastAsia="Times New Roman"/>
                <w:color w:val="auto"/>
                <w:sz w:val="24"/>
                <w:lang w:val="zh-CN"/>
              </w:rPr>
              <w:t>此工序产生真空泵废水</w:t>
            </w:r>
            <w:r>
              <w:rPr>
                <w:rFonts w:hint="eastAsia" w:eastAsia="宋体"/>
                <w:color w:val="auto"/>
                <w:sz w:val="24"/>
                <w:lang w:val="en-US" w:eastAsia="zh-CN"/>
              </w:rPr>
              <w:t>W3、冷凝废水W4、</w:t>
            </w:r>
            <w:r>
              <w:rPr>
                <w:rFonts w:hint="eastAsia" w:eastAsia="Times New Roman"/>
                <w:color w:val="auto"/>
                <w:sz w:val="24"/>
                <w:lang w:val="zh-CN"/>
              </w:rPr>
              <w:t>设备噪声</w:t>
            </w:r>
            <w:r>
              <w:rPr>
                <w:rFonts w:hint="eastAsia" w:eastAsia="宋体"/>
                <w:color w:val="auto"/>
                <w:sz w:val="24"/>
                <w:lang w:val="en-US" w:eastAsia="zh-CN"/>
              </w:rPr>
              <w:t>N</w:t>
            </w:r>
            <w:r>
              <w:rPr>
                <w:rFonts w:hint="eastAsia" w:eastAsia="Times New Roman"/>
                <w:color w:val="auto"/>
                <w:sz w:val="24"/>
                <w:lang w:val="zh-CN"/>
              </w:rPr>
              <w:t>。</w:t>
            </w:r>
          </w:p>
          <w:p w14:paraId="309B2E17">
            <w:pPr>
              <w:spacing w:line="360" w:lineRule="auto"/>
              <w:ind w:firstLine="480" w:firstLineChars="200"/>
              <w:rPr>
                <w:rFonts w:eastAsia="Times New Roman"/>
                <w:b/>
                <w:bCs/>
                <w:color w:val="auto"/>
                <w:sz w:val="24"/>
                <w:lang w:val="zh-CN"/>
              </w:rPr>
            </w:pPr>
            <w:r>
              <w:rPr>
                <w:rFonts w:hint="eastAsia" w:eastAsia="Times New Roman"/>
                <w:b/>
                <w:bCs/>
                <w:color w:val="auto"/>
                <w:sz w:val="24"/>
                <w:lang w:val="zh-CN"/>
              </w:rPr>
              <w:t>（</w:t>
            </w:r>
            <w:r>
              <w:rPr>
                <w:rFonts w:hint="eastAsia"/>
                <w:b/>
                <w:bCs/>
                <w:color w:val="auto"/>
                <w:sz w:val="24"/>
              </w:rPr>
              <w:t>5</w:t>
            </w:r>
            <w:r>
              <w:rPr>
                <w:rFonts w:hint="eastAsia" w:eastAsia="Times New Roman"/>
                <w:b/>
                <w:bCs/>
                <w:color w:val="auto"/>
                <w:sz w:val="24"/>
                <w:lang w:val="zh-CN"/>
              </w:rPr>
              <w:t>）油渣分离</w:t>
            </w:r>
          </w:p>
          <w:p w14:paraId="0F70F187">
            <w:pPr>
              <w:adjustRightInd w:val="0"/>
              <w:snapToGrid w:val="0"/>
              <w:spacing w:line="360" w:lineRule="auto"/>
              <w:ind w:firstLine="480" w:firstLineChars="200"/>
              <w:rPr>
                <w:rFonts w:hint="eastAsia" w:ascii="Times New Roman" w:hAnsi="Times New Roman" w:eastAsia="Times New Roman" w:cs="Times New Roman"/>
                <w:color w:val="auto"/>
                <w:sz w:val="24"/>
                <w:lang w:val="zh-CN"/>
              </w:rPr>
            </w:pPr>
            <w:r>
              <w:rPr>
                <w:rFonts w:hint="eastAsia" w:ascii="Times New Roman" w:hAnsi="Times New Roman" w:eastAsia="Times New Roman" w:cs="Times New Roman"/>
                <w:color w:val="auto"/>
                <w:sz w:val="24"/>
                <w:lang w:val="en-US" w:eastAsia="zh-CN"/>
              </w:rPr>
              <w:t>待物料油脂基本分离，通过视镜观察油泛起黄色泡沫即打开下料口，观察油渣的干湿度，油渣成硬状后关闭加热阀门，油渣由密闭的传输带传输到密闭的油渣分离器中，熬炼完成后的混合物经过油渣分离器的运转将油渣中的油分离出来，油在传输过程和油渣分离之后，自然冷却通过管线直接进入油罐中。分离后的油渣进入油渣暂存箱经过机械搅拌后通过分料口进入油渣运送绞龙。</w:t>
            </w:r>
          </w:p>
          <w:p w14:paraId="46922D52">
            <w:pPr>
              <w:spacing w:line="359" w:lineRule="auto"/>
              <w:ind w:left="38" w:right="71" w:firstLine="468"/>
              <w:rPr>
                <w:color w:val="auto"/>
                <w:sz w:val="24"/>
                <w:lang w:val="zh-CN"/>
              </w:rPr>
            </w:pPr>
            <w:r>
              <w:rPr>
                <w:rFonts w:hint="eastAsia" w:ascii="宋体" w:hAnsi="宋体" w:cs="宋体"/>
                <w:color w:val="auto"/>
                <w:spacing w:val="-2"/>
                <w:sz w:val="24"/>
              </w:rPr>
              <w:t>此工序产生</w:t>
            </w:r>
            <w:r>
              <w:rPr>
                <w:rFonts w:hint="eastAsia" w:ascii="宋体" w:hAnsi="宋体" w:cs="宋体"/>
                <w:color w:val="auto"/>
                <w:spacing w:val="-2"/>
                <w:sz w:val="24"/>
                <w:lang w:eastAsia="zh-CN"/>
              </w:rPr>
              <w:t>设备</w:t>
            </w:r>
            <w:r>
              <w:rPr>
                <w:rFonts w:hint="eastAsia" w:ascii="宋体" w:hAnsi="宋体" w:cs="宋体"/>
                <w:color w:val="auto"/>
                <w:spacing w:val="-2"/>
                <w:sz w:val="24"/>
              </w:rPr>
              <w:t>噪声</w:t>
            </w:r>
            <w:r>
              <w:rPr>
                <w:rFonts w:hint="eastAsia" w:ascii="宋体" w:hAnsi="宋体" w:cs="宋体"/>
                <w:color w:val="auto"/>
                <w:spacing w:val="-2"/>
                <w:sz w:val="24"/>
                <w:lang w:val="en-US" w:eastAsia="zh-CN"/>
              </w:rPr>
              <w:t>N</w:t>
            </w:r>
            <w:r>
              <w:rPr>
                <w:rFonts w:hint="eastAsia" w:ascii="宋体" w:hAnsi="宋体" w:cs="宋体"/>
                <w:color w:val="auto"/>
                <w:spacing w:val="-2"/>
                <w:sz w:val="24"/>
              </w:rPr>
              <w:t>。</w:t>
            </w:r>
          </w:p>
          <w:p w14:paraId="37B29AA3">
            <w:pPr>
              <w:spacing w:line="360" w:lineRule="auto"/>
              <w:ind w:firstLine="482" w:firstLineChars="200"/>
              <w:rPr>
                <w:rFonts w:eastAsia="Times New Roman"/>
                <w:b/>
                <w:bCs/>
                <w:color w:val="auto"/>
                <w:sz w:val="24"/>
                <w:lang w:val="zh-CN"/>
              </w:rPr>
            </w:pPr>
            <w:r>
              <w:rPr>
                <w:rFonts w:hint="eastAsia"/>
                <w:b/>
                <w:bCs/>
                <w:color w:val="auto"/>
                <w:sz w:val="24"/>
              </w:rPr>
              <w:t>（6）压榨</w:t>
            </w:r>
          </w:p>
          <w:p w14:paraId="230CFECA">
            <w:pPr>
              <w:adjustRightInd w:val="0"/>
              <w:snapToGrid w:val="0"/>
              <w:spacing w:line="360" w:lineRule="auto"/>
              <w:ind w:firstLine="480" w:firstLineChars="200"/>
              <w:rPr>
                <w:rFonts w:hint="eastAsia" w:ascii="Times New Roman" w:hAnsi="Times New Roman" w:eastAsia="Times New Roman" w:cs="Times New Roman"/>
                <w:color w:val="auto"/>
                <w:sz w:val="24"/>
                <w:lang w:val="en-US" w:eastAsia="zh-CN"/>
              </w:rPr>
            </w:pPr>
            <w:r>
              <w:rPr>
                <w:rFonts w:hint="eastAsia" w:ascii="Times New Roman" w:hAnsi="Times New Roman" w:eastAsia="Times New Roman" w:cs="Times New Roman"/>
                <w:color w:val="auto"/>
                <w:sz w:val="24"/>
                <w:lang w:val="en-US" w:eastAsia="zh-CN"/>
              </w:rPr>
              <w:t>油渣通过油渣运送绞龙</w:t>
            </w:r>
            <w:r>
              <w:rPr>
                <w:rFonts w:hint="eastAsia" w:eastAsia="Times New Roman" w:cs="Times New Roman"/>
                <w:color w:val="auto"/>
                <w:sz w:val="24"/>
                <w:lang w:val="en-US" w:eastAsia="zh-CN"/>
              </w:rPr>
              <w:t>传送到</w:t>
            </w:r>
            <w:r>
              <w:rPr>
                <w:rFonts w:hint="eastAsia" w:ascii="Times New Roman" w:hAnsi="Times New Roman" w:eastAsia="Times New Roman" w:cs="Times New Roman"/>
                <w:color w:val="auto"/>
                <w:sz w:val="24"/>
                <w:lang w:val="en-US" w:eastAsia="zh-CN"/>
              </w:rPr>
              <w:t>螺旋榨油机进行进一步脱油，油渣压榨成片通过螺旋榨油机的刮板机进入油渣箱收集暂存，产生的油脂通过金属槽流回储油槽。</w:t>
            </w:r>
          </w:p>
          <w:p w14:paraId="6676BF1F">
            <w:pPr>
              <w:adjustRightInd w:val="0"/>
              <w:snapToGrid w:val="0"/>
              <w:spacing w:line="360" w:lineRule="auto"/>
              <w:ind w:firstLine="480" w:firstLineChars="200"/>
              <w:rPr>
                <w:rFonts w:hint="eastAsia" w:ascii="Times New Roman" w:hAnsi="Times New Roman" w:eastAsia="Times New Roman" w:cs="Times New Roman"/>
                <w:color w:val="auto"/>
                <w:sz w:val="24"/>
                <w:lang w:val="en-US" w:eastAsia="zh-CN"/>
              </w:rPr>
            </w:pPr>
            <w:r>
              <w:rPr>
                <w:rFonts w:hint="eastAsia" w:ascii="Times New Roman" w:hAnsi="Times New Roman" w:eastAsia="Times New Roman" w:cs="Times New Roman"/>
                <w:color w:val="auto"/>
                <w:sz w:val="24"/>
                <w:lang w:val="en-US" w:eastAsia="zh-CN"/>
              </w:rPr>
              <w:t>此工序产生设备噪声N。</w:t>
            </w:r>
          </w:p>
          <w:p w14:paraId="20EF92D7">
            <w:pPr>
              <w:pStyle w:val="24"/>
              <w:keepNext w:val="0"/>
              <w:keepLines w:val="0"/>
              <w:pageBreakBefore w:val="0"/>
              <w:widowControl w:val="0"/>
              <w:numPr>
                <w:ilvl w:val="0"/>
                <w:numId w:val="0"/>
              </w:numPr>
              <w:kinsoku/>
              <w:wordWrap/>
              <w:overflowPunct/>
              <w:topLinePunct w:val="0"/>
              <w:autoSpaceDE/>
              <w:autoSpaceDN/>
              <w:bidi w:val="0"/>
              <w:adjustRightInd/>
              <w:snapToGrid w:val="0"/>
              <w:spacing w:after="0"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4、项目其他产污环节分析</w:t>
            </w:r>
          </w:p>
          <w:p w14:paraId="06558C84">
            <w:pPr>
              <w:keepNext w:val="0"/>
              <w:keepLines w:val="0"/>
              <w:pageBreakBefore w:val="0"/>
              <w:widowControl w:val="0"/>
              <w:kinsoku/>
              <w:wordWrap/>
              <w:overflowPunct/>
              <w:topLinePunct w:val="0"/>
              <w:autoSpaceDE/>
              <w:autoSpaceDN/>
              <w:bidi w:val="0"/>
              <w:adjustRightInd/>
              <w:spacing w:line="348"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本项目设置办公生活区，为职工提供食宿，项目办公生活产污环节详见图2-1</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所示。</w:t>
            </w:r>
          </w:p>
          <w:p w14:paraId="57B826E4">
            <w:pPr>
              <w:pStyle w:val="24"/>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4" o:spt="75" type="#_x0000_t75" style="height:123.05pt;width:299.25pt;" o:ole="t" filled="f" o:preferrelative="t" stroked="f" coordsize="21600,21600">
                  <v:path/>
                  <v:fill on="f" focussize="0,0"/>
                  <v:stroke on="f"/>
                  <v:imagedata r:id="rId31" o:title=""/>
                  <o:lock v:ext="edit" aspectratio="t"/>
                  <w10:wrap type="none"/>
                  <w10:anchorlock/>
                </v:shape>
                <o:OLEObject Type="Embed" ProgID="Visio.Drawing.11" ShapeID="_x0000_i1034" DrawAspect="Content" ObjectID="_1468075735" r:id="rId30">
                  <o:LockedField>false</o:LockedField>
                </o:OLEObject>
              </w:object>
            </w:r>
          </w:p>
          <w:p w14:paraId="68F34744">
            <w:pPr>
              <w:pStyle w:val="24"/>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2-</w:t>
            </w:r>
            <w:r>
              <w:rPr>
                <w:rFonts w:hint="eastAsia" w:cs="Times New Roman"/>
                <w:b/>
                <w:color w:val="auto"/>
                <w:sz w:val="21"/>
                <w:szCs w:val="21"/>
                <w:highlight w:val="none"/>
                <w:lang w:val="en-US" w:eastAsia="zh-CN"/>
              </w:rPr>
              <w:t>11</w:t>
            </w:r>
            <w:r>
              <w:rPr>
                <w:rFonts w:hint="default" w:ascii="Times New Roman" w:hAnsi="Times New Roman" w:eastAsia="宋体" w:cs="Times New Roman"/>
                <w:b/>
                <w:color w:val="auto"/>
                <w:sz w:val="21"/>
                <w:szCs w:val="21"/>
                <w:highlight w:val="none"/>
              </w:rPr>
              <w:t xml:space="preserve">  办公生活产物节点图</w:t>
            </w:r>
          </w:p>
          <w:p w14:paraId="4D1A1E60">
            <w:pPr>
              <w:pStyle w:val="25"/>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14:paraId="7F66E8E4">
            <w:pPr>
              <w:pStyle w:val="24"/>
              <w:spacing w:after="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11</w:t>
            </w:r>
            <w:r>
              <w:rPr>
                <w:rFonts w:hint="default" w:ascii="Times New Roman" w:hAnsi="Times New Roman" w:eastAsia="宋体" w:cs="Times New Roman"/>
                <w:color w:val="auto"/>
                <w:highlight w:val="none"/>
              </w:rPr>
              <w:t>。</w:t>
            </w:r>
          </w:p>
          <w:p w14:paraId="1AC068C9">
            <w:pPr>
              <w:jc w:val="center"/>
              <w:rPr>
                <w:b/>
                <w:bCs/>
                <w:color w:val="auto"/>
                <w:szCs w:val="22"/>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rPr>
              <w:t xml:space="preserve">  运营期主要污染工序一览表</w:t>
            </w:r>
          </w:p>
          <w:tbl>
            <w:tblPr>
              <w:tblStyle w:val="26"/>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20"/>
              <w:gridCol w:w="1783"/>
              <w:gridCol w:w="3281"/>
              <w:gridCol w:w="1255"/>
            </w:tblGrid>
            <w:tr w14:paraId="1E12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tcBorders>
                    <w:tl2br w:val="nil"/>
                    <w:tr2bl w:val="nil"/>
                  </w:tcBorders>
                  <w:vAlign w:val="center"/>
                </w:tcPr>
                <w:p w14:paraId="0BD82E16">
                  <w:pPr>
                    <w:snapToGrid w:val="0"/>
                    <w:jc w:val="center"/>
                    <w:rPr>
                      <w:b/>
                      <w:bCs/>
                      <w:color w:val="auto"/>
                      <w:szCs w:val="21"/>
                    </w:rPr>
                  </w:pPr>
                  <w:r>
                    <w:rPr>
                      <w:b/>
                      <w:bCs/>
                      <w:color w:val="auto"/>
                      <w:szCs w:val="21"/>
                    </w:rPr>
                    <w:t>污染类别</w:t>
                  </w:r>
                </w:p>
              </w:tc>
              <w:tc>
                <w:tcPr>
                  <w:tcW w:w="1320" w:type="dxa"/>
                  <w:tcBorders>
                    <w:tl2br w:val="nil"/>
                    <w:tr2bl w:val="nil"/>
                  </w:tcBorders>
                  <w:vAlign w:val="center"/>
                </w:tcPr>
                <w:p w14:paraId="2C2811C9">
                  <w:pPr>
                    <w:snapToGrid w:val="0"/>
                    <w:jc w:val="center"/>
                    <w:rPr>
                      <w:b/>
                      <w:bCs/>
                      <w:color w:val="auto"/>
                      <w:szCs w:val="21"/>
                    </w:rPr>
                  </w:pPr>
                  <w:r>
                    <w:rPr>
                      <w:b/>
                      <w:bCs/>
                      <w:color w:val="auto"/>
                      <w:szCs w:val="21"/>
                    </w:rPr>
                    <w:t>产污环节</w:t>
                  </w:r>
                </w:p>
              </w:tc>
              <w:tc>
                <w:tcPr>
                  <w:tcW w:w="1783" w:type="dxa"/>
                  <w:tcBorders>
                    <w:tl2br w:val="nil"/>
                    <w:tr2bl w:val="nil"/>
                  </w:tcBorders>
                  <w:vAlign w:val="center"/>
                </w:tcPr>
                <w:p w14:paraId="2D8FCCA0">
                  <w:pPr>
                    <w:snapToGrid w:val="0"/>
                    <w:jc w:val="center"/>
                    <w:rPr>
                      <w:b/>
                      <w:bCs/>
                      <w:color w:val="auto"/>
                      <w:szCs w:val="21"/>
                    </w:rPr>
                  </w:pPr>
                  <w:r>
                    <w:rPr>
                      <w:b/>
                      <w:bCs/>
                      <w:color w:val="auto"/>
                      <w:szCs w:val="21"/>
                    </w:rPr>
                    <w:t>主要污染物</w:t>
                  </w:r>
                </w:p>
              </w:tc>
              <w:tc>
                <w:tcPr>
                  <w:tcW w:w="3281" w:type="dxa"/>
                  <w:tcBorders>
                    <w:tl2br w:val="nil"/>
                    <w:tr2bl w:val="nil"/>
                  </w:tcBorders>
                  <w:vAlign w:val="center"/>
                </w:tcPr>
                <w:p w14:paraId="65934458">
                  <w:pPr>
                    <w:snapToGrid w:val="0"/>
                    <w:jc w:val="center"/>
                    <w:rPr>
                      <w:b/>
                      <w:bCs/>
                      <w:color w:val="auto"/>
                      <w:szCs w:val="21"/>
                    </w:rPr>
                  </w:pPr>
                  <w:r>
                    <w:rPr>
                      <w:b/>
                      <w:bCs/>
                      <w:color w:val="auto"/>
                      <w:szCs w:val="21"/>
                    </w:rPr>
                    <w:t>治理措施</w:t>
                  </w:r>
                </w:p>
              </w:tc>
              <w:tc>
                <w:tcPr>
                  <w:tcW w:w="1255" w:type="dxa"/>
                  <w:tcBorders>
                    <w:tl2br w:val="nil"/>
                    <w:tr2bl w:val="nil"/>
                  </w:tcBorders>
                  <w:vAlign w:val="center"/>
                </w:tcPr>
                <w:p w14:paraId="3611CF1F">
                  <w:pPr>
                    <w:snapToGrid w:val="0"/>
                    <w:jc w:val="center"/>
                    <w:rPr>
                      <w:b/>
                      <w:bCs/>
                      <w:color w:val="auto"/>
                      <w:szCs w:val="21"/>
                    </w:rPr>
                  </w:pPr>
                  <w:r>
                    <w:rPr>
                      <w:b/>
                      <w:bCs/>
                      <w:color w:val="auto"/>
                      <w:szCs w:val="21"/>
                    </w:rPr>
                    <w:t>排放方式</w:t>
                  </w:r>
                </w:p>
              </w:tc>
            </w:tr>
            <w:tr w14:paraId="0B2F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55" w:type="dxa"/>
                  <w:vMerge w:val="restart"/>
                  <w:tcBorders>
                    <w:tl2br w:val="nil"/>
                    <w:tr2bl w:val="nil"/>
                  </w:tcBorders>
                  <w:vAlign w:val="center"/>
                </w:tcPr>
                <w:p w14:paraId="4529F672">
                  <w:pPr>
                    <w:snapToGrid w:val="0"/>
                    <w:jc w:val="center"/>
                    <w:rPr>
                      <w:color w:val="auto"/>
                      <w:szCs w:val="21"/>
                    </w:rPr>
                  </w:pPr>
                  <w:r>
                    <w:rPr>
                      <w:rFonts w:hint="eastAsia"/>
                      <w:color w:val="auto"/>
                      <w:szCs w:val="21"/>
                    </w:rPr>
                    <w:t>废气</w:t>
                  </w:r>
                </w:p>
              </w:tc>
              <w:tc>
                <w:tcPr>
                  <w:tcW w:w="1320" w:type="dxa"/>
                  <w:tcBorders>
                    <w:tl2br w:val="nil"/>
                    <w:tr2bl w:val="nil"/>
                  </w:tcBorders>
                  <w:vAlign w:val="center"/>
                </w:tcPr>
                <w:p w14:paraId="2D1D4BDD">
                  <w:pPr>
                    <w:pStyle w:val="24"/>
                    <w:widowControl w:val="0"/>
                    <w:spacing w:after="0" w:line="240" w:lineRule="auto"/>
                    <w:ind w:firstLine="0" w:firstLineChars="0"/>
                    <w:jc w:val="center"/>
                    <w:rPr>
                      <w:rFonts w:hint="eastAsia" w:eastAsia="宋体"/>
                      <w:color w:val="auto"/>
                      <w:sz w:val="21"/>
                      <w:szCs w:val="21"/>
                      <w:lang w:eastAsia="zh-CN"/>
                    </w:rPr>
                  </w:pPr>
                  <w:r>
                    <w:rPr>
                      <w:rFonts w:hint="default" w:ascii="Times New Roman" w:hAnsi="Times New Roman" w:eastAsia="宋体" w:cs="Times New Roman"/>
                      <w:color w:val="auto"/>
                      <w:sz w:val="21"/>
                      <w:szCs w:val="21"/>
                      <w:lang w:val="en-US" w:eastAsia="zh-CN"/>
                    </w:rPr>
                    <w:t>生物质锅炉燃料燃烧废气（</w:t>
                  </w:r>
                  <w:r>
                    <w:rPr>
                      <w:rFonts w:hint="default" w:ascii="Times New Roman" w:hAnsi="Times New Roman" w:eastAsia="宋体" w:cs="Times New Roman"/>
                      <w:color w:val="auto"/>
                      <w:sz w:val="21"/>
                      <w:szCs w:val="21"/>
                      <w:lang w:val="en-US" w:eastAsia="en-US"/>
                    </w:rPr>
                    <w:t>G</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tc>
              <w:tc>
                <w:tcPr>
                  <w:tcW w:w="1783" w:type="dxa"/>
                  <w:tcBorders>
                    <w:tl2br w:val="nil"/>
                    <w:tr2bl w:val="nil"/>
                  </w:tcBorders>
                  <w:vAlign w:val="center"/>
                </w:tcPr>
                <w:p w14:paraId="1A5E56FD">
                  <w:pPr>
                    <w:pStyle w:val="24"/>
                    <w:widowControl w:val="0"/>
                    <w:spacing w:after="0" w:line="240" w:lineRule="auto"/>
                    <w:ind w:firstLine="0" w:firstLineChars="0"/>
                    <w:jc w:val="center"/>
                    <w:rPr>
                      <w:color w:val="auto"/>
                      <w:kern w:val="2"/>
                      <w:sz w:val="21"/>
                      <w:szCs w:val="21"/>
                    </w:rPr>
                  </w:pPr>
                  <w:r>
                    <w:rPr>
                      <w:rFonts w:hint="eastAsia"/>
                      <w:color w:val="auto"/>
                      <w:sz w:val="21"/>
                      <w:szCs w:val="21"/>
                    </w:rPr>
                    <w:t>颗粒物、NOx、SO</w:t>
                  </w:r>
                  <w:r>
                    <w:rPr>
                      <w:rFonts w:hint="eastAsia"/>
                      <w:color w:val="auto"/>
                      <w:sz w:val="21"/>
                      <w:szCs w:val="21"/>
                      <w:vertAlign w:val="subscript"/>
                    </w:rPr>
                    <w:t>2</w:t>
                  </w:r>
                </w:p>
              </w:tc>
              <w:tc>
                <w:tcPr>
                  <w:tcW w:w="3281" w:type="dxa"/>
                  <w:tcBorders>
                    <w:tl2br w:val="nil"/>
                    <w:tr2bl w:val="nil"/>
                  </w:tcBorders>
                  <w:vAlign w:val="center"/>
                </w:tcPr>
                <w:p w14:paraId="57A61A05">
                  <w:pPr>
                    <w:adjustRightInd w:val="0"/>
                    <w:snapToGrid w:val="0"/>
                    <w:spacing w:line="0" w:lineRule="atLeast"/>
                    <w:jc w:val="center"/>
                    <w:rPr>
                      <w:color w:val="auto"/>
                      <w:szCs w:val="21"/>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t/h的生物质锅炉</w:t>
                  </w:r>
                  <w:r>
                    <w:rPr>
                      <w:rFonts w:hint="eastAsia"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和2台导热油炉燃料燃烧废气</w:t>
                  </w:r>
                  <w:r>
                    <w:rPr>
                      <w:rFonts w:hint="default" w:ascii="Times New Roman" w:hAnsi="Times New Roman" w:eastAsia="宋体" w:cs="Times New Roman"/>
                      <w:color w:val="auto"/>
                      <w:sz w:val="21"/>
                      <w:szCs w:val="21"/>
                      <w:highlight w:val="none"/>
                      <w:lang w:val="en-US" w:eastAsia="zh-CN"/>
                    </w:rPr>
                    <w:t>共同经1套“高温布袋除尘器”处理后+1根</w:t>
                  </w: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17450.3649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1255" w:type="dxa"/>
                  <w:tcBorders>
                    <w:tl2br w:val="nil"/>
                    <w:tr2bl w:val="nil"/>
                  </w:tcBorders>
                  <w:vAlign w:val="center"/>
                </w:tcPr>
                <w:p w14:paraId="50EAF93F">
                  <w:pPr>
                    <w:keepNext w:val="0"/>
                    <w:keepLines w:val="0"/>
                    <w:widowControl w:val="0"/>
                    <w:suppressLineNumbers w:val="0"/>
                    <w:spacing w:before="0" w:beforeAutospacing="0" w:after="0" w:afterAutospacing="0"/>
                    <w:ind w:left="0" w:leftChars="0" w:right="0" w:rightChars="0"/>
                    <w:jc w:val="center"/>
                    <w:rPr>
                      <w:color w:val="auto"/>
                      <w:szCs w:val="21"/>
                    </w:rPr>
                  </w:pPr>
                  <w:r>
                    <w:rPr>
                      <w:rFonts w:hint="eastAsia"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m高排气筒（DA001）</w:t>
                  </w:r>
                </w:p>
              </w:tc>
            </w:tr>
            <w:tr w14:paraId="103F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5" w:type="dxa"/>
                  <w:vMerge w:val="continue"/>
                  <w:tcBorders>
                    <w:tl2br w:val="nil"/>
                    <w:tr2bl w:val="nil"/>
                  </w:tcBorders>
                  <w:vAlign w:val="center"/>
                </w:tcPr>
                <w:p w14:paraId="59360172">
                  <w:pPr>
                    <w:snapToGrid w:val="0"/>
                    <w:jc w:val="center"/>
                    <w:rPr>
                      <w:color w:val="auto"/>
                      <w:szCs w:val="21"/>
                    </w:rPr>
                  </w:pPr>
                </w:p>
              </w:tc>
              <w:tc>
                <w:tcPr>
                  <w:tcW w:w="1320" w:type="dxa"/>
                  <w:vMerge w:val="restart"/>
                  <w:tcBorders>
                    <w:tl2br w:val="nil"/>
                    <w:tr2bl w:val="nil"/>
                  </w:tcBorders>
                  <w:vAlign w:val="center"/>
                </w:tcPr>
                <w:p w14:paraId="4852F13C">
                  <w:pPr>
                    <w:pStyle w:val="24"/>
                    <w:widowControl w:val="0"/>
                    <w:spacing w:after="0" w:line="240" w:lineRule="auto"/>
                    <w:ind w:firstLine="0" w:firstLineChars="0"/>
                    <w:jc w:val="center"/>
                    <w:rPr>
                      <w:rFonts w:hint="eastAsia" w:eastAsia="宋体"/>
                      <w:color w:val="auto"/>
                      <w:sz w:val="21"/>
                      <w:szCs w:val="21"/>
                      <w:lang w:eastAsia="zh-CN"/>
                    </w:rPr>
                  </w:pPr>
                  <w:r>
                    <w:rPr>
                      <w:rFonts w:hint="eastAsia"/>
                      <w:color w:val="auto"/>
                      <w:sz w:val="21"/>
                      <w:szCs w:val="21"/>
                    </w:rPr>
                    <w:t>牛油熔炼</w:t>
                  </w:r>
                  <w:r>
                    <w:rPr>
                      <w:rFonts w:hint="eastAsia"/>
                      <w:color w:val="auto"/>
                      <w:sz w:val="21"/>
                      <w:szCs w:val="21"/>
                      <w:lang w:eastAsia="zh-CN"/>
                    </w:rPr>
                    <w:t>（</w:t>
                  </w:r>
                  <w:r>
                    <w:rPr>
                      <w:rFonts w:hint="eastAsia"/>
                      <w:color w:val="auto"/>
                      <w:sz w:val="21"/>
                      <w:szCs w:val="21"/>
                      <w:lang w:val="en-US" w:eastAsia="zh-CN"/>
                    </w:rPr>
                    <w:t>G2</w:t>
                  </w:r>
                  <w:r>
                    <w:rPr>
                      <w:rFonts w:hint="eastAsia"/>
                      <w:color w:val="auto"/>
                      <w:sz w:val="21"/>
                      <w:szCs w:val="21"/>
                      <w:lang w:eastAsia="zh-CN"/>
                    </w:rPr>
                    <w:t>）</w:t>
                  </w:r>
                </w:p>
              </w:tc>
              <w:tc>
                <w:tcPr>
                  <w:tcW w:w="1783" w:type="dxa"/>
                  <w:tcBorders>
                    <w:tl2br w:val="nil"/>
                    <w:tr2bl w:val="nil"/>
                  </w:tcBorders>
                  <w:vAlign w:val="center"/>
                </w:tcPr>
                <w:p w14:paraId="76DC3A2F">
                  <w:pPr>
                    <w:adjustRightInd w:val="0"/>
                    <w:snapToGrid w:val="0"/>
                    <w:jc w:val="center"/>
                    <w:rPr>
                      <w:rFonts w:hint="eastAsia" w:eastAsia="宋体"/>
                      <w:color w:val="auto"/>
                      <w:szCs w:val="21"/>
                      <w:lang w:eastAsia="zh-CN"/>
                    </w:rPr>
                  </w:pPr>
                  <w:r>
                    <w:rPr>
                      <w:rFonts w:hint="eastAsia"/>
                      <w:color w:val="auto"/>
                      <w:kern w:val="0"/>
                      <w:szCs w:val="21"/>
                      <w:lang w:eastAsia="zh-CN"/>
                    </w:rPr>
                    <w:t>油烟（精炼牛油）</w:t>
                  </w:r>
                </w:p>
              </w:tc>
              <w:tc>
                <w:tcPr>
                  <w:tcW w:w="3281" w:type="dxa"/>
                  <w:tcBorders>
                    <w:tl2br w:val="nil"/>
                    <w:tr2bl w:val="nil"/>
                  </w:tcBorders>
                  <w:vAlign w:val="center"/>
                </w:tcPr>
                <w:p w14:paraId="76613A2B">
                  <w:pPr>
                    <w:adjustRightInd w:val="0"/>
                    <w:snapToGrid w:val="0"/>
                    <w:jc w:val="center"/>
                    <w:rPr>
                      <w:color w:val="auto"/>
                      <w:szCs w:val="21"/>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DA002</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30000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1255" w:type="dxa"/>
                  <w:tcBorders>
                    <w:tl2br w:val="nil"/>
                    <w:tr2bl w:val="nil"/>
                  </w:tcBorders>
                  <w:vAlign w:val="center"/>
                </w:tcPr>
                <w:p w14:paraId="1EF9446A">
                  <w:pPr>
                    <w:snapToGrid w:val="0"/>
                    <w:jc w:val="center"/>
                    <w:rPr>
                      <w:color w:val="auto"/>
                      <w:szCs w:val="21"/>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ascii="Times New Roman" w:hAnsi="Times New Roman" w:eastAsia="宋体" w:cs="Times New Roman"/>
                      <w:color w:val="auto"/>
                      <w:sz w:val="21"/>
                      <w:szCs w:val="21"/>
                      <w:highlight w:val="none"/>
                      <w:lang w:val="en-US" w:eastAsia="zh-CN"/>
                    </w:rPr>
                    <w:t>（DA002）</w:t>
                  </w:r>
                </w:p>
              </w:tc>
            </w:tr>
            <w:tr w14:paraId="3DE8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5" w:type="dxa"/>
                  <w:vMerge w:val="continue"/>
                  <w:tcBorders>
                    <w:tl2br w:val="nil"/>
                    <w:tr2bl w:val="nil"/>
                  </w:tcBorders>
                  <w:vAlign w:val="center"/>
                </w:tcPr>
                <w:p w14:paraId="685FFAA9">
                  <w:pPr>
                    <w:snapToGrid w:val="0"/>
                    <w:jc w:val="center"/>
                    <w:rPr>
                      <w:color w:val="auto"/>
                    </w:rPr>
                  </w:pPr>
                </w:p>
              </w:tc>
              <w:tc>
                <w:tcPr>
                  <w:tcW w:w="1320" w:type="dxa"/>
                  <w:vMerge w:val="continue"/>
                  <w:tcBorders>
                    <w:tl2br w:val="nil"/>
                    <w:tr2bl w:val="nil"/>
                  </w:tcBorders>
                  <w:vAlign w:val="center"/>
                </w:tcPr>
                <w:p w14:paraId="6D588E20">
                  <w:pPr>
                    <w:snapToGrid w:val="0"/>
                    <w:jc w:val="center"/>
                    <w:rPr>
                      <w:color w:val="auto"/>
                    </w:rPr>
                  </w:pPr>
                </w:p>
              </w:tc>
              <w:tc>
                <w:tcPr>
                  <w:tcW w:w="1783" w:type="dxa"/>
                  <w:tcBorders>
                    <w:tl2br w:val="nil"/>
                    <w:tr2bl w:val="nil"/>
                  </w:tcBorders>
                  <w:vAlign w:val="center"/>
                </w:tcPr>
                <w:p w14:paraId="7CAA938D">
                  <w:pPr>
                    <w:snapToGrid w:val="0"/>
                    <w:jc w:val="center"/>
                    <w:rPr>
                      <w:rFonts w:hint="eastAsia" w:eastAsia="宋体"/>
                      <w:color w:val="auto"/>
                      <w:lang w:eastAsia="zh-CN"/>
                    </w:rPr>
                  </w:pPr>
                  <w:r>
                    <w:rPr>
                      <w:rFonts w:hint="eastAsia"/>
                      <w:color w:val="auto"/>
                      <w:lang w:eastAsia="zh-CN"/>
                    </w:rPr>
                    <w:t>油烟（动物饲料油脂）</w:t>
                  </w:r>
                </w:p>
              </w:tc>
              <w:tc>
                <w:tcPr>
                  <w:tcW w:w="3281" w:type="dxa"/>
                  <w:tcBorders>
                    <w:tl2br w:val="nil"/>
                    <w:tr2bl w:val="nil"/>
                  </w:tcBorders>
                  <w:vAlign w:val="center"/>
                </w:tcPr>
                <w:p w14:paraId="0B83C8BC">
                  <w:pPr>
                    <w:adjustRightInd w:val="0"/>
                    <w:snapToGrid w:val="0"/>
                    <w:jc w:val="center"/>
                    <w:rPr>
                      <w:color w:val="auto"/>
                      <w:szCs w:val="21"/>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DA003</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20000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1255" w:type="dxa"/>
                  <w:tcBorders>
                    <w:tl2br w:val="nil"/>
                    <w:tr2bl w:val="nil"/>
                  </w:tcBorders>
                  <w:vAlign w:val="center"/>
                </w:tcPr>
                <w:p w14:paraId="6BA0C6DB">
                  <w:pPr>
                    <w:snapToGrid w:val="0"/>
                    <w:jc w:val="center"/>
                    <w:rPr>
                      <w:color w:val="auto"/>
                      <w:szCs w:val="21"/>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ascii="Times New Roman" w:hAnsi="Times New Roman" w:eastAsia="宋体" w:cs="Times New Roman"/>
                      <w:color w:val="auto"/>
                      <w:sz w:val="21"/>
                      <w:szCs w:val="21"/>
                      <w:highlight w:val="none"/>
                      <w:lang w:val="en-US" w:eastAsia="zh-CN"/>
                    </w:rPr>
                    <w:t>（DA003）</w:t>
                  </w:r>
                </w:p>
              </w:tc>
            </w:tr>
            <w:tr w14:paraId="46E9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55" w:type="dxa"/>
                  <w:vMerge w:val="continue"/>
                  <w:tcBorders>
                    <w:tl2br w:val="nil"/>
                    <w:tr2bl w:val="nil"/>
                  </w:tcBorders>
                  <w:vAlign w:val="center"/>
                </w:tcPr>
                <w:p w14:paraId="37D14098">
                  <w:pPr>
                    <w:snapToGrid w:val="0"/>
                    <w:jc w:val="center"/>
                    <w:rPr>
                      <w:color w:val="auto"/>
                      <w:szCs w:val="21"/>
                    </w:rPr>
                  </w:pPr>
                </w:p>
              </w:tc>
              <w:tc>
                <w:tcPr>
                  <w:tcW w:w="1320" w:type="dxa"/>
                  <w:tcBorders>
                    <w:tl2br w:val="nil"/>
                    <w:tr2bl w:val="nil"/>
                  </w:tcBorders>
                  <w:vAlign w:val="center"/>
                </w:tcPr>
                <w:p w14:paraId="3FAE3E93">
                  <w:pPr>
                    <w:pStyle w:val="24"/>
                    <w:widowControl w:val="0"/>
                    <w:spacing w:after="0" w:line="240" w:lineRule="auto"/>
                    <w:ind w:firstLine="0" w:firstLineChars="0"/>
                    <w:jc w:val="center"/>
                    <w:rPr>
                      <w:rFonts w:hint="eastAsia" w:eastAsia="宋体"/>
                      <w:color w:val="auto"/>
                      <w:sz w:val="21"/>
                      <w:szCs w:val="21"/>
                      <w:lang w:val="en-US" w:eastAsia="zh-CN"/>
                    </w:rPr>
                  </w:pPr>
                  <w:r>
                    <w:rPr>
                      <w:rFonts w:hint="eastAsia"/>
                      <w:color w:val="auto"/>
                      <w:sz w:val="21"/>
                      <w:szCs w:val="21"/>
                    </w:rPr>
                    <w:t>牛油蒸馏脱酸脱臭</w:t>
                  </w:r>
                  <w:r>
                    <w:rPr>
                      <w:rFonts w:hint="eastAsia"/>
                      <w:color w:val="auto"/>
                      <w:sz w:val="21"/>
                      <w:szCs w:val="21"/>
                      <w:lang w:eastAsia="zh-CN"/>
                    </w:rPr>
                    <w:t>（</w:t>
                  </w:r>
                  <w:r>
                    <w:rPr>
                      <w:rFonts w:hint="eastAsia"/>
                      <w:color w:val="auto"/>
                      <w:sz w:val="21"/>
                      <w:szCs w:val="21"/>
                      <w:lang w:val="en-US" w:eastAsia="zh-CN"/>
                    </w:rPr>
                    <w:t>G3</w:t>
                  </w:r>
                  <w:r>
                    <w:rPr>
                      <w:rFonts w:hint="eastAsia"/>
                      <w:color w:val="auto"/>
                      <w:sz w:val="21"/>
                      <w:szCs w:val="21"/>
                      <w:lang w:eastAsia="zh-CN"/>
                    </w:rPr>
                    <w:t>）</w:t>
                  </w:r>
                </w:p>
              </w:tc>
              <w:tc>
                <w:tcPr>
                  <w:tcW w:w="1783" w:type="dxa"/>
                  <w:tcBorders>
                    <w:tl2br w:val="nil"/>
                    <w:tr2bl w:val="nil"/>
                  </w:tcBorders>
                  <w:vAlign w:val="center"/>
                </w:tcPr>
                <w:p w14:paraId="63D72334">
                  <w:pPr>
                    <w:adjustRightInd w:val="0"/>
                    <w:snapToGrid w:val="0"/>
                    <w:jc w:val="center"/>
                    <w:rPr>
                      <w:rFonts w:hint="eastAsia" w:eastAsia="宋体"/>
                      <w:color w:val="auto"/>
                      <w:szCs w:val="21"/>
                      <w:lang w:eastAsia="zh-CN"/>
                    </w:rPr>
                  </w:pPr>
                  <w:r>
                    <w:rPr>
                      <w:rFonts w:hint="eastAsia"/>
                      <w:color w:val="auto"/>
                      <w:kern w:val="0"/>
                      <w:szCs w:val="21"/>
                      <w:lang w:eastAsia="zh-CN"/>
                    </w:rPr>
                    <w:t>异味</w:t>
                  </w:r>
                </w:p>
              </w:tc>
              <w:tc>
                <w:tcPr>
                  <w:tcW w:w="3281" w:type="dxa"/>
                  <w:tcBorders>
                    <w:tl2br w:val="nil"/>
                    <w:tr2bl w:val="nil"/>
                  </w:tcBorders>
                  <w:vAlign w:val="center"/>
                </w:tcPr>
                <w:p w14:paraId="4103C532">
                  <w:pPr>
                    <w:snapToGrid w:val="0"/>
                    <w:jc w:val="center"/>
                    <w:rPr>
                      <w:color w:val="auto"/>
                      <w:szCs w:val="21"/>
                    </w:rPr>
                  </w:pPr>
                  <w:r>
                    <w:rPr>
                      <w:rFonts w:hint="eastAsia"/>
                      <w:color w:val="auto"/>
                      <w:szCs w:val="21"/>
                      <w:lang w:val="en-US" w:eastAsia="zh-CN"/>
                    </w:rPr>
                    <w:t>游离脂肪酸与小分子物质回收成为液态脂肪酸，99%的脂肪酸回收外售，剩余未回收的废气在罐车来装液态脂肪酸时随着接口少量溢出。</w:t>
                  </w:r>
                </w:p>
              </w:tc>
              <w:tc>
                <w:tcPr>
                  <w:tcW w:w="1255" w:type="dxa"/>
                  <w:tcBorders>
                    <w:tl2br w:val="nil"/>
                    <w:tr2bl w:val="nil"/>
                  </w:tcBorders>
                  <w:vAlign w:val="center"/>
                </w:tcPr>
                <w:p w14:paraId="0C648D57">
                  <w:pPr>
                    <w:snapToGrid w:val="0"/>
                    <w:jc w:val="center"/>
                    <w:rPr>
                      <w:color w:val="auto"/>
                      <w:szCs w:val="21"/>
                    </w:rPr>
                  </w:pPr>
                  <w:r>
                    <w:rPr>
                      <w:rFonts w:hint="eastAsia"/>
                      <w:color w:val="auto"/>
                      <w:szCs w:val="21"/>
                    </w:rPr>
                    <w:t>无</w:t>
                  </w:r>
                  <w:r>
                    <w:rPr>
                      <w:color w:val="auto"/>
                      <w:szCs w:val="21"/>
                    </w:rPr>
                    <w:t>组织</w:t>
                  </w:r>
                </w:p>
              </w:tc>
            </w:tr>
            <w:tr w14:paraId="77DA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55" w:type="dxa"/>
                  <w:vMerge w:val="continue"/>
                  <w:tcBorders>
                    <w:tl2br w:val="nil"/>
                    <w:tr2bl w:val="nil"/>
                  </w:tcBorders>
                  <w:vAlign w:val="center"/>
                </w:tcPr>
                <w:p w14:paraId="3E5B3AD9">
                  <w:pPr>
                    <w:snapToGrid w:val="0"/>
                    <w:jc w:val="center"/>
                    <w:rPr>
                      <w:color w:val="auto"/>
                    </w:rPr>
                  </w:pPr>
                </w:p>
              </w:tc>
              <w:tc>
                <w:tcPr>
                  <w:tcW w:w="1320" w:type="dxa"/>
                  <w:tcBorders>
                    <w:tl2br w:val="nil"/>
                    <w:tr2bl w:val="nil"/>
                  </w:tcBorders>
                  <w:vAlign w:val="center"/>
                </w:tcPr>
                <w:p w14:paraId="3D466768">
                  <w:pPr>
                    <w:pStyle w:val="9"/>
                    <w:rPr>
                      <w:rFonts w:hint="eastAsia"/>
                      <w:color w:val="auto"/>
                      <w:sz w:val="21"/>
                      <w:szCs w:val="21"/>
                    </w:rPr>
                  </w:pPr>
                  <w:r>
                    <w:rPr>
                      <w:rFonts w:hint="eastAsia" w:ascii="Times New Roman" w:hAnsi="Times New Roman" w:eastAsia="宋体" w:cs="Times New Roman"/>
                      <w:color w:val="auto"/>
                      <w:kern w:val="0"/>
                      <w:sz w:val="21"/>
                      <w:szCs w:val="21"/>
                      <w:lang w:val="en-US" w:eastAsia="zh-CN" w:bidi="ar-SA"/>
                    </w:rPr>
                    <w:t>其他生产过程、原料存储、污水预处理设施</w:t>
                  </w:r>
                </w:p>
              </w:tc>
              <w:tc>
                <w:tcPr>
                  <w:tcW w:w="1783" w:type="dxa"/>
                  <w:tcBorders>
                    <w:tl2br w:val="nil"/>
                    <w:tr2bl w:val="nil"/>
                  </w:tcBorders>
                  <w:vAlign w:val="center"/>
                </w:tcPr>
                <w:p w14:paraId="0FB6C52A">
                  <w:pPr>
                    <w:pStyle w:val="9"/>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异味</w:t>
                  </w:r>
                </w:p>
                <w:p w14:paraId="2E908769">
                  <w:pPr>
                    <w:snapToGrid w:val="0"/>
                    <w:jc w:val="center"/>
                    <w:rPr>
                      <w:rFonts w:hint="eastAsia"/>
                      <w:color w:val="auto"/>
                      <w:sz w:val="21"/>
                      <w:szCs w:val="21"/>
                    </w:rPr>
                  </w:pPr>
                </w:p>
              </w:tc>
              <w:tc>
                <w:tcPr>
                  <w:tcW w:w="3281" w:type="dxa"/>
                  <w:tcBorders>
                    <w:tl2br w:val="nil"/>
                    <w:tr2bl w:val="nil"/>
                  </w:tcBorders>
                  <w:vAlign w:val="center"/>
                </w:tcPr>
                <w:p w14:paraId="7D92FBF4">
                  <w:pPr>
                    <w:snapToGrid w:val="0"/>
                    <w:jc w:val="center"/>
                    <w:rPr>
                      <w:rFonts w:hint="eastAsia" w:eastAsia="宋体"/>
                      <w:color w:val="auto"/>
                      <w:sz w:val="21"/>
                      <w:szCs w:val="21"/>
                      <w:lang w:eastAsia="zh-CN"/>
                    </w:rPr>
                  </w:pPr>
                  <w:r>
                    <w:rPr>
                      <w:rFonts w:hint="eastAsia" w:ascii="Times New Roman" w:hAnsi="Times New Roman" w:eastAsia="宋体" w:cs="Times New Roman"/>
                      <w:color w:val="auto"/>
                      <w:kern w:val="0"/>
                      <w:sz w:val="21"/>
                      <w:szCs w:val="21"/>
                      <w:lang w:val="en-US" w:eastAsia="zh-CN" w:bidi="ar-SA"/>
                    </w:rPr>
                    <w:t>对生产车间地坪进行冲洗和消毒、加强管理；保证废水处理系统正常运转；对车间实施强制通风换气</w:t>
                  </w:r>
                </w:p>
              </w:tc>
              <w:tc>
                <w:tcPr>
                  <w:tcW w:w="1255" w:type="dxa"/>
                  <w:tcBorders>
                    <w:tl2br w:val="nil"/>
                    <w:tr2bl w:val="nil"/>
                  </w:tcBorders>
                  <w:vAlign w:val="center"/>
                </w:tcPr>
                <w:p w14:paraId="2584249D">
                  <w:pPr>
                    <w:snapToGrid w:val="0"/>
                    <w:jc w:val="center"/>
                    <w:rPr>
                      <w:rFonts w:hint="eastAsia" w:eastAsia="宋体"/>
                      <w:color w:val="auto"/>
                      <w:sz w:val="21"/>
                      <w:szCs w:val="21"/>
                      <w:lang w:eastAsia="zh-CN"/>
                    </w:rPr>
                  </w:pPr>
                  <w:r>
                    <w:rPr>
                      <w:rFonts w:hint="eastAsia"/>
                      <w:color w:val="auto"/>
                      <w:sz w:val="21"/>
                      <w:szCs w:val="21"/>
                      <w:lang w:eastAsia="zh-CN"/>
                    </w:rPr>
                    <w:t>无组织</w:t>
                  </w:r>
                </w:p>
              </w:tc>
            </w:tr>
            <w:tr w14:paraId="5081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5" w:type="dxa"/>
                  <w:vMerge w:val="restart"/>
                  <w:tcBorders>
                    <w:tl2br w:val="nil"/>
                    <w:tr2bl w:val="nil"/>
                  </w:tcBorders>
                  <w:vAlign w:val="center"/>
                </w:tcPr>
                <w:p w14:paraId="3315463B">
                  <w:pPr>
                    <w:snapToGrid w:val="0"/>
                    <w:jc w:val="center"/>
                    <w:rPr>
                      <w:color w:val="auto"/>
                      <w:szCs w:val="21"/>
                    </w:rPr>
                  </w:pPr>
                  <w:r>
                    <w:rPr>
                      <w:color w:val="auto"/>
                      <w:szCs w:val="21"/>
                    </w:rPr>
                    <w:t>废水</w:t>
                  </w:r>
                </w:p>
              </w:tc>
              <w:tc>
                <w:tcPr>
                  <w:tcW w:w="1320" w:type="dxa"/>
                  <w:tcBorders>
                    <w:tl2br w:val="nil"/>
                    <w:tr2bl w:val="nil"/>
                  </w:tcBorders>
                  <w:vAlign w:val="center"/>
                </w:tcPr>
                <w:p w14:paraId="54638580">
                  <w:pPr>
                    <w:snapToGrid w:val="0"/>
                    <w:jc w:val="center"/>
                    <w:rPr>
                      <w:rFonts w:hint="eastAsia" w:eastAsia="宋体"/>
                      <w:color w:val="auto"/>
                      <w:szCs w:val="21"/>
                      <w:lang w:eastAsia="zh-CN"/>
                    </w:rPr>
                  </w:pPr>
                  <w:r>
                    <w:rPr>
                      <w:rFonts w:hint="eastAsia"/>
                      <w:color w:val="auto"/>
                      <w:szCs w:val="21"/>
                    </w:rPr>
                    <w:t>脱胶脱磷废水</w:t>
                  </w:r>
                  <w:r>
                    <w:rPr>
                      <w:rFonts w:hint="eastAsia"/>
                      <w:color w:val="auto"/>
                      <w:szCs w:val="21"/>
                      <w:lang w:eastAsia="zh-CN"/>
                    </w:rPr>
                    <w:t>（</w:t>
                  </w:r>
                  <w:r>
                    <w:rPr>
                      <w:rFonts w:hint="eastAsia"/>
                      <w:color w:val="auto"/>
                      <w:szCs w:val="21"/>
                      <w:lang w:val="en-US" w:eastAsia="zh-CN"/>
                    </w:rPr>
                    <w:t>W2</w:t>
                  </w:r>
                  <w:r>
                    <w:rPr>
                      <w:rFonts w:hint="eastAsia"/>
                      <w:color w:val="auto"/>
                      <w:szCs w:val="21"/>
                      <w:lang w:eastAsia="zh-CN"/>
                    </w:rPr>
                    <w:t>）</w:t>
                  </w:r>
                </w:p>
              </w:tc>
              <w:tc>
                <w:tcPr>
                  <w:tcW w:w="1783" w:type="dxa"/>
                  <w:vMerge w:val="restart"/>
                  <w:tcBorders>
                    <w:tl2br w:val="nil"/>
                    <w:tr2bl w:val="nil"/>
                  </w:tcBorders>
                  <w:vAlign w:val="center"/>
                </w:tcPr>
                <w:p w14:paraId="12117098">
                  <w:pPr>
                    <w:snapToGrid w:val="0"/>
                    <w:jc w:val="center"/>
                    <w:rPr>
                      <w:color w:val="auto"/>
                      <w:szCs w:val="21"/>
                    </w:rPr>
                  </w:pPr>
                  <w:r>
                    <w:rPr>
                      <w:rFonts w:hint="eastAsia"/>
                      <w:color w:val="auto"/>
                      <w:szCs w:val="21"/>
                    </w:rPr>
                    <w:t>PH、</w:t>
                  </w:r>
                  <w:r>
                    <w:rPr>
                      <w:color w:val="auto"/>
                      <w:szCs w:val="21"/>
                    </w:rPr>
                    <w:t>COD、BOD</w:t>
                  </w:r>
                  <w:r>
                    <w:rPr>
                      <w:color w:val="auto"/>
                      <w:szCs w:val="21"/>
                      <w:vertAlign w:val="subscript"/>
                    </w:rPr>
                    <w:t>5</w:t>
                  </w:r>
                  <w:r>
                    <w:rPr>
                      <w:color w:val="auto"/>
                      <w:szCs w:val="21"/>
                    </w:rPr>
                    <w:t>、SS、NH</w:t>
                  </w:r>
                  <w:r>
                    <w:rPr>
                      <w:color w:val="auto"/>
                      <w:szCs w:val="21"/>
                      <w:vertAlign w:val="subscript"/>
                    </w:rPr>
                    <w:t>3</w:t>
                  </w:r>
                  <w:r>
                    <w:rPr>
                      <w:color w:val="auto"/>
                      <w:szCs w:val="21"/>
                    </w:rPr>
                    <w:t>-N</w:t>
                  </w:r>
                  <w:r>
                    <w:rPr>
                      <w:rFonts w:hint="eastAsia"/>
                      <w:color w:val="auto"/>
                      <w:szCs w:val="21"/>
                    </w:rPr>
                    <w:t>、TP、动植物油</w:t>
                  </w:r>
                </w:p>
              </w:tc>
              <w:tc>
                <w:tcPr>
                  <w:tcW w:w="3281" w:type="dxa"/>
                  <w:vMerge w:val="restart"/>
                  <w:tcBorders>
                    <w:tl2br w:val="nil"/>
                    <w:tr2bl w:val="nil"/>
                  </w:tcBorders>
                  <w:vAlign w:val="center"/>
                </w:tcPr>
                <w:p w14:paraId="0392A1B2">
                  <w:pPr>
                    <w:keepNext w:val="0"/>
                    <w:keepLines w:val="0"/>
                    <w:widowControl w:val="0"/>
                    <w:suppressLineNumbers w:val="0"/>
                    <w:spacing w:before="0" w:beforeAutospacing="0" w:after="0" w:afterAutospacing="0"/>
                    <w:ind w:left="0" w:leftChars="0" w:right="0" w:rightChars="0"/>
                    <w:jc w:val="center"/>
                    <w:rPr>
                      <w:rFonts w:hint="eastAsia" w:eastAsia="宋体"/>
                      <w:color w:val="auto"/>
                      <w:szCs w:val="21"/>
                      <w:lang w:eastAsia="zh-CN"/>
                    </w:rPr>
                  </w:pPr>
                  <w:r>
                    <w:rPr>
                      <w:rFonts w:hint="default" w:ascii="Times New Roman" w:hAnsi="Times New Roman" w:eastAsia="宋体" w:cs="Times New Roman"/>
                      <w:b w:val="0"/>
                      <w:bCs w:val="0"/>
                      <w:color w:val="auto"/>
                      <w:sz w:val="21"/>
                      <w:szCs w:val="21"/>
                      <w:highlight w:val="none"/>
                      <w:lang w:val="en-US" w:eastAsia="zh-CN"/>
                    </w:rPr>
                    <w:t>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1255" w:type="dxa"/>
                  <w:vMerge w:val="restart"/>
                  <w:tcBorders>
                    <w:tl2br w:val="nil"/>
                    <w:tr2bl w:val="nil"/>
                  </w:tcBorders>
                  <w:vAlign w:val="center"/>
                </w:tcPr>
                <w:p w14:paraId="2F11735D">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lang w:val="en-US" w:eastAsia="zh-CN"/>
                    </w:rPr>
                    <w:t>间接排放</w:t>
                  </w:r>
                </w:p>
              </w:tc>
            </w:tr>
            <w:tr w14:paraId="3F12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5" w:type="dxa"/>
                  <w:vMerge w:val="continue"/>
                  <w:tcBorders>
                    <w:tl2br w:val="nil"/>
                    <w:tr2bl w:val="nil"/>
                  </w:tcBorders>
                  <w:vAlign w:val="center"/>
                </w:tcPr>
                <w:p w14:paraId="0A6C1B66">
                  <w:pPr>
                    <w:snapToGrid w:val="0"/>
                    <w:jc w:val="center"/>
                    <w:rPr>
                      <w:color w:val="auto"/>
                    </w:rPr>
                  </w:pPr>
                </w:p>
              </w:tc>
              <w:tc>
                <w:tcPr>
                  <w:tcW w:w="1320" w:type="dxa"/>
                  <w:tcBorders>
                    <w:tl2br w:val="nil"/>
                    <w:tr2bl w:val="nil"/>
                  </w:tcBorders>
                  <w:vAlign w:val="center"/>
                </w:tcPr>
                <w:p w14:paraId="58A53708">
                  <w:pPr>
                    <w:snapToGrid w:val="0"/>
                    <w:jc w:val="both"/>
                    <w:rPr>
                      <w:color w:val="auto"/>
                      <w:szCs w:val="21"/>
                    </w:rPr>
                  </w:pPr>
                  <w:r>
                    <w:rPr>
                      <w:rFonts w:hint="eastAsia"/>
                      <w:color w:val="auto"/>
                      <w:szCs w:val="21"/>
                      <w:lang w:eastAsia="zh-CN"/>
                    </w:rPr>
                    <w:t>车间</w:t>
                  </w:r>
                  <w:r>
                    <w:rPr>
                      <w:rFonts w:hint="eastAsia"/>
                      <w:color w:val="auto"/>
                      <w:szCs w:val="21"/>
                    </w:rPr>
                    <w:t>地面清洁废水</w:t>
                  </w:r>
                </w:p>
              </w:tc>
              <w:tc>
                <w:tcPr>
                  <w:tcW w:w="1783" w:type="dxa"/>
                  <w:vMerge w:val="continue"/>
                  <w:tcBorders>
                    <w:tl2br w:val="nil"/>
                    <w:tr2bl w:val="nil"/>
                  </w:tcBorders>
                  <w:vAlign w:val="center"/>
                </w:tcPr>
                <w:p w14:paraId="7D62E65C">
                  <w:pPr>
                    <w:snapToGrid w:val="0"/>
                    <w:jc w:val="center"/>
                    <w:rPr>
                      <w:color w:val="auto"/>
                      <w:szCs w:val="21"/>
                    </w:rPr>
                  </w:pPr>
                </w:p>
              </w:tc>
              <w:tc>
                <w:tcPr>
                  <w:tcW w:w="3281" w:type="dxa"/>
                  <w:vMerge w:val="continue"/>
                  <w:tcBorders>
                    <w:tl2br w:val="nil"/>
                    <w:tr2bl w:val="nil"/>
                  </w:tcBorders>
                  <w:vAlign w:val="center"/>
                </w:tcPr>
                <w:p w14:paraId="2EE4635B">
                  <w:pPr>
                    <w:snapToGrid w:val="0"/>
                    <w:jc w:val="center"/>
                    <w:rPr>
                      <w:color w:val="auto"/>
                      <w:szCs w:val="21"/>
                    </w:rPr>
                  </w:pPr>
                </w:p>
              </w:tc>
              <w:tc>
                <w:tcPr>
                  <w:tcW w:w="1255" w:type="dxa"/>
                  <w:vMerge w:val="continue"/>
                  <w:tcBorders>
                    <w:tl2br w:val="nil"/>
                    <w:tr2bl w:val="nil"/>
                  </w:tcBorders>
                  <w:vAlign w:val="center"/>
                </w:tcPr>
                <w:p w14:paraId="7D6B10D5">
                  <w:pPr>
                    <w:snapToGrid w:val="0"/>
                    <w:jc w:val="center"/>
                    <w:rPr>
                      <w:color w:val="auto"/>
                      <w:szCs w:val="21"/>
                    </w:rPr>
                  </w:pPr>
                </w:p>
              </w:tc>
            </w:tr>
            <w:tr w14:paraId="60C7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5" w:type="dxa"/>
                  <w:vMerge w:val="continue"/>
                  <w:tcBorders>
                    <w:tl2br w:val="nil"/>
                    <w:tr2bl w:val="nil"/>
                  </w:tcBorders>
                  <w:vAlign w:val="center"/>
                </w:tcPr>
                <w:p w14:paraId="23FB39C7">
                  <w:pPr>
                    <w:snapToGrid w:val="0"/>
                    <w:jc w:val="center"/>
                    <w:rPr>
                      <w:color w:val="auto"/>
                      <w:szCs w:val="21"/>
                    </w:rPr>
                  </w:pPr>
                </w:p>
              </w:tc>
              <w:tc>
                <w:tcPr>
                  <w:tcW w:w="1320" w:type="dxa"/>
                  <w:tcBorders>
                    <w:tl2br w:val="nil"/>
                    <w:tr2bl w:val="nil"/>
                  </w:tcBorders>
                  <w:vAlign w:val="center"/>
                </w:tcPr>
                <w:p w14:paraId="2E513B4D">
                  <w:pPr>
                    <w:snapToGrid w:val="0"/>
                    <w:jc w:val="center"/>
                    <w:rPr>
                      <w:color w:val="auto"/>
                      <w:szCs w:val="21"/>
                    </w:rPr>
                  </w:pPr>
                  <w:r>
                    <w:rPr>
                      <w:rFonts w:hint="eastAsia"/>
                      <w:color w:val="auto"/>
                      <w:szCs w:val="21"/>
                    </w:rPr>
                    <w:t>设备清洗废水</w:t>
                  </w:r>
                </w:p>
              </w:tc>
              <w:tc>
                <w:tcPr>
                  <w:tcW w:w="1783" w:type="dxa"/>
                  <w:vMerge w:val="continue"/>
                  <w:tcBorders>
                    <w:tl2br w:val="nil"/>
                    <w:tr2bl w:val="nil"/>
                  </w:tcBorders>
                  <w:vAlign w:val="center"/>
                </w:tcPr>
                <w:p w14:paraId="6DAC9975">
                  <w:pPr>
                    <w:snapToGrid w:val="0"/>
                    <w:jc w:val="center"/>
                    <w:rPr>
                      <w:color w:val="auto"/>
                      <w:szCs w:val="21"/>
                    </w:rPr>
                  </w:pPr>
                </w:p>
              </w:tc>
              <w:tc>
                <w:tcPr>
                  <w:tcW w:w="3281" w:type="dxa"/>
                  <w:vMerge w:val="continue"/>
                  <w:tcBorders>
                    <w:tl2br w:val="nil"/>
                    <w:tr2bl w:val="nil"/>
                  </w:tcBorders>
                  <w:vAlign w:val="center"/>
                </w:tcPr>
                <w:p w14:paraId="149BC06C">
                  <w:pPr>
                    <w:snapToGrid w:val="0"/>
                    <w:jc w:val="center"/>
                    <w:rPr>
                      <w:color w:val="auto"/>
                      <w:szCs w:val="21"/>
                    </w:rPr>
                  </w:pPr>
                </w:p>
              </w:tc>
              <w:tc>
                <w:tcPr>
                  <w:tcW w:w="1255" w:type="dxa"/>
                  <w:vMerge w:val="continue"/>
                  <w:tcBorders>
                    <w:tl2br w:val="nil"/>
                    <w:tr2bl w:val="nil"/>
                  </w:tcBorders>
                  <w:vAlign w:val="center"/>
                </w:tcPr>
                <w:p w14:paraId="086B3C9E">
                  <w:pPr>
                    <w:snapToGrid w:val="0"/>
                    <w:jc w:val="center"/>
                    <w:rPr>
                      <w:color w:val="auto"/>
                      <w:szCs w:val="21"/>
                    </w:rPr>
                  </w:pPr>
                </w:p>
              </w:tc>
            </w:tr>
            <w:tr w14:paraId="729C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5" w:type="dxa"/>
                  <w:vMerge w:val="continue"/>
                  <w:tcBorders>
                    <w:tl2br w:val="nil"/>
                    <w:tr2bl w:val="nil"/>
                  </w:tcBorders>
                  <w:vAlign w:val="center"/>
                </w:tcPr>
                <w:p w14:paraId="077AE855">
                  <w:pPr>
                    <w:snapToGrid w:val="0"/>
                    <w:jc w:val="center"/>
                    <w:rPr>
                      <w:color w:val="auto"/>
                      <w:szCs w:val="21"/>
                    </w:rPr>
                  </w:pPr>
                </w:p>
              </w:tc>
              <w:tc>
                <w:tcPr>
                  <w:tcW w:w="1320" w:type="dxa"/>
                  <w:tcBorders>
                    <w:tl2br w:val="nil"/>
                    <w:tr2bl w:val="nil"/>
                  </w:tcBorders>
                  <w:vAlign w:val="center"/>
                </w:tcPr>
                <w:p w14:paraId="0043B0B8">
                  <w:pPr>
                    <w:snapToGrid w:val="0"/>
                    <w:jc w:val="center"/>
                    <w:rPr>
                      <w:rFonts w:hint="eastAsia" w:eastAsia="宋体"/>
                      <w:color w:val="auto"/>
                      <w:szCs w:val="21"/>
                      <w:lang w:eastAsia="zh-CN"/>
                    </w:rPr>
                  </w:pPr>
                  <w:r>
                    <w:rPr>
                      <w:rFonts w:hint="eastAsia"/>
                      <w:color w:val="auto"/>
                      <w:szCs w:val="21"/>
                    </w:rPr>
                    <w:t>真空泵机组废水</w:t>
                  </w:r>
                  <w:r>
                    <w:rPr>
                      <w:rFonts w:hint="eastAsia"/>
                      <w:color w:val="auto"/>
                      <w:szCs w:val="21"/>
                      <w:lang w:eastAsia="zh-CN"/>
                    </w:rPr>
                    <w:t>（</w:t>
                  </w:r>
                  <w:r>
                    <w:rPr>
                      <w:rFonts w:hint="eastAsia"/>
                      <w:color w:val="auto"/>
                      <w:szCs w:val="21"/>
                      <w:lang w:val="en-US" w:eastAsia="zh-CN"/>
                    </w:rPr>
                    <w:t>W3</w:t>
                  </w:r>
                  <w:r>
                    <w:rPr>
                      <w:rFonts w:hint="eastAsia"/>
                      <w:color w:val="auto"/>
                      <w:szCs w:val="21"/>
                      <w:lang w:eastAsia="zh-CN"/>
                    </w:rPr>
                    <w:t>）</w:t>
                  </w:r>
                </w:p>
              </w:tc>
              <w:tc>
                <w:tcPr>
                  <w:tcW w:w="1783" w:type="dxa"/>
                  <w:vMerge w:val="continue"/>
                  <w:tcBorders>
                    <w:tl2br w:val="nil"/>
                    <w:tr2bl w:val="nil"/>
                  </w:tcBorders>
                  <w:vAlign w:val="center"/>
                </w:tcPr>
                <w:p w14:paraId="79713F39">
                  <w:pPr>
                    <w:snapToGrid w:val="0"/>
                    <w:jc w:val="center"/>
                    <w:rPr>
                      <w:color w:val="auto"/>
                      <w:szCs w:val="21"/>
                    </w:rPr>
                  </w:pPr>
                </w:p>
              </w:tc>
              <w:tc>
                <w:tcPr>
                  <w:tcW w:w="3281" w:type="dxa"/>
                  <w:vMerge w:val="continue"/>
                  <w:tcBorders>
                    <w:tl2br w:val="nil"/>
                    <w:tr2bl w:val="nil"/>
                  </w:tcBorders>
                  <w:vAlign w:val="center"/>
                </w:tcPr>
                <w:p w14:paraId="53888978">
                  <w:pPr>
                    <w:snapToGrid w:val="0"/>
                    <w:jc w:val="center"/>
                    <w:rPr>
                      <w:color w:val="auto"/>
                      <w:szCs w:val="21"/>
                    </w:rPr>
                  </w:pPr>
                </w:p>
              </w:tc>
              <w:tc>
                <w:tcPr>
                  <w:tcW w:w="1255" w:type="dxa"/>
                  <w:vMerge w:val="continue"/>
                  <w:tcBorders>
                    <w:tl2br w:val="nil"/>
                    <w:tr2bl w:val="nil"/>
                  </w:tcBorders>
                  <w:vAlign w:val="center"/>
                </w:tcPr>
                <w:p w14:paraId="082A6E2E">
                  <w:pPr>
                    <w:snapToGrid w:val="0"/>
                    <w:jc w:val="center"/>
                    <w:rPr>
                      <w:color w:val="auto"/>
                      <w:szCs w:val="21"/>
                    </w:rPr>
                  </w:pPr>
                </w:p>
              </w:tc>
            </w:tr>
            <w:tr w14:paraId="2C04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tcBorders>
                    <w:tl2br w:val="nil"/>
                    <w:tr2bl w:val="nil"/>
                  </w:tcBorders>
                  <w:vAlign w:val="center"/>
                </w:tcPr>
                <w:p w14:paraId="2AA694B8">
                  <w:pPr>
                    <w:snapToGrid w:val="0"/>
                    <w:jc w:val="center"/>
                    <w:rPr>
                      <w:color w:val="auto"/>
                      <w:szCs w:val="21"/>
                    </w:rPr>
                  </w:pPr>
                </w:p>
              </w:tc>
              <w:tc>
                <w:tcPr>
                  <w:tcW w:w="1320" w:type="dxa"/>
                  <w:tcBorders>
                    <w:tl2br w:val="nil"/>
                    <w:tr2bl w:val="nil"/>
                  </w:tcBorders>
                  <w:vAlign w:val="center"/>
                </w:tcPr>
                <w:p w14:paraId="42FED20A">
                  <w:pPr>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熔炼冷凝废水（W4）</w:t>
                  </w:r>
                </w:p>
              </w:tc>
              <w:tc>
                <w:tcPr>
                  <w:tcW w:w="1783" w:type="dxa"/>
                  <w:vMerge w:val="continue"/>
                  <w:tcBorders>
                    <w:tl2br w:val="nil"/>
                    <w:tr2bl w:val="nil"/>
                  </w:tcBorders>
                  <w:vAlign w:val="center"/>
                </w:tcPr>
                <w:p w14:paraId="5211BEEC">
                  <w:pPr>
                    <w:snapToGrid w:val="0"/>
                    <w:jc w:val="center"/>
                    <w:rPr>
                      <w:rFonts w:hint="eastAsia"/>
                      <w:color w:val="auto"/>
                      <w:szCs w:val="21"/>
                    </w:rPr>
                  </w:pPr>
                </w:p>
              </w:tc>
              <w:tc>
                <w:tcPr>
                  <w:tcW w:w="3281" w:type="dxa"/>
                  <w:vMerge w:val="continue"/>
                  <w:tcBorders>
                    <w:tl2br w:val="nil"/>
                    <w:tr2bl w:val="nil"/>
                  </w:tcBorders>
                  <w:vAlign w:val="center"/>
                </w:tcPr>
                <w:p w14:paraId="42EEBBC7">
                  <w:pPr>
                    <w:widowControl/>
                    <w:jc w:val="left"/>
                    <w:rPr>
                      <w:rFonts w:hint="eastAsia"/>
                      <w:color w:val="auto"/>
                      <w:szCs w:val="21"/>
                    </w:rPr>
                  </w:pPr>
                </w:p>
              </w:tc>
              <w:tc>
                <w:tcPr>
                  <w:tcW w:w="1255" w:type="dxa"/>
                  <w:vMerge w:val="continue"/>
                  <w:tcBorders>
                    <w:tl2br w:val="nil"/>
                    <w:tr2bl w:val="nil"/>
                  </w:tcBorders>
                  <w:vAlign w:val="center"/>
                </w:tcPr>
                <w:p w14:paraId="259B42A7">
                  <w:pPr>
                    <w:snapToGrid w:val="0"/>
                    <w:jc w:val="center"/>
                    <w:rPr>
                      <w:rFonts w:hint="eastAsia" w:eastAsia="宋体"/>
                      <w:color w:val="auto"/>
                      <w:szCs w:val="21"/>
                      <w:lang w:eastAsia="zh-CN"/>
                    </w:rPr>
                  </w:pPr>
                </w:p>
              </w:tc>
            </w:tr>
            <w:tr w14:paraId="61EC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tcBorders>
                    <w:tl2br w:val="nil"/>
                    <w:tr2bl w:val="nil"/>
                  </w:tcBorders>
                  <w:vAlign w:val="center"/>
                </w:tcPr>
                <w:p w14:paraId="07D74EA9">
                  <w:pPr>
                    <w:snapToGrid w:val="0"/>
                    <w:jc w:val="center"/>
                    <w:rPr>
                      <w:color w:val="auto"/>
                      <w:szCs w:val="21"/>
                    </w:rPr>
                  </w:pPr>
                </w:p>
              </w:tc>
              <w:tc>
                <w:tcPr>
                  <w:tcW w:w="1320" w:type="dxa"/>
                  <w:tcBorders>
                    <w:tl2br w:val="nil"/>
                    <w:tr2bl w:val="nil"/>
                  </w:tcBorders>
                  <w:vAlign w:val="center"/>
                </w:tcPr>
                <w:p w14:paraId="4F18EE1D">
                  <w:pPr>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腌制废水（W5）</w:t>
                  </w:r>
                </w:p>
              </w:tc>
              <w:tc>
                <w:tcPr>
                  <w:tcW w:w="1783" w:type="dxa"/>
                  <w:vMerge w:val="continue"/>
                  <w:tcBorders>
                    <w:tl2br w:val="nil"/>
                    <w:tr2bl w:val="nil"/>
                  </w:tcBorders>
                  <w:vAlign w:val="center"/>
                </w:tcPr>
                <w:p w14:paraId="7F8DC544">
                  <w:pPr>
                    <w:snapToGrid w:val="0"/>
                    <w:jc w:val="center"/>
                    <w:rPr>
                      <w:rFonts w:hint="eastAsia"/>
                      <w:color w:val="auto"/>
                      <w:szCs w:val="21"/>
                    </w:rPr>
                  </w:pPr>
                </w:p>
              </w:tc>
              <w:tc>
                <w:tcPr>
                  <w:tcW w:w="3281" w:type="dxa"/>
                  <w:vMerge w:val="continue"/>
                  <w:tcBorders>
                    <w:tl2br w:val="nil"/>
                    <w:tr2bl w:val="nil"/>
                  </w:tcBorders>
                  <w:vAlign w:val="center"/>
                </w:tcPr>
                <w:p w14:paraId="4F0306DF">
                  <w:pPr>
                    <w:widowControl/>
                    <w:jc w:val="left"/>
                    <w:rPr>
                      <w:rFonts w:hint="eastAsia"/>
                      <w:color w:val="auto"/>
                      <w:szCs w:val="21"/>
                    </w:rPr>
                  </w:pPr>
                </w:p>
              </w:tc>
              <w:tc>
                <w:tcPr>
                  <w:tcW w:w="1255" w:type="dxa"/>
                  <w:vMerge w:val="continue"/>
                  <w:tcBorders>
                    <w:tl2br w:val="nil"/>
                    <w:tr2bl w:val="nil"/>
                  </w:tcBorders>
                  <w:vAlign w:val="center"/>
                </w:tcPr>
                <w:p w14:paraId="684A0B1B">
                  <w:pPr>
                    <w:snapToGrid w:val="0"/>
                    <w:jc w:val="center"/>
                    <w:rPr>
                      <w:rFonts w:hint="eastAsia" w:eastAsia="宋体"/>
                      <w:color w:val="auto"/>
                      <w:szCs w:val="21"/>
                      <w:lang w:eastAsia="zh-CN"/>
                    </w:rPr>
                  </w:pPr>
                </w:p>
              </w:tc>
            </w:tr>
            <w:tr w14:paraId="31C0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tcBorders>
                    <w:tl2br w:val="nil"/>
                    <w:tr2bl w:val="nil"/>
                  </w:tcBorders>
                  <w:vAlign w:val="center"/>
                </w:tcPr>
                <w:p w14:paraId="52843D30">
                  <w:pPr>
                    <w:snapToGrid w:val="0"/>
                    <w:jc w:val="center"/>
                    <w:rPr>
                      <w:color w:val="auto"/>
                      <w:szCs w:val="21"/>
                    </w:rPr>
                  </w:pPr>
                </w:p>
              </w:tc>
              <w:tc>
                <w:tcPr>
                  <w:tcW w:w="1320" w:type="dxa"/>
                  <w:tcBorders>
                    <w:tl2br w:val="nil"/>
                    <w:tr2bl w:val="nil"/>
                  </w:tcBorders>
                  <w:vAlign w:val="center"/>
                </w:tcPr>
                <w:p w14:paraId="5DC0F930">
                  <w:pPr>
                    <w:snapToGrid w:val="0"/>
                    <w:jc w:val="center"/>
                    <w:rPr>
                      <w:rFonts w:hint="eastAsia" w:eastAsia="宋体"/>
                      <w:color w:val="auto"/>
                      <w:szCs w:val="21"/>
                      <w:lang w:val="en-US" w:eastAsia="zh-CN"/>
                    </w:rPr>
                  </w:pPr>
                  <w:r>
                    <w:rPr>
                      <w:rFonts w:hint="eastAsia"/>
                      <w:color w:val="auto"/>
                      <w:szCs w:val="21"/>
                    </w:rPr>
                    <w:t>锅炉排水</w:t>
                  </w:r>
                  <w:r>
                    <w:rPr>
                      <w:rFonts w:hint="eastAsia"/>
                      <w:color w:val="auto"/>
                      <w:szCs w:val="21"/>
                      <w:lang w:eastAsia="zh-CN"/>
                    </w:rPr>
                    <w:t>（</w:t>
                  </w:r>
                  <w:r>
                    <w:rPr>
                      <w:rFonts w:hint="eastAsia"/>
                      <w:color w:val="auto"/>
                      <w:szCs w:val="21"/>
                      <w:lang w:val="en-US" w:eastAsia="zh-CN"/>
                    </w:rPr>
                    <w:t>W1</w:t>
                  </w:r>
                  <w:r>
                    <w:rPr>
                      <w:rFonts w:hint="eastAsia"/>
                      <w:color w:val="auto"/>
                      <w:szCs w:val="21"/>
                      <w:lang w:eastAsia="zh-CN"/>
                    </w:rPr>
                    <w:t>）</w:t>
                  </w:r>
                </w:p>
              </w:tc>
              <w:tc>
                <w:tcPr>
                  <w:tcW w:w="1783" w:type="dxa"/>
                  <w:tcBorders>
                    <w:tl2br w:val="nil"/>
                    <w:tr2bl w:val="nil"/>
                  </w:tcBorders>
                  <w:vAlign w:val="center"/>
                </w:tcPr>
                <w:p w14:paraId="48CDFAC0">
                  <w:pPr>
                    <w:snapToGrid w:val="0"/>
                    <w:jc w:val="center"/>
                    <w:rPr>
                      <w:color w:val="auto"/>
                      <w:szCs w:val="21"/>
                    </w:rPr>
                  </w:pPr>
                  <w:r>
                    <w:rPr>
                      <w:rFonts w:hint="eastAsia"/>
                      <w:color w:val="auto"/>
                      <w:szCs w:val="21"/>
                    </w:rPr>
                    <w:t>SS</w:t>
                  </w:r>
                </w:p>
              </w:tc>
              <w:tc>
                <w:tcPr>
                  <w:tcW w:w="3281" w:type="dxa"/>
                  <w:vMerge w:val="continue"/>
                  <w:tcBorders>
                    <w:tl2br w:val="nil"/>
                    <w:tr2bl w:val="nil"/>
                  </w:tcBorders>
                  <w:vAlign w:val="center"/>
                </w:tcPr>
                <w:p w14:paraId="7CF1470D">
                  <w:pPr>
                    <w:widowControl/>
                    <w:jc w:val="left"/>
                    <w:rPr>
                      <w:color w:val="auto"/>
                      <w:szCs w:val="21"/>
                    </w:rPr>
                  </w:pPr>
                </w:p>
              </w:tc>
              <w:tc>
                <w:tcPr>
                  <w:tcW w:w="1255" w:type="dxa"/>
                  <w:vMerge w:val="continue"/>
                  <w:tcBorders>
                    <w:tl2br w:val="nil"/>
                    <w:tr2bl w:val="nil"/>
                  </w:tcBorders>
                  <w:vAlign w:val="center"/>
                </w:tcPr>
                <w:p w14:paraId="33B7EAE4">
                  <w:pPr>
                    <w:snapToGrid w:val="0"/>
                    <w:jc w:val="center"/>
                    <w:rPr>
                      <w:rFonts w:hint="eastAsia" w:eastAsia="宋体"/>
                      <w:color w:val="auto"/>
                      <w:szCs w:val="21"/>
                      <w:lang w:eastAsia="zh-CN"/>
                    </w:rPr>
                  </w:pPr>
                </w:p>
              </w:tc>
            </w:tr>
            <w:tr w14:paraId="398B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5" w:type="dxa"/>
                  <w:vMerge w:val="continue"/>
                  <w:tcBorders>
                    <w:tl2br w:val="nil"/>
                    <w:tr2bl w:val="nil"/>
                  </w:tcBorders>
                  <w:vAlign w:val="center"/>
                </w:tcPr>
                <w:p w14:paraId="69FD3E92">
                  <w:pPr>
                    <w:snapToGrid w:val="0"/>
                    <w:jc w:val="center"/>
                    <w:rPr>
                      <w:color w:val="auto"/>
                      <w:szCs w:val="21"/>
                    </w:rPr>
                  </w:pPr>
                </w:p>
              </w:tc>
              <w:tc>
                <w:tcPr>
                  <w:tcW w:w="1320" w:type="dxa"/>
                  <w:tcBorders>
                    <w:tl2br w:val="nil"/>
                    <w:tr2bl w:val="nil"/>
                  </w:tcBorders>
                  <w:vAlign w:val="center"/>
                </w:tcPr>
                <w:p w14:paraId="275E295C">
                  <w:pPr>
                    <w:snapToGrid w:val="0"/>
                    <w:jc w:val="center"/>
                    <w:rPr>
                      <w:rFonts w:hint="eastAsia"/>
                      <w:color w:val="auto"/>
                      <w:szCs w:val="21"/>
                    </w:rPr>
                  </w:pPr>
                  <w:r>
                    <w:rPr>
                      <w:rFonts w:hint="eastAsia"/>
                      <w:color w:val="auto"/>
                      <w:szCs w:val="21"/>
                    </w:rPr>
                    <w:t>冷却用水</w:t>
                  </w:r>
                </w:p>
              </w:tc>
              <w:tc>
                <w:tcPr>
                  <w:tcW w:w="1783" w:type="dxa"/>
                  <w:tcBorders>
                    <w:tl2br w:val="nil"/>
                    <w:tr2bl w:val="nil"/>
                  </w:tcBorders>
                  <w:vAlign w:val="center"/>
                </w:tcPr>
                <w:p w14:paraId="4A367D72">
                  <w:pPr>
                    <w:snapToGrid w:val="0"/>
                    <w:jc w:val="center"/>
                    <w:rPr>
                      <w:rFonts w:hint="eastAsia"/>
                      <w:color w:val="auto"/>
                      <w:szCs w:val="21"/>
                    </w:rPr>
                  </w:pPr>
                  <w:r>
                    <w:rPr>
                      <w:rFonts w:hint="eastAsia"/>
                      <w:color w:val="auto"/>
                      <w:szCs w:val="21"/>
                    </w:rPr>
                    <w:t>SS</w:t>
                  </w:r>
                </w:p>
              </w:tc>
              <w:tc>
                <w:tcPr>
                  <w:tcW w:w="3281" w:type="dxa"/>
                  <w:vMerge w:val="continue"/>
                  <w:tcBorders>
                    <w:tl2br w:val="nil"/>
                    <w:tr2bl w:val="nil"/>
                  </w:tcBorders>
                  <w:vAlign w:val="center"/>
                </w:tcPr>
                <w:p w14:paraId="02EF1369">
                  <w:pPr>
                    <w:snapToGrid w:val="0"/>
                    <w:jc w:val="center"/>
                    <w:rPr>
                      <w:rFonts w:hint="eastAsia" w:eastAsia="宋体"/>
                      <w:color w:val="auto"/>
                      <w:szCs w:val="21"/>
                      <w:lang w:eastAsia="zh-CN"/>
                    </w:rPr>
                  </w:pPr>
                </w:p>
              </w:tc>
              <w:tc>
                <w:tcPr>
                  <w:tcW w:w="1255" w:type="dxa"/>
                  <w:vMerge w:val="continue"/>
                  <w:tcBorders>
                    <w:tl2br w:val="nil"/>
                    <w:tr2bl w:val="nil"/>
                  </w:tcBorders>
                  <w:vAlign w:val="center"/>
                </w:tcPr>
                <w:p w14:paraId="34BD06FB">
                  <w:pPr>
                    <w:snapToGrid w:val="0"/>
                    <w:jc w:val="center"/>
                    <w:rPr>
                      <w:color w:val="auto"/>
                      <w:szCs w:val="21"/>
                    </w:rPr>
                  </w:pPr>
                </w:p>
              </w:tc>
            </w:tr>
            <w:tr w14:paraId="55E0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5" w:type="dxa"/>
                  <w:vMerge w:val="continue"/>
                  <w:tcBorders>
                    <w:tl2br w:val="nil"/>
                    <w:tr2bl w:val="nil"/>
                  </w:tcBorders>
                  <w:vAlign w:val="center"/>
                </w:tcPr>
                <w:p w14:paraId="77A3FBF1">
                  <w:pPr>
                    <w:snapToGrid w:val="0"/>
                    <w:jc w:val="center"/>
                    <w:rPr>
                      <w:color w:val="auto"/>
                      <w:szCs w:val="21"/>
                    </w:rPr>
                  </w:pPr>
                </w:p>
              </w:tc>
              <w:tc>
                <w:tcPr>
                  <w:tcW w:w="1320" w:type="dxa"/>
                  <w:tcBorders>
                    <w:tl2br w:val="nil"/>
                    <w:tr2bl w:val="nil"/>
                  </w:tcBorders>
                  <w:vAlign w:val="center"/>
                </w:tcPr>
                <w:p w14:paraId="1D650CFE">
                  <w:pPr>
                    <w:snapToGrid w:val="0"/>
                    <w:jc w:val="center"/>
                    <w:rPr>
                      <w:color w:val="auto"/>
                      <w:szCs w:val="21"/>
                    </w:rPr>
                  </w:pPr>
                  <w:r>
                    <w:rPr>
                      <w:rFonts w:hint="eastAsia"/>
                      <w:color w:val="auto"/>
                      <w:szCs w:val="21"/>
                    </w:rPr>
                    <w:t>职工生活</w:t>
                  </w:r>
                </w:p>
              </w:tc>
              <w:tc>
                <w:tcPr>
                  <w:tcW w:w="1783" w:type="dxa"/>
                  <w:tcBorders>
                    <w:tl2br w:val="nil"/>
                    <w:tr2bl w:val="nil"/>
                  </w:tcBorders>
                  <w:vAlign w:val="center"/>
                </w:tcPr>
                <w:p w14:paraId="7748D014">
                  <w:pPr>
                    <w:snapToGrid w:val="0"/>
                    <w:jc w:val="center"/>
                    <w:rPr>
                      <w:color w:val="auto"/>
                      <w:szCs w:val="21"/>
                    </w:rPr>
                  </w:pPr>
                  <w:r>
                    <w:rPr>
                      <w:rFonts w:hint="eastAsia"/>
                      <w:color w:val="auto"/>
                      <w:szCs w:val="21"/>
                    </w:rPr>
                    <w:t>PH、</w:t>
                  </w:r>
                  <w:r>
                    <w:rPr>
                      <w:color w:val="auto"/>
                      <w:szCs w:val="21"/>
                    </w:rPr>
                    <w:t>COD、BOD</w:t>
                  </w:r>
                  <w:r>
                    <w:rPr>
                      <w:color w:val="auto"/>
                      <w:szCs w:val="21"/>
                      <w:vertAlign w:val="subscript"/>
                    </w:rPr>
                    <w:t>5</w:t>
                  </w:r>
                  <w:r>
                    <w:rPr>
                      <w:color w:val="auto"/>
                      <w:szCs w:val="21"/>
                    </w:rPr>
                    <w:t>、SS、NH</w:t>
                  </w:r>
                  <w:r>
                    <w:rPr>
                      <w:color w:val="auto"/>
                      <w:szCs w:val="21"/>
                      <w:vertAlign w:val="subscript"/>
                    </w:rPr>
                    <w:t>3</w:t>
                  </w:r>
                  <w:r>
                    <w:rPr>
                      <w:color w:val="auto"/>
                      <w:szCs w:val="21"/>
                    </w:rPr>
                    <w:t>-N</w:t>
                  </w:r>
                  <w:r>
                    <w:rPr>
                      <w:rFonts w:hint="eastAsia"/>
                      <w:color w:val="auto"/>
                      <w:szCs w:val="21"/>
                    </w:rPr>
                    <w:t>、TP、动植物油</w:t>
                  </w:r>
                </w:p>
              </w:tc>
              <w:tc>
                <w:tcPr>
                  <w:tcW w:w="3281" w:type="dxa"/>
                  <w:vMerge w:val="continue"/>
                  <w:tcBorders>
                    <w:tl2br w:val="nil"/>
                    <w:tr2bl w:val="nil"/>
                  </w:tcBorders>
                  <w:vAlign w:val="center"/>
                </w:tcPr>
                <w:p w14:paraId="13DC2B8E">
                  <w:pPr>
                    <w:snapToGrid w:val="0"/>
                    <w:jc w:val="center"/>
                    <w:rPr>
                      <w:color w:val="auto"/>
                      <w:szCs w:val="21"/>
                    </w:rPr>
                  </w:pPr>
                </w:p>
              </w:tc>
              <w:tc>
                <w:tcPr>
                  <w:tcW w:w="1255" w:type="dxa"/>
                  <w:vMerge w:val="continue"/>
                  <w:tcBorders>
                    <w:tl2br w:val="nil"/>
                    <w:tr2bl w:val="nil"/>
                  </w:tcBorders>
                  <w:vAlign w:val="center"/>
                </w:tcPr>
                <w:p w14:paraId="5C166CAC">
                  <w:pPr>
                    <w:snapToGrid w:val="0"/>
                    <w:jc w:val="center"/>
                    <w:rPr>
                      <w:color w:val="auto"/>
                      <w:szCs w:val="21"/>
                    </w:rPr>
                  </w:pPr>
                </w:p>
              </w:tc>
            </w:tr>
            <w:tr w14:paraId="1268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55" w:type="dxa"/>
                  <w:vMerge w:val="continue"/>
                  <w:tcBorders>
                    <w:tl2br w:val="nil"/>
                    <w:tr2bl w:val="nil"/>
                  </w:tcBorders>
                  <w:vAlign w:val="center"/>
                </w:tcPr>
                <w:p w14:paraId="7AC6E136">
                  <w:pPr>
                    <w:snapToGrid w:val="0"/>
                    <w:jc w:val="center"/>
                    <w:rPr>
                      <w:color w:val="auto"/>
                      <w:szCs w:val="21"/>
                    </w:rPr>
                  </w:pPr>
                </w:p>
              </w:tc>
              <w:tc>
                <w:tcPr>
                  <w:tcW w:w="1320" w:type="dxa"/>
                  <w:tcBorders>
                    <w:tl2br w:val="nil"/>
                    <w:tr2bl w:val="nil"/>
                  </w:tcBorders>
                  <w:vAlign w:val="center"/>
                </w:tcPr>
                <w:p w14:paraId="06448B44">
                  <w:pPr>
                    <w:snapToGrid w:val="0"/>
                    <w:jc w:val="center"/>
                    <w:rPr>
                      <w:rFonts w:hint="eastAsia" w:eastAsia="宋体"/>
                      <w:color w:val="auto"/>
                      <w:szCs w:val="21"/>
                      <w:lang w:eastAsia="zh-CN"/>
                    </w:rPr>
                  </w:pPr>
                  <w:r>
                    <w:rPr>
                      <w:rFonts w:hint="eastAsia"/>
                      <w:color w:val="auto"/>
                      <w:szCs w:val="21"/>
                      <w:lang w:eastAsia="zh-CN"/>
                    </w:rPr>
                    <w:t>冰瓶冷凝废水</w:t>
                  </w:r>
                </w:p>
              </w:tc>
              <w:tc>
                <w:tcPr>
                  <w:tcW w:w="1783" w:type="dxa"/>
                  <w:tcBorders>
                    <w:tl2br w:val="nil"/>
                    <w:tr2bl w:val="nil"/>
                  </w:tcBorders>
                  <w:vAlign w:val="center"/>
                </w:tcPr>
                <w:p w14:paraId="22C03E57">
                  <w:pPr>
                    <w:snapToGrid w:val="0"/>
                    <w:jc w:val="center"/>
                    <w:rPr>
                      <w:rFonts w:hint="eastAsia" w:eastAsia="宋体"/>
                      <w:color w:val="auto"/>
                      <w:szCs w:val="21"/>
                      <w:lang w:val="en-US" w:eastAsia="zh-CN"/>
                    </w:rPr>
                  </w:pPr>
                  <w:r>
                    <w:rPr>
                      <w:rFonts w:hint="eastAsia"/>
                      <w:color w:val="auto"/>
                      <w:szCs w:val="21"/>
                      <w:lang w:val="en-US" w:eastAsia="zh-CN"/>
                    </w:rPr>
                    <w:t>/</w:t>
                  </w:r>
                </w:p>
              </w:tc>
              <w:tc>
                <w:tcPr>
                  <w:tcW w:w="3281" w:type="dxa"/>
                  <w:tcBorders>
                    <w:tl2br w:val="nil"/>
                    <w:tr2bl w:val="nil"/>
                  </w:tcBorders>
                  <w:vAlign w:val="center"/>
                </w:tcPr>
                <w:p w14:paraId="69EF2A62">
                  <w:pPr>
                    <w:snapToGrid w:val="0"/>
                    <w:jc w:val="center"/>
                    <w:rPr>
                      <w:rFonts w:hint="eastAsia" w:eastAsia="宋体"/>
                      <w:color w:val="auto"/>
                      <w:szCs w:val="21"/>
                      <w:lang w:eastAsia="zh-CN"/>
                    </w:rPr>
                  </w:pPr>
                  <w:r>
                    <w:rPr>
                      <w:rFonts w:hint="eastAsia" w:ascii="Times New Roman" w:hAnsi="Times New Roman" w:eastAsia="宋体" w:cs="Times New Roman"/>
                      <w:b w:val="0"/>
                      <w:bCs w:val="0"/>
                      <w:color w:val="auto"/>
                      <w:sz w:val="21"/>
                      <w:szCs w:val="21"/>
                      <w:highlight w:val="none"/>
                      <w:lang w:val="en-US" w:eastAsia="zh-CN"/>
                    </w:rPr>
                    <w:t>冰瓶与空气接触后产生的冷凝水，自然蒸发</w:t>
                  </w:r>
                </w:p>
              </w:tc>
              <w:tc>
                <w:tcPr>
                  <w:tcW w:w="1255" w:type="dxa"/>
                  <w:tcBorders>
                    <w:tl2br w:val="nil"/>
                    <w:tr2bl w:val="nil"/>
                  </w:tcBorders>
                  <w:vAlign w:val="center"/>
                </w:tcPr>
                <w:p w14:paraId="43C90748">
                  <w:pPr>
                    <w:snapToGrid w:val="0"/>
                    <w:jc w:val="center"/>
                    <w:rPr>
                      <w:rFonts w:hint="default" w:eastAsia="宋体"/>
                      <w:color w:val="auto"/>
                      <w:szCs w:val="21"/>
                      <w:lang w:val="en-US" w:eastAsia="zh-CN"/>
                    </w:rPr>
                  </w:pPr>
                  <w:r>
                    <w:rPr>
                      <w:rFonts w:hint="eastAsia"/>
                      <w:color w:val="auto"/>
                      <w:szCs w:val="21"/>
                      <w:lang w:val="en-US" w:eastAsia="zh-CN"/>
                    </w:rPr>
                    <w:t>/</w:t>
                  </w:r>
                </w:p>
              </w:tc>
            </w:tr>
            <w:tr w14:paraId="0EF4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5" w:type="dxa"/>
                  <w:vMerge w:val="restart"/>
                  <w:tcBorders>
                    <w:tl2br w:val="nil"/>
                    <w:tr2bl w:val="nil"/>
                  </w:tcBorders>
                  <w:vAlign w:val="center"/>
                </w:tcPr>
                <w:p w14:paraId="23D05308">
                  <w:pPr>
                    <w:snapToGrid w:val="0"/>
                    <w:jc w:val="center"/>
                    <w:rPr>
                      <w:color w:val="auto"/>
                      <w:szCs w:val="21"/>
                    </w:rPr>
                  </w:pPr>
                  <w:r>
                    <w:rPr>
                      <w:color w:val="auto"/>
                      <w:szCs w:val="21"/>
                    </w:rPr>
                    <w:t>固废</w:t>
                  </w:r>
                </w:p>
              </w:tc>
              <w:tc>
                <w:tcPr>
                  <w:tcW w:w="1320" w:type="dxa"/>
                  <w:tcBorders>
                    <w:tl2br w:val="nil"/>
                    <w:tr2bl w:val="nil"/>
                  </w:tcBorders>
                  <w:vAlign w:val="center"/>
                </w:tcPr>
                <w:p w14:paraId="0A0D6FB4">
                  <w:pPr>
                    <w:snapToGrid w:val="0"/>
                    <w:jc w:val="center"/>
                    <w:rPr>
                      <w:rFonts w:hint="eastAsia" w:eastAsia="宋体"/>
                      <w:color w:val="auto"/>
                      <w:szCs w:val="21"/>
                      <w:lang w:eastAsia="zh-CN"/>
                    </w:rPr>
                  </w:pPr>
                  <w:r>
                    <w:rPr>
                      <w:rFonts w:hint="eastAsia"/>
                      <w:color w:val="auto"/>
                      <w:szCs w:val="21"/>
                    </w:rPr>
                    <w:t>原料解冻</w:t>
                  </w:r>
                  <w:r>
                    <w:rPr>
                      <w:rFonts w:hint="eastAsia"/>
                      <w:color w:val="auto"/>
                      <w:szCs w:val="21"/>
                      <w:lang w:eastAsia="zh-CN"/>
                    </w:rPr>
                    <w:t>（</w:t>
                  </w:r>
                  <w:r>
                    <w:rPr>
                      <w:rFonts w:hint="eastAsia"/>
                      <w:color w:val="auto"/>
                      <w:szCs w:val="21"/>
                      <w:lang w:val="en-US" w:eastAsia="zh-CN"/>
                    </w:rPr>
                    <w:t>S1</w:t>
                  </w:r>
                  <w:r>
                    <w:rPr>
                      <w:rFonts w:hint="eastAsia"/>
                      <w:color w:val="auto"/>
                      <w:szCs w:val="21"/>
                      <w:lang w:eastAsia="zh-CN"/>
                    </w:rPr>
                    <w:t>）</w:t>
                  </w:r>
                </w:p>
              </w:tc>
              <w:tc>
                <w:tcPr>
                  <w:tcW w:w="1783" w:type="dxa"/>
                  <w:tcBorders>
                    <w:tl2br w:val="nil"/>
                    <w:tr2bl w:val="nil"/>
                  </w:tcBorders>
                  <w:vAlign w:val="center"/>
                </w:tcPr>
                <w:p w14:paraId="78E6E509">
                  <w:pPr>
                    <w:widowControl/>
                    <w:jc w:val="center"/>
                    <w:textAlignment w:val="center"/>
                    <w:rPr>
                      <w:color w:val="auto"/>
                      <w:szCs w:val="21"/>
                    </w:rPr>
                  </w:pPr>
                  <w:r>
                    <w:rPr>
                      <w:snapToGrid w:val="0"/>
                      <w:color w:val="auto"/>
                      <w:kern w:val="21"/>
                      <w:szCs w:val="21"/>
                    </w:rPr>
                    <w:t>废</w:t>
                  </w:r>
                  <w:r>
                    <w:rPr>
                      <w:rFonts w:hint="eastAsia"/>
                      <w:snapToGrid w:val="0"/>
                      <w:color w:val="auto"/>
                      <w:kern w:val="21"/>
                      <w:szCs w:val="21"/>
                    </w:rPr>
                    <w:t>包装材料</w:t>
                  </w:r>
                </w:p>
              </w:tc>
              <w:tc>
                <w:tcPr>
                  <w:tcW w:w="3281" w:type="dxa"/>
                  <w:tcBorders>
                    <w:tl2br w:val="nil"/>
                    <w:tr2bl w:val="nil"/>
                  </w:tcBorders>
                  <w:vAlign w:val="center"/>
                </w:tcPr>
                <w:p w14:paraId="43FE9B17">
                  <w:pPr>
                    <w:snapToGrid w:val="0"/>
                    <w:jc w:val="center"/>
                    <w:rPr>
                      <w:color w:val="auto"/>
                      <w:szCs w:val="21"/>
                    </w:rPr>
                  </w:pPr>
                  <w:r>
                    <w:rPr>
                      <w:color w:val="auto"/>
                      <w:szCs w:val="21"/>
                    </w:rPr>
                    <w:t>出售给废品收购商</w:t>
                  </w:r>
                </w:p>
              </w:tc>
              <w:tc>
                <w:tcPr>
                  <w:tcW w:w="1255" w:type="dxa"/>
                  <w:vMerge w:val="restart"/>
                  <w:tcBorders>
                    <w:tl2br w:val="nil"/>
                    <w:tr2bl w:val="nil"/>
                  </w:tcBorders>
                  <w:vAlign w:val="center"/>
                </w:tcPr>
                <w:p w14:paraId="1296C458">
                  <w:pPr>
                    <w:snapToGrid w:val="0"/>
                    <w:jc w:val="center"/>
                    <w:rPr>
                      <w:color w:val="auto"/>
                      <w:szCs w:val="21"/>
                    </w:rPr>
                  </w:pPr>
                  <w:r>
                    <w:rPr>
                      <w:color w:val="auto"/>
                      <w:szCs w:val="21"/>
                    </w:rPr>
                    <w:t>合理处置，处置率100%</w:t>
                  </w:r>
                </w:p>
              </w:tc>
            </w:tr>
            <w:tr w14:paraId="0EB3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continue"/>
                  <w:tcBorders>
                    <w:tl2br w:val="nil"/>
                    <w:tr2bl w:val="nil"/>
                  </w:tcBorders>
                  <w:vAlign w:val="center"/>
                </w:tcPr>
                <w:p w14:paraId="1BFF0F29">
                  <w:pPr>
                    <w:snapToGrid w:val="0"/>
                    <w:jc w:val="center"/>
                    <w:rPr>
                      <w:color w:val="auto"/>
                      <w:szCs w:val="21"/>
                    </w:rPr>
                  </w:pPr>
                </w:p>
              </w:tc>
              <w:tc>
                <w:tcPr>
                  <w:tcW w:w="1320" w:type="dxa"/>
                  <w:tcBorders>
                    <w:tl2br w:val="nil"/>
                    <w:tr2bl w:val="nil"/>
                  </w:tcBorders>
                  <w:vAlign w:val="center"/>
                </w:tcPr>
                <w:p w14:paraId="2CA041FA">
                  <w:pPr>
                    <w:snapToGrid w:val="0"/>
                    <w:jc w:val="center"/>
                    <w:rPr>
                      <w:rFonts w:hint="eastAsia" w:eastAsia="宋体"/>
                      <w:color w:val="auto"/>
                      <w:szCs w:val="21"/>
                      <w:lang w:eastAsia="zh-CN"/>
                    </w:rPr>
                  </w:pPr>
                  <w:r>
                    <w:rPr>
                      <w:rFonts w:hint="eastAsia"/>
                      <w:color w:val="auto"/>
                      <w:szCs w:val="21"/>
                    </w:rPr>
                    <w:t>油渣分离</w:t>
                  </w:r>
                  <w:r>
                    <w:rPr>
                      <w:rFonts w:hint="eastAsia"/>
                      <w:color w:val="auto"/>
                      <w:szCs w:val="21"/>
                      <w:lang w:eastAsia="zh-CN"/>
                    </w:rPr>
                    <w:t>（</w:t>
                  </w:r>
                  <w:r>
                    <w:rPr>
                      <w:rFonts w:hint="eastAsia"/>
                      <w:color w:val="auto"/>
                      <w:szCs w:val="21"/>
                      <w:lang w:val="en-US" w:eastAsia="zh-CN"/>
                    </w:rPr>
                    <w:t>S2</w:t>
                  </w:r>
                  <w:r>
                    <w:rPr>
                      <w:rFonts w:hint="eastAsia"/>
                      <w:color w:val="auto"/>
                      <w:szCs w:val="21"/>
                      <w:lang w:eastAsia="zh-CN"/>
                    </w:rPr>
                    <w:t>）</w:t>
                  </w:r>
                </w:p>
              </w:tc>
              <w:tc>
                <w:tcPr>
                  <w:tcW w:w="1783" w:type="dxa"/>
                  <w:tcBorders>
                    <w:tl2br w:val="nil"/>
                    <w:tr2bl w:val="nil"/>
                  </w:tcBorders>
                  <w:vAlign w:val="center"/>
                </w:tcPr>
                <w:p w14:paraId="6C390138">
                  <w:pPr>
                    <w:snapToGrid w:val="0"/>
                    <w:jc w:val="center"/>
                    <w:rPr>
                      <w:color w:val="auto"/>
                      <w:szCs w:val="21"/>
                    </w:rPr>
                  </w:pPr>
                  <w:r>
                    <w:rPr>
                      <w:rFonts w:hint="eastAsia"/>
                      <w:color w:val="auto"/>
                      <w:szCs w:val="21"/>
                    </w:rPr>
                    <w:t>压榨油渣</w:t>
                  </w:r>
                </w:p>
              </w:tc>
              <w:tc>
                <w:tcPr>
                  <w:tcW w:w="3281" w:type="dxa"/>
                  <w:tcBorders>
                    <w:tl2br w:val="nil"/>
                    <w:tr2bl w:val="nil"/>
                  </w:tcBorders>
                  <w:vAlign w:val="center"/>
                </w:tcPr>
                <w:p w14:paraId="08D8A7F0">
                  <w:pPr>
                    <w:snapToGrid w:val="0"/>
                    <w:jc w:val="center"/>
                    <w:rPr>
                      <w:color w:val="auto"/>
                      <w:szCs w:val="21"/>
                    </w:rPr>
                  </w:pPr>
                  <w:r>
                    <w:rPr>
                      <w:rFonts w:hint="eastAsia"/>
                      <w:color w:val="auto"/>
                      <w:szCs w:val="21"/>
                    </w:rPr>
                    <w:t>外售至饲料厂</w:t>
                  </w:r>
                </w:p>
              </w:tc>
              <w:tc>
                <w:tcPr>
                  <w:tcW w:w="1255" w:type="dxa"/>
                  <w:vMerge w:val="continue"/>
                  <w:tcBorders>
                    <w:tl2br w:val="nil"/>
                    <w:tr2bl w:val="nil"/>
                  </w:tcBorders>
                  <w:vAlign w:val="center"/>
                </w:tcPr>
                <w:p w14:paraId="2C7FC12C">
                  <w:pPr>
                    <w:snapToGrid w:val="0"/>
                    <w:jc w:val="center"/>
                    <w:rPr>
                      <w:color w:val="auto"/>
                      <w:szCs w:val="21"/>
                    </w:rPr>
                  </w:pPr>
                </w:p>
              </w:tc>
            </w:tr>
            <w:tr w14:paraId="1E89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continue"/>
                  <w:tcBorders>
                    <w:tl2br w:val="nil"/>
                    <w:tr2bl w:val="nil"/>
                  </w:tcBorders>
                  <w:vAlign w:val="center"/>
                </w:tcPr>
                <w:p w14:paraId="15EF4766">
                  <w:pPr>
                    <w:snapToGrid w:val="0"/>
                    <w:jc w:val="center"/>
                    <w:rPr>
                      <w:color w:val="auto"/>
                      <w:szCs w:val="21"/>
                    </w:rPr>
                  </w:pPr>
                </w:p>
              </w:tc>
              <w:tc>
                <w:tcPr>
                  <w:tcW w:w="1320" w:type="dxa"/>
                  <w:tcBorders>
                    <w:tl2br w:val="nil"/>
                    <w:tr2bl w:val="nil"/>
                  </w:tcBorders>
                  <w:vAlign w:val="center"/>
                </w:tcPr>
                <w:p w14:paraId="79B4F9BF">
                  <w:pPr>
                    <w:snapToGrid w:val="0"/>
                    <w:jc w:val="center"/>
                    <w:rPr>
                      <w:rFonts w:hint="eastAsia" w:eastAsia="宋体"/>
                      <w:color w:val="auto"/>
                      <w:szCs w:val="21"/>
                      <w:lang w:val="en-US" w:eastAsia="zh-CN"/>
                    </w:rPr>
                  </w:pPr>
                  <w:r>
                    <w:rPr>
                      <w:rFonts w:hint="eastAsia"/>
                      <w:color w:val="auto"/>
                      <w:szCs w:val="21"/>
                    </w:rPr>
                    <w:t>脱色过滤</w:t>
                  </w:r>
                  <w:r>
                    <w:rPr>
                      <w:rFonts w:hint="eastAsia"/>
                      <w:color w:val="auto"/>
                      <w:szCs w:val="21"/>
                      <w:lang w:eastAsia="zh-CN"/>
                    </w:rPr>
                    <w:t>（</w:t>
                  </w:r>
                  <w:r>
                    <w:rPr>
                      <w:rFonts w:hint="eastAsia"/>
                      <w:color w:val="auto"/>
                      <w:szCs w:val="21"/>
                      <w:lang w:val="en-US" w:eastAsia="zh-CN"/>
                    </w:rPr>
                    <w:t>S3</w:t>
                  </w:r>
                  <w:r>
                    <w:rPr>
                      <w:rFonts w:hint="eastAsia"/>
                      <w:color w:val="auto"/>
                      <w:szCs w:val="21"/>
                      <w:lang w:eastAsia="zh-CN"/>
                    </w:rPr>
                    <w:t>）</w:t>
                  </w:r>
                </w:p>
              </w:tc>
              <w:tc>
                <w:tcPr>
                  <w:tcW w:w="1783" w:type="dxa"/>
                  <w:tcBorders>
                    <w:tl2br w:val="nil"/>
                    <w:tr2bl w:val="nil"/>
                  </w:tcBorders>
                  <w:vAlign w:val="center"/>
                </w:tcPr>
                <w:p w14:paraId="6505851A">
                  <w:pPr>
                    <w:widowControl/>
                    <w:jc w:val="center"/>
                    <w:textAlignment w:val="center"/>
                    <w:rPr>
                      <w:color w:val="auto"/>
                      <w:szCs w:val="21"/>
                    </w:rPr>
                  </w:pPr>
                  <w:r>
                    <w:rPr>
                      <w:rFonts w:hint="eastAsia"/>
                      <w:color w:val="auto"/>
                      <w:szCs w:val="21"/>
                    </w:rPr>
                    <w:t>废白土</w:t>
                  </w:r>
                </w:p>
              </w:tc>
              <w:tc>
                <w:tcPr>
                  <w:tcW w:w="3281" w:type="dxa"/>
                  <w:tcBorders>
                    <w:tl2br w:val="nil"/>
                    <w:tr2bl w:val="nil"/>
                  </w:tcBorders>
                  <w:vAlign w:val="center"/>
                </w:tcPr>
                <w:p w14:paraId="6B117B31">
                  <w:pPr>
                    <w:snapToGrid w:val="0"/>
                    <w:jc w:val="center"/>
                    <w:rPr>
                      <w:color w:val="auto"/>
                      <w:szCs w:val="21"/>
                    </w:rPr>
                  </w:pPr>
                  <w:r>
                    <w:rPr>
                      <w:rFonts w:hint="eastAsia"/>
                      <w:snapToGrid w:val="0"/>
                      <w:color w:val="auto"/>
                      <w:kern w:val="21"/>
                      <w:szCs w:val="21"/>
                    </w:rPr>
                    <w:t>由专门公司回收分离处置</w:t>
                  </w:r>
                </w:p>
              </w:tc>
              <w:tc>
                <w:tcPr>
                  <w:tcW w:w="1255" w:type="dxa"/>
                  <w:vMerge w:val="continue"/>
                  <w:tcBorders>
                    <w:tl2br w:val="nil"/>
                    <w:tr2bl w:val="nil"/>
                  </w:tcBorders>
                  <w:vAlign w:val="center"/>
                </w:tcPr>
                <w:p w14:paraId="7BC391F3">
                  <w:pPr>
                    <w:snapToGrid w:val="0"/>
                    <w:jc w:val="center"/>
                    <w:rPr>
                      <w:color w:val="auto"/>
                      <w:szCs w:val="21"/>
                    </w:rPr>
                  </w:pPr>
                </w:p>
              </w:tc>
            </w:tr>
            <w:tr w14:paraId="7967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5" w:type="dxa"/>
                  <w:vMerge w:val="continue"/>
                  <w:tcBorders>
                    <w:tl2br w:val="nil"/>
                    <w:tr2bl w:val="nil"/>
                  </w:tcBorders>
                  <w:vAlign w:val="center"/>
                </w:tcPr>
                <w:p w14:paraId="50C89D5C">
                  <w:pPr>
                    <w:snapToGrid w:val="0"/>
                    <w:jc w:val="center"/>
                    <w:rPr>
                      <w:color w:val="auto"/>
                      <w:szCs w:val="21"/>
                    </w:rPr>
                  </w:pPr>
                </w:p>
              </w:tc>
              <w:tc>
                <w:tcPr>
                  <w:tcW w:w="1320" w:type="dxa"/>
                  <w:tcBorders>
                    <w:tl2br w:val="nil"/>
                    <w:tr2bl w:val="nil"/>
                  </w:tcBorders>
                  <w:vAlign w:val="center"/>
                </w:tcPr>
                <w:p w14:paraId="4B8F0BB1">
                  <w:pPr>
                    <w:snapToGrid w:val="0"/>
                    <w:jc w:val="center"/>
                    <w:rPr>
                      <w:rFonts w:hint="default" w:eastAsia="宋体"/>
                      <w:color w:val="auto"/>
                      <w:szCs w:val="21"/>
                      <w:lang w:val="en-US" w:eastAsia="zh-CN"/>
                    </w:rPr>
                  </w:pPr>
                  <w:r>
                    <w:rPr>
                      <w:rFonts w:hint="eastAsia"/>
                      <w:color w:val="auto"/>
                      <w:szCs w:val="21"/>
                      <w:lang w:eastAsia="zh-CN"/>
                    </w:rPr>
                    <w:t>脱胶脱磷（</w:t>
                  </w:r>
                  <w:r>
                    <w:rPr>
                      <w:rFonts w:hint="eastAsia"/>
                      <w:color w:val="auto"/>
                      <w:szCs w:val="21"/>
                      <w:lang w:val="en-US" w:eastAsia="zh-CN"/>
                    </w:rPr>
                    <w:t>S4</w:t>
                  </w:r>
                  <w:r>
                    <w:rPr>
                      <w:rFonts w:hint="eastAsia"/>
                      <w:color w:val="auto"/>
                      <w:szCs w:val="21"/>
                      <w:lang w:eastAsia="zh-CN"/>
                    </w:rPr>
                    <w:t>）</w:t>
                  </w:r>
                </w:p>
              </w:tc>
              <w:tc>
                <w:tcPr>
                  <w:tcW w:w="1783" w:type="dxa"/>
                  <w:tcBorders>
                    <w:tl2br w:val="nil"/>
                    <w:tr2bl w:val="nil"/>
                  </w:tcBorders>
                  <w:vAlign w:val="center"/>
                </w:tcPr>
                <w:p w14:paraId="449CBA52">
                  <w:pPr>
                    <w:widowControl/>
                    <w:jc w:val="center"/>
                    <w:textAlignment w:val="center"/>
                    <w:rPr>
                      <w:color w:val="auto"/>
                      <w:szCs w:val="21"/>
                    </w:rPr>
                  </w:pPr>
                  <w:r>
                    <w:rPr>
                      <w:rFonts w:hint="eastAsia"/>
                      <w:color w:val="auto"/>
                      <w:szCs w:val="21"/>
                      <w:lang w:eastAsia="zh-CN"/>
                    </w:rPr>
                    <w:t>油</w:t>
                  </w:r>
                  <w:r>
                    <w:rPr>
                      <w:rFonts w:hint="eastAsia"/>
                      <w:color w:val="auto"/>
                      <w:szCs w:val="21"/>
                    </w:rPr>
                    <w:t>脚</w:t>
                  </w:r>
                </w:p>
              </w:tc>
              <w:tc>
                <w:tcPr>
                  <w:tcW w:w="3281" w:type="dxa"/>
                  <w:tcBorders>
                    <w:tl2br w:val="nil"/>
                    <w:tr2bl w:val="nil"/>
                  </w:tcBorders>
                  <w:vAlign w:val="center"/>
                </w:tcPr>
                <w:p w14:paraId="0F3B82E8">
                  <w:pPr>
                    <w:snapToGrid w:val="0"/>
                    <w:jc w:val="center"/>
                    <w:rPr>
                      <w:color w:val="auto"/>
                      <w:szCs w:val="21"/>
                    </w:rPr>
                  </w:pPr>
                  <w:r>
                    <w:rPr>
                      <w:rFonts w:hint="eastAsia"/>
                      <w:color w:val="auto"/>
                      <w:szCs w:val="21"/>
                    </w:rPr>
                    <w:t>外售至饲料厂</w:t>
                  </w:r>
                </w:p>
              </w:tc>
              <w:tc>
                <w:tcPr>
                  <w:tcW w:w="1255" w:type="dxa"/>
                  <w:vMerge w:val="continue"/>
                  <w:tcBorders>
                    <w:tl2br w:val="nil"/>
                    <w:tr2bl w:val="nil"/>
                  </w:tcBorders>
                  <w:vAlign w:val="center"/>
                </w:tcPr>
                <w:p w14:paraId="35C14295">
                  <w:pPr>
                    <w:snapToGrid w:val="0"/>
                    <w:jc w:val="center"/>
                    <w:rPr>
                      <w:color w:val="auto"/>
                      <w:szCs w:val="21"/>
                    </w:rPr>
                  </w:pPr>
                </w:p>
              </w:tc>
            </w:tr>
            <w:tr w14:paraId="0B26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5" w:type="dxa"/>
                  <w:vMerge w:val="continue"/>
                  <w:tcBorders>
                    <w:tl2br w:val="nil"/>
                    <w:tr2bl w:val="nil"/>
                  </w:tcBorders>
                  <w:vAlign w:val="center"/>
                </w:tcPr>
                <w:p w14:paraId="54AC3060">
                  <w:pPr>
                    <w:widowControl/>
                    <w:jc w:val="center"/>
                    <w:textAlignment w:val="center"/>
                    <w:rPr>
                      <w:color w:val="auto"/>
                    </w:rPr>
                  </w:pPr>
                </w:p>
              </w:tc>
              <w:tc>
                <w:tcPr>
                  <w:tcW w:w="1320" w:type="dxa"/>
                  <w:tcBorders>
                    <w:tl2br w:val="nil"/>
                    <w:tr2bl w:val="nil"/>
                  </w:tcBorders>
                  <w:vAlign w:val="center"/>
                </w:tcPr>
                <w:p w14:paraId="128EDCE7">
                  <w:pPr>
                    <w:widowControl/>
                    <w:jc w:val="center"/>
                    <w:textAlignment w:val="center"/>
                    <w:rPr>
                      <w:rFonts w:hint="default"/>
                      <w:color w:val="auto"/>
                      <w:szCs w:val="21"/>
                      <w:lang w:val="en-US" w:eastAsia="zh-CN"/>
                    </w:rPr>
                  </w:pPr>
                  <w:r>
                    <w:rPr>
                      <w:rFonts w:hint="eastAsia"/>
                      <w:color w:val="auto"/>
                      <w:szCs w:val="21"/>
                      <w:lang w:eastAsia="zh-CN"/>
                    </w:rPr>
                    <w:t>脱酸脱臭（</w:t>
                  </w:r>
                  <w:r>
                    <w:rPr>
                      <w:rFonts w:hint="eastAsia"/>
                      <w:color w:val="auto"/>
                      <w:szCs w:val="21"/>
                      <w:lang w:val="en-US" w:eastAsia="zh-CN"/>
                    </w:rPr>
                    <w:t>S5</w:t>
                  </w:r>
                  <w:r>
                    <w:rPr>
                      <w:rFonts w:hint="eastAsia"/>
                      <w:color w:val="auto"/>
                      <w:szCs w:val="21"/>
                      <w:lang w:eastAsia="zh-CN"/>
                    </w:rPr>
                    <w:t>）</w:t>
                  </w:r>
                </w:p>
              </w:tc>
              <w:tc>
                <w:tcPr>
                  <w:tcW w:w="1783" w:type="dxa"/>
                  <w:tcBorders>
                    <w:tl2br w:val="nil"/>
                    <w:tr2bl w:val="nil"/>
                  </w:tcBorders>
                  <w:vAlign w:val="center"/>
                </w:tcPr>
                <w:p w14:paraId="457D9523">
                  <w:pPr>
                    <w:widowControl/>
                    <w:jc w:val="center"/>
                    <w:textAlignment w:val="center"/>
                    <w:rPr>
                      <w:rFonts w:hint="eastAsia"/>
                      <w:color w:val="auto"/>
                      <w:szCs w:val="21"/>
                      <w:lang w:eastAsia="zh-CN"/>
                    </w:rPr>
                  </w:pPr>
                  <w:r>
                    <w:rPr>
                      <w:rFonts w:hint="eastAsia"/>
                      <w:color w:val="auto"/>
                      <w:szCs w:val="21"/>
                      <w:lang w:eastAsia="zh-CN"/>
                    </w:rPr>
                    <w:t>脂肪酸</w:t>
                  </w:r>
                </w:p>
              </w:tc>
              <w:tc>
                <w:tcPr>
                  <w:tcW w:w="3281" w:type="dxa"/>
                  <w:tcBorders>
                    <w:tl2br w:val="nil"/>
                    <w:tr2bl w:val="nil"/>
                  </w:tcBorders>
                  <w:vAlign w:val="center"/>
                </w:tcPr>
                <w:p w14:paraId="2FAA27D6">
                  <w:pPr>
                    <w:widowControl/>
                    <w:jc w:val="center"/>
                    <w:textAlignment w:val="center"/>
                    <w:rPr>
                      <w:rFonts w:hint="eastAsia"/>
                      <w:color w:val="auto"/>
                      <w:szCs w:val="21"/>
                      <w:lang w:eastAsia="zh-CN"/>
                    </w:rPr>
                  </w:pPr>
                  <w:r>
                    <w:rPr>
                      <w:rFonts w:hint="eastAsia"/>
                      <w:color w:val="auto"/>
                      <w:szCs w:val="21"/>
                      <w:lang w:eastAsia="zh-CN"/>
                    </w:rPr>
                    <w:t>外售</w:t>
                  </w:r>
                </w:p>
              </w:tc>
              <w:tc>
                <w:tcPr>
                  <w:tcW w:w="1255" w:type="dxa"/>
                  <w:vMerge w:val="continue"/>
                  <w:tcBorders>
                    <w:tl2br w:val="nil"/>
                    <w:tr2bl w:val="nil"/>
                  </w:tcBorders>
                  <w:vAlign w:val="center"/>
                </w:tcPr>
                <w:p w14:paraId="39B13021">
                  <w:pPr>
                    <w:widowControl/>
                    <w:jc w:val="center"/>
                    <w:textAlignment w:val="center"/>
                    <w:rPr>
                      <w:rFonts w:hint="eastAsia"/>
                      <w:color w:val="auto"/>
                      <w:szCs w:val="21"/>
                      <w:lang w:eastAsia="zh-CN"/>
                    </w:rPr>
                  </w:pPr>
                </w:p>
              </w:tc>
            </w:tr>
            <w:tr w14:paraId="61B4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5" w:type="dxa"/>
                  <w:vMerge w:val="continue"/>
                  <w:tcBorders>
                    <w:tl2br w:val="nil"/>
                    <w:tr2bl w:val="nil"/>
                  </w:tcBorders>
                  <w:vAlign w:val="center"/>
                </w:tcPr>
                <w:p w14:paraId="2347D406">
                  <w:pPr>
                    <w:snapToGrid w:val="0"/>
                    <w:jc w:val="center"/>
                    <w:rPr>
                      <w:color w:val="auto"/>
                      <w:szCs w:val="21"/>
                    </w:rPr>
                  </w:pPr>
                </w:p>
              </w:tc>
              <w:tc>
                <w:tcPr>
                  <w:tcW w:w="1320" w:type="dxa"/>
                  <w:tcBorders>
                    <w:tl2br w:val="nil"/>
                    <w:tr2bl w:val="nil"/>
                  </w:tcBorders>
                  <w:vAlign w:val="center"/>
                </w:tcPr>
                <w:p w14:paraId="0C9E0871">
                  <w:pPr>
                    <w:widowControl/>
                    <w:jc w:val="center"/>
                    <w:textAlignment w:val="center"/>
                    <w:rPr>
                      <w:rFonts w:hint="eastAsia"/>
                      <w:color w:val="auto"/>
                      <w:szCs w:val="21"/>
                      <w:lang w:eastAsia="zh-CN"/>
                    </w:rPr>
                  </w:pPr>
                  <w:r>
                    <w:rPr>
                      <w:rFonts w:hint="eastAsia"/>
                      <w:color w:val="auto"/>
                      <w:szCs w:val="21"/>
                      <w:lang w:eastAsia="zh-CN"/>
                    </w:rPr>
                    <w:t>布袋除尘器（</w:t>
                  </w:r>
                  <w:r>
                    <w:rPr>
                      <w:rFonts w:hint="eastAsia"/>
                      <w:color w:val="auto"/>
                      <w:szCs w:val="21"/>
                      <w:lang w:val="en-US" w:eastAsia="zh-CN"/>
                    </w:rPr>
                    <w:t>S6</w:t>
                  </w:r>
                  <w:r>
                    <w:rPr>
                      <w:rFonts w:hint="eastAsia"/>
                      <w:color w:val="auto"/>
                      <w:szCs w:val="21"/>
                      <w:lang w:eastAsia="zh-CN"/>
                    </w:rPr>
                    <w:t>）</w:t>
                  </w:r>
                </w:p>
              </w:tc>
              <w:tc>
                <w:tcPr>
                  <w:tcW w:w="1783" w:type="dxa"/>
                  <w:tcBorders>
                    <w:tl2br w:val="nil"/>
                    <w:tr2bl w:val="nil"/>
                  </w:tcBorders>
                  <w:vAlign w:val="center"/>
                </w:tcPr>
                <w:p w14:paraId="63157DBF">
                  <w:pPr>
                    <w:widowControl/>
                    <w:jc w:val="center"/>
                    <w:textAlignment w:val="center"/>
                    <w:rPr>
                      <w:rFonts w:hint="eastAsia"/>
                      <w:color w:val="auto"/>
                      <w:szCs w:val="21"/>
                      <w:lang w:eastAsia="zh-CN"/>
                    </w:rPr>
                  </w:pPr>
                  <w:r>
                    <w:rPr>
                      <w:rFonts w:hint="eastAsia"/>
                      <w:color w:val="auto"/>
                      <w:szCs w:val="21"/>
                      <w:lang w:eastAsia="zh-CN"/>
                    </w:rPr>
                    <w:t>粉尘</w:t>
                  </w:r>
                </w:p>
              </w:tc>
              <w:tc>
                <w:tcPr>
                  <w:tcW w:w="3281" w:type="dxa"/>
                  <w:vMerge w:val="restart"/>
                  <w:tcBorders>
                    <w:tl2br w:val="nil"/>
                    <w:tr2bl w:val="nil"/>
                  </w:tcBorders>
                  <w:vAlign w:val="center"/>
                </w:tcPr>
                <w:p w14:paraId="08B9E6FE">
                  <w:pPr>
                    <w:snapToGrid w:val="0"/>
                    <w:jc w:val="center"/>
                    <w:rPr>
                      <w:color w:val="auto"/>
                      <w:szCs w:val="21"/>
                    </w:rPr>
                  </w:pPr>
                  <w:r>
                    <w:rPr>
                      <w:rFonts w:hint="default" w:ascii="Times New Roman" w:hAnsi="Times New Roman" w:eastAsia="宋体" w:cs="Times New Roman"/>
                      <w:color w:val="auto"/>
                      <w:sz w:val="21"/>
                      <w:szCs w:val="21"/>
                      <w:highlight w:val="none"/>
                      <w:lang w:eastAsia="zh-CN"/>
                    </w:rPr>
                    <w:t>统一收集</w:t>
                  </w:r>
                  <w:r>
                    <w:rPr>
                      <w:rFonts w:hint="default" w:ascii="Times New Roman" w:hAnsi="Times New Roman" w:eastAsia="宋体" w:cs="Times New Roman"/>
                      <w:color w:val="auto"/>
                      <w:sz w:val="21"/>
                      <w:szCs w:val="21"/>
                      <w:highlight w:val="none"/>
                      <w:lang w:val="en-US" w:eastAsia="zh-CN"/>
                    </w:rPr>
                    <w:t>袋装后暂存于锅炉房内，定期</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val="en-US" w:eastAsia="zh-CN"/>
                    </w:rPr>
                    <w:t>给</w:t>
                  </w:r>
                  <w:r>
                    <w:rPr>
                      <w:rFonts w:hint="default" w:ascii="Times New Roman" w:hAnsi="Times New Roman" w:eastAsia="宋体" w:cs="Times New Roman"/>
                      <w:color w:val="auto"/>
                      <w:sz w:val="21"/>
                      <w:szCs w:val="21"/>
                      <w:highlight w:val="none"/>
                    </w:rPr>
                    <w:t>建材生产企业</w:t>
                  </w:r>
                  <w:r>
                    <w:rPr>
                      <w:rFonts w:hint="default" w:ascii="Times New Roman" w:hAnsi="Times New Roman" w:eastAsia="宋体" w:cs="Times New Roman"/>
                      <w:color w:val="auto"/>
                      <w:sz w:val="21"/>
                      <w:szCs w:val="21"/>
                      <w:highlight w:val="none"/>
                      <w:lang w:val="en-US" w:eastAsia="zh-CN"/>
                    </w:rPr>
                    <w:t>进行使用</w:t>
                  </w:r>
                  <w:r>
                    <w:rPr>
                      <w:rFonts w:hint="default" w:ascii="Times New Roman" w:hAnsi="Times New Roman" w:eastAsia="宋体" w:cs="Times New Roman"/>
                      <w:color w:val="auto"/>
                      <w:sz w:val="21"/>
                      <w:szCs w:val="21"/>
                      <w:highlight w:val="none"/>
                    </w:rPr>
                    <w:t>。</w:t>
                  </w:r>
                </w:p>
              </w:tc>
              <w:tc>
                <w:tcPr>
                  <w:tcW w:w="1255" w:type="dxa"/>
                  <w:vMerge w:val="continue"/>
                  <w:tcBorders>
                    <w:tl2br w:val="nil"/>
                    <w:tr2bl w:val="nil"/>
                  </w:tcBorders>
                  <w:vAlign w:val="center"/>
                </w:tcPr>
                <w:p w14:paraId="4270D6A7">
                  <w:pPr>
                    <w:snapToGrid w:val="0"/>
                    <w:jc w:val="center"/>
                    <w:rPr>
                      <w:color w:val="auto"/>
                      <w:szCs w:val="21"/>
                    </w:rPr>
                  </w:pPr>
                </w:p>
              </w:tc>
            </w:tr>
            <w:tr w14:paraId="4017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5" w:type="dxa"/>
                  <w:vMerge w:val="continue"/>
                  <w:tcBorders>
                    <w:tl2br w:val="nil"/>
                    <w:tr2bl w:val="nil"/>
                  </w:tcBorders>
                  <w:vAlign w:val="center"/>
                </w:tcPr>
                <w:p w14:paraId="05AC4F1E">
                  <w:pPr>
                    <w:widowControl/>
                    <w:jc w:val="center"/>
                    <w:textAlignment w:val="center"/>
                    <w:rPr>
                      <w:color w:val="auto"/>
                    </w:rPr>
                  </w:pPr>
                </w:p>
              </w:tc>
              <w:tc>
                <w:tcPr>
                  <w:tcW w:w="1320" w:type="dxa"/>
                  <w:tcBorders>
                    <w:tl2br w:val="nil"/>
                    <w:tr2bl w:val="nil"/>
                  </w:tcBorders>
                  <w:vAlign w:val="center"/>
                </w:tcPr>
                <w:p w14:paraId="26E54607">
                  <w:pPr>
                    <w:widowControl/>
                    <w:jc w:val="center"/>
                    <w:textAlignment w:val="center"/>
                    <w:rPr>
                      <w:rFonts w:hint="eastAsia" w:eastAsia="宋体"/>
                      <w:color w:val="auto"/>
                      <w:szCs w:val="21"/>
                      <w:lang w:eastAsia="zh-CN"/>
                    </w:rPr>
                  </w:pPr>
                  <w:r>
                    <w:rPr>
                      <w:rFonts w:hint="eastAsia"/>
                      <w:color w:val="auto"/>
                      <w:szCs w:val="21"/>
                      <w:lang w:eastAsia="zh-CN"/>
                    </w:rPr>
                    <w:t>生物质燃烧（</w:t>
                  </w:r>
                  <w:r>
                    <w:rPr>
                      <w:rFonts w:hint="eastAsia"/>
                      <w:color w:val="auto"/>
                      <w:szCs w:val="21"/>
                      <w:lang w:val="en-US" w:eastAsia="zh-CN"/>
                    </w:rPr>
                    <w:t>S7</w:t>
                  </w:r>
                  <w:r>
                    <w:rPr>
                      <w:rFonts w:hint="eastAsia"/>
                      <w:color w:val="auto"/>
                      <w:szCs w:val="21"/>
                      <w:lang w:eastAsia="zh-CN"/>
                    </w:rPr>
                    <w:t>）</w:t>
                  </w:r>
                </w:p>
              </w:tc>
              <w:tc>
                <w:tcPr>
                  <w:tcW w:w="1783" w:type="dxa"/>
                  <w:tcBorders>
                    <w:tl2br w:val="nil"/>
                    <w:tr2bl w:val="nil"/>
                  </w:tcBorders>
                  <w:vAlign w:val="center"/>
                </w:tcPr>
                <w:p w14:paraId="73D4FED4">
                  <w:pPr>
                    <w:widowControl/>
                    <w:jc w:val="center"/>
                    <w:textAlignment w:val="center"/>
                    <w:rPr>
                      <w:rFonts w:hint="eastAsia"/>
                      <w:color w:val="auto"/>
                      <w:szCs w:val="21"/>
                    </w:rPr>
                  </w:pPr>
                  <w:r>
                    <w:rPr>
                      <w:rFonts w:hint="eastAsia" w:hAnsi="Times New Roman" w:cs="Times New Roman"/>
                      <w:color w:val="auto"/>
                      <w:lang w:eastAsia="zh-CN"/>
                    </w:rPr>
                    <w:t>燃烧炉渣</w:t>
                  </w:r>
                </w:p>
              </w:tc>
              <w:tc>
                <w:tcPr>
                  <w:tcW w:w="3281" w:type="dxa"/>
                  <w:vMerge w:val="continue"/>
                  <w:tcBorders>
                    <w:tl2br w:val="nil"/>
                    <w:tr2bl w:val="nil"/>
                  </w:tcBorders>
                  <w:vAlign w:val="center"/>
                </w:tcPr>
                <w:p w14:paraId="5628839B">
                  <w:pPr>
                    <w:widowControl/>
                    <w:jc w:val="center"/>
                    <w:textAlignment w:val="center"/>
                    <w:rPr>
                      <w:color w:val="auto"/>
                      <w:szCs w:val="21"/>
                    </w:rPr>
                  </w:pPr>
                </w:p>
              </w:tc>
              <w:tc>
                <w:tcPr>
                  <w:tcW w:w="1255" w:type="dxa"/>
                  <w:vMerge w:val="continue"/>
                  <w:tcBorders>
                    <w:tl2br w:val="nil"/>
                    <w:tr2bl w:val="nil"/>
                  </w:tcBorders>
                  <w:vAlign w:val="center"/>
                </w:tcPr>
                <w:p w14:paraId="3E6DA9A3">
                  <w:pPr>
                    <w:widowControl/>
                    <w:jc w:val="center"/>
                    <w:textAlignment w:val="center"/>
                    <w:rPr>
                      <w:color w:val="auto"/>
                      <w:szCs w:val="21"/>
                    </w:rPr>
                  </w:pPr>
                </w:p>
              </w:tc>
            </w:tr>
            <w:tr w14:paraId="12DC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5" w:type="dxa"/>
                  <w:vMerge w:val="continue"/>
                  <w:tcBorders>
                    <w:tl2br w:val="nil"/>
                    <w:tr2bl w:val="nil"/>
                  </w:tcBorders>
                  <w:vAlign w:val="center"/>
                </w:tcPr>
                <w:p w14:paraId="7CBD5795">
                  <w:pPr>
                    <w:widowControl/>
                    <w:jc w:val="center"/>
                    <w:textAlignment w:val="center"/>
                    <w:rPr>
                      <w:color w:val="auto"/>
                    </w:rPr>
                  </w:pPr>
                </w:p>
              </w:tc>
              <w:tc>
                <w:tcPr>
                  <w:tcW w:w="1320" w:type="dxa"/>
                  <w:tcBorders>
                    <w:tl2br w:val="nil"/>
                    <w:tr2bl w:val="nil"/>
                  </w:tcBorders>
                  <w:vAlign w:val="center"/>
                </w:tcPr>
                <w:p w14:paraId="126EF737">
                  <w:pPr>
                    <w:widowControl/>
                    <w:jc w:val="center"/>
                    <w:textAlignment w:val="center"/>
                    <w:rPr>
                      <w:color w:val="auto"/>
                      <w:szCs w:val="21"/>
                    </w:rPr>
                  </w:pPr>
                  <w:r>
                    <w:rPr>
                      <w:rFonts w:hint="eastAsia"/>
                      <w:color w:val="auto"/>
                      <w:szCs w:val="21"/>
                    </w:rPr>
                    <w:t>职工生活</w:t>
                  </w:r>
                </w:p>
              </w:tc>
              <w:tc>
                <w:tcPr>
                  <w:tcW w:w="1783" w:type="dxa"/>
                  <w:tcBorders>
                    <w:tl2br w:val="nil"/>
                    <w:tr2bl w:val="nil"/>
                  </w:tcBorders>
                  <w:vAlign w:val="center"/>
                </w:tcPr>
                <w:p w14:paraId="6B939B51">
                  <w:pPr>
                    <w:widowControl/>
                    <w:jc w:val="center"/>
                    <w:textAlignment w:val="center"/>
                    <w:rPr>
                      <w:color w:val="auto"/>
                      <w:szCs w:val="21"/>
                    </w:rPr>
                  </w:pPr>
                  <w:r>
                    <w:rPr>
                      <w:rFonts w:hint="eastAsia"/>
                      <w:color w:val="auto"/>
                      <w:szCs w:val="21"/>
                    </w:rPr>
                    <w:t>生活垃圾</w:t>
                  </w:r>
                </w:p>
              </w:tc>
              <w:tc>
                <w:tcPr>
                  <w:tcW w:w="3281" w:type="dxa"/>
                  <w:tcBorders>
                    <w:tl2br w:val="nil"/>
                    <w:tr2bl w:val="nil"/>
                  </w:tcBorders>
                  <w:vAlign w:val="center"/>
                </w:tcPr>
                <w:p w14:paraId="4D28D864">
                  <w:pPr>
                    <w:widowControl/>
                    <w:jc w:val="center"/>
                    <w:textAlignment w:val="center"/>
                    <w:rPr>
                      <w:color w:val="auto"/>
                      <w:szCs w:val="21"/>
                    </w:rPr>
                  </w:pPr>
                  <w:r>
                    <w:rPr>
                      <w:color w:val="auto"/>
                      <w:szCs w:val="21"/>
                    </w:rPr>
                    <w:t>委托环卫部门定期清运处置</w:t>
                  </w:r>
                </w:p>
              </w:tc>
              <w:tc>
                <w:tcPr>
                  <w:tcW w:w="1255" w:type="dxa"/>
                  <w:vMerge w:val="continue"/>
                  <w:tcBorders>
                    <w:tl2br w:val="nil"/>
                    <w:tr2bl w:val="nil"/>
                  </w:tcBorders>
                  <w:vAlign w:val="center"/>
                </w:tcPr>
                <w:p w14:paraId="10461E62">
                  <w:pPr>
                    <w:widowControl/>
                    <w:jc w:val="center"/>
                    <w:textAlignment w:val="center"/>
                    <w:rPr>
                      <w:color w:val="auto"/>
                      <w:szCs w:val="21"/>
                    </w:rPr>
                  </w:pPr>
                </w:p>
              </w:tc>
            </w:tr>
            <w:tr w14:paraId="5B37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5" w:type="dxa"/>
                  <w:vMerge w:val="continue"/>
                  <w:tcBorders>
                    <w:tl2br w:val="nil"/>
                    <w:tr2bl w:val="nil"/>
                  </w:tcBorders>
                  <w:vAlign w:val="center"/>
                </w:tcPr>
                <w:p w14:paraId="095AB276">
                  <w:pPr>
                    <w:snapToGrid w:val="0"/>
                    <w:jc w:val="center"/>
                    <w:rPr>
                      <w:color w:val="auto"/>
                      <w:szCs w:val="21"/>
                    </w:rPr>
                  </w:pPr>
                </w:p>
              </w:tc>
              <w:tc>
                <w:tcPr>
                  <w:tcW w:w="1320" w:type="dxa"/>
                  <w:vMerge w:val="restart"/>
                  <w:tcBorders>
                    <w:tl2br w:val="nil"/>
                    <w:tr2bl w:val="nil"/>
                  </w:tcBorders>
                  <w:vAlign w:val="center"/>
                </w:tcPr>
                <w:p w14:paraId="6029DAE1">
                  <w:pPr>
                    <w:snapToGrid w:val="0"/>
                    <w:jc w:val="center"/>
                    <w:rPr>
                      <w:color w:val="auto"/>
                      <w:szCs w:val="21"/>
                    </w:rPr>
                  </w:pPr>
                  <w:r>
                    <w:rPr>
                      <w:rFonts w:hint="eastAsia"/>
                      <w:color w:val="auto"/>
                      <w:szCs w:val="21"/>
                      <w:lang w:eastAsia="zh-CN"/>
                    </w:rPr>
                    <w:t>污水预处理设施</w:t>
                  </w:r>
                </w:p>
              </w:tc>
              <w:tc>
                <w:tcPr>
                  <w:tcW w:w="1783" w:type="dxa"/>
                  <w:tcBorders>
                    <w:tl2br w:val="nil"/>
                    <w:tr2bl w:val="nil"/>
                  </w:tcBorders>
                  <w:vAlign w:val="center"/>
                </w:tcPr>
                <w:p w14:paraId="1D7E76BF">
                  <w:pPr>
                    <w:widowControl/>
                    <w:jc w:val="center"/>
                    <w:textAlignment w:val="center"/>
                    <w:rPr>
                      <w:color w:val="auto"/>
                      <w:szCs w:val="21"/>
                    </w:rPr>
                  </w:pPr>
                  <w:r>
                    <w:rPr>
                      <w:rFonts w:hint="eastAsia"/>
                      <w:snapToGrid w:val="0"/>
                      <w:color w:val="auto"/>
                      <w:kern w:val="21"/>
                      <w:szCs w:val="21"/>
                    </w:rPr>
                    <w:t>废油</w:t>
                  </w:r>
                </w:p>
              </w:tc>
              <w:tc>
                <w:tcPr>
                  <w:tcW w:w="3281" w:type="dxa"/>
                  <w:vMerge w:val="restart"/>
                  <w:tcBorders>
                    <w:tl2br w:val="nil"/>
                    <w:tr2bl w:val="nil"/>
                  </w:tcBorders>
                  <w:vAlign w:val="center"/>
                </w:tcPr>
                <w:p w14:paraId="08BF716A">
                  <w:pPr>
                    <w:snapToGrid w:val="0"/>
                    <w:jc w:val="center"/>
                    <w:rPr>
                      <w:color w:val="auto"/>
                      <w:szCs w:val="21"/>
                    </w:rPr>
                  </w:pPr>
                  <w:r>
                    <w:rPr>
                      <w:color w:val="auto"/>
                      <w:szCs w:val="21"/>
                    </w:rPr>
                    <w:t>定期委托有资质的单位进行处置</w:t>
                  </w:r>
                </w:p>
              </w:tc>
              <w:tc>
                <w:tcPr>
                  <w:tcW w:w="1255" w:type="dxa"/>
                  <w:vMerge w:val="continue"/>
                  <w:tcBorders>
                    <w:tl2br w:val="nil"/>
                    <w:tr2bl w:val="nil"/>
                  </w:tcBorders>
                  <w:vAlign w:val="center"/>
                </w:tcPr>
                <w:p w14:paraId="74746E88">
                  <w:pPr>
                    <w:snapToGrid w:val="0"/>
                    <w:jc w:val="center"/>
                    <w:rPr>
                      <w:color w:val="auto"/>
                      <w:szCs w:val="21"/>
                    </w:rPr>
                  </w:pPr>
                </w:p>
              </w:tc>
            </w:tr>
            <w:tr w14:paraId="2BD7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55" w:type="dxa"/>
                  <w:vMerge w:val="continue"/>
                  <w:tcBorders>
                    <w:tl2br w:val="nil"/>
                    <w:tr2bl w:val="nil"/>
                  </w:tcBorders>
                  <w:vAlign w:val="center"/>
                </w:tcPr>
                <w:p w14:paraId="358491F6">
                  <w:pPr>
                    <w:widowControl/>
                    <w:jc w:val="center"/>
                    <w:textAlignment w:val="center"/>
                    <w:rPr>
                      <w:color w:val="auto"/>
                    </w:rPr>
                  </w:pPr>
                </w:p>
              </w:tc>
              <w:tc>
                <w:tcPr>
                  <w:tcW w:w="1320" w:type="dxa"/>
                  <w:vMerge w:val="continue"/>
                  <w:tcBorders>
                    <w:tl2br w:val="nil"/>
                    <w:tr2bl w:val="nil"/>
                  </w:tcBorders>
                  <w:vAlign w:val="center"/>
                </w:tcPr>
                <w:p w14:paraId="7ADE5F49">
                  <w:pPr>
                    <w:widowControl/>
                    <w:jc w:val="center"/>
                    <w:textAlignment w:val="center"/>
                    <w:rPr>
                      <w:rFonts w:hint="eastAsia"/>
                      <w:color w:val="auto"/>
                      <w:szCs w:val="21"/>
                      <w:lang w:eastAsia="zh-CN"/>
                    </w:rPr>
                  </w:pPr>
                </w:p>
              </w:tc>
              <w:tc>
                <w:tcPr>
                  <w:tcW w:w="1783" w:type="dxa"/>
                  <w:tcBorders>
                    <w:tl2br w:val="nil"/>
                    <w:tr2bl w:val="nil"/>
                  </w:tcBorders>
                  <w:vAlign w:val="center"/>
                </w:tcPr>
                <w:p w14:paraId="3A578994">
                  <w:pPr>
                    <w:widowControl/>
                    <w:jc w:val="center"/>
                    <w:textAlignment w:val="center"/>
                    <w:rPr>
                      <w:rFonts w:hint="eastAsia"/>
                      <w:color w:val="auto"/>
                      <w:szCs w:val="21"/>
                      <w:lang w:eastAsia="zh-CN"/>
                    </w:rPr>
                  </w:pPr>
                  <w:r>
                    <w:rPr>
                      <w:rFonts w:hint="eastAsia"/>
                      <w:color w:val="auto"/>
                      <w:szCs w:val="21"/>
                      <w:lang w:eastAsia="zh-CN"/>
                    </w:rPr>
                    <w:t>污泥</w:t>
                  </w:r>
                </w:p>
              </w:tc>
              <w:tc>
                <w:tcPr>
                  <w:tcW w:w="3281" w:type="dxa"/>
                  <w:vMerge w:val="continue"/>
                  <w:tcBorders>
                    <w:tl2br w:val="nil"/>
                    <w:tr2bl w:val="nil"/>
                  </w:tcBorders>
                  <w:vAlign w:val="center"/>
                </w:tcPr>
                <w:p w14:paraId="42FB80A5">
                  <w:pPr>
                    <w:widowControl/>
                    <w:jc w:val="center"/>
                    <w:textAlignment w:val="center"/>
                    <w:rPr>
                      <w:rFonts w:hint="eastAsia"/>
                      <w:color w:val="auto"/>
                      <w:szCs w:val="21"/>
                      <w:lang w:eastAsia="zh-CN"/>
                    </w:rPr>
                  </w:pPr>
                </w:p>
              </w:tc>
              <w:tc>
                <w:tcPr>
                  <w:tcW w:w="1255" w:type="dxa"/>
                  <w:vMerge w:val="continue"/>
                  <w:tcBorders>
                    <w:tl2br w:val="nil"/>
                    <w:tr2bl w:val="nil"/>
                  </w:tcBorders>
                  <w:vAlign w:val="center"/>
                </w:tcPr>
                <w:p w14:paraId="2A66C5A8">
                  <w:pPr>
                    <w:widowControl/>
                    <w:jc w:val="center"/>
                    <w:textAlignment w:val="center"/>
                    <w:rPr>
                      <w:rFonts w:hint="eastAsia"/>
                      <w:color w:val="auto"/>
                      <w:szCs w:val="21"/>
                      <w:lang w:eastAsia="zh-CN"/>
                    </w:rPr>
                  </w:pPr>
                </w:p>
              </w:tc>
            </w:tr>
            <w:tr w14:paraId="15EE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655" w:type="dxa"/>
                  <w:vMerge w:val="continue"/>
                  <w:tcBorders>
                    <w:tl2br w:val="nil"/>
                    <w:tr2bl w:val="nil"/>
                  </w:tcBorders>
                  <w:vAlign w:val="center"/>
                </w:tcPr>
                <w:p w14:paraId="0A4251FD">
                  <w:pPr>
                    <w:widowControl/>
                    <w:jc w:val="center"/>
                    <w:textAlignment w:val="center"/>
                    <w:rPr>
                      <w:color w:val="auto"/>
                    </w:rPr>
                  </w:pPr>
                </w:p>
              </w:tc>
              <w:tc>
                <w:tcPr>
                  <w:tcW w:w="1320" w:type="dxa"/>
                  <w:tcBorders>
                    <w:tl2br w:val="nil"/>
                    <w:tr2bl w:val="nil"/>
                  </w:tcBorders>
                  <w:vAlign w:val="center"/>
                </w:tcPr>
                <w:p w14:paraId="37D35336">
                  <w:pPr>
                    <w:snapToGrid w:val="0"/>
                    <w:jc w:val="center"/>
                    <w:rPr>
                      <w:rFonts w:hint="eastAsia" w:eastAsia="宋体"/>
                      <w:color w:val="auto"/>
                      <w:szCs w:val="21"/>
                      <w:lang w:eastAsia="zh-CN"/>
                    </w:rPr>
                  </w:pPr>
                  <w:r>
                    <w:rPr>
                      <w:rFonts w:hint="eastAsia"/>
                      <w:color w:val="auto"/>
                      <w:szCs w:val="21"/>
                    </w:rPr>
                    <w:t>导热油炉</w:t>
                  </w:r>
                  <w:r>
                    <w:rPr>
                      <w:rFonts w:hint="eastAsia"/>
                      <w:color w:val="auto"/>
                      <w:szCs w:val="21"/>
                      <w:lang w:eastAsia="zh-CN"/>
                    </w:rPr>
                    <w:t>（</w:t>
                  </w:r>
                  <w:r>
                    <w:rPr>
                      <w:rFonts w:hint="eastAsia"/>
                      <w:color w:val="auto"/>
                      <w:szCs w:val="21"/>
                      <w:lang w:val="en-US" w:eastAsia="zh-CN"/>
                    </w:rPr>
                    <w:t>S8</w:t>
                  </w:r>
                  <w:r>
                    <w:rPr>
                      <w:rFonts w:hint="eastAsia"/>
                      <w:color w:val="auto"/>
                      <w:szCs w:val="21"/>
                      <w:lang w:eastAsia="zh-CN"/>
                    </w:rPr>
                    <w:t>）</w:t>
                  </w:r>
                </w:p>
              </w:tc>
              <w:tc>
                <w:tcPr>
                  <w:tcW w:w="1783" w:type="dxa"/>
                  <w:tcBorders>
                    <w:tl2br w:val="nil"/>
                    <w:tr2bl w:val="nil"/>
                  </w:tcBorders>
                  <w:vAlign w:val="center"/>
                </w:tcPr>
                <w:p w14:paraId="00B3007D">
                  <w:pPr>
                    <w:widowControl/>
                    <w:jc w:val="center"/>
                    <w:textAlignment w:val="center"/>
                    <w:rPr>
                      <w:rFonts w:hint="eastAsia"/>
                      <w:color w:val="auto"/>
                      <w:szCs w:val="21"/>
                    </w:rPr>
                  </w:pPr>
                  <w:r>
                    <w:rPr>
                      <w:rFonts w:hint="eastAsia"/>
                      <w:snapToGrid w:val="0"/>
                      <w:color w:val="auto"/>
                      <w:kern w:val="21"/>
                      <w:szCs w:val="21"/>
                    </w:rPr>
                    <w:t>废导热油</w:t>
                  </w:r>
                </w:p>
              </w:tc>
              <w:tc>
                <w:tcPr>
                  <w:tcW w:w="3281" w:type="dxa"/>
                  <w:vMerge w:val="restart"/>
                  <w:tcBorders>
                    <w:tl2br w:val="nil"/>
                    <w:tr2bl w:val="nil"/>
                  </w:tcBorders>
                  <w:vAlign w:val="center"/>
                </w:tcPr>
                <w:p w14:paraId="084CB192">
                  <w:pPr>
                    <w:widowControl/>
                    <w:jc w:val="center"/>
                    <w:textAlignment w:val="center"/>
                    <w:rPr>
                      <w:rFonts w:hint="eastAsia"/>
                      <w:color w:val="auto"/>
                      <w:szCs w:val="21"/>
                    </w:rPr>
                  </w:pPr>
                  <w:r>
                    <w:rPr>
                      <w:color w:val="auto"/>
                      <w:szCs w:val="21"/>
                    </w:rPr>
                    <w:t>定期委托有资质的单位进行清运、处置</w:t>
                  </w:r>
                </w:p>
              </w:tc>
              <w:tc>
                <w:tcPr>
                  <w:tcW w:w="1255" w:type="dxa"/>
                  <w:vMerge w:val="continue"/>
                  <w:tcBorders>
                    <w:tl2br w:val="nil"/>
                    <w:tr2bl w:val="nil"/>
                  </w:tcBorders>
                  <w:vAlign w:val="center"/>
                </w:tcPr>
                <w:p w14:paraId="7F026DA7">
                  <w:pPr>
                    <w:widowControl/>
                    <w:jc w:val="center"/>
                    <w:textAlignment w:val="center"/>
                    <w:rPr>
                      <w:rFonts w:hint="eastAsia"/>
                      <w:color w:val="auto"/>
                      <w:szCs w:val="21"/>
                    </w:rPr>
                  </w:pPr>
                </w:p>
              </w:tc>
            </w:tr>
            <w:tr w14:paraId="644C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dxa"/>
                  <w:vMerge w:val="continue"/>
                  <w:tcBorders>
                    <w:tl2br w:val="nil"/>
                    <w:tr2bl w:val="nil"/>
                  </w:tcBorders>
                  <w:vAlign w:val="center"/>
                </w:tcPr>
                <w:p w14:paraId="59E6FC8F">
                  <w:pPr>
                    <w:snapToGrid w:val="0"/>
                    <w:jc w:val="center"/>
                    <w:rPr>
                      <w:color w:val="auto"/>
                      <w:szCs w:val="21"/>
                    </w:rPr>
                  </w:pPr>
                </w:p>
              </w:tc>
              <w:tc>
                <w:tcPr>
                  <w:tcW w:w="1320" w:type="dxa"/>
                  <w:tcBorders>
                    <w:tl2br w:val="nil"/>
                    <w:tr2bl w:val="nil"/>
                  </w:tcBorders>
                  <w:vAlign w:val="center"/>
                </w:tcPr>
                <w:p w14:paraId="56101D90">
                  <w:pPr>
                    <w:snapToGrid w:val="0"/>
                    <w:jc w:val="center"/>
                    <w:rPr>
                      <w:color w:val="auto"/>
                      <w:szCs w:val="21"/>
                    </w:rPr>
                  </w:pPr>
                  <w:r>
                    <w:rPr>
                      <w:color w:val="auto"/>
                      <w:szCs w:val="21"/>
                    </w:rPr>
                    <w:t>机修</w:t>
                  </w:r>
                </w:p>
              </w:tc>
              <w:tc>
                <w:tcPr>
                  <w:tcW w:w="1783" w:type="dxa"/>
                  <w:tcBorders>
                    <w:tl2br w:val="nil"/>
                    <w:tr2bl w:val="nil"/>
                  </w:tcBorders>
                  <w:vAlign w:val="center"/>
                </w:tcPr>
                <w:p w14:paraId="18FA74B7">
                  <w:pPr>
                    <w:widowControl/>
                    <w:jc w:val="center"/>
                    <w:textAlignment w:val="center"/>
                    <w:rPr>
                      <w:color w:val="auto"/>
                      <w:szCs w:val="21"/>
                    </w:rPr>
                  </w:pPr>
                  <w:r>
                    <w:rPr>
                      <w:snapToGrid w:val="0"/>
                      <w:color w:val="auto"/>
                      <w:kern w:val="21"/>
                      <w:szCs w:val="21"/>
                    </w:rPr>
                    <w:t>废机油</w:t>
                  </w:r>
                </w:p>
              </w:tc>
              <w:tc>
                <w:tcPr>
                  <w:tcW w:w="3281" w:type="dxa"/>
                  <w:vMerge w:val="continue"/>
                  <w:tcBorders>
                    <w:tl2br w:val="nil"/>
                    <w:tr2bl w:val="nil"/>
                  </w:tcBorders>
                  <w:vAlign w:val="center"/>
                </w:tcPr>
                <w:p w14:paraId="2B20FAF4">
                  <w:pPr>
                    <w:snapToGrid w:val="0"/>
                    <w:jc w:val="center"/>
                    <w:rPr>
                      <w:color w:val="auto"/>
                      <w:szCs w:val="21"/>
                    </w:rPr>
                  </w:pPr>
                </w:p>
              </w:tc>
              <w:tc>
                <w:tcPr>
                  <w:tcW w:w="1255" w:type="dxa"/>
                  <w:vMerge w:val="continue"/>
                  <w:tcBorders>
                    <w:tl2br w:val="nil"/>
                    <w:tr2bl w:val="nil"/>
                  </w:tcBorders>
                  <w:vAlign w:val="center"/>
                </w:tcPr>
                <w:p w14:paraId="61F25837">
                  <w:pPr>
                    <w:snapToGrid w:val="0"/>
                    <w:jc w:val="center"/>
                    <w:rPr>
                      <w:color w:val="auto"/>
                      <w:szCs w:val="21"/>
                    </w:rPr>
                  </w:pPr>
                </w:p>
              </w:tc>
            </w:tr>
            <w:tr w14:paraId="6176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5" w:type="dxa"/>
                  <w:vMerge w:val="restart"/>
                  <w:tcBorders>
                    <w:tl2br w:val="nil"/>
                    <w:tr2bl w:val="nil"/>
                  </w:tcBorders>
                  <w:vAlign w:val="center"/>
                </w:tcPr>
                <w:p w14:paraId="2DCC6CB2">
                  <w:pPr>
                    <w:snapToGrid w:val="0"/>
                    <w:jc w:val="center"/>
                    <w:rPr>
                      <w:color w:val="auto"/>
                      <w:szCs w:val="21"/>
                    </w:rPr>
                  </w:pPr>
                  <w:r>
                    <w:rPr>
                      <w:color w:val="auto"/>
                      <w:szCs w:val="21"/>
                    </w:rPr>
                    <w:t>噪声</w:t>
                  </w:r>
                </w:p>
              </w:tc>
              <w:tc>
                <w:tcPr>
                  <w:tcW w:w="1320" w:type="dxa"/>
                  <w:tcBorders>
                    <w:tl2br w:val="nil"/>
                    <w:tr2bl w:val="nil"/>
                  </w:tcBorders>
                  <w:vAlign w:val="center"/>
                </w:tcPr>
                <w:p w14:paraId="7EF30F36">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rPr>
                    <w:t>生产工序</w:t>
                  </w:r>
                </w:p>
              </w:tc>
              <w:tc>
                <w:tcPr>
                  <w:tcW w:w="1783" w:type="dxa"/>
                  <w:tcBorders>
                    <w:tl2br w:val="nil"/>
                    <w:tr2bl w:val="nil"/>
                  </w:tcBorders>
                  <w:vAlign w:val="center"/>
                </w:tcPr>
                <w:p w14:paraId="03CA4BBB">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rPr>
                    <w:t>设备噪声</w:t>
                  </w:r>
                </w:p>
              </w:tc>
              <w:tc>
                <w:tcPr>
                  <w:tcW w:w="3281" w:type="dxa"/>
                  <w:tcBorders>
                    <w:tl2br w:val="nil"/>
                    <w:tr2bl w:val="nil"/>
                  </w:tcBorders>
                  <w:vAlign w:val="center"/>
                </w:tcPr>
                <w:p w14:paraId="65C0A71B">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1255" w:type="dxa"/>
                  <w:tcBorders>
                    <w:tl2br w:val="nil"/>
                    <w:tr2bl w:val="nil"/>
                  </w:tcBorders>
                  <w:vAlign w:val="center"/>
                </w:tcPr>
                <w:p w14:paraId="325EDE8C">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rPr>
                    <w:t>连续</w:t>
                  </w:r>
                </w:p>
              </w:tc>
            </w:tr>
            <w:tr w14:paraId="0B67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55" w:type="dxa"/>
                  <w:vMerge w:val="continue"/>
                  <w:tcBorders>
                    <w:tl2br w:val="nil"/>
                    <w:tr2bl w:val="nil"/>
                  </w:tcBorders>
                  <w:vAlign w:val="center"/>
                </w:tcPr>
                <w:p w14:paraId="7DAEA311">
                  <w:pPr>
                    <w:snapToGrid w:val="0"/>
                    <w:jc w:val="center"/>
                    <w:rPr>
                      <w:color w:val="auto"/>
                      <w:szCs w:val="21"/>
                    </w:rPr>
                  </w:pPr>
                </w:p>
              </w:tc>
              <w:tc>
                <w:tcPr>
                  <w:tcW w:w="1320" w:type="dxa"/>
                  <w:tcBorders>
                    <w:tl2br w:val="nil"/>
                    <w:tr2bl w:val="nil"/>
                  </w:tcBorders>
                  <w:vAlign w:val="center"/>
                </w:tcPr>
                <w:p w14:paraId="4863A529">
                  <w:pPr>
                    <w:keepNext w:val="0"/>
                    <w:keepLines w:val="0"/>
                    <w:widowControl w:val="0"/>
                    <w:suppressLineNumbers w:val="0"/>
                    <w:spacing w:before="0" w:beforeAutospacing="0" w:after="0" w:afterAutospacing="0"/>
                    <w:ind w:left="0" w:leftChars="0" w:right="0" w:rightChars="0"/>
                    <w:jc w:val="center"/>
                    <w:rPr>
                      <w:rFonts w:hint="eastAsia"/>
                      <w:color w:val="auto"/>
                      <w:szCs w:val="21"/>
                    </w:rPr>
                  </w:pPr>
                  <w:r>
                    <w:rPr>
                      <w:rFonts w:hint="default" w:ascii="Times New Roman" w:hAnsi="Times New Roman" w:eastAsia="宋体" w:cs="Times New Roman"/>
                      <w:color w:val="auto"/>
                      <w:sz w:val="21"/>
                      <w:szCs w:val="21"/>
                      <w:highlight w:val="none"/>
                    </w:rPr>
                    <w:t>人员活动</w:t>
                  </w:r>
                </w:p>
              </w:tc>
              <w:tc>
                <w:tcPr>
                  <w:tcW w:w="1783" w:type="dxa"/>
                  <w:tcBorders>
                    <w:tl2br w:val="nil"/>
                    <w:tr2bl w:val="nil"/>
                  </w:tcBorders>
                  <w:vAlign w:val="center"/>
                </w:tcPr>
                <w:p w14:paraId="6378B2C9">
                  <w:pPr>
                    <w:keepNext w:val="0"/>
                    <w:keepLines w:val="0"/>
                    <w:widowControl w:val="0"/>
                    <w:suppressLineNumbers w:val="0"/>
                    <w:spacing w:before="0" w:beforeAutospacing="0" w:after="0" w:afterAutospacing="0"/>
                    <w:ind w:left="0" w:leftChars="0" w:right="0" w:rightChars="0"/>
                    <w:jc w:val="center"/>
                    <w:rPr>
                      <w:rFonts w:hint="eastAsia"/>
                      <w:color w:val="auto"/>
                      <w:szCs w:val="21"/>
                    </w:rPr>
                  </w:pPr>
                  <w:r>
                    <w:rPr>
                      <w:rFonts w:hint="default" w:ascii="Times New Roman" w:hAnsi="Times New Roman" w:eastAsia="宋体" w:cs="Times New Roman"/>
                      <w:color w:val="auto"/>
                      <w:sz w:val="21"/>
                      <w:szCs w:val="21"/>
                      <w:highlight w:val="none"/>
                    </w:rPr>
                    <w:t>社会生活噪声</w:t>
                  </w:r>
                </w:p>
              </w:tc>
              <w:tc>
                <w:tcPr>
                  <w:tcW w:w="3281" w:type="dxa"/>
                  <w:tcBorders>
                    <w:tl2br w:val="nil"/>
                    <w:tr2bl w:val="nil"/>
                  </w:tcBorders>
                  <w:vAlign w:val="center"/>
                </w:tcPr>
                <w:p w14:paraId="23E3D94B">
                  <w:pPr>
                    <w:keepNext w:val="0"/>
                    <w:keepLines w:val="0"/>
                    <w:widowControl w:val="0"/>
                    <w:suppressLineNumbers w:val="0"/>
                    <w:spacing w:before="0" w:beforeAutospacing="0" w:after="0" w:afterAutospacing="0"/>
                    <w:ind w:left="0" w:leftChars="0" w:right="0" w:rightChars="0"/>
                    <w:jc w:val="center"/>
                    <w:rPr>
                      <w:rFonts w:hint="eastAsia"/>
                      <w:color w:val="auto"/>
                      <w:szCs w:val="21"/>
                    </w:rPr>
                  </w:pPr>
                  <w:r>
                    <w:rPr>
                      <w:rFonts w:hint="default" w:ascii="Times New Roman" w:hAnsi="Times New Roman" w:eastAsia="宋体" w:cs="Times New Roman"/>
                      <w:color w:val="auto"/>
                      <w:sz w:val="21"/>
                      <w:szCs w:val="21"/>
                      <w:highlight w:val="none"/>
                    </w:rPr>
                    <w:t>距离衰减</w:t>
                  </w:r>
                </w:p>
              </w:tc>
              <w:tc>
                <w:tcPr>
                  <w:tcW w:w="1255" w:type="dxa"/>
                  <w:tcBorders>
                    <w:tl2br w:val="nil"/>
                    <w:tr2bl w:val="nil"/>
                  </w:tcBorders>
                  <w:vAlign w:val="center"/>
                </w:tcPr>
                <w:p w14:paraId="2301C3DA">
                  <w:pPr>
                    <w:keepNext w:val="0"/>
                    <w:keepLines w:val="0"/>
                    <w:widowControl w:val="0"/>
                    <w:suppressLineNumbers w:val="0"/>
                    <w:spacing w:before="0" w:beforeAutospacing="0" w:after="0" w:afterAutospacing="0"/>
                    <w:ind w:left="0" w:leftChars="0" w:right="0" w:rightChars="0"/>
                    <w:jc w:val="center"/>
                    <w:rPr>
                      <w:color w:val="auto"/>
                      <w:szCs w:val="21"/>
                    </w:rPr>
                  </w:pPr>
                  <w:r>
                    <w:rPr>
                      <w:rFonts w:hint="default" w:ascii="Times New Roman" w:hAnsi="Times New Roman" w:eastAsia="宋体" w:cs="Times New Roman"/>
                      <w:color w:val="auto"/>
                      <w:sz w:val="21"/>
                      <w:szCs w:val="21"/>
                      <w:highlight w:val="none"/>
                      <w:lang w:eastAsia="zh-CN"/>
                    </w:rPr>
                    <w:t>间断</w:t>
                  </w:r>
                </w:p>
              </w:tc>
            </w:tr>
          </w:tbl>
          <w:p w14:paraId="382611D2">
            <w:pPr>
              <w:widowControl w:val="0"/>
              <w:jc w:val="center"/>
              <w:rPr>
                <w:rFonts w:hint="default" w:ascii="Times New Roman" w:hAnsi="Times New Roman" w:eastAsia="宋体" w:cs="Times New Roman"/>
                <w:b/>
                <w:bCs/>
                <w:color w:val="auto"/>
                <w:sz w:val="21"/>
                <w:szCs w:val="21"/>
                <w:highlight w:val="none"/>
                <w:lang w:val="en-US" w:eastAsia="zh-CN"/>
              </w:rPr>
            </w:pPr>
          </w:p>
        </w:tc>
      </w:tr>
      <w:tr w14:paraId="72066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14:paraId="6755C13D">
            <w:pPr>
              <w:pStyle w:val="23"/>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55" w:type="dxa"/>
            <w:vAlign w:val="top"/>
          </w:tcPr>
          <w:p w14:paraId="3A61B19F">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本项目位于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云南寻甸产业园区羊街片区非烟轻工产</w:t>
            </w:r>
            <w:r>
              <w:rPr>
                <w:rFonts w:hint="eastAsia" w:cs="Times New Roman"/>
                <w:b w:val="0"/>
                <w:bCs w:val="0"/>
                <w:color w:val="auto"/>
                <w:kern w:val="0"/>
                <w:sz w:val="24"/>
                <w:szCs w:val="24"/>
                <w:highlight w:val="none"/>
                <w:lang w:val="en-US" w:eastAsia="zh-CN" w:bidi="ar"/>
              </w:rPr>
              <w:t>业园</w:t>
            </w:r>
            <w:r>
              <w:rPr>
                <w:rFonts w:hint="default" w:ascii="Times New Roman" w:hAnsi="Times New Roman" w:eastAsia="宋体" w:cs="Times New Roman"/>
                <w:b w:val="0"/>
                <w:bCs w:val="0"/>
                <w:color w:val="auto"/>
                <w:kern w:val="0"/>
                <w:sz w:val="24"/>
                <w:szCs w:val="24"/>
                <w:highlight w:val="none"/>
                <w:lang w:val="en-US" w:eastAsia="zh-CN" w:bidi="ar"/>
              </w:rPr>
              <w:t>区内，</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征</w:t>
            </w:r>
            <w:r>
              <w:rPr>
                <w:rFonts w:hint="default" w:ascii="Times New Roman" w:hAnsi="Times New Roman" w:eastAsia="宋体" w:cs="Times New Roman"/>
                <w:color w:val="auto"/>
                <w:sz w:val="24"/>
                <w:szCs w:val="24"/>
              </w:rPr>
              <w:t>用</w:t>
            </w:r>
            <w:r>
              <w:rPr>
                <w:rFonts w:hint="default" w:ascii="Times New Roman" w:hAnsi="Times New Roman" w:eastAsia="宋体" w:cs="Times New Roman"/>
                <w:color w:val="auto"/>
                <w:sz w:val="24"/>
                <w:szCs w:val="24"/>
                <w:lang w:eastAsia="zh-CN"/>
              </w:rPr>
              <w:t>空地进行建设，为新建项目，因此</w:t>
            </w:r>
            <w:r>
              <w:rPr>
                <w:rFonts w:hint="default" w:ascii="Times New Roman" w:hAnsi="Times New Roman" w:eastAsia="宋体" w:cs="Times New Roman"/>
                <w:color w:val="auto"/>
                <w:sz w:val="24"/>
                <w:szCs w:val="24"/>
              </w:rPr>
              <w:t>不存在</w:t>
            </w:r>
            <w:r>
              <w:rPr>
                <w:rFonts w:hint="default" w:ascii="Times New Roman" w:hAnsi="Times New Roman" w:eastAsia="宋体" w:cs="Times New Roman"/>
                <w:color w:val="auto"/>
                <w:sz w:val="24"/>
                <w:szCs w:val="24"/>
                <w:lang w:val="zh-CN"/>
              </w:rPr>
              <w:t>与本项目有关的原有环境污染问题</w:t>
            </w:r>
            <w:r>
              <w:rPr>
                <w:rFonts w:hint="default" w:ascii="Times New Roman" w:hAnsi="Times New Roman" w:eastAsia="宋体" w:cs="Times New Roman"/>
                <w:color w:val="auto"/>
                <w:sz w:val="24"/>
                <w:szCs w:val="24"/>
              </w:rPr>
              <w:t>。</w:t>
            </w:r>
          </w:p>
          <w:p w14:paraId="3CD5B4C4">
            <w:pPr>
              <w:pStyle w:val="25"/>
              <w:rPr>
                <w:rFonts w:hint="default" w:ascii="Times New Roman" w:hAnsi="Times New Roman" w:eastAsia="宋体" w:cs="Times New Roman"/>
                <w:color w:val="auto"/>
                <w:sz w:val="24"/>
                <w:szCs w:val="24"/>
              </w:rPr>
            </w:pPr>
          </w:p>
          <w:p w14:paraId="0C7E0F5B">
            <w:pPr>
              <w:pStyle w:val="24"/>
              <w:rPr>
                <w:rFonts w:hint="default" w:ascii="Times New Roman" w:hAnsi="Times New Roman" w:eastAsia="宋体" w:cs="Times New Roman"/>
                <w:color w:val="auto"/>
                <w:sz w:val="24"/>
                <w:szCs w:val="24"/>
              </w:rPr>
            </w:pPr>
          </w:p>
          <w:p w14:paraId="12748C5E">
            <w:pPr>
              <w:rPr>
                <w:rFonts w:hint="default" w:ascii="Times New Roman" w:hAnsi="Times New Roman" w:eastAsia="宋体" w:cs="Times New Roman"/>
                <w:color w:val="auto"/>
                <w:sz w:val="24"/>
                <w:szCs w:val="24"/>
              </w:rPr>
            </w:pPr>
          </w:p>
          <w:p w14:paraId="34234FBC">
            <w:pPr>
              <w:pStyle w:val="25"/>
              <w:rPr>
                <w:rFonts w:hint="default" w:ascii="Times New Roman" w:hAnsi="Times New Roman" w:eastAsia="宋体" w:cs="Times New Roman"/>
                <w:color w:val="auto"/>
                <w:sz w:val="24"/>
                <w:szCs w:val="24"/>
              </w:rPr>
            </w:pPr>
          </w:p>
          <w:p w14:paraId="46F87BE9">
            <w:pPr>
              <w:pStyle w:val="24"/>
              <w:rPr>
                <w:rFonts w:hint="default" w:ascii="Times New Roman" w:hAnsi="Times New Roman" w:eastAsia="宋体" w:cs="Times New Roman"/>
                <w:color w:val="auto"/>
                <w:sz w:val="24"/>
                <w:szCs w:val="24"/>
              </w:rPr>
            </w:pPr>
          </w:p>
          <w:p w14:paraId="00551971">
            <w:pPr>
              <w:rPr>
                <w:rFonts w:hint="default" w:ascii="Times New Roman" w:hAnsi="Times New Roman" w:eastAsia="宋体" w:cs="Times New Roman"/>
                <w:color w:val="auto"/>
                <w:sz w:val="24"/>
                <w:szCs w:val="24"/>
              </w:rPr>
            </w:pPr>
          </w:p>
          <w:p w14:paraId="5FF43F6A">
            <w:pPr>
              <w:pStyle w:val="25"/>
              <w:rPr>
                <w:rFonts w:hint="default" w:ascii="Times New Roman" w:hAnsi="Times New Roman" w:eastAsia="宋体" w:cs="Times New Roman"/>
                <w:color w:val="auto"/>
                <w:sz w:val="24"/>
                <w:szCs w:val="24"/>
              </w:rPr>
            </w:pPr>
          </w:p>
          <w:p w14:paraId="71D20CCA">
            <w:pPr>
              <w:pStyle w:val="24"/>
              <w:rPr>
                <w:rFonts w:hint="default" w:ascii="Times New Roman" w:hAnsi="Times New Roman" w:eastAsia="宋体" w:cs="Times New Roman"/>
                <w:color w:val="auto"/>
                <w:sz w:val="24"/>
                <w:szCs w:val="24"/>
              </w:rPr>
            </w:pPr>
          </w:p>
          <w:p w14:paraId="0347D041">
            <w:pPr>
              <w:rPr>
                <w:rFonts w:hint="default" w:ascii="Times New Roman" w:hAnsi="Times New Roman" w:eastAsia="宋体" w:cs="Times New Roman"/>
                <w:color w:val="auto"/>
                <w:sz w:val="24"/>
                <w:szCs w:val="24"/>
              </w:rPr>
            </w:pPr>
          </w:p>
          <w:p w14:paraId="15229A62">
            <w:pPr>
              <w:pStyle w:val="25"/>
              <w:rPr>
                <w:rFonts w:hint="default" w:ascii="Times New Roman" w:hAnsi="Times New Roman" w:eastAsia="宋体" w:cs="Times New Roman"/>
                <w:color w:val="auto"/>
                <w:sz w:val="24"/>
                <w:szCs w:val="24"/>
              </w:rPr>
            </w:pPr>
          </w:p>
          <w:p w14:paraId="1CA9A71C">
            <w:pPr>
              <w:pStyle w:val="24"/>
              <w:rPr>
                <w:rFonts w:hint="default" w:ascii="Times New Roman" w:hAnsi="Times New Roman" w:eastAsia="宋体" w:cs="Times New Roman"/>
                <w:color w:val="auto"/>
                <w:sz w:val="24"/>
                <w:szCs w:val="24"/>
              </w:rPr>
            </w:pPr>
          </w:p>
          <w:p w14:paraId="7F72EE96">
            <w:pPr>
              <w:rPr>
                <w:rFonts w:hint="default" w:ascii="Times New Roman" w:hAnsi="Times New Roman" w:eastAsia="宋体" w:cs="Times New Roman"/>
                <w:color w:val="auto"/>
                <w:sz w:val="24"/>
                <w:szCs w:val="24"/>
              </w:rPr>
            </w:pPr>
          </w:p>
          <w:p w14:paraId="5A38D2BC">
            <w:pPr>
              <w:pStyle w:val="25"/>
              <w:rPr>
                <w:rFonts w:hint="default" w:ascii="Times New Roman" w:hAnsi="Times New Roman" w:eastAsia="宋体" w:cs="Times New Roman"/>
                <w:color w:val="auto"/>
                <w:sz w:val="24"/>
                <w:szCs w:val="24"/>
              </w:rPr>
            </w:pPr>
          </w:p>
          <w:p w14:paraId="7F68D425">
            <w:pPr>
              <w:pStyle w:val="24"/>
              <w:rPr>
                <w:rFonts w:hint="default" w:ascii="Times New Roman" w:hAnsi="Times New Roman" w:eastAsia="宋体" w:cs="Times New Roman"/>
                <w:color w:val="auto"/>
                <w:sz w:val="24"/>
                <w:szCs w:val="24"/>
              </w:rPr>
            </w:pPr>
          </w:p>
          <w:p w14:paraId="29C78560">
            <w:pPr>
              <w:rPr>
                <w:rFonts w:hint="default" w:ascii="Times New Roman" w:hAnsi="Times New Roman" w:eastAsia="宋体" w:cs="Times New Roman"/>
                <w:color w:val="auto"/>
                <w:sz w:val="24"/>
                <w:szCs w:val="24"/>
              </w:rPr>
            </w:pPr>
          </w:p>
          <w:p w14:paraId="676170D9">
            <w:pPr>
              <w:pStyle w:val="25"/>
              <w:rPr>
                <w:rFonts w:hint="default" w:ascii="Times New Roman" w:hAnsi="Times New Roman" w:eastAsia="宋体" w:cs="Times New Roman"/>
                <w:color w:val="auto"/>
                <w:sz w:val="24"/>
                <w:szCs w:val="24"/>
              </w:rPr>
            </w:pPr>
          </w:p>
          <w:p w14:paraId="1BA01868">
            <w:pPr>
              <w:pStyle w:val="24"/>
              <w:rPr>
                <w:rFonts w:hint="default" w:ascii="Times New Roman" w:hAnsi="Times New Roman" w:eastAsia="宋体" w:cs="Times New Roman"/>
                <w:color w:val="auto"/>
                <w:sz w:val="24"/>
                <w:szCs w:val="24"/>
              </w:rPr>
            </w:pPr>
          </w:p>
          <w:p w14:paraId="01213382">
            <w:pPr>
              <w:rPr>
                <w:rFonts w:hint="default" w:ascii="Times New Roman" w:hAnsi="Times New Roman" w:eastAsia="宋体" w:cs="Times New Roman"/>
                <w:color w:val="auto"/>
                <w:sz w:val="24"/>
                <w:szCs w:val="24"/>
              </w:rPr>
            </w:pPr>
          </w:p>
          <w:p w14:paraId="1256AEA1">
            <w:pPr>
              <w:pStyle w:val="25"/>
              <w:rPr>
                <w:rFonts w:hint="default" w:ascii="Times New Roman" w:hAnsi="Times New Roman" w:eastAsia="宋体" w:cs="Times New Roman"/>
                <w:color w:val="auto"/>
                <w:sz w:val="24"/>
                <w:szCs w:val="24"/>
              </w:rPr>
            </w:pPr>
          </w:p>
          <w:p w14:paraId="48812F6D">
            <w:pPr>
              <w:pStyle w:val="24"/>
              <w:rPr>
                <w:rFonts w:hint="eastAsia" w:cs="Times New Roman"/>
                <w:color w:val="auto"/>
                <w:sz w:val="24"/>
                <w:szCs w:val="24"/>
                <w:lang w:eastAsia="zh-CN"/>
              </w:rPr>
            </w:pPr>
          </w:p>
          <w:p w14:paraId="7BA5647E">
            <w:pPr>
              <w:pStyle w:val="24"/>
              <w:rPr>
                <w:rFonts w:hint="eastAsia" w:cs="Times New Roman"/>
                <w:color w:val="auto"/>
                <w:sz w:val="24"/>
                <w:szCs w:val="24"/>
                <w:lang w:eastAsia="zh-CN"/>
              </w:rPr>
            </w:pPr>
          </w:p>
          <w:p w14:paraId="52A22DCF">
            <w:pPr>
              <w:pStyle w:val="24"/>
              <w:rPr>
                <w:rFonts w:hint="eastAsia" w:cs="Times New Roman"/>
                <w:color w:val="auto"/>
                <w:sz w:val="24"/>
                <w:szCs w:val="24"/>
                <w:lang w:eastAsia="zh-CN"/>
              </w:rPr>
            </w:pPr>
          </w:p>
          <w:p w14:paraId="32676B5E">
            <w:pPr>
              <w:pStyle w:val="24"/>
              <w:rPr>
                <w:rFonts w:hint="eastAsia" w:cs="Times New Roman"/>
                <w:color w:val="auto"/>
                <w:sz w:val="24"/>
                <w:szCs w:val="24"/>
                <w:lang w:eastAsia="zh-CN"/>
              </w:rPr>
            </w:pPr>
          </w:p>
          <w:p w14:paraId="44DB9F80">
            <w:pPr>
              <w:pStyle w:val="24"/>
              <w:rPr>
                <w:rFonts w:hint="eastAsia" w:cs="Times New Roman"/>
                <w:color w:val="auto"/>
                <w:sz w:val="24"/>
                <w:szCs w:val="24"/>
                <w:lang w:eastAsia="zh-CN"/>
              </w:rPr>
            </w:pPr>
          </w:p>
          <w:p w14:paraId="3F516C70">
            <w:pPr>
              <w:pStyle w:val="24"/>
              <w:rPr>
                <w:rFonts w:hint="eastAsia" w:cs="Times New Roman"/>
                <w:color w:val="auto"/>
                <w:sz w:val="24"/>
                <w:szCs w:val="24"/>
                <w:lang w:eastAsia="zh-CN"/>
              </w:rPr>
            </w:pPr>
          </w:p>
          <w:p w14:paraId="0E479D83">
            <w:pPr>
              <w:pStyle w:val="24"/>
              <w:rPr>
                <w:rFonts w:hint="eastAsia" w:cs="Times New Roman"/>
                <w:color w:val="auto"/>
                <w:sz w:val="24"/>
                <w:szCs w:val="24"/>
                <w:lang w:eastAsia="zh-CN"/>
              </w:rPr>
            </w:pPr>
          </w:p>
          <w:p w14:paraId="34E9BF3E">
            <w:pPr>
              <w:pStyle w:val="24"/>
              <w:rPr>
                <w:rFonts w:hint="eastAsia" w:cs="Times New Roman"/>
                <w:color w:val="auto"/>
                <w:sz w:val="24"/>
                <w:szCs w:val="24"/>
                <w:lang w:eastAsia="zh-CN"/>
              </w:rPr>
            </w:pPr>
          </w:p>
          <w:p w14:paraId="6AA6DC57">
            <w:pPr>
              <w:pStyle w:val="24"/>
              <w:ind w:left="0" w:leftChars="0" w:firstLine="0" w:firstLineChars="0"/>
              <w:rPr>
                <w:rFonts w:hint="eastAsia" w:cs="Times New Roman"/>
                <w:color w:val="auto"/>
                <w:sz w:val="24"/>
                <w:szCs w:val="24"/>
                <w:lang w:eastAsia="zh-CN"/>
              </w:rPr>
            </w:pPr>
          </w:p>
          <w:p w14:paraId="4C83063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zCs w:val="21"/>
                <w:highlight w:val="none"/>
                <w:lang w:val="en-US" w:eastAsia="zh-CN"/>
              </w:rPr>
            </w:pPr>
          </w:p>
        </w:tc>
      </w:tr>
    </w:tbl>
    <w:p w14:paraId="7A7E97C6">
      <w:pPr>
        <w:pStyle w:val="23"/>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8FA6750">
      <w:pPr>
        <w:pStyle w:val="23"/>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14:paraId="7F963F3B">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4"/>
      <w:bookmarkEnd w:id="15"/>
    </w:p>
    <w:tbl>
      <w:tblPr>
        <w:tblStyle w:val="26"/>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14:paraId="45935D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14:paraId="55BC7614">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14:paraId="043EFF9D">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30AB80BE">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14:paraId="068A1FDF">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86" w:type="dxa"/>
            <w:vAlign w:val="center"/>
          </w:tcPr>
          <w:p w14:paraId="6EB849C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14:paraId="3C1CE4DB">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14:paraId="2A38A09A">
            <w:pPr>
              <w:keepNext w:val="0"/>
              <w:keepLines w:val="0"/>
              <w:pageBreakBefore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14:paraId="23D9C9BF">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u w:val="none"/>
                <w:lang w:val="zh-CN" w:eastAsia="zh-CN"/>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2022年度昆明市生态环境状况公报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14:paraId="0E89F236">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14:paraId="5F6AF4EB">
            <w:pPr>
              <w:keepNext w:val="0"/>
              <w:keepLines w:val="0"/>
              <w:pageBreakBefore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本项目涉及的特征因子为TSP</w:t>
            </w:r>
            <w:r>
              <w:rPr>
                <w:rFonts w:hint="eastAsia"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eastAsia" w:cs="Times New Roman"/>
                <w:color w:val="auto"/>
                <w:kern w:val="0"/>
                <w:sz w:val="24"/>
                <w:highlight w:val="none"/>
                <w:lang w:val="zh-CN" w:bidi="ar"/>
              </w:rPr>
              <w:t>，</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0"/>
                <w:highlight w:val="none"/>
                <w:lang w:bidi="ar"/>
              </w:rPr>
              <w:t>环境空气质量标准参照</w:t>
            </w:r>
            <w:r>
              <w:rPr>
                <w:rFonts w:hint="default" w:ascii="Times New Roman" w:hAnsi="Times New Roman" w:eastAsia="宋体" w:cs="Times New Roman"/>
                <w:color w:val="auto"/>
                <w:sz w:val="24"/>
                <w:highlight w:val="none"/>
                <w:lang w:bidi="ar"/>
              </w:rPr>
              <w:t>《大气污染物综合排</w:t>
            </w:r>
            <w:r>
              <w:rPr>
                <w:rFonts w:hint="default" w:ascii="Times New Roman" w:hAnsi="Times New Roman" w:eastAsia="宋体" w:cs="Times New Roman"/>
                <w:color w:val="auto"/>
                <w:sz w:val="24"/>
                <w:szCs w:val="20"/>
                <w:highlight w:val="none"/>
                <w:lang w:bidi="ar"/>
              </w:rPr>
              <w:t>放标准详解》（原国家环保总局科技标准司）</w:t>
            </w:r>
            <w:r>
              <w:rPr>
                <w:rFonts w:hint="default" w:ascii="Times New Roman" w:hAnsi="Times New Roman" w:eastAsia="宋体" w:cs="Times New Roman"/>
                <w:color w:val="auto"/>
                <w:sz w:val="24"/>
                <w:highlight w:val="none"/>
                <w:lang w:bidi="ar"/>
              </w:rPr>
              <w:t>中</w:t>
            </w:r>
            <w:r>
              <w:rPr>
                <w:rFonts w:hint="default" w:ascii="Times New Roman" w:hAnsi="Times New Roman" w:eastAsia="宋体" w:cs="Times New Roman"/>
                <w:color w:val="auto"/>
                <w:sz w:val="24"/>
                <w:highlight w:val="none"/>
                <w:lang w:val="en-US" w:eastAsia="zh-CN" w:bidi="ar"/>
              </w:rPr>
              <w:t>第</w:t>
            </w:r>
            <w:r>
              <w:rPr>
                <w:rFonts w:hint="default" w:ascii="Times New Roman" w:hAnsi="Times New Roman" w:eastAsia="宋体" w:cs="Times New Roman"/>
                <w:color w:val="auto"/>
                <w:sz w:val="24"/>
                <w:highlight w:val="none"/>
                <w:lang w:bidi="ar"/>
              </w:rPr>
              <w:t>244页</w:t>
            </w:r>
            <w:r>
              <w:rPr>
                <w:rFonts w:hint="default" w:ascii="Times New Roman" w:hAnsi="Times New Roman" w:eastAsia="宋体" w:cs="Times New Roman"/>
                <w:color w:val="auto"/>
                <w:sz w:val="24"/>
                <w:highlight w:val="none"/>
              </w:rPr>
              <w:t>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作为</w:t>
            </w:r>
            <w:r>
              <w:rPr>
                <w:rFonts w:hint="default" w:ascii="Times New Roman" w:hAnsi="Times New Roman" w:eastAsia="宋体" w:cs="Times New Roman"/>
                <w:color w:val="auto"/>
                <w:sz w:val="24"/>
                <w:highlight w:val="none"/>
                <w:lang w:bidi="ar"/>
              </w:rPr>
              <w:t>标准</w:t>
            </w:r>
            <w:r>
              <w:rPr>
                <w:rFonts w:hint="default" w:ascii="Times New Roman" w:hAnsi="Times New Roman" w:eastAsia="宋体" w:cs="Times New Roman"/>
                <w:color w:val="auto"/>
                <w:sz w:val="24"/>
                <w:highlight w:val="none"/>
                <w:lang w:val="en-US" w:eastAsia="zh-CN" w:bidi="ar"/>
              </w:rPr>
              <w:t>限值。</w:t>
            </w:r>
            <w:r>
              <w:rPr>
                <w:rFonts w:hint="default" w:ascii="Times New Roman" w:hAnsi="Times New Roman" w:eastAsia="宋体" w:cs="Times New Roman"/>
                <w:color w:val="auto"/>
                <w:sz w:val="24"/>
              </w:rPr>
              <w:t>TSP环境质量现状</w:t>
            </w:r>
            <w:r>
              <w:rPr>
                <w:rFonts w:hint="default" w:ascii="Times New Roman" w:hAnsi="Times New Roman" w:eastAsia="宋体" w:cs="Times New Roman"/>
                <w:color w:val="auto"/>
                <w:sz w:val="24"/>
                <w:lang w:val="en-US" w:eastAsia="zh-CN"/>
              </w:rPr>
              <w:t>评价</w:t>
            </w:r>
            <w:r>
              <w:rPr>
                <w:rFonts w:hint="default" w:ascii="Times New Roman" w:hAnsi="Times New Roman" w:eastAsia="宋体" w:cs="Times New Roman"/>
                <w:color w:val="auto"/>
                <w:sz w:val="24"/>
              </w:rPr>
              <w:t>引用</w:t>
            </w:r>
            <w:r>
              <w:rPr>
                <w:rFonts w:hint="default" w:ascii="Times New Roman" w:hAnsi="Times New Roman" w:eastAsia="宋体" w:cs="Times New Roman"/>
                <w:color w:val="auto"/>
                <w:sz w:val="24"/>
                <w:lang w:val="zh-CN"/>
              </w:rPr>
              <w:t>云南天博环境检测有限公司</w:t>
            </w:r>
            <w:r>
              <w:rPr>
                <w:rFonts w:hint="default" w:ascii="Times New Roman" w:hAnsi="Times New Roman" w:eastAsia="宋体" w:cs="Times New Roman"/>
                <w:color w:val="auto"/>
                <w:sz w:val="24"/>
                <w:lang w:val="en-US" w:eastAsia="zh-CN"/>
              </w:rPr>
              <w:t>于</w:t>
            </w:r>
            <w:r>
              <w:rPr>
                <w:rFonts w:hint="default" w:ascii="Times New Roman" w:hAnsi="Times New Roman" w:eastAsia="宋体" w:cs="Times New Roman"/>
                <w:color w:val="auto"/>
                <w:sz w:val="24"/>
              </w:rPr>
              <w:t>2021年6月22日～29日和2021年9月21日～27日</w:t>
            </w:r>
            <w:r>
              <w:rPr>
                <w:rFonts w:hint="default" w:ascii="Times New Roman" w:hAnsi="Times New Roman" w:eastAsia="宋体" w:cs="Times New Roman"/>
                <w:color w:val="auto"/>
                <w:sz w:val="24"/>
                <w:lang w:val="en-US" w:eastAsia="zh-CN"/>
              </w:rPr>
              <w:t>对</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b w:val="0"/>
                <w:color w:val="auto"/>
                <w:sz w:val="24"/>
                <w:szCs w:val="24"/>
              </w:rPr>
              <w:t>环境影响报告书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2"/>
                <w:sz w:val="24"/>
                <w:szCs w:val="24"/>
                <w:lang w:val="en-US" w:eastAsia="zh-CN"/>
              </w:rPr>
              <w:t>的</w:t>
            </w:r>
            <w:r>
              <w:rPr>
                <w:rFonts w:hint="default" w:ascii="Times New Roman" w:hAnsi="Times New Roman" w:eastAsia="宋体" w:cs="Times New Roman"/>
                <w:color w:val="auto"/>
                <w:kern w:val="2"/>
                <w:sz w:val="24"/>
                <w:szCs w:val="24"/>
                <w:lang w:val="zh-CN" w:eastAsia="zh-CN"/>
              </w:rPr>
              <w:t>空</w:t>
            </w:r>
            <w:r>
              <w:rPr>
                <w:rFonts w:hint="default" w:ascii="Times New Roman" w:hAnsi="Times New Roman" w:eastAsia="宋体" w:cs="Times New Roman"/>
                <w:color w:val="auto"/>
                <w:kern w:val="0"/>
                <w:sz w:val="24"/>
                <w:szCs w:val="24"/>
                <w:highlight w:val="none"/>
                <w:lang w:val="zh-CN" w:eastAsia="zh-CN"/>
              </w:rPr>
              <w:t>气质量现状监测数据</w:t>
            </w:r>
            <w:r>
              <w:rPr>
                <w:rFonts w:hint="default" w:ascii="Times New Roman" w:hAnsi="Times New Roman" w:eastAsia="宋体" w:cs="Times New Roman"/>
                <w:color w:val="auto"/>
                <w:sz w:val="24"/>
              </w:rPr>
              <w:t>。云南钎艺铝业有限公司寻甸年加工喷涂铝板30万平方米项目</w:t>
            </w:r>
            <w:r>
              <w:rPr>
                <w:rFonts w:hint="default" w:ascii="Times New Roman" w:hAnsi="Times New Roman" w:eastAsia="宋体" w:cs="Times New Roman"/>
                <w:color w:val="auto"/>
                <w:sz w:val="24"/>
                <w:szCs w:val="24"/>
                <w:highlight w:val="none"/>
                <w:lang w:val="en-US" w:eastAsia="zh-CN"/>
              </w:rPr>
              <w:t>位于本项目东北侧3</w:t>
            </w:r>
            <w:r>
              <w:rPr>
                <w:rFonts w:hint="eastAsia" w:cs="Times New Roman"/>
                <w:color w:val="auto"/>
                <w:sz w:val="24"/>
                <w:szCs w:val="24"/>
                <w:highlight w:val="none"/>
                <w:lang w:val="en-US" w:eastAsia="zh-CN"/>
              </w:rPr>
              <w:t>815</w:t>
            </w:r>
            <w:r>
              <w:rPr>
                <w:rFonts w:hint="default" w:ascii="Times New Roman" w:hAnsi="Times New Roman" w:eastAsia="宋体" w:cs="Times New Roman"/>
                <w:color w:val="auto"/>
                <w:sz w:val="24"/>
                <w:szCs w:val="24"/>
                <w:highlight w:val="none"/>
                <w:lang w:val="en-US" w:eastAsia="zh-CN"/>
              </w:rPr>
              <w:t>m，引用监测点G1为引用项目厂址内，引用监测点G2为东北侧</w:t>
            </w:r>
            <w:r>
              <w:rPr>
                <w:rFonts w:hint="default" w:ascii="Times New Roman" w:hAnsi="Times New Roman" w:eastAsia="宋体" w:cs="Times New Roman"/>
                <w:bCs/>
                <w:color w:val="auto"/>
                <w:sz w:val="24"/>
                <w:highlight w:val="none"/>
              </w:rPr>
              <w:t>下风向</w:t>
            </w:r>
            <w:r>
              <w:rPr>
                <w:rFonts w:hint="default" w:ascii="Times New Roman" w:hAnsi="Times New Roman" w:eastAsia="宋体" w:cs="Times New Roman"/>
                <w:color w:val="auto"/>
                <w:kern w:val="0"/>
                <w:sz w:val="24"/>
                <w:szCs w:val="24"/>
                <w:highlight w:val="none"/>
                <w:lang w:val="en-US" w:eastAsia="zh-CN"/>
              </w:rPr>
              <w:t>深沟散户</w:t>
            </w:r>
            <w:r>
              <w:rPr>
                <w:rFonts w:hint="default" w:ascii="Times New Roman" w:hAnsi="Times New Roman" w:eastAsia="宋体" w:cs="Times New Roman"/>
                <w:color w:val="auto"/>
                <w:sz w:val="24"/>
                <w:szCs w:val="24"/>
                <w:highlight w:val="none"/>
                <w:lang w:val="en-US" w:eastAsia="zh-CN"/>
              </w:rPr>
              <w:t>，与本项目相距约</w:t>
            </w:r>
            <w:r>
              <w:rPr>
                <w:rFonts w:hint="eastAsia" w:cs="Times New Roman"/>
                <w:color w:val="auto"/>
                <w:sz w:val="24"/>
                <w:szCs w:val="24"/>
                <w:highlight w:val="none"/>
                <w:lang w:val="en-US" w:eastAsia="zh-CN"/>
              </w:rPr>
              <w:t>东北侧</w:t>
            </w:r>
            <w:r>
              <w:rPr>
                <w:rFonts w:hint="default"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684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kern w:val="0"/>
                <w:sz w:val="24"/>
                <w:highlight w:val="none"/>
              </w:rPr>
              <w:t>本项目引用的现状监测点</w:t>
            </w:r>
            <w:r>
              <w:rPr>
                <w:rFonts w:hint="default" w:ascii="Times New Roman" w:hAnsi="Times New Roman" w:eastAsia="宋体" w:cs="Times New Roman"/>
                <w:color w:val="auto"/>
                <w:kern w:val="0"/>
                <w:sz w:val="24"/>
                <w:highlight w:val="none"/>
                <w:lang w:val="zh-CN"/>
              </w:rPr>
              <w:t>具备类比条件，数据在“建设项目环境影响报告表编制技术指南（污染影响类）”要求的“近三年”的时限内，</w:t>
            </w:r>
            <w:r>
              <w:rPr>
                <w:rFonts w:hint="default" w:ascii="Times New Roman" w:hAnsi="Times New Roman" w:eastAsia="宋体" w:cs="Times New Roman"/>
                <w:color w:val="auto"/>
                <w:kern w:val="0"/>
                <w:sz w:val="24"/>
                <w:highlight w:val="none"/>
              </w:rPr>
              <w:t>距离在5km范围内，</w:t>
            </w:r>
            <w:r>
              <w:rPr>
                <w:rFonts w:hint="default" w:ascii="Times New Roman" w:hAnsi="Times New Roman" w:eastAsia="宋体" w:cs="Times New Roman"/>
                <w:color w:val="auto"/>
                <w:kern w:val="0"/>
                <w:sz w:val="24"/>
                <w:highlight w:val="none"/>
                <w:lang w:val="zh-CN"/>
              </w:rPr>
              <w:t>属于</w:t>
            </w:r>
            <w:r>
              <w:rPr>
                <w:rFonts w:hint="default" w:ascii="Times New Roman" w:hAnsi="Times New Roman" w:eastAsia="宋体" w:cs="Times New Roman"/>
                <w:color w:val="auto"/>
                <w:sz w:val="24"/>
                <w:highlight w:val="none"/>
                <w:lang w:val="zh-CN"/>
              </w:rPr>
              <w:t>有效数据，故本项目空气质量现状评价引用</w:t>
            </w:r>
            <w:r>
              <w:rPr>
                <w:rFonts w:hint="default" w:ascii="Times New Roman" w:hAnsi="Times New Roman" w:eastAsia="宋体" w:cs="Times New Roman"/>
                <w:color w:val="auto"/>
                <w:sz w:val="24"/>
                <w:highlight w:val="none"/>
              </w:rPr>
              <w:t>的数据具有时效性和代表性。</w:t>
            </w:r>
          </w:p>
          <w:p w14:paraId="08839098">
            <w:pPr>
              <w:pStyle w:val="80"/>
              <w:keepNext w:val="0"/>
              <w:keepLines w:val="0"/>
              <w:pageBreakBefore w:val="0"/>
              <w:kinsoku/>
              <w:wordWrap/>
              <w:overflowPunct/>
              <w:topLinePunct w:val="0"/>
              <w:autoSpaceDE/>
              <w:autoSpaceDN/>
              <w:bidi w:val="0"/>
              <w:spacing w:line="348" w:lineRule="auto"/>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引用项目</w:t>
            </w:r>
            <w:r>
              <w:rPr>
                <w:rFonts w:hint="default" w:ascii="Times New Roman" w:hAnsi="Times New Roman" w:eastAsia="宋体" w:cs="Times New Roman"/>
                <w:color w:val="auto"/>
                <w:szCs w:val="24"/>
              </w:rPr>
              <w:t>监测点位布设见表</w:t>
            </w:r>
            <w:r>
              <w:rPr>
                <w:rFonts w:hint="default" w:ascii="Times New Roman" w:hAnsi="Times New Roman" w:eastAsia="宋体" w:cs="Times New Roman"/>
                <w:color w:val="auto"/>
                <w:szCs w:val="24"/>
                <w:lang w:val="en-US" w:eastAsia="zh-CN"/>
              </w:rPr>
              <w:t>3-1</w:t>
            </w:r>
            <w:r>
              <w:rPr>
                <w:rFonts w:hint="default" w:ascii="Times New Roman" w:hAnsi="Times New Roman" w:eastAsia="宋体" w:cs="Times New Roman"/>
                <w:color w:val="auto"/>
                <w:szCs w:val="24"/>
                <w:lang w:eastAsia="zh-CN"/>
              </w:rPr>
              <w:t>。</w:t>
            </w:r>
          </w:p>
          <w:p w14:paraId="10019C6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3-1</w:t>
            </w:r>
            <w:r>
              <w:rPr>
                <w:rFonts w:hint="default" w:ascii="Times New Roman" w:hAnsi="Times New Roman" w:eastAsia="宋体" w:cs="Times New Roman"/>
                <w:b/>
                <w:color w:val="auto"/>
                <w:sz w:val="21"/>
                <w:szCs w:val="21"/>
              </w:rPr>
              <w:t xml:space="preserve">  监测点位基本信息</w:t>
            </w:r>
          </w:p>
          <w:tbl>
            <w:tblPr>
              <w:tblStyle w:val="26"/>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14:paraId="4C9901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14:paraId="6EF4967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监测点名称</w:t>
                  </w:r>
                </w:p>
              </w:tc>
              <w:tc>
                <w:tcPr>
                  <w:tcW w:w="2097" w:type="dxa"/>
                  <w:gridSpan w:val="2"/>
                  <w:tcBorders>
                    <w:tl2br w:val="nil"/>
                    <w:tr2bl w:val="nil"/>
                  </w:tcBorders>
                  <w:noWrap w:val="0"/>
                  <w:vAlign w:val="center"/>
                </w:tcPr>
                <w:p w14:paraId="36303DB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监测点位坐标/m</w:t>
                  </w:r>
                </w:p>
              </w:tc>
              <w:tc>
                <w:tcPr>
                  <w:tcW w:w="1229" w:type="dxa"/>
                  <w:vMerge w:val="restart"/>
                  <w:tcBorders>
                    <w:tl2br w:val="nil"/>
                    <w:tr2bl w:val="nil"/>
                  </w:tcBorders>
                  <w:noWrap w:val="0"/>
                  <w:vAlign w:val="center"/>
                </w:tcPr>
                <w:p w14:paraId="721049A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1445" w:type="dxa"/>
                  <w:vMerge w:val="restart"/>
                  <w:tcBorders>
                    <w:tl2br w:val="nil"/>
                    <w:tr2bl w:val="nil"/>
                  </w:tcBorders>
                  <w:noWrap w:val="0"/>
                  <w:vAlign w:val="center"/>
                </w:tcPr>
                <w:p w14:paraId="03EE2C88">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监测时段</w:t>
                  </w:r>
                </w:p>
              </w:tc>
              <w:tc>
                <w:tcPr>
                  <w:tcW w:w="1140" w:type="dxa"/>
                  <w:vMerge w:val="restart"/>
                  <w:tcBorders>
                    <w:tl2br w:val="nil"/>
                    <w:tr2bl w:val="nil"/>
                  </w:tcBorders>
                  <w:noWrap w:val="0"/>
                  <w:vAlign w:val="center"/>
                </w:tcPr>
                <w:p w14:paraId="1E58CA57">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14:paraId="3741F8C5">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14:paraId="12121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14:paraId="33571683">
                  <w:pPr>
                    <w:jc w:val="center"/>
                    <w:rPr>
                      <w:rFonts w:hint="default" w:ascii="Times New Roman" w:hAnsi="Times New Roman" w:eastAsia="宋体" w:cs="Times New Roman"/>
                      <w:b/>
                      <w:color w:val="auto"/>
                      <w:sz w:val="21"/>
                      <w:szCs w:val="21"/>
                    </w:rPr>
                  </w:pPr>
                </w:p>
              </w:tc>
              <w:tc>
                <w:tcPr>
                  <w:tcW w:w="1134" w:type="dxa"/>
                  <w:tcBorders>
                    <w:tl2br w:val="nil"/>
                    <w:tr2bl w:val="nil"/>
                  </w:tcBorders>
                  <w:shd w:val="clear" w:color="auto" w:fill="auto"/>
                  <w:noWrap w:val="0"/>
                  <w:vAlign w:val="center"/>
                </w:tcPr>
                <w:p w14:paraId="52B375A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E</w:t>
                  </w:r>
                </w:p>
              </w:tc>
              <w:tc>
                <w:tcPr>
                  <w:tcW w:w="963" w:type="dxa"/>
                  <w:tcBorders>
                    <w:tl2br w:val="nil"/>
                    <w:tr2bl w:val="nil"/>
                  </w:tcBorders>
                  <w:shd w:val="clear" w:color="auto" w:fill="auto"/>
                  <w:noWrap w:val="0"/>
                  <w:vAlign w:val="center"/>
                </w:tcPr>
                <w:p w14:paraId="4838233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N</w:t>
                  </w:r>
                </w:p>
              </w:tc>
              <w:tc>
                <w:tcPr>
                  <w:tcW w:w="1229" w:type="dxa"/>
                  <w:vMerge w:val="continue"/>
                  <w:tcBorders>
                    <w:tl2br w:val="nil"/>
                    <w:tr2bl w:val="nil"/>
                  </w:tcBorders>
                  <w:shd w:val="clear" w:color="auto" w:fill="auto"/>
                  <w:noWrap w:val="0"/>
                  <w:vAlign w:val="center"/>
                </w:tcPr>
                <w:p w14:paraId="6C8B2170">
                  <w:pPr>
                    <w:jc w:val="center"/>
                    <w:rPr>
                      <w:rFonts w:hint="default" w:ascii="Times New Roman" w:hAnsi="Times New Roman" w:eastAsia="宋体" w:cs="Times New Roman"/>
                      <w:b/>
                      <w:color w:val="auto"/>
                      <w:sz w:val="21"/>
                      <w:szCs w:val="21"/>
                    </w:rPr>
                  </w:pPr>
                </w:p>
              </w:tc>
              <w:tc>
                <w:tcPr>
                  <w:tcW w:w="1445" w:type="dxa"/>
                  <w:vMerge w:val="continue"/>
                  <w:tcBorders>
                    <w:tl2br w:val="nil"/>
                    <w:tr2bl w:val="nil"/>
                  </w:tcBorders>
                  <w:shd w:val="clear" w:color="auto" w:fill="auto"/>
                  <w:noWrap w:val="0"/>
                  <w:vAlign w:val="center"/>
                </w:tcPr>
                <w:p w14:paraId="5FC6BB2B">
                  <w:pPr>
                    <w:jc w:val="center"/>
                    <w:rPr>
                      <w:rFonts w:hint="default" w:ascii="Times New Roman" w:hAnsi="Times New Roman" w:eastAsia="宋体" w:cs="Times New Roman"/>
                      <w:b/>
                      <w:color w:val="auto"/>
                      <w:sz w:val="21"/>
                      <w:szCs w:val="21"/>
                    </w:rPr>
                  </w:pPr>
                </w:p>
              </w:tc>
              <w:tc>
                <w:tcPr>
                  <w:tcW w:w="1140" w:type="dxa"/>
                  <w:vMerge w:val="continue"/>
                  <w:tcBorders>
                    <w:tl2br w:val="nil"/>
                    <w:tr2bl w:val="nil"/>
                  </w:tcBorders>
                  <w:shd w:val="clear" w:color="000000" w:fill="FFFFFF"/>
                  <w:noWrap w:val="0"/>
                  <w:vAlign w:val="center"/>
                </w:tcPr>
                <w:p w14:paraId="0CF7039C">
                  <w:pP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14:paraId="41B012E7">
                  <w:pPr>
                    <w:jc w:val="center"/>
                    <w:rPr>
                      <w:rFonts w:hint="default" w:ascii="Times New Roman" w:hAnsi="Times New Roman" w:eastAsia="宋体" w:cs="Times New Roman"/>
                      <w:b/>
                      <w:color w:val="auto"/>
                      <w:sz w:val="21"/>
                      <w:szCs w:val="21"/>
                      <w:highlight w:val="none"/>
                    </w:rPr>
                  </w:pPr>
                </w:p>
              </w:tc>
            </w:tr>
            <w:tr w14:paraId="2E7444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14:paraId="117666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1134" w:type="dxa"/>
                  <w:tcBorders>
                    <w:tl2br w:val="nil"/>
                    <w:tr2bl w:val="nil"/>
                  </w:tcBorders>
                  <w:noWrap w:val="0"/>
                  <w:vAlign w:val="center"/>
                </w:tcPr>
                <w:p w14:paraId="25F0F0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26.734</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14:paraId="25DCAA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40.238</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14:paraId="58946D29">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14:paraId="4151D38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14:paraId="3612590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东北侧</w:t>
                  </w:r>
                </w:p>
              </w:tc>
              <w:tc>
                <w:tcPr>
                  <w:tcW w:w="1157" w:type="dxa"/>
                  <w:tcBorders>
                    <w:tl2br w:val="nil"/>
                    <w:tr2bl w:val="nil"/>
                  </w:tcBorders>
                  <w:noWrap w:val="0"/>
                  <w:vAlign w:val="center"/>
                </w:tcPr>
                <w:p w14:paraId="68ABF13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815</w:t>
                  </w:r>
                </w:p>
              </w:tc>
            </w:tr>
            <w:tr w14:paraId="44343F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14:paraId="7F2B2F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1134" w:type="dxa"/>
                  <w:tcBorders>
                    <w:tl2br w:val="nil"/>
                    <w:tr2bl w:val="nil"/>
                  </w:tcBorders>
                  <w:noWrap w:val="0"/>
                  <w:vAlign w:val="center"/>
                </w:tcPr>
                <w:p w14:paraId="51F223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42.840</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14:paraId="722512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default"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55.233</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14:paraId="7155D64F">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TSP</w:t>
                  </w:r>
                </w:p>
              </w:tc>
              <w:tc>
                <w:tcPr>
                  <w:tcW w:w="1445" w:type="dxa"/>
                  <w:tcBorders>
                    <w:tl2br w:val="nil"/>
                    <w:tr2bl w:val="nil"/>
                  </w:tcBorders>
                  <w:noWrap w:val="0"/>
                  <w:vAlign w:val="center"/>
                </w:tcPr>
                <w:p w14:paraId="6ED169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~2021.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29</w:t>
                  </w:r>
                </w:p>
              </w:tc>
              <w:tc>
                <w:tcPr>
                  <w:tcW w:w="1140" w:type="dxa"/>
                  <w:tcBorders>
                    <w:tl2br w:val="nil"/>
                    <w:tr2bl w:val="nil"/>
                  </w:tcBorders>
                  <w:noWrap w:val="0"/>
                  <w:vAlign w:val="center"/>
                </w:tcPr>
                <w:p w14:paraId="32B883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1157" w:type="dxa"/>
                  <w:tcBorders>
                    <w:tl2br w:val="nil"/>
                    <w:tr2bl w:val="nil"/>
                  </w:tcBorders>
                  <w:noWrap w:val="0"/>
                  <w:vAlign w:val="center"/>
                </w:tcPr>
                <w:p w14:paraId="68ABF41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684</w:t>
                  </w:r>
                </w:p>
              </w:tc>
            </w:tr>
          </w:tbl>
          <w:p w14:paraId="7CFF24ED">
            <w:pPr>
              <w:pStyle w:val="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18"/>
              </w:rPr>
              <w:t>大气环境质量现状</w:t>
            </w:r>
            <w:r>
              <w:rPr>
                <w:rFonts w:hint="default" w:ascii="Times New Roman" w:hAnsi="Times New Roman" w:eastAsia="宋体" w:cs="Times New Roman"/>
                <w:color w:val="auto"/>
                <w:szCs w:val="18"/>
                <w:lang w:val="en-US" w:eastAsia="zh-CN"/>
              </w:rPr>
              <w:t>引用</w:t>
            </w:r>
            <w:r>
              <w:rPr>
                <w:rFonts w:hint="default" w:ascii="Times New Roman" w:hAnsi="Times New Roman" w:eastAsia="宋体" w:cs="Times New Roman"/>
                <w:color w:val="auto"/>
                <w:szCs w:val="18"/>
              </w:rPr>
              <w:t>监测结果见表</w:t>
            </w:r>
            <w:r>
              <w:rPr>
                <w:rFonts w:hint="default" w:ascii="Times New Roman" w:hAnsi="Times New Roman" w:eastAsia="宋体" w:cs="Times New Roman"/>
                <w:color w:val="auto"/>
                <w:szCs w:val="18"/>
                <w:lang w:val="en-US" w:eastAsia="zh-CN"/>
              </w:rPr>
              <w:t>3-2</w:t>
            </w:r>
            <w:r>
              <w:rPr>
                <w:rFonts w:hint="default" w:ascii="Times New Roman" w:hAnsi="Times New Roman" w:eastAsia="宋体" w:cs="Times New Roman"/>
                <w:color w:val="auto"/>
                <w:szCs w:val="18"/>
              </w:rPr>
              <w:t>。</w:t>
            </w:r>
          </w:p>
          <w:p w14:paraId="5CE05119">
            <w:pPr>
              <w:pStyle w:val="10"/>
              <w:snapToGrid w:val="0"/>
              <w:jc w:val="center"/>
              <w:rPr>
                <w:rFonts w:hint="default" w:ascii="Times New Roman" w:hAnsi="Times New Roman" w:eastAsia="宋体" w:cs="Times New Roman"/>
                <w:b/>
                <w:bCs/>
                <w:color w:val="auto"/>
                <w:sz w:val="21"/>
                <w:szCs w:val="21"/>
                <w:vertAlign w:val="superscript"/>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3-2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引用项目</w:t>
            </w:r>
            <w:r>
              <w:rPr>
                <w:rFonts w:hint="eastAsia" w:cs="Times New Roman"/>
                <w:b/>
                <w:bCs/>
                <w:color w:val="auto"/>
                <w:sz w:val="21"/>
                <w:szCs w:val="21"/>
                <w:lang w:val="en-US" w:eastAsia="zh-CN"/>
              </w:rPr>
              <w:t>环境空气监测</w:t>
            </w:r>
            <w:r>
              <w:rPr>
                <w:rFonts w:hint="default" w:ascii="Times New Roman" w:hAnsi="Times New Roman" w:eastAsia="宋体" w:cs="Times New Roman"/>
                <w:b/>
                <w:bCs/>
                <w:color w:val="auto"/>
                <w:szCs w:val="21"/>
              </w:rPr>
              <w:t>结果</w:t>
            </w:r>
            <w:r>
              <w:rPr>
                <w:rFonts w:hint="default" w:ascii="Times New Roman" w:hAnsi="Times New Roman" w:eastAsia="宋体" w:cs="Times New Roman"/>
                <w:b/>
                <w:bCs/>
                <w:color w:val="auto"/>
                <w:sz w:val="21"/>
                <w:szCs w:val="21"/>
              </w:rPr>
              <w:t xml:space="preserve">   单位：</w:t>
            </w:r>
            <w:r>
              <w:rPr>
                <w:rFonts w:hint="default" w:ascii="Times New Roman" w:hAnsi="Times New Roman" w:eastAsia="宋体" w:cs="Times New Roman"/>
                <w:b/>
                <w:bCs/>
                <w:color w:val="auto"/>
                <w:sz w:val="21"/>
                <w:szCs w:val="21"/>
                <w:lang w:val="en-US" w:eastAsia="zh-CN"/>
              </w:rPr>
              <w:t>m</w:t>
            </w:r>
            <w:r>
              <w:rPr>
                <w:rFonts w:hint="default" w:ascii="Times New Roman" w:hAnsi="Times New Roman" w:eastAsia="宋体" w:cs="Times New Roman"/>
                <w:b/>
                <w:bCs/>
                <w:color w:val="auto"/>
                <w:sz w:val="21"/>
                <w:szCs w:val="21"/>
              </w:rPr>
              <w:t>g/m</w:t>
            </w:r>
            <w:r>
              <w:rPr>
                <w:rFonts w:hint="default" w:ascii="Times New Roman" w:hAnsi="Times New Roman" w:eastAsia="宋体" w:cs="Times New Roman"/>
                <w:b/>
                <w:bCs/>
                <w:color w:val="auto"/>
                <w:sz w:val="21"/>
                <w:szCs w:val="21"/>
                <w:vertAlign w:val="superscript"/>
              </w:rPr>
              <w:t>3</w:t>
            </w:r>
          </w:p>
          <w:tbl>
            <w:tblPr>
              <w:tblStyle w:val="26"/>
              <w:tblW w:w="836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516"/>
              <w:gridCol w:w="1746"/>
              <w:gridCol w:w="2606"/>
              <w:gridCol w:w="1789"/>
            </w:tblGrid>
            <w:tr w14:paraId="5E157D3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restart"/>
                  <w:tcBorders>
                    <w:tl2br w:val="nil"/>
                    <w:tr2bl w:val="nil"/>
                  </w:tcBorders>
                  <w:noWrap w:val="0"/>
                  <w:vAlign w:val="center"/>
                </w:tcPr>
                <w:p w14:paraId="6A02C786">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检测点位</w:t>
                  </w:r>
                </w:p>
              </w:tc>
              <w:tc>
                <w:tcPr>
                  <w:tcW w:w="1516" w:type="dxa"/>
                  <w:vMerge w:val="restart"/>
                  <w:tcBorders>
                    <w:tl2br w:val="nil"/>
                    <w:tr2bl w:val="nil"/>
                  </w:tcBorders>
                  <w:noWrap w:val="0"/>
                  <w:vAlign w:val="center"/>
                </w:tcPr>
                <w:p w14:paraId="783806FF">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采样日期</w:t>
                  </w:r>
                </w:p>
              </w:tc>
              <w:tc>
                <w:tcPr>
                  <w:tcW w:w="1746" w:type="dxa"/>
                  <w:vMerge w:val="restart"/>
                  <w:tcBorders>
                    <w:tl2br w:val="nil"/>
                    <w:tr2bl w:val="nil"/>
                  </w:tcBorders>
                  <w:noWrap w:val="0"/>
                  <w:vAlign w:val="center"/>
                </w:tcPr>
                <w:p w14:paraId="4C78A470">
                  <w:pPr>
                    <w:spacing w:line="24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时间</w:t>
                  </w:r>
                </w:p>
              </w:tc>
              <w:tc>
                <w:tcPr>
                  <w:tcW w:w="2606" w:type="dxa"/>
                  <w:tcBorders>
                    <w:tl2br w:val="nil"/>
                    <w:tr2bl w:val="nil"/>
                  </w:tcBorders>
                  <w:noWrap w:val="0"/>
                  <w:vAlign w:val="center"/>
                </w:tcPr>
                <w:p w14:paraId="7C0E533D">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检测点位：</w:t>
                  </w:r>
                  <w:r>
                    <w:rPr>
                      <w:rFonts w:hint="default" w:ascii="Times New Roman" w:hAnsi="Times New Roman" w:eastAsia="宋体" w:cs="Times New Roman"/>
                      <w:b/>
                      <w:bCs/>
                      <w:color w:val="auto"/>
                      <w:szCs w:val="21"/>
                    </w:rPr>
                    <w:t>HQ1项目区内</w:t>
                  </w:r>
                </w:p>
              </w:tc>
              <w:tc>
                <w:tcPr>
                  <w:tcW w:w="1789" w:type="dxa"/>
                  <w:vMerge w:val="restart"/>
                  <w:tcBorders>
                    <w:tl2br w:val="nil"/>
                    <w:tr2bl w:val="nil"/>
                  </w:tcBorders>
                  <w:noWrap w:val="0"/>
                  <w:vAlign w:val="center"/>
                </w:tcPr>
                <w:p w14:paraId="2D583C76">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TSP（日均值）</w:t>
                  </w:r>
                </w:p>
              </w:tc>
            </w:tr>
            <w:tr w14:paraId="4E17554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71B34000">
                  <w:pPr>
                    <w:spacing w:line="240" w:lineRule="exact"/>
                    <w:jc w:val="center"/>
                    <w:rPr>
                      <w:rFonts w:hint="default" w:ascii="Times New Roman" w:hAnsi="Times New Roman" w:eastAsia="宋体" w:cs="Times New Roman"/>
                      <w:b/>
                      <w:bCs/>
                      <w:color w:val="auto"/>
                      <w:szCs w:val="21"/>
                    </w:rPr>
                  </w:pPr>
                </w:p>
              </w:tc>
              <w:tc>
                <w:tcPr>
                  <w:tcW w:w="1516" w:type="dxa"/>
                  <w:vMerge w:val="continue"/>
                  <w:tcBorders>
                    <w:tl2br w:val="nil"/>
                    <w:tr2bl w:val="nil"/>
                  </w:tcBorders>
                  <w:noWrap w:val="0"/>
                  <w:vAlign w:val="center"/>
                </w:tcPr>
                <w:p w14:paraId="6EBEC990">
                  <w:pPr>
                    <w:spacing w:line="240" w:lineRule="exact"/>
                    <w:jc w:val="center"/>
                    <w:rPr>
                      <w:rFonts w:hint="default" w:ascii="Times New Roman" w:hAnsi="Times New Roman" w:eastAsia="宋体" w:cs="Times New Roman"/>
                      <w:b/>
                      <w:bCs/>
                      <w:color w:val="auto"/>
                      <w:szCs w:val="21"/>
                    </w:rPr>
                  </w:pPr>
                </w:p>
              </w:tc>
              <w:tc>
                <w:tcPr>
                  <w:tcW w:w="1746" w:type="dxa"/>
                  <w:vMerge w:val="continue"/>
                  <w:tcBorders>
                    <w:tl2br w:val="nil"/>
                    <w:tr2bl w:val="nil"/>
                  </w:tcBorders>
                  <w:noWrap w:val="0"/>
                  <w:vAlign w:val="center"/>
                </w:tcPr>
                <w:p w14:paraId="0408998E">
                  <w:pPr>
                    <w:spacing w:line="240" w:lineRule="exact"/>
                    <w:jc w:val="center"/>
                    <w:rPr>
                      <w:rFonts w:hint="default" w:ascii="Times New Roman" w:hAnsi="Times New Roman" w:eastAsia="宋体" w:cs="Times New Roman"/>
                      <w:b/>
                      <w:bCs/>
                      <w:color w:val="auto"/>
                      <w:szCs w:val="21"/>
                    </w:rPr>
                  </w:pPr>
                </w:p>
              </w:tc>
              <w:tc>
                <w:tcPr>
                  <w:tcW w:w="2606" w:type="dxa"/>
                  <w:tcBorders>
                    <w:tl2br w:val="nil"/>
                    <w:tr2bl w:val="nil"/>
                  </w:tcBorders>
                  <w:noWrap w:val="0"/>
                  <w:vAlign w:val="center"/>
                </w:tcPr>
                <w:p w14:paraId="7EE1A885">
                  <w:pPr>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样品编号</w:t>
                  </w:r>
                </w:p>
              </w:tc>
              <w:tc>
                <w:tcPr>
                  <w:tcW w:w="1789" w:type="dxa"/>
                  <w:vMerge w:val="continue"/>
                  <w:tcBorders>
                    <w:tl2br w:val="nil"/>
                    <w:tr2bl w:val="nil"/>
                  </w:tcBorders>
                  <w:noWrap w:val="0"/>
                  <w:vAlign w:val="center"/>
                </w:tcPr>
                <w:p w14:paraId="70874F28">
                  <w:pPr>
                    <w:spacing w:line="240" w:lineRule="exact"/>
                    <w:jc w:val="center"/>
                    <w:rPr>
                      <w:rFonts w:hint="default" w:ascii="Times New Roman" w:hAnsi="Times New Roman" w:eastAsia="宋体" w:cs="Times New Roman"/>
                      <w:b/>
                      <w:bCs/>
                      <w:color w:val="auto"/>
                      <w:szCs w:val="21"/>
                    </w:rPr>
                  </w:pPr>
                </w:p>
              </w:tc>
            </w:tr>
            <w:tr w14:paraId="7BD122F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restart"/>
                  <w:tcBorders>
                    <w:tl2br w:val="nil"/>
                    <w:tr2bl w:val="nil"/>
                  </w:tcBorders>
                  <w:noWrap w:val="0"/>
                  <w:vAlign w:val="center"/>
                </w:tcPr>
                <w:p w14:paraId="4DE33C60">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引用</w:t>
                  </w:r>
                  <w:r>
                    <w:rPr>
                      <w:rFonts w:hint="default" w:ascii="Times New Roman" w:hAnsi="Times New Roman" w:eastAsia="宋体" w:cs="Times New Roman"/>
                      <w:bCs/>
                      <w:color w:val="auto"/>
                      <w:sz w:val="21"/>
                      <w:szCs w:val="21"/>
                    </w:rPr>
                    <w:t>项目厂址内（G1）</w:t>
                  </w:r>
                </w:p>
              </w:tc>
              <w:tc>
                <w:tcPr>
                  <w:tcW w:w="1516" w:type="dxa"/>
                  <w:tcBorders>
                    <w:tl2br w:val="nil"/>
                    <w:tr2bl w:val="nil"/>
                  </w:tcBorders>
                  <w:noWrap w:val="0"/>
                  <w:vAlign w:val="center"/>
                </w:tcPr>
                <w:p w14:paraId="0670BE4C">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2021.6.22-6.23</w:t>
                  </w:r>
                </w:p>
              </w:tc>
              <w:tc>
                <w:tcPr>
                  <w:tcW w:w="1746" w:type="dxa"/>
                  <w:tcBorders>
                    <w:tl2br w:val="nil"/>
                    <w:tr2bl w:val="nil"/>
                  </w:tcBorders>
                  <w:noWrap w:val="0"/>
                  <w:vAlign w:val="center"/>
                </w:tcPr>
                <w:p w14:paraId="5047BC2C">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08:00次日08:00</w:t>
                  </w:r>
                </w:p>
              </w:tc>
              <w:tc>
                <w:tcPr>
                  <w:tcW w:w="2606" w:type="dxa"/>
                  <w:tcBorders>
                    <w:tl2br w:val="nil"/>
                    <w:tr2bl w:val="nil"/>
                  </w:tcBorders>
                  <w:noWrap w:val="0"/>
                  <w:vAlign w:val="center"/>
                </w:tcPr>
                <w:p w14:paraId="1DFBEEAB">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HTSP20210618001-1-1-1</w:t>
                  </w:r>
                </w:p>
              </w:tc>
              <w:tc>
                <w:tcPr>
                  <w:tcW w:w="1789" w:type="dxa"/>
                  <w:tcBorders>
                    <w:tl2br w:val="nil"/>
                    <w:tr2bl w:val="nil"/>
                  </w:tcBorders>
                  <w:noWrap w:val="0"/>
                  <w:vAlign w:val="center"/>
                </w:tcPr>
                <w:p w14:paraId="33462012">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64</w:t>
                  </w:r>
                </w:p>
              </w:tc>
            </w:tr>
            <w:tr w14:paraId="436064C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20A70D66">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1D249A41">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2021.6.23-6.24</w:t>
                  </w:r>
                </w:p>
              </w:tc>
              <w:tc>
                <w:tcPr>
                  <w:tcW w:w="1746" w:type="dxa"/>
                  <w:tcBorders>
                    <w:tl2br w:val="nil"/>
                    <w:tr2bl w:val="nil"/>
                  </w:tcBorders>
                  <w:noWrap w:val="0"/>
                  <w:vAlign w:val="center"/>
                </w:tcPr>
                <w:p w14:paraId="3C58BEA3">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08:30次日08:30</w:t>
                  </w:r>
                </w:p>
              </w:tc>
              <w:tc>
                <w:tcPr>
                  <w:tcW w:w="2606" w:type="dxa"/>
                  <w:tcBorders>
                    <w:tl2br w:val="nil"/>
                    <w:tr2bl w:val="nil"/>
                  </w:tcBorders>
                  <w:noWrap w:val="0"/>
                  <w:vAlign w:val="center"/>
                </w:tcPr>
                <w:p w14:paraId="130AD18B">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HTSP20210618001-1-1-2</w:t>
                  </w:r>
                </w:p>
              </w:tc>
              <w:tc>
                <w:tcPr>
                  <w:tcW w:w="1789" w:type="dxa"/>
                  <w:tcBorders>
                    <w:tl2br w:val="nil"/>
                    <w:tr2bl w:val="nil"/>
                  </w:tcBorders>
                  <w:noWrap w:val="0"/>
                  <w:vAlign w:val="center"/>
                </w:tcPr>
                <w:p w14:paraId="51E1B56F">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14:paraId="6E62393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5A7877A2">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3B552935">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2021.6.24-6.25</w:t>
                  </w:r>
                </w:p>
              </w:tc>
              <w:tc>
                <w:tcPr>
                  <w:tcW w:w="1746" w:type="dxa"/>
                  <w:tcBorders>
                    <w:tl2br w:val="nil"/>
                    <w:tr2bl w:val="nil"/>
                  </w:tcBorders>
                  <w:noWrap w:val="0"/>
                  <w:vAlign w:val="center"/>
                </w:tcPr>
                <w:p w14:paraId="6962109A">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09:00次日09:00</w:t>
                  </w:r>
                </w:p>
              </w:tc>
              <w:tc>
                <w:tcPr>
                  <w:tcW w:w="2606" w:type="dxa"/>
                  <w:tcBorders>
                    <w:tl2br w:val="nil"/>
                    <w:tr2bl w:val="nil"/>
                  </w:tcBorders>
                  <w:noWrap w:val="0"/>
                  <w:vAlign w:val="center"/>
                </w:tcPr>
                <w:p w14:paraId="513433DE">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HTSP20210618001-1-1-3</w:t>
                  </w:r>
                </w:p>
              </w:tc>
              <w:tc>
                <w:tcPr>
                  <w:tcW w:w="1789" w:type="dxa"/>
                  <w:tcBorders>
                    <w:tl2br w:val="nil"/>
                    <w:tr2bl w:val="nil"/>
                  </w:tcBorders>
                  <w:noWrap w:val="0"/>
                  <w:vAlign w:val="center"/>
                </w:tcPr>
                <w:p w14:paraId="019B404D">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r>
            <w:tr w14:paraId="2D0716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63E44639">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1531EC18">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2021.6.25-6.26</w:t>
                  </w:r>
                </w:p>
              </w:tc>
              <w:tc>
                <w:tcPr>
                  <w:tcW w:w="1746" w:type="dxa"/>
                  <w:tcBorders>
                    <w:tl2br w:val="nil"/>
                    <w:tr2bl w:val="nil"/>
                  </w:tcBorders>
                  <w:noWrap w:val="0"/>
                  <w:vAlign w:val="center"/>
                </w:tcPr>
                <w:p w14:paraId="6F36DC15">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09:30次日09:30</w:t>
                  </w:r>
                </w:p>
              </w:tc>
              <w:tc>
                <w:tcPr>
                  <w:tcW w:w="2606" w:type="dxa"/>
                  <w:tcBorders>
                    <w:tl2br w:val="nil"/>
                    <w:tr2bl w:val="nil"/>
                  </w:tcBorders>
                  <w:noWrap w:val="0"/>
                  <w:vAlign w:val="center"/>
                </w:tcPr>
                <w:p w14:paraId="254461BE">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HTSP20210618001-1-1-4</w:t>
                  </w:r>
                </w:p>
              </w:tc>
              <w:tc>
                <w:tcPr>
                  <w:tcW w:w="1789" w:type="dxa"/>
                  <w:tcBorders>
                    <w:tl2br w:val="nil"/>
                    <w:tr2bl w:val="nil"/>
                  </w:tcBorders>
                  <w:noWrap w:val="0"/>
                  <w:vAlign w:val="center"/>
                </w:tcPr>
                <w:p w14:paraId="40859054">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67</w:t>
                  </w:r>
                </w:p>
              </w:tc>
            </w:tr>
            <w:tr w14:paraId="7D69C89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388A7B7F">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3FBF5B5D">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2021.6.26-6.27</w:t>
                  </w:r>
                </w:p>
              </w:tc>
              <w:tc>
                <w:tcPr>
                  <w:tcW w:w="1746" w:type="dxa"/>
                  <w:tcBorders>
                    <w:tl2br w:val="nil"/>
                    <w:tr2bl w:val="nil"/>
                  </w:tcBorders>
                  <w:noWrap w:val="0"/>
                  <w:vAlign w:val="center"/>
                </w:tcPr>
                <w:p w14:paraId="32D8D31F">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10:00次日10:00</w:t>
                  </w:r>
                </w:p>
              </w:tc>
              <w:tc>
                <w:tcPr>
                  <w:tcW w:w="2606" w:type="dxa"/>
                  <w:tcBorders>
                    <w:tl2br w:val="nil"/>
                    <w:tr2bl w:val="nil"/>
                  </w:tcBorders>
                  <w:noWrap w:val="0"/>
                  <w:vAlign w:val="center"/>
                </w:tcPr>
                <w:p w14:paraId="22C8539D">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HTSP20210618001-1-1-5</w:t>
                  </w:r>
                </w:p>
              </w:tc>
              <w:tc>
                <w:tcPr>
                  <w:tcW w:w="1789" w:type="dxa"/>
                  <w:tcBorders>
                    <w:tl2br w:val="nil"/>
                    <w:tr2bl w:val="nil"/>
                  </w:tcBorders>
                  <w:noWrap w:val="0"/>
                  <w:vAlign w:val="center"/>
                </w:tcPr>
                <w:p w14:paraId="3790DABE">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r>
            <w:tr w14:paraId="70FBE74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162971C9">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27D9697E">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2021.6.27-6.28</w:t>
                  </w:r>
                </w:p>
              </w:tc>
              <w:tc>
                <w:tcPr>
                  <w:tcW w:w="1746" w:type="dxa"/>
                  <w:tcBorders>
                    <w:tl2br w:val="nil"/>
                    <w:tr2bl w:val="nil"/>
                  </w:tcBorders>
                  <w:noWrap w:val="0"/>
                  <w:vAlign w:val="center"/>
                </w:tcPr>
                <w:p w14:paraId="3440EA82">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10:30次日10:30</w:t>
                  </w:r>
                </w:p>
              </w:tc>
              <w:tc>
                <w:tcPr>
                  <w:tcW w:w="2606" w:type="dxa"/>
                  <w:tcBorders>
                    <w:tl2br w:val="nil"/>
                    <w:tr2bl w:val="nil"/>
                  </w:tcBorders>
                  <w:noWrap w:val="0"/>
                  <w:vAlign w:val="center"/>
                </w:tcPr>
                <w:p w14:paraId="15FE11D3">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HTSP20210618001-1-1-6</w:t>
                  </w:r>
                </w:p>
              </w:tc>
              <w:tc>
                <w:tcPr>
                  <w:tcW w:w="1789" w:type="dxa"/>
                  <w:tcBorders>
                    <w:tl2br w:val="nil"/>
                    <w:tr2bl w:val="nil"/>
                  </w:tcBorders>
                  <w:noWrap w:val="0"/>
                  <w:vAlign w:val="center"/>
                </w:tcPr>
                <w:p w14:paraId="58DF6655">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79</w:t>
                  </w:r>
                </w:p>
              </w:tc>
            </w:tr>
            <w:tr w14:paraId="25262A4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415D24D1">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520B92C6">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2021.6.28-6.29</w:t>
                  </w:r>
                </w:p>
              </w:tc>
              <w:tc>
                <w:tcPr>
                  <w:tcW w:w="1746" w:type="dxa"/>
                  <w:tcBorders>
                    <w:tl2br w:val="nil"/>
                    <w:tr2bl w:val="nil"/>
                  </w:tcBorders>
                  <w:noWrap w:val="0"/>
                  <w:vAlign w:val="center"/>
                </w:tcPr>
                <w:p w14:paraId="1BCDDC4B">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11:00次日11:00</w:t>
                  </w:r>
                </w:p>
              </w:tc>
              <w:tc>
                <w:tcPr>
                  <w:tcW w:w="2606" w:type="dxa"/>
                  <w:tcBorders>
                    <w:tl2br w:val="nil"/>
                    <w:tr2bl w:val="nil"/>
                  </w:tcBorders>
                  <w:noWrap w:val="0"/>
                  <w:vAlign w:val="center"/>
                </w:tcPr>
                <w:p w14:paraId="09D1ED96">
                  <w:pPr>
                    <w:spacing w:line="240" w:lineRule="exact"/>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HTSP20210618001-1-1-7</w:t>
                  </w:r>
                </w:p>
              </w:tc>
              <w:tc>
                <w:tcPr>
                  <w:tcW w:w="1789" w:type="dxa"/>
                  <w:tcBorders>
                    <w:tl2br w:val="nil"/>
                    <w:tr2bl w:val="nil"/>
                  </w:tcBorders>
                  <w:noWrap w:val="0"/>
                  <w:vAlign w:val="center"/>
                </w:tcPr>
                <w:p w14:paraId="4069EDDC">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69</w:t>
                  </w:r>
                </w:p>
              </w:tc>
            </w:tr>
            <w:tr w14:paraId="4DE741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restart"/>
                  <w:tcBorders>
                    <w:tl2br w:val="nil"/>
                    <w:tr2bl w:val="nil"/>
                  </w:tcBorders>
                  <w:noWrap w:val="0"/>
                  <w:vAlign w:val="center"/>
                </w:tcPr>
                <w:p w14:paraId="45A3821E">
                  <w:pPr>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 w:val="21"/>
                      <w:szCs w:val="21"/>
                      <w:lang w:val="en-US" w:eastAsia="zh-CN"/>
                    </w:rPr>
                    <w:t>深沟散户</w:t>
                  </w:r>
                  <w:r>
                    <w:rPr>
                      <w:rFonts w:hint="default" w:ascii="Times New Roman" w:hAnsi="Times New Roman" w:eastAsia="宋体" w:cs="Times New Roman"/>
                      <w:bCs/>
                      <w:color w:val="auto"/>
                      <w:sz w:val="21"/>
                      <w:szCs w:val="21"/>
                    </w:rPr>
                    <w:t>（下风向G2）</w:t>
                  </w:r>
                </w:p>
              </w:tc>
              <w:tc>
                <w:tcPr>
                  <w:tcW w:w="1516" w:type="dxa"/>
                  <w:tcBorders>
                    <w:tl2br w:val="nil"/>
                    <w:tr2bl w:val="nil"/>
                  </w:tcBorders>
                  <w:noWrap w:val="0"/>
                  <w:vAlign w:val="center"/>
                </w:tcPr>
                <w:p w14:paraId="2FA8C183">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2021.6.22-6.23</w:t>
                  </w:r>
                </w:p>
              </w:tc>
              <w:tc>
                <w:tcPr>
                  <w:tcW w:w="1746" w:type="dxa"/>
                  <w:tcBorders>
                    <w:tl2br w:val="nil"/>
                    <w:tr2bl w:val="nil"/>
                  </w:tcBorders>
                  <w:noWrap w:val="0"/>
                  <w:vAlign w:val="center"/>
                </w:tcPr>
                <w:p w14:paraId="2C5CC648">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08:00次日08:00</w:t>
                  </w:r>
                </w:p>
              </w:tc>
              <w:tc>
                <w:tcPr>
                  <w:tcW w:w="2606" w:type="dxa"/>
                  <w:tcBorders>
                    <w:tl2br w:val="nil"/>
                    <w:tr2bl w:val="nil"/>
                  </w:tcBorders>
                  <w:noWrap w:val="0"/>
                  <w:vAlign w:val="center"/>
                </w:tcPr>
                <w:p w14:paraId="630F2431">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HTSP20210618001-2-1-1</w:t>
                  </w:r>
                </w:p>
              </w:tc>
              <w:tc>
                <w:tcPr>
                  <w:tcW w:w="1789" w:type="dxa"/>
                  <w:tcBorders>
                    <w:tl2br w:val="nil"/>
                    <w:tr2bl w:val="nil"/>
                  </w:tcBorders>
                  <w:noWrap w:val="0"/>
                  <w:vAlign w:val="center"/>
                </w:tcPr>
                <w:p w14:paraId="679FF4EE">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73</w:t>
                  </w:r>
                </w:p>
              </w:tc>
            </w:tr>
            <w:tr w14:paraId="046124B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1BA82DD1">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686BBA69">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2021.6.23-6.24</w:t>
                  </w:r>
                </w:p>
              </w:tc>
              <w:tc>
                <w:tcPr>
                  <w:tcW w:w="1746" w:type="dxa"/>
                  <w:tcBorders>
                    <w:tl2br w:val="nil"/>
                    <w:tr2bl w:val="nil"/>
                  </w:tcBorders>
                  <w:noWrap w:val="0"/>
                  <w:vAlign w:val="center"/>
                </w:tcPr>
                <w:p w14:paraId="315119A9">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08:30次日08:30</w:t>
                  </w:r>
                </w:p>
              </w:tc>
              <w:tc>
                <w:tcPr>
                  <w:tcW w:w="2606" w:type="dxa"/>
                  <w:tcBorders>
                    <w:tl2br w:val="nil"/>
                    <w:tr2bl w:val="nil"/>
                  </w:tcBorders>
                  <w:noWrap w:val="0"/>
                  <w:vAlign w:val="center"/>
                </w:tcPr>
                <w:p w14:paraId="76E9A02A">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HTSP20210618001-2-1-2</w:t>
                  </w:r>
                </w:p>
              </w:tc>
              <w:tc>
                <w:tcPr>
                  <w:tcW w:w="1789" w:type="dxa"/>
                  <w:tcBorders>
                    <w:tl2br w:val="nil"/>
                    <w:tr2bl w:val="nil"/>
                  </w:tcBorders>
                  <w:noWrap w:val="0"/>
                  <w:vAlign w:val="center"/>
                </w:tcPr>
                <w:p w14:paraId="090ACD55">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75</w:t>
                  </w:r>
                </w:p>
              </w:tc>
            </w:tr>
            <w:tr w14:paraId="604B64F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1B11755E">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3F135C63">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2021.6.24-6.25</w:t>
                  </w:r>
                </w:p>
              </w:tc>
              <w:tc>
                <w:tcPr>
                  <w:tcW w:w="1746" w:type="dxa"/>
                  <w:tcBorders>
                    <w:tl2br w:val="nil"/>
                    <w:tr2bl w:val="nil"/>
                  </w:tcBorders>
                  <w:noWrap w:val="0"/>
                  <w:vAlign w:val="center"/>
                </w:tcPr>
                <w:p w14:paraId="537080A3">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09:00次日09:00</w:t>
                  </w:r>
                </w:p>
              </w:tc>
              <w:tc>
                <w:tcPr>
                  <w:tcW w:w="2606" w:type="dxa"/>
                  <w:tcBorders>
                    <w:tl2br w:val="nil"/>
                    <w:tr2bl w:val="nil"/>
                  </w:tcBorders>
                  <w:noWrap w:val="0"/>
                  <w:vAlign w:val="center"/>
                </w:tcPr>
                <w:p w14:paraId="41BCFBCF">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HTSP20210618001-2-1-3</w:t>
                  </w:r>
                </w:p>
              </w:tc>
              <w:tc>
                <w:tcPr>
                  <w:tcW w:w="1789" w:type="dxa"/>
                  <w:tcBorders>
                    <w:tl2br w:val="nil"/>
                    <w:tr2bl w:val="nil"/>
                  </w:tcBorders>
                  <w:noWrap w:val="0"/>
                  <w:vAlign w:val="center"/>
                </w:tcPr>
                <w:p w14:paraId="01FA47C5">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66</w:t>
                  </w:r>
                </w:p>
              </w:tc>
            </w:tr>
            <w:tr w14:paraId="44BA7BE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78E585AA">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74936A79">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2021.6.25-6.26</w:t>
                  </w:r>
                </w:p>
              </w:tc>
              <w:tc>
                <w:tcPr>
                  <w:tcW w:w="1746" w:type="dxa"/>
                  <w:tcBorders>
                    <w:tl2br w:val="nil"/>
                    <w:tr2bl w:val="nil"/>
                  </w:tcBorders>
                  <w:noWrap w:val="0"/>
                  <w:vAlign w:val="center"/>
                </w:tcPr>
                <w:p w14:paraId="3E8B85BE">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09:30次日09:30</w:t>
                  </w:r>
                </w:p>
              </w:tc>
              <w:tc>
                <w:tcPr>
                  <w:tcW w:w="2606" w:type="dxa"/>
                  <w:tcBorders>
                    <w:tl2br w:val="nil"/>
                    <w:tr2bl w:val="nil"/>
                  </w:tcBorders>
                  <w:noWrap w:val="0"/>
                  <w:vAlign w:val="center"/>
                </w:tcPr>
                <w:p w14:paraId="746969A4">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HTSP20210618001-2-1-4</w:t>
                  </w:r>
                </w:p>
              </w:tc>
              <w:tc>
                <w:tcPr>
                  <w:tcW w:w="1789" w:type="dxa"/>
                  <w:tcBorders>
                    <w:tl2br w:val="nil"/>
                    <w:tr2bl w:val="nil"/>
                  </w:tcBorders>
                  <w:noWrap w:val="0"/>
                  <w:vAlign w:val="center"/>
                </w:tcPr>
                <w:p w14:paraId="26279D2D">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72</w:t>
                  </w:r>
                </w:p>
              </w:tc>
            </w:tr>
            <w:tr w14:paraId="7CBC402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31320C67">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116EEF42">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2021.6.26-6.27</w:t>
                  </w:r>
                </w:p>
              </w:tc>
              <w:tc>
                <w:tcPr>
                  <w:tcW w:w="1746" w:type="dxa"/>
                  <w:tcBorders>
                    <w:tl2br w:val="nil"/>
                    <w:tr2bl w:val="nil"/>
                  </w:tcBorders>
                  <w:noWrap w:val="0"/>
                  <w:vAlign w:val="center"/>
                </w:tcPr>
                <w:p w14:paraId="13280ABA">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10:00次日10:00</w:t>
                  </w:r>
                </w:p>
              </w:tc>
              <w:tc>
                <w:tcPr>
                  <w:tcW w:w="2606" w:type="dxa"/>
                  <w:tcBorders>
                    <w:tl2br w:val="nil"/>
                    <w:tr2bl w:val="nil"/>
                  </w:tcBorders>
                  <w:noWrap w:val="0"/>
                  <w:vAlign w:val="center"/>
                </w:tcPr>
                <w:p w14:paraId="33372073">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HTSP20210618001-2-1-5</w:t>
                  </w:r>
                </w:p>
              </w:tc>
              <w:tc>
                <w:tcPr>
                  <w:tcW w:w="1789" w:type="dxa"/>
                  <w:tcBorders>
                    <w:tl2br w:val="nil"/>
                    <w:tr2bl w:val="nil"/>
                  </w:tcBorders>
                  <w:noWrap w:val="0"/>
                  <w:vAlign w:val="center"/>
                </w:tcPr>
                <w:p w14:paraId="5BE0F8BC">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r>
            <w:tr w14:paraId="63C0503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644426D5">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770D5BA2">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2021.6.27-6.28</w:t>
                  </w:r>
                </w:p>
              </w:tc>
              <w:tc>
                <w:tcPr>
                  <w:tcW w:w="1746" w:type="dxa"/>
                  <w:tcBorders>
                    <w:tl2br w:val="nil"/>
                    <w:tr2bl w:val="nil"/>
                  </w:tcBorders>
                  <w:noWrap w:val="0"/>
                  <w:vAlign w:val="center"/>
                </w:tcPr>
                <w:p w14:paraId="603B6F58">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10:30次日10:30</w:t>
                  </w:r>
                </w:p>
              </w:tc>
              <w:tc>
                <w:tcPr>
                  <w:tcW w:w="2606" w:type="dxa"/>
                  <w:tcBorders>
                    <w:tl2br w:val="nil"/>
                    <w:tr2bl w:val="nil"/>
                  </w:tcBorders>
                  <w:noWrap w:val="0"/>
                  <w:vAlign w:val="center"/>
                </w:tcPr>
                <w:p w14:paraId="0D55B814">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HTSP20210618001-2-1-6</w:t>
                  </w:r>
                </w:p>
              </w:tc>
              <w:tc>
                <w:tcPr>
                  <w:tcW w:w="1789" w:type="dxa"/>
                  <w:tcBorders>
                    <w:tl2br w:val="nil"/>
                    <w:tr2bl w:val="nil"/>
                  </w:tcBorders>
                  <w:noWrap w:val="0"/>
                  <w:vAlign w:val="center"/>
                </w:tcPr>
                <w:p w14:paraId="37826F4A">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68</w:t>
                  </w:r>
                </w:p>
              </w:tc>
            </w:tr>
            <w:tr w14:paraId="5B2B2AD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2" w:type="dxa"/>
                  <w:vMerge w:val="continue"/>
                  <w:tcBorders>
                    <w:tl2br w:val="nil"/>
                    <w:tr2bl w:val="nil"/>
                  </w:tcBorders>
                  <w:noWrap w:val="0"/>
                  <w:vAlign w:val="center"/>
                </w:tcPr>
                <w:p w14:paraId="232D44FB">
                  <w:pPr>
                    <w:spacing w:line="240" w:lineRule="exact"/>
                    <w:jc w:val="center"/>
                    <w:rPr>
                      <w:rFonts w:hint="default" w:ascii="Times New Roman" w:hAnsi="Times New Roman" w:eastAsia="宋体" w:cs="Times New Roman"/>
                      <w:color w:val="auto"/>
                      <w:szCs w:val="21"/>
                    </w:rPr>
                  </w:pPr>
                </w:p>
              </w:tc>
              <w:tc>
                <w:tcPr>
                  <w:tcW w:w="1516" w:type="dxa"/>
                  <w:tcBorders>
                    <w:tl2br w:val="nil"/>
                    <w:tr2bl w:val="nil"/>
                  </w:tcBorders>
                  <w:noWrap w:val="0"/>
                  <w:vAlign w:val="center"/>
                </w:tcPr>
                <w:p w14:paraId="1E11F617">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2021.6.28-6.29</w:t>
                  </w:r>
                </w:p>
              </w:tc>
              <w:tc>
                <w:tcPr>
                  <w:tcW w:w="1746" w:type="dxa"/>
                  <w:tcBorders>
                    <w:tl2br w:val="nil"/>
                    <w:tr2bl w:val="nil"/>
                  </w:tcBorders>
                  <w:noWrap w:val="0"/>
                  <w:vAlign w:val="center"/>
                </w:tcPr>
                <w:p w14:paraId="0092F869">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auto"/>
                      <w:szCs w:val="21"/>
                      <w:lang w:val="en-US" w:eastAsia="zh-CN"/>
                    </w:rPr>
                    <w:t>11:00次日11:00</w:t>
                  </w:r>
                </w:p>
              </w:tc>
              <w:tc>
                <w:tcPr>
                  <w:tcW w:w="2606" w:type="dxa"/>
                  <w:tcBorders>
                    <w:tl2br w:val="nil"/>
                    <w:tr2bl w:val="nil"/>
                  </w:tcBorders>
                  <w:noWrap w:val="0"/>
                  <w:vAlign w:val="center"/>
                </w:tcPr>
                <w:p w14:paraId="261C5AFD">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HTSP20210618001-2-1-7</w:t>
                  </w:r>
                </w:p>
              </w:tc>
              <w:tc>
                <w:tcPr>
                  <w:tcW w:w="1789" w:type="dxa"/>
                  <w:tcBorders>
                    <w:tl2br w:val="nil"/>
                    <w:tr2bl w:val="nil"/>
                  </w:tcBorders>
                  <w:noWrap w:val="0"/>
                  <w:vAlign w:val="center"/>
                </w:tcPr>
                <w:p w14:paraId="04CFE562">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78</w:t>
                  </w:r>
                </w:p>
              </w:tc>
            </w:tr>
            <w:tr w14:paraId="6526751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0" w:type="dxa"/>
                  <w:gridSpan w:val="4"/>
                  <w:tcBorders>
                    <w:tl2br w:val="nil"/>
                    <w:tr2bl w:val="nil"/>
                  </w:tcBorders>
                  <w:noWrap w:val="0"/>
                  <w:vAlign w:val="center"/>
                </w:tcPr>
                <w:p w14:paraId="6D468C79">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标准值</w:t>
                  </w:r>
                </w:p>
              </w:tc>
              <w:tc>
                <w:tcPr>
                  <w:tcW w:w="1789" w:type="dxa"/>
                  <w:tcBorders>
                    <w:tl2br w:val="nil"/>
                    <w:tr2bl w:val="nil"/>
                  </w:tcBorders>
                  <w:noWrap w:val="0"/>
                  <w:vAlign w:val="center"/>
                </w:tcPr>
                <w:p w14:paraId="1E6A4831">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r>
            <w:tr w14:paraId="0D6FF0C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80" w:type="dxa"/>
                  <w:gridSpan w:val="4"/>
                  <w:tcBorders>
                    <w:tl2br w:val="nil"/>
                    <w:tr2bl w:val="nil"/>
                  </w:tcBorders>
                  <w:noWrap w:val="0"/>
                  <w:vAlign w:val="center"/>
                </w:tcPr>
                <w:p w14:paraId="26BEB1DB">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达标情况</w:t>
                  </w:r>
                </w:p>
              </w:tc>
              <w:tc>
                <w:tcPr>
                  <w:tcW w:w="1789" w:type="dxa"/>
                  <w:tcBorders>
                    <w:tl2br w:val="nil"/>
                    <w:tr2bl w:val="nil"/>
                  </w:tcBorders>
                  <w:noWrap w:val="0"/>
                  <w:vAlign w:val="center"/>
                </w:tcPr>
                <w:p w14:paraId="315379A7">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14:paraId="7174537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69" w:type="dxa"/>
                  <w:gridSpan w:val="5"/>
                  <w:tcBorders>
                    <w:tl2br w:val="nil"/>
                    <w:tr2bl w:val="nil"/>
                  </w:tcBorders>
                  <w:noWrap w:val="0"/>
                  <w:vAlign w:val="center"/>
                </w:tcPr>
                <w:p w14:paraId="31825829">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备注：“&lt;数据”表示该项目检测结果低于标准检出限。</w:t>
                  </w:r>
                </w:p>
              </w:tc>
            </w:tr>
          </w:tbl>
          <w:p w14:paraId="0F464546">
            <w:pPr>
              <w:keepNext w:val="0"/>
              <w:keepLines w:val="0"/>
              <w:pageBreakBefore w:val="0"/>
              <w:widowControl w:val="0"/>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引用项目区内及下风向保护目标深沟散户</w:t>
            </w:r>
            <w:r>
              <w:rPr>
                <w:rFonts w:hint="default" w:ascii="Times New Roman" w:hAnsi="Times New Roman" w:eastAsia="宋体" w:cs="Times New Roman"/>
                <w:color w:val="auto"/>
                <w:kern w:val="0"/>
                <w:sz w:val="24"/>
                <w:highlight w:val="none"/>
              </w:rPr>
              <w:t>两个监测点TSP日均值浓度能够达到《环境空气质量标准》（GB3095-2012）二级评价标准要求</w:t>
            </w:r>
            <w:r>
              <w:rPr>
                <w:rFonts w:hint="default" w:ascii="Times New Roman" w:hAnsi="Times New Roman" w:eastAsia="宋体" w:cs="Times New Roman"/>
                <w:color w:val="auto"/>
                <w:kern w:val="0"/>
                <w:sz w:val="24"/>
                <w:szCs w:val="24"/>
              </w:rPr>
              <w:t>。</w:t>
            </w:r>
          </w:p>
          <w:p w14:paraId="436A7907">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非甲烷总烃</w:t>
            </w:r>
            <w:r>
              <w:rPr>
                <w:rFonts w:hint="default" w:ascii="Times New Roman" w:hAnsi="Times New Roman" w:eastAsia="宋体" w:cs="Times New Roman"/>
                <w:b w:val="0"/>
                <w:bCs w:val="0"/>
                <w:color w:val="auto"/>
                <w:kern w:val="0"/>
                <w:sz w:val="24"/>
                <w:szCs w:val="24"/>
                <w:highlight w:val="none"/>
                <w:lang w:val="zh-CN" w:eastAsia="zh-CN"/>
              </w:rPr>
              <w:t>环境空气质量现状评价</w:t>
            </w:r>
            <w:r>
              <w:rPr>
                <w:rFonts w:hint="default" w:ascii="Times New Roman" w:hAnsi="Times New Roman" w:eastAsia="宋体" w:cs="Times New Roman"/>
                <w:b w:val="0"/>
                <w:bCs w:val="0"/>
                <w:color w:val="auto"/>
                <w:kern w:val="0"/>
                <w:sz w:val="24"/>
                <w:szCs w:val="24"/>
                <w:highlight w:val="none"/>
                <w:lang w:val="zh-CN"/>
              </w:rPr>
              <w:t>引用</w:t>
            </w:r>
            <w:r>
              <w:rPr>
                <w:rFonts w:hint="default" w:ascii="Times New Roman" w:hAnsi="Times New Roman" w:eastAsia="宋体" w:cs="Times New Roman"/>
                <w:b w:val="0"/>
                <w:bCs w:val="0"/>
                <w:color w:val="auto"/>
                <w:sz w:val="24"/>
                <w:szCs w:val="24"/>
              </w:rPr>
              <w:t>云南厚望环保科技有限公司</w:t>
            </w:r>
            <w:r>
              <w:rPr>
                <w:rFonts w:hint="default" w:ascii="Times New Roman" w:hAnsi="Times New Roman" w:eastAsia="宋体" w:cs="Times New Roman"/>
                <w:b w:val="0"/>
                <w:bCs w:val="0"/>
                <w:color w:val="auto"/>
                <w:sz w:val="24"/>
                <w:szCs w:val="24"/>
                <w:highlight w:val="none"/>
              </w:rPr>
              <w:t>于</w:t>
            </w:r>
            <w:r>
              <w:rPr>
                <w:rFonts w:hint="default" w:ascii="Times New Roman" w:hAnsi="Times New Roman" w:eastAsia="宋体" w:cs="Times New Roman"/>
                <w:b w:val="0"/>
                <w:bCs w:val="0"/>
                <w:color w:val="auto"/>
                <w:sz w:val="24"/>
                <w:szCs w:val="24"/>
                <w:highlight w:val="none"/>
                <w:lang w:val="en-US" w:eastAsia="zh-CN"/>
              </w:rPr>
              <w:t>2022</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日-202</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月</w:t>
            </w:r>
            <w:r>
              <w:rPr>
                <w:rFonts w:hint="eastAsia" w:cs="Times New Roman"/>
                <w:b w:val="0"/>
                <w:bCs w:val="0"/>
                <w:color w:val="auto"/>
                <w:sz w:val="24"/>
                <w:szCs w:val="24"/>
                <w:highlight w:val="none"/>
                <w:lang w:val="en-US" w:eastAsia="zh-CN"/>
              </w:rPr>
              <w:t>22</w:t>
            </w:r>
            <w:r>
              <w:rPr>
                <w:rFonts w:hint="default" w:ascii="Times New Roman" w:hAnsi="Times New Roman" w:eastAsia="宋体" w:cs="Times New Roman"/>
                <w:b w:val="0"/>
                <w:bCs w:val="0"/>
                <w:color w:val="auto"/>
                <w:sz w:val="24"/>
                <w:szCs w:val="24"/>
                <w:highlight w:val="none"/>
              </w:rPr>
              <w:t>日对</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云南寻甸产业园区总体规划修编（2021-2035）环境影响报告</w:t>
            </w:r>
            <w:r>
              <w:rPr>
                <w:rFonts w:hint="default" w:ascii="Times New Roman" w:hAnsi="Times New Roman" w:eastAsia="宋体" w:cs="Times New Roman"/>
                <w:b w:val="0"/>
                <w:bCs w:val="0"/>
                <w:color w:val="auto"/>
                <w:sz w:val="24"/>
                <w:szCs w:val="24"/>
                <w:highlight w:val="none"/>
              </w:rPr>
              <w:t>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中</w:t>
            </w:r>
            <w:r>
              <w:rPr>
                <w:rFonts w:hint="eastAsia" w:cs="Times New Roman"/>
                <w:b w:val="0"/>
                <w:bCs w:val="0"/>
                <w:color w:val="auto"/>
                <w:kern w:val="2"/>
                <w:sz w:val="24"/>
                <w:szCs w:val="24"/>
                <w:highlight w:val="none"/>
                <w:lang w:val="en-US" w:eastAsia="zh-CN"/>
              </w:rPr>
              <w:t>羊街集镇</w:t>
            </w:r>
            <w:r>
              <w:rPr>
                <w:rFonts w:hint="default" w:ascii="Times New Roman" w:hAnsi="Times New Roman" w:eastAsia="宋体" w:cs="Times New Roman"/>
                <w:b w:val="0"/>
                <w:bCs w:val="0"/>
                <w:color w:val="auto"/>
                <w:kern w:val="2"/>
                <w:sz w:val="24"/>
                <w:szCs w:val="24"/>
                <w:highlight w:val="none"/>
                <w:lang w:val="en-US" w:eastAsia="zh-CN"/>
              </w:rPr>
              <w:t>（</w:t>
            </w:r>
            <w:r>
              <w:rPr>
                <w:rFonts w:hint="eastAsia" w:cs="Times New Roman"/>
                <w:b w:val="0"/>
                <w:bCs w:val="0"/>
                <w:color w:val="auto"/>
                <w:kern w:val="2"/>
                <w:sz w:val="24"/>
                <w:szCs w:val="24"/>
                <w:highlight w:val="none"/>
                <w:lang w:val="en-US" w:eastAsia="zh-CN"/>
              </w:rPr>
              <w:t>1</w:t>
            </w:r>
            <w:r>
              <w:rPr>
                <w:rFonts w:hint="default" w:ascii="Times New Roman" w:hAnsi="Times New Roman" w:eastAsia="宋体" w:cs="Times New Roman"/>
                <w:b w:val="0"/>
                <w:bCs w:val="0"/>
                <w:color w:val="auto"/>
                <w:kern w:val="2"/>
                <w:sz w:val="24"/>
                <w:szCs w:val="24"/>
                <w:highlight w:val="none"/>
                <w:lang w:val="en-US" w:eastAsia="zh-CN"/>
              </w:rPr>
              <w:t>#）的</w:t>
            </w:r>
            <w:r>
              <w:rPr>
                <w:rFonts w:hint="default" w:ascii="Times New Roman" w:hAnsi="Times New Roman" w:eastAsia="宋体" w:cs="Times New Roman"/>
                <w:b w:val="0"/>
                <w:bCs w:val="0"/>
                <w:color w:val="auto"/>
                <w:kern w:val="0"/>
                <w:sz w:val="24"/>
                <w:szCs w:val="24"/>
                <w:highlight w:val="none"/>
                <w:lang w:val="zh-CN" w:eastAsia="zh-CN"/>
              </w:rPr>
              <w:t>空气质量现状监测数据，</w:t>
            </w:r>
            <w:r>
              <w:rPr>
                <w:rFonts w:hint="default" w:ascii="Times New Roman" w:hAnsi="Times New Roman" w:eastAsia="宋体" w:cs="Times New Roman"/>
                <w:b w:val="0"/>
                <w:bCs w:val="0"/>
                <w:color w:val="auto"/>
                <w:sz w:val="24"/>
                <w:szCs w:val="24"/>
                <w:highlight w:val="none"/>
                <w:lang w:val="en-US" w:eastAsia="zh-CN"/>
              </w:rPr>
              <w:t>引用监测点</w:t>
            </w:r>
            <w:r>
              <w:rPr>
                <w:rFonts w:hint="eastAsia" w:cs="Times New Roman"/>
                <w:b w:val="0"/>
                <w:bCs w:val="0"/>
                <w:color w:val="auto"/>
                <w:kern w:val="2"/>
                <w:sz w:val="24"/>
                <w:szCs w:val="24"/>
                <w:highlight w:val="none"/>
                <w:lang w:val="en-US" w:eastAsia="zh-CN"/>
              </w:rPr>
              <w:t>羊街集镇</w:t>
            </w:r>
            <w:r>
              <w:rPr>
                <w:rFonts w:hint="default" w:ascii="Times New Roman" w:hAnsi="Times New Roman" w:eastAsia="宋体" w:cs="Times New Roman"/>
                <w:b w:val="0"/>
                <w:bCs w:val="0"/>
                <w:color w:val="auto"/>
                <w:kern w:val="2"/>
                <w:sz w:val="24"/>
                <w:szCs w:val="24"/>
                <w:highlight w:val="none"/>
                <w:lang w:val="en-US" w:eastAsia="zh-CN"/>
              </w:rPr>
              <w:t>（</w:t>
            </w:r>
            <w:r>
              <w:rPr>
                <w:rFonts w:hint="eastAsia" w:cs="Times New Roman"/>
                <w:b w:val="0"/>
                <w:bCs w:val="0"/>
                <w:color w:val="auto"/>
                <w:kern w:val="2"/>
                <w:sz w:val="24"/>
                <w:szCs w:val="24"/>
                <w:highlight w:val="none"/>
                <w:lang w:val="en-US" w:eastAsia="zh-CN"/>
              </w:rPr>
              <w:t>1</w:t>
            </w:r>
            <w:r>
              <w:rPr>
                <w:rFonts w:hint="default" w:ascii="Times New Roman" w:hAnsi="Times New Roman" w:eastAsia="宋体" w:cs="Times New Roman"/>
                <w:b w:val="0"/>
                <w:bCs w:val="0"/>
                <w:color w:val="auto"/>
                <w:kern w:val="2"/>
                <w:sz w:val="24"/>
                <w:szCs w:val="24"/>
                <w:highlight w:val="none"/>
                <w:lang w:val="en-US" w:eastAsia="zh-CN"/>
              </w:rPr>
              <w:t>#）位于</w:t>
            </w:r>
            <w:r>
              <w:rPr>
                <w:rFonts w:hint="default" w:ascii="Times New Roman" w:hAnsi="Times New Roman" w:eastAsia="宋体" w:cs="Times New Roman"/>
                <w:b w:val="0"/>
                <w:bCs w:val="0"/>
                <w:color w:val="auto"/>
                <w:sz w:val="24"/>
                <w:szCs w:val="24"/>
                <w:highlight w:val="none"/>
                <w:lang w:val="en-US" w:eastAsia="zh-CN"/>
              </w:rPr>
              <w:t>本项目</w:t>
            </w:r>
            <w:r>
              <w:rPr>
                <w:rFonts w:hint="eastAsia" w:cs="Times New Roman"/>
                <w:b w:val="0"/>
                <w:bCs w:val="0"/>
                <w:color w:val="auto"/>
                <w:sz w:val="24"/>
                <w:szCs w:val="24"/>
                <w:highlight w:val="none"/>
                <w:lang w:val="en-US" w:eastAsia="zh-CN"/>
              </w:rPr>
              <w:t>西北侧</w:t>
            </w:r>
            <w:r>
              <w:rPr>
                <w:rFonts w:hint="default" w:ascii="Times New Roman" w:hAnsi="Times New Roman" w:eastAsia="宋体" w:cs="Times New Roman"/>
                <w:b w:val="0"/>
                <w:bCs w:val="0"/>
                <w:color w:val="auto"/>
                <w:sz w:val="24"/>
                <w:szCs w:val="24"/>
                <w:highlight w:val="none"/>
                <w:lang w:val="en-US" w:eastAsia="zh-CN"/>
              </w:rPr>
              <w:t>约</w:t>
            </w:r>
            <w:r>
              <w:rPr>
                <w:rFonts w:hint="eastAsia"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lang w:val="en-US" w:eastAsia="zh-CN"/>
              </w:rPr>
              <w:t>km。本项目引用的现状监测点</w:t>
            </w:r>
            <w:r>
              <w:rPr>
                <w:rFonts w:hint="default" w:ascii="Times New Roman" w:hAnsi="Times New Roman" w:eastAsia="宋体" w:cs="Times New Roman"/>
                <w:b w:val="0"/>
                <w:bCs w:val="0"/>
                <w:color w:val="auto"/>
                <w:sz w:val="24"/>
                <w:szCs w:val="24"/>
                <w:highlight w:val="none"/>
                <w:lang w:val="zh-CN"/>
              </w:rPr>
              <w:t>具备类比条件，数据在技术导则要求的“近三年”时限内，属于有效数据，故本项目空气质量现状评价引用</w:t>
            </w:r>
            <w:r>
              <w:rPr>
                <w:rFonts w:hint="default" w:ascii="Times New Roman" w:hAnsi="Times New Roman" w:eastAsia="宋体" w:cs="Times New Roman"/>
                <w:b w:val="0"/>
                <w:bCs w:val="0"/>
                <w:color w:val="auto"/>
                <w:sz w:val="24"/>
                <w:szCs w:val="24"/>
                <w:highlight w:val="none"/>
                <w:lang w:val="en-US" w:eastAsia="zh-CN"/>
              </w:rPr>
              <w:t>的数据具有时效性和代表性。</w:t>
            </w:r>
          </w:p>
          <w:p w14:paraId="17DCFBFA">
            <w:pPr>
              <w:pStyle w:val="80"/>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引用项目</w:t>
            </w:r>
            <w:r>
              <w:rPr>
                <w:rFonts w:hint="default" w:ascii="Times New Roman" w:hAnsi="Times New Roman" w:eastAsia="宋体" w:cs="Times New Roman"/>
                <w:b w:val="0"/>
                <w:bCs w:val="0"/>
                <w:color w:val="auto"/>
                <w:sz w:val="24"/>
                <w:szCs w:val="24"/>
                <w:highlight w:val="none"/>
              </w:rPr>
              <w:t>监测点位布设见表</w:t>
            </w:r>
            <w:r>
              <w:rPr>
                <w:rFonts w:hint="default" w:ascii="Times New Roman" w:hAnsi="Times New Roman" w:eastAsia="宋体" w:cs="Times New Roman"/>
                <w:b w:val="0"/>
                <w:bCs w:val="0"/>
                <w:color w:val="auto"/>
                <w:sz w:val="24"/>
                <w:szCs w:val="24"/>
                <w:highlight w:val="none"/>
                <w:lang w:val="en-US" w:eastAsia="zh-CN"/>
              </w:rPr>
              <w:t>3-</w:t>
            </w: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p>
          <w:p w14:paraId="5BC2FBDF">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监测点位基本信息</w:t>
            </w:r>
          </w:p>
          <w:tbl>
            <w:tblPr>
              <w:tblStyle w:val="26"/>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14:paraId="6C889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14:paraId="53A8ADC3">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监测点名称</w:t>
                  </w:r>
                </w:p>
              </w:tc>
              <w:tc>
                <w:tcPr>
                  <w:tcW w:w="2097" w:type="dxa"/>
                  <w:gridSpan w:val="2"/>
                  <w:tcBorders>
                    <w:tl2br w:val="nil"/>
                    <w:tr2bl w:val="nil"/>
                  </w:tcBorders>
                  <w:noWrap w:val="0"/>
                  <w:vAlign w:val="center"/>
                </w:tcPr>
                <w:p w14:paraId="3F97A954">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监测点位坐标/m</w:t>
                  </w:r>
                </w:p>
              </w:tc>
              <w:tc>
                <w:tcPr>
                  <w:tcW w:w="1229" w:type="dxa"/>
                  <w:vMerge w:val="restart"/>
                  <w:tcBorders>
                    <w:tl2br w:val="nil"/>
                    <w:tr2bl w:val="nil"/>
                  </w:tcBorders>
                  <w:noWrap w:val="0"/>
                  <w:vAlign w:val="center"/>
                </w:tcPr>
                <w:p w14:paraId="532A20F7">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1445" w:type="dxa"/>
                  <w:vMerge w:val="restart"/>
                  <w:tcBorders>
                    <w:tl2br w:val="nil"/>
                    <w:tr2bl w:val="nil"/>
                  </w:tcBorders>
                  <w:noWrap w:val="0"/>
                  <w:vAlign w:val="center"/>
                </w:tcPr>
                <w:p w14:paraId="4EEC6DCF">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监测时段</w:t>
                  </w:r>
                </w:p>
              </w:tc>
              <w:tc>
                <w:tcPr>
                  <w:tcW w:w="1140" w:type="dxa"/>
                  <w:vMerge w:val="restart"/>
                  <w:tcBorders>
                    <w:tl2br w:val="nil"/>
                    <w:tr2bl w:val="nil"/>
                  </w:tcBorders>
                  <w:noWrap w:val="0"/>
                  <w:vAlign w:val="center"/>
                </w:tcPr>
                <w:p w14:paraId="1012036A">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14:paraId="2C7BC45F">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14:paraId="2E7501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14:paraId="28E27710">
                  <w:pPr>
                    <w:shd w:val="clear"/>
                    <w:jc w:val="center"/>
                    <w:rPr>
                      <w:rFonts w:hint="default" w:ascii="Times New Roman" w:hAnsi="Times New Roman" w:eastAsia="宋体" w:cs="Times New Roman"/>
                      <w:b/>
                      <w:color w:val="auto"/>
                      <w:sz w:val="21"/>
                      <w:szCs w:val="21"/>
                      <w:highlight w:val="none"/>
                    </w:rPr>
                  </w:pPr>
                </w:p>
              </w:tc>
              <w:tc>
                <w:tcPr>
                  <w:tcW w:w="1134" w:type="dxa"/>
                  <w:tcBorders>
                    <w:tl2br w:val="nil"/>
                    <w:tr2bl w:val="nil"/>
                  </w:tcBorders>
                  <w:shd w:val="clear" w:color="auto" w:fill="auto"/>
                  <w:noWrap w:val="0"/>
                  <w:vAlign w:val="center"/>
                </w:tcPr>
                <w:p w14:paraId="1BBBA366">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963" w:type="dxa"/>
                  <w:tcBorders>
                    <w:tl2br w:val="nil"/>
                    <w:tr2bl w:val="nil"/>
                  </w:tcBorders>
                  <w:shd w:val="clear" w:color="auto" w:fill="auto"/>
                  <w:noWrap w:val="0"/>
                  <w:vAlign w:val="center"/>
                </w:tcPr>
                <w:p w14:paraId="5CCAAC11">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1229" w:type="dxa"/>
                  <w:vMerge w:val="continue"/>
                  <w:tcBorders>
                    <w:tl2br w:val="nil"/>
                    <w:tr2bl w:val="nil"/>
                  </w:tcBorders>
                  <w:shd w:val="clear" w:color="auto" w:fill="auto"/>
                  <w:noWrap w:val="0"/>
                  <w:vAlign w:val="center"/>
                </w:tcPr>
                <w:p w14:paraId="288F99AE">
                  <w:pPr>
                    <w:shd w:val="clear"/>
                    <w:jc w:val="center"/>
                    <w:rPr>
                      <w:rFonts w:hint="default" w:ascii="Times New Roman" w:hAnsi="Times New Roman" w:eastAsia="宋体" w:cs="Times New Roman"/>
                      <w:b/>
                      <w:color w:val="auto"/>
                      <w:sz w:val="21"/>
                      <w:szCs w:val="21"/>
                      <w:highlight w:val="none"/>
                    </w:rPr>
                  </w:pPr>
                </w:p>
              </w:tc>
              <w:tc>
                <w:tcPr>
                  <w:tcW w:w="1445" w:type="dxa"/>
                  <w:vMerge w:val="continue"/>
                  <w:tcBorders>
                    <w:tl2br w:val="nil"/>
                    <w:tr2bl w:val="nil"/>
                  </w:tcBorders>
                  <w:shd w:val="clear" w:color="auto" w:fill="auto"/>
                  <w:noWrap w:val="0"/>
                  <w:vAlign w:val="center"/>
                </w:tcPr>
                <w:p w14:paraId="13A83A8E">
                  <w:pPr>
                    <w:shd w:val="clear"/>
                    <w:jc w:val="center"/>
                    <w:rPr>
                      <w:rFonts w:hint="default" w:ascii="Times New Roman" w:hAnsi="Times New Roman" w:eastAsia="宋体" w:cs="Times New Roman"/>
                      <w:b/>
                      <w:color w:val="auto"/>
                      <w:sz w:val="21"/>
                      <w:szCs w:val="21"/>
                      <w:highlight w:val="none"/>
                    </w:rPr>
                  </w:pPr>
                </w:p>
              </w:tc>
              <w:tc>
                <w:tcPr>
                  <w:tcW w:w="1140" w:type="dxa"/>
                  <w:vMerge w:val="continue"/>
                  <w:tcBorders>
                    <w:tl2br w:val="nil"/>
                    <w:tr2bl w:val="nil"/>
                  </w:tcBorders>
                  <w:shd w:val="clear" w:color="000000" w:fill="FFFFFF"/>
                  <w:noWrap w:val="0"/>
                  <w:vAlign w:val="center"/>
                </w:tcPr>
                <w:p w14:paraId="50B12CD2">
                  <w:pPr>
                    <w:shd w:val="clea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14:paraId="6618B9FD">
                  <w:pPr>
                    <w:shd w:val="clear"/>
                    <w:jc w:val="center"/>
                    <w:rPr>
                      <w:rFonts w:hint="default" w:ascii="Times New Roman" w:hAnsi="Times New Roman" w:eastAsia="宋体" w:cs="Times New Roman"/>
                      <w:b/>
                      <w:color w:val="auto"/>
                      <w:sz w:val="21"/>
                      <w:szCs w:val="21"/>
                      <w:highlight w:val="none"/>
                    </w:rPr>
                  </w:pPr>
                </w:p>
              </w:tc>
            </w:tr>
            <w:tr w14:paraId="7D11EE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14:paraId="7B8161AA">
                  <w:pPr>
                    <w:shd w:val="clea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羊街集镇</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p>
              </w:tc>
              <w:tc>
                <w:tcPr>
                  <w:tcW w:w="1134" w:type="dxa"/>
                  <w:tcBorders>
                    <w:tl2br w:val="nil"/>
                    <w:tr2bl w:val="nil"/>
                  </w:tcBorders>
                  <w:noWrap w:val="0"/>
                  <w:vAlign w:val="center"/>
                </w:tcPr>
                <w:p w14:paraId="3EC1221C">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25.040</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14:paraId="12BA617C">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r>
                    <w:rPr>
                      <w:rFonts w:hint="eastAsia"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37.703</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14:paraId="1D0C8C22">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445" w:type="dxa"/>
                  <w:tcBorders>
                    <w:tl2br w:val="nil"/>
                    <w:tr2bl w:val="nil"/>
                  </w:tcBorders>
                  <w:noWrap w:val="0"/>
                  <w:vAlign w:val="center"/>
                </w:tcPr>
                <w:p w14:paraId="6AF28868">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2022.9.1</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-2022.9.</w:t>
                  </w:r>
                  <w:r>
                    <w:rPr>
                      <w:rFonts w:hint="eastAsia" w:cs="Times New Roman"/>
                      <w:color w:val="auto"/>
                      <w:sz w:val="21"/>
                      <w:szCs w:val="21"/>
                      <w:highlight w:val="none"/>
                      <w:lang w:val="en-US" w:eastAsia="zh-CN"/>
                    </w:rPr>
                    <w:t>22</w:t>
                  </w:r>
                </w:p>
              </w:tc>
              <w:tc>
                <w:tcPr>
                  <w:tcW w:w="1140" w:type="dxa"/>
                  <w:tcBorders>
                    <w:tl2br w:val="nil"/>
                    <w:tr2bl w:val="nil"/>
                  </w:tcBorders>
                  <w:noWrap w:val="0"/>
                  <w:vAlign w:val="center"/>
                </w:tcPr>
                <w:p w14:paraId="391BE9C0">
                  <w:pPr>
                    <w:shd w:val="clea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西北侧</w:t>
                  </w:r>
                </w:p>
              </w:tc>
              <w:tc>
                <w:tcPr>
                  <w:tcW w:w="1157" w:type="dxa"/>
                  <w:tcBorders>
                    <w:tl2br w:val="nil"/>
                    <w:tr2bl w:val="nil"/>
                  </w:tcBorders>
                  <w:noWrap w:val="0"/>
                  <w:vAlign w:val="center"/>
                </w:tcPr>
                <w:p w14:paraId="2D9CB790">
                  <w:pPr>
                    <w:shd w:val="clea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00</w:t>
                  </w:r>
                </w:p>
              </w:tc>
            </w:tr>
          </w:tbl>
          <w:p w14:paraId="3845B91E">
            <w:pPr>
              <w:pStyle w:val="80"/>
              <w:shd w:val="clea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18"/>
                <w:highlight w:val="none"/>
              </w:rPr>
              <w:t>大气环境质量现状</w:t>
            </w:r>
            <w:r>
              <w:rPr>
                <w:rFonts w:hint="default" w:ascii="Times New Roman" w:hAnsi="Times New Roman" w:eastAsia="宋体" w:cs="Times New Roman"/>
                <w:color w:val="auto"/>
                <w:szCs w:val="18"/>
                <w:highlight w:val="none"/>
                <w:lang w:val="en-US" w:eastAsia="zh-CN"/>
              </w:rPr>
              <w:t>引用</w:t>
            </w:r>
            <w:r>
              <w:rPr>
                <w:rFonts w:hint="default" w:ascii="Times New Roman" w:hAnsi="Times New Roman" w:eastAsia="宋体" w:cs="Times New Roman"/>
                <w:color w:val="auto"/>
                <w:szCs w:val="18"/>
                <w:highlight w:val="none"/>
              </w:rPr>
              <w:t>监测结果见表</w:t>
            </w:r>
            <w:r>
              <w:rPr>
                <w:rFonts w:hint="default" w:ascii="Times New Roman" w:hAnsi="Times New Roman" w:eastAsia="宋体" w:cs="Times New Roman"/>
                <w:color w:val="auto"/>
                <w:szCs w:val="18"/>
                <w:highlight w:val="none"/>
                <w:lang w:val="en-US" w:eastAsia="zh-CN"/>
              </w:rPr>
              <w:t>3-</w:t>
            </w:r>
            <w:r>
              <w:rPr>
                <w:rFonts w:hint="eastAsia" w:cs="Times New Roman"/>
                <w:color w:val="auto"/>
                <w:szCs w:val="18"/>
                <w:highlight w:val="none"/>
                <w:lang w:val="en-US" w:eastAsia="zh-CN"/>
              </w:rPr>
              <w:t>4</w:t>
            </w:r>
            <w:r>
              <w:rPr>
                <w:rFonts w:hint="default" w:ascii="Times New Roman" w:hAnsi="Times New Roman" w:eastAsia="宋体" w:cs="Times New Roman"/>
                <w:color w:val="auto"/>
                <w:szCs w:val="18"/>
                <w:highlight w:val="none"/>
              </w:rPr>
              <w:t>。</w:t>
            </w:r>
          </w:p>
          <w:p w14:paraId="3531E50A">
            <w:pPr>
              <w:pStyle w:val="10"/>
              <w:shd w:val="clear"/>
              <w:snapToGrid w:val="0"/>
              <w:jc w:val="center"/>
              <w:rPr>
                <w:rFonts w:hint="default" w:ascii="Times New Roman" w:hAnsi="Times New Roman" w:eastAsia="宋体" w:cs="Times New Roman"/>
                <w:b/>
                <w:bCs/>
                <w:color w:val="auto"/>
                <w:sz w:val="21"/>
                <w:szCs w:val="21"/>
                <w:highlight w:val="none"/>
                <w:lang w:val="zh-CN"/>
              </w:rPr>
            </w:pPr>
          </w:p>
          <w:p w14:paraId="590AC11B">
            <w:pPr>
              <w:pStyle w:val="10"/>
              <w:shd w:val="clear"/>
              <w:snapToGrid w:val="0"/>
              <w:jc w:val="center"/>
              <w:rPr>
                <w:rFonts w:hint="default" w:ascii="Times New Roman" w:hAnsi="Times New Roman" w:eastAsia="宋体" w:cs="Times New Roman"/>
                <w:b/>
                <w:bCs/>
                <w:color w:val="auto"/>
                <w:sz w:val="21"/>
                <w:szCs w:val="21"/>
                <w:highlight w:val="none"/>
                <w:lang w:val="zh-CN"/>
              </w:rPr>
            </w:pPr>
          </w:p>
          <w:p w14:paraId="0B48FCD7">
            <w:pPr>
              <w:pStyle w:val="10"/>
              <w:shd w:val="clear"/>
              <w:snapToGrid w:val="0"/>
              <w:jc w:val="center"/>
              <w:rPr>
                <w:rFonts w:hint="default" w:ascii="Times New Roman" w:hAnsi="Times New Roman" w:eastAsia="宋体" w:cs="Times New Roman"/>
                <w:b/>
                <w:bCs/>
                <w:color w:val="auto"/>
                <w:sz w:val="21"/>
                <w:szCs w:val="21"/>
                <w:highlight w:val="none"/>
                <w:lang w:val="zh-CN"/>
              </w:rPr>
            </w:pPr>
          </w:p>
          <w:p w14:paraId="7C3C09B9">
            <w:pPr>
              <w:pStyle w:val="10"/>
              <w:shd w:val="clear"/>
              <w:snapToGrid w:val="0"/>
              <w:jc w:val="center"/>
              <w:rPr>
                <w:rFonts w:hint="default" w:ascii="Times New Roman" w:hAnsi="Times New Roman" w:eastAsia="宋体" w:cs="Times New Roman"/>
                <w:b/>
                <w:bCs/>
                <w:color w:val="auto"/>
                <w:sz w:val="21"/>
                <w:szCs w:val="21"/>
                <w:highlight w:val="none"/>
                <w:lang w:val="zh-CN"/>
              </w:rPr>
            </w:pPr>
          </w:p>
          <w:p w14:paraId="5545D34F">
            <w:pPr>
              <w:pStyle w:val="10"/>
              <w:shd w:val="clear"/>
              <w:snapToGrid w:val="0"/>
              <w:jc w:val="center"/>
              <w:rPr>
                <w:rFonts w:hint="default" w:ascii="Times New Roman" w:hAnsi="Times New Roman" w:eastAsia="宋体" w:cs="Times New Roman"/>
                <w:b/>
                <w:bCs/>
                <w:color w:val="auto"/>
                <w:sz w:val="21"/>
                <w:szCs w:val="21"/>
                <w:highlight w:val="none"/>
                <w:lang w:val="zh-CN"/>
              </w:rPr>
            </w:pPr>
          </w:p>
          <w:p w14:paraId="73AB6A47">
            <w:pPr>
              <w:pStyle w:val="10"/>
              <w:shd w:val="clear"/>
              <w:snapToGrid w:val="0"/>
              <w:jc w:val="center"/>
              <w:rPr>
                <w:rFonts w:hint="default" w:ascii="Times New Roman" w:hAnsi="Times New Roman" w:eastAsia="宋体" w:cs="Times New Roman"/>
                <w:b/>
                <w:bCs/>
                <w:color w:val="auto"/>
                <w:sz w:val="21"/>
                <w:szCs w:val="21"/>
                <w:highlight w:val="none"/>
                <w:lang w:val="zh-CN"/>
              </w:rPr>
            </w:pPr>
          </w:p>
          <w:p w14:paraId="2AF60303">
            <w:pPr>
              <w:pStyle w:val="10"/>
              <w:shd w:val="clear"/>
              <w:snapToGrid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引用项目</w:t>
            </w:r>
            <w:r>
              <w:rPr>
                <w:rFonts w:hint="eastAsia" w:cs="Times New Roman"/>
                <w:b/>
                <w:bCs/>
                <w:color w:val="auto"/>
                <w:sz w:val="21"/>
                <w:szCs w:val="21"/>
                <w:highlight w:val="none"/>
                <w:lang w:val="en-US" w:eastAsia="zh-CN"/>
              </w:rPr>
              <w:t>环境空气监测</w:t>
            </w:r>
            <w:r>
              <w:rPr>
                <w:rFonts w:hint="default" w:ascii="Times New Roman" w:hAnsi="Times New Roman" w:eastAsia="宋体" w:cs="Times New Roman"/>
                <w:b/>
                <w:bCs/>
                <w:color w:val="auto"/>
                <w:szCs w:val="21"/>
                <w:highlight w:val="none"/>
              </w:rPr>
              <w:t>结果</w:t>
            </w:r>
            <w:r>
              <w:rPr>
                <w:rFonts w:hint="default" w:ascii="Times New Roman" w:hAnsi="Times New Roman" w:eastAsia="宋体" w:cs="Times New Roman"/>
                <w:b/>
                <w:bCs/>
                <w:color w:val="auto"/>
                <w:sz w:val="21"/>
                <w:szCs w:val="21"/>
                <w:highlight w:val="none"/>
              </w:rPr>
              <w:t xml:space="preserve">   单位：</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p>
          <w:tbl>
            <w:tblPr>
              <w:tblStyle w:val="26"/>
              <w:tblW w:w="846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484"/>
              <w:gridCol w:w="4978"/>
            </w:tblGrid>
            <w:tr w14:paraId="031EADD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vMerge w:val="restart"/>
                  <w:tcBorders>
                    <w:tl2br w:val="nil"/>
                    <w:tr2bl w:val="nil"/>
                  </w:tcBorders>
                  <w:noWrap w:val="0"/>
                  <w:vAlign w:val="center"/>
                </w:tcPr>
                <w:p w14:paraId="0F462916">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采样日期</w:t>
                  </w:r>
                </w:p>
              </w:tc>
              <w:tc>
                <w:tcPr>
                  <w:tcW w:w="4978" w:type="dxa"/>
                  <w:tcBorders>
                    <w:tl2br w:val="nil"/>
                    <w:tr2bl w:val="nil"/>
                  </w:tcBorders>
                  <w:noWrap w:val="0"/>
                  <w:vAlign w:val="center"/>
                </w:tcPr>
                <w:p w14:paraId="391BE500">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检测点位：</w:t>
                  </w:r>
                  <w:r>
                    <w:rPr>
                      <w:rFonts w:hint="eastAsia" w:ascii="Times New Roman" w:hAnsi="Times New Roman" w:eastAsia="宋体" w:cs="Times New Roman"/>
                      <w:b/>
                      <w:bCs/>
                      <w:color w:val="auto"/>
                      <w:sz w:val="21"/>
                      <w:szCs w:val="21"/>
                      <w:highlight w:val="none"/>
                      <w:lang w:val="en-US" w:eastAsia="zh-CN"/>
                    </w:rPr>
                    <w:t>羊街集镇</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w:t>
                  </w:r>
                </w:p>
              </w:tc>
            </w:tr>
            <w:tr w14:paraId="7FE5A41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vMerge w:val="continue"/>
                  <w:tcBorders>
                    <w:tl2br w:val="nil"/>
                    <w:tr2bl w:val="nil"/>
                  </w:tcBorders>
                  <w:noWrap w:val="0"/>
                  <w:vAlign w:val="center"/>
                </w:tcPr>
                <w:p w14:paraId="5E08DDFD">
                  <w:pPr>
                    <w:shd w:val="clear"/>
                    <w:spacing w:line="240" w:lineRule="exact"/>
                    <w:jc w:val="center"/>
                    <w:rPr>
                      <w:rFonts w:hint="default" w:ascii="Times New Roman" w:hAnsi="Times New Roman" w:eastAsia="宋体" w:cs="Times New Roman"/>
                      <w:b/>
                      <w:bCs/>
                      <w:color w:val="auto"/>
                      <w:szCs w:val="21"/>
                      <w:highlight w:val="none"/>
                    </w:rPr>
                  </w:pPr>
                </w:p>
              </w:tc>
              <w:tc>
                <w:tcPr>
                  <w:tcW w:w="4978" w:type="dxa"/>
                  <w:tcBorders>
                    <w:tl2br w:val="nil"/>
                    <w:tr2bl w:val="nil"/>
                  </w:tcBorders>
                  <w:noWrap w:val="0"/>
                  <w:vAlign w:val="center"/>
                </w:tcPr>
                <w:p w14:paraId="325398C3">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非甲烷总烃</w:t>
                  </w:r>
                </w:p>
              </w:tc>
            </w:tr>
            <w:tr w14:paraId="0EDE92E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tcBorders>
                    <w:tl2br w:val="nil"/>
                    <w:tr2bl w:val="nil"/>
                  </w:tcBorders>
                  <w:noWrap w:val="0"/>
                  <w:vAlign w:val="center"/>
                </w:tcPr>
                <w:p w14:paraId="7C39C7D6">
                  <w:pPr>
                    <w:shd w:val="clear"/>
                    <w:spacing w:line="24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2022.9.1</w:t>
                  </w:r>
                  <w:r>
                    <w:rPr>
                      <w:rFonts w:hint="eastAsia" w:cs="Times New Roman"/>
                      <w:b w:val="0"/>
                      <w:bCs w:val="0"/>
                      <w:color w:val="auto"/>
                      <w:szCs w:val="21"/>
                      <w:highlight w:val="none"/>
                      <w:lang w:val="en-US" w:eastAsia="zh-CN"/>
                    </w:rPr>
                    <w:t>6</w:t>
                  </w:r>
                  <w:r>
                    <w:rPr>
                      <w:rFonts w:hint="default" w:ascii="Times New Roman" w:hAnsi="Times New Roman" w:eastAsia="宋体" w:cs="Times New Roman"/>
                      <w:b w:val="0"/>
                      <w:bCs w:val="0"/>
                      <w:color w:val="auto"/>
                      <w:szCs w:val="21"/>
                      <w:highlight w:val="none"/>
                      <w:lang w:val="en-US" w:eastAsia="zh-CN"/>
                    </w:rPr>
                    <w:t>-2022.9.</w:t>
                  </w:r>
                  <w:r>
                    <w:rPr>
                      <w:rFonts w:hint="eastAsia" w:cs="Times New Roman"/>
                      <w:b w:val="0"/>
                      <w:bCs w:val="0"/>
                      <w:color w:val="auto"/>
                      <w:szCs w:val="21"/>
                      <w:highlight w:val="none"/>
                      <w:lang w:val="en-US" w:eastAsia="zh-CN"/>
                    </w:rPr>
                    <w:t>22</w:t>
                  </w:r>
                </w:p>
              </w:tc>
              <w:tc>
                <w:tcPr>
                  <w:tcW w:w="4978" w:type="dxa"/>
                  <w:tcBorders>
                    <w:tl2br w:val="nil"/>
                    <w:tr2bl w:val="nil"/>
                  </w:tcBorders>
                  <w:noWrap w:val="0"/>
                  <w:vAlign w:val="center"/>
                </w:tcPr>
                <w:p w14:paraId="7AC3A2C4">
                  <w:pPr>
                    <w:shd w:val="clear"/>
                    <w:spacing w:line="24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 w:val="21"/>
                      <w:szCs w:val="24"/>
                    </w:rPr>
                    <w:t>0.</w:t>
                  </w:r>
                  <w:r>
                    <w:rPr>
                      <w:rFonts w:hint="eastAsia" w:cs="Times New Roman"/>
                      <w:b w:val="0"/>
                      <w:bCs w:val="0"/>
                      <w:color w:val="auto"/>
                      <w:sz w:val="21"/>
                      <w:szCs w:val="24"/>
                      <w:lang w:val="en-US" w:eastAsia="zh-CN"/>
                    </w:rPr>
                    <w:t>24</w:t>
                  </w:r>
                  <w:r>
                    <w:rPr>
                      <w:rFonts w:hint="default" w:ascii="Times New Roman" w:hAnsi="Times New Roman" w:eastAsia="宋体" w:cs="Times New Roman"/>
                      <w:b w:val="0"/>
                      <w:bCs w:val="0"/>
                      <w:color w:val="auto"/>
                      <w:sz w:val="21"/>
                      <w:szCs w:val="24"/>
                    </w:rPr>
                    <w:t>~</w:t>
                  </w:r>
                  <w:r>
                    <w:rPr>
                      <w:rFonts w:hint="eastAsia" w:cs="Times New Roman"/>
                      <w:b w:val="0"/>
                      <w:bCs w:val="0"/>
                      <w:color w:val="auto"/>
                      <w:sz w:val="21"/>
                      <w:szCs w:val="24"/>
                      <w:lang w:val="en-US" w:eastAsia="zh-CN"/>
                    </w:rPr>
                    <w:t>0.98</w:t>
                  </w:r>
                </w:p>
              </w:tc>
            </w:tr>
            <w:tr w14:paraId="485A31F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tcBorders>
                    <w:tl2br w:val="nil"/>
                    <w:tr2bl w:val="nil"/>
                  </w:tcBorders>
                  <w:noWrap w:val="0"/>
                  <w:vAlign w:val="center"/>
                </w:tcPr>
                <w:p w14:paraId="25C98CE2">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标准值</w:t>
                  </w:r>
                </w:p>
              </w:tc>
              <w:tc>
                <w:tcPr>
                  <w:tcW w:w="4978" w:type="dxa"/>
                  <w:tcBorders>
                    <w:tl2br w:val="nil"/>
                    <w:tr2bl w:val="nil"/>
                  </w:tcBorders>
                  <w:noWrap w:val="0"/>
                  <w:vAlign w:val="center"/>
                </w:tcPr>
                <w:p w14:paraId="13F62237">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r>
            <w:tr w14:paraId="32DB57B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84" w:type="dxa"/>
                  <w:tcBorders>
                    <w:tl2br w:val="nil"/>
                    <w:tr2bl w:val="nil"/>
                  </w:tcBorders>
                  <w:noWrap w:val="0"/>
                  <w:vAlign w:val="center"/>
                </w:tcPr>
                <w:p w14:paraId="1CA5DDB7">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达标情况</w:t>
                  </w:r>
                </w:p>
              </w:tc>
              <w:tc>
                <w:tcPr>
                  <w:tcW w:w="4978" w:type="dxa"/>
                  <w:tcBorders>
                    <w:tl2br w:val="nil"/>
                    <w:tr2bl w:val="nil"/>
                  </w:tcBorders>
                  <w:noWrap w:val="0"/>
                  <w:vAlign w:val="center"/>
                </w:tcPr>
                <w:p w14:paraId="09BCAEAF">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tc>
            </w:tr>
          </w:tbl>
          <w:p w14:paraId="76DABF62">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szCs w:val="20"/>
                <w:highlight w:val="none"/>
                <w:lang w:bidi="ar"/>
              </w:rPr>
              <w:t>小时值均能满足</w:t>
            </w:r>
            <w:r>
              <w:rPr>
                <w:rFonts w:hint="default" w:ascii="Times New Roman" w:hAnsi="Times New Roman" w:eastAsia="宋体" w:cs="Times New Roman"/>
                <w:color w:val="auto"/>
                <w:sz w:val="24"/>
                <w:highlight w:val="none"/>
              </w:rPr>
              <w:t>中国环境科学出版社出版的国家环境保护局科</w:t>
            </w:r>
            <w:r>
              <w:rPr>
                <w:rFonts w:hint="default" w:ascii="Times New Roman" w:hAnsi="Times New Roman" w:eastAsia="宋体" w:cs="Times New Roman"/>
                <w:color w:val="auto"/>
                <w:sz w:val="24"/>
                <w:szCs w:val="24"/>
                <w:highlight w:val="none"/>
              </w:rPr>
              <w:t>技标准司的《大气污染物综合排放标准详解》中</w:t>
            </w:r>
            <w:r>
              <w:rPr>
                <w:rFonts w:hint="default" w:ascii="Times New Roman" w:hAnsi="Times New Roman" w:eastAsia="宋体" w:cs="Times New Roman"/>
                <w:color w:val="auto"/>
                <w:sz w:val="24"/>
                <w:highlight w:val="none"/>
              </w:rPr>
              <w:t>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vertAlign w:val="baseline"/>
                <w:lang w:val="en-US" w:eastAsia="zh-CN"/>
              </w:rPr>
              <w:t>的</w:t>
            </w:r>
            <w:r>
              <w:rPr>
                <w:rFonts w:hint="default" w:ascii="Times New Roman" w:hAnsi="Times New Roman" w:eastAsia="宋体" w:cs="Times New Roman"/>
                <w:color w:val="auto"/>
                <w:sz w:val="24"/>
                <w:szCs w:val="24"/>
                <w:highlight w:val="none"/>
              </w:rPr>
              <w:t>浓度限值</w:t>
            </w:r>
            <w:r>
              <w:rPr>
                <w:rFonts w:hint="default" w:ascii="Times New Roman" w:hAnsi="Times New Roman" w:eastAsia="宋体" w:cs="Times New Roman"/>
                <w:color w:val="auto"/>
                <w:kern w:val="0"/>
                <w:sz w:val="24"/>
                <w:szCs w:val="24"/>
                <w:highlight w:val="none"/>
              </w:rPr>
              <w:t>。</w:t>
            </w:r>
          </w:p>
          <w:p w14:paraId="38176EF1">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highlight w:val="none"/>
              </w:rPr>
              <w:t>项目区环境空气质量满足功能区要求。</w:t>
            </w:r>
          </w:p>
          <w:p w14:paraId="3A473CC3">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14:paraId="798DFABD">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rPr>
            </w:pPr>
            <w:r>
              <w:rPr>
                <w:rFonts w:ascii="Times New Roman" w:hAnsi="Times New Roman" w:eastAsia="宋体" w:cs="Times New Roman"/>
                <w:color w:val="auto"/>
                <w:kern w:val="0"/>
                <w:sz w:val="24"/>
              </w:rPr>
              <w:t>本项目涉及的地表水体主要为</w:t>
            </w:r>
            <w:r>
              <w:rPr>
                <w:rFonts w:hint="eastAsia" w:ascii="Times New Roman" w:hAnsi="Times New Roman" w:eastAsia="宋体" w:cs="Times New Roman"/>
                <w:color w:val="auto"/>
                <w:kern w:val="0"/>
                <w:sz w:val="24"/>
                <w:lang w:eastAsia="zh-CN"/>
              </w:rPr>
              <w:t>南侧</w:t>
            </w:r>
            <w:r>
              <w:rPr>
                <w:rFonts w:hint="eastAsia" w:cs="Times New Roman"/>
                <w:color w:val="auto"/>
                <w:kern w:val="0"/>
                <w:sz w:val="24"/>
                <w:lang w:val="en-US" w:eastAsia="zh-CN"/>
              </w:rPr>
              <w:t>72</w:t>
            </w:r>
            <w:r>
              <w:rPr>
                <w:rFonts w:hint="eastAsia" w:ascii="Times New Roman" w:hAnsi="Times New Roman" w:eastAsia="宋体" w:cs="Times New Roman"/>
                <w:color w:val="auto"/>
                <w:kern w:val="0"/>
                <w:sz w:val="24"/>
                <w:lang w:val="en-US" w:eastAsia="zh-CN"/>
              </w:rPr>
              <w:t>m的苦叫河，苦叫河最终汇入</w:t>
            </w:r>
            <w:r>
              <w:rPr>
                <w:rFonts w:hint="eastAsia" w:cs="Times New Roman"/>
                <w:color w:val="auto"/>
                <w:kern w:val="0"/>
                <w:sz w:val="24"/>
                <w:lang w:val="en-US" w:eastAsia="zh-CN"/>
              </w:rPr>
              <w:t>西</w:t>
            </w:r>
            <w:r>
              <w:rPr>
                <w:rFonts w:hint="eastAsia" w:ascii="Times New Roman" w:hAnsi="Times New Roman" w:eastAsia="宋体" w:cs="Times New Roman"/>
                <w:color w:val="auto"/>
                <w:kern w:val="0"/>
                <w:sz w:val="24"/>
              </w:rPr>
              <w:t>侧2</w:t>
            </w:r>
            <w:r>
              <w:rPr>
                <w:rFonts w:hint="eastAsia" w:cs="Times New Roman"/>
                <w:color w:val="auto"/>
                <w:kern w:val="0"/>
                <w:sz w:val="24"/>
                <w:lang w:val="en-US" w:eastAsia="zh-CN"/>
              </w:rPr>
              <w:t>004</w:t>
            </w:r>
            <w:r>
              <w:rPr>
                <w:rFonts w:hint="eastAsia" w:ascii="Times New Roman" w:hAnsi="Times New Roman" w:eastAsia="宋体" w:cs="Times New Roman"/>
                <w:color w:val="auto"/>
                <w:kern w:val="0"/>
                <w:sz w:val="24"/>
              </w:rPr>
              <w:t>m的</w:t>
            </w:r>
            <w:r>
              <w:rPr>
                <w:rFonts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rPr>
              <w:t>根据云南省水利厅2014年5月发布的《云南省水功能区划》（2014 年修订），牛栏江-滇池补水水源保护区2030年水质目标为III类，</w:t>
            </w:r>
            <w:r>
              <w:rPr>
                <w:rFonts w:ascii="Times New Roman" w:hAnsi="Times New Roman" w:eastAsia="宋体" w:cs="Times New Roman"/>
                <w:color w:val="auto"/>
                <w:kern w:val="0"/>
                <w:sz w:val="24"/>
              </w:rPr>
              <w:t>执行《地表水环境质量标准》（GB3838-2002）Ⅲ类水质标准</w:t>
            </w:r>
            <w:r>
              <w:rPr>
                <w:rFonts w:hint="eastAsia" w:cs="Times New Roman"/>
                <w:color w:val="auto"/>
                <w:kern w:val="0"/>
                <w:sz w:val="24"/>
                <w:lang w:eastAsia="zh-CN"/>
              </w:rPr>
              <w:t>，</w:t>
            </w:r>
            <w:r>
              <w:rPr>
                <w:rFonts w:ascii="Times New Roman" w:hAnsi="Times New Roman" w:eastAsia="宋体" w:cs="Times New Roman"/>
                <w:color w:val="auto"/>
                <w:kern w:val="0"/>
                <w:sz w:val="24"/>
              </w:rPr>
              <w:t>果马河（羊街河）</w:t>
            </w:r>
            <w:r>
              <w:rPr>
                <w:rFonts w:hint="eastAsia" w:cs="Times New Roman"/>
                <w:color w:val="auto"/>
                <w:kern w:val="0"/>
                <w:sz w:val="24"/>
                <w:lang w:eastAsia="zh-CN"/>
              </w:rPr>
              <w:t>最终汇入牛栏江，属于</w:t>
            </w:r>
            <w:r>
              <w:rPr>
                <w:rFonts w:hint="default" w:ascii="Times New Roman" w:hAnsi="Times New Roman" w:eastAsia="宋体" w:cs="Times New Roman"/>
                <w:color w:val="auto"/>
                <w:kern w:val="0"/>
                <w:sz w:val="24"/>
              </w:rPr>
              <w:t>牛栏江-滇池补水水源保护区</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eastAsia="zh-CN"/>
              </w:rPr>
              <w:t>因此</w:t>
            </w:r>
            <w:r>
              <w:rPr>
                <w:rFonts w:hint="eastAsia" w:cs="Times New Roman"/>
                <w:color w:val="auto"/>
                <w:kern w:val="0"/>
                <w:sz w:val="24"/>
                <w:lang w:eastAsia="zh-CN"/>
              </w:rPr>
              <w:t>参照</w:t>
            </w:r>
            <w:r>
              <w:rPr>
                <w:rFonts w:ascii="Times New Roman" w:hAnsi="Times New Roman" w:eastAsia="宋体" w:cs="Times New Roman"/>
                <w:color w:val="auto"/>
                <w:kern w:val="0"/>
                <w:sz w:val="24"/>
              </w:rPr>
              <w:t>执行《地表水环境质量标准》（GB3838-2002）Ⅲ类水质标准</w:t>
            </w:r>
            <w:r>
              <w:rPr>
                <w:color w:val="auto"/>
                <w:kern w:val="0"/>
                <w:sz w:val="24"/>
              </w:rPr>
              <w:t>。</w:t>
            </w:r>
          </w:p>
          <w:p w14:paraId="671F0B06">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675"/>
              <w:jc w:val="both"/>
              <w:textAlignment w:val="auto"/>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根据《</w:t>
            </w:r>
            <w:r>
              <w:rPr>
                <w:rFonts w:hint="default" w:ascii="Times New Roman" w:hAnsi="Times New Roman" w:eastAsia="宋体" w:cs="Times New Roman"/>
                <w:i w:val="0"/>
                <w:iCs w:val="0"/>
                <w:caps w:val="0"/>
                <w:color w:val="auto"/>
                <w:spacing w:val="0"/>
                <w:kern w:val="2"/>
                <w:sz w:val="24"/>
                <w:szCs w:val="24"/>
                <w:highlight w:val="none"/>
                <w:shd w:val="clear"/>
                <w:lang w:val="en-US" w:eastAsia="zh-CN" w:bidi="ar-SA"/>
              </w:rPr>
              <w:t>2023</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年</w:t>
            </w:r>
            <w:r>
              <w:rPr>
                <w:rFonts w:hint="default" w:ascii="Times New Roman" w:hAnsi="Times New Roman" w:eastAsia="宋体" w:cs="Times New Roman"/>
                <w:i w:val="0"/>
                <w:iCs w:val="0"/>
                <w:caps w:val="0"/>
                <w:color w:val="auto"/>
                <w:spacing w:val="0"/>
                <w:kern w:val="2"/>
                <w:sz w:val="24"/>
                <w:szCs w:val="24"/>
                <w:highlight w:val="none"/>
                <w:shd w:val="clear"/>
                <w:lang w:val="en-US" w:eastAsia="zh-CN" w:bidi="ar-SA"/>
              </w:rPr>
              <w:t>0</w:t>
            </w:r>
            <w:r>
              <w:rPr>
                <w:rFonts w:hint="eastAsia" w:ascii="Times New Roman" w:hAnsi="Times New Roman" w:cs="Times New Roman"/>
                <w:i w:val="0"/>
                <w:iCs w:val="0"/>
                <w:caps w:val="0"/>
                <w:color w:val="auto"/>
                <w:spacing w:val="0"/>
                <w:kern w:val="2"/>
                <w:sz w:val="24"/>
                <w:szCs w:val="24"/>
                <w:highlight w:val="none"/>
                <w:shd w:val="clear"/>
                <w:lang w:val="en-US" w:eastAsia="zh-CN" w:bidi="ar-SA"/>
              </w:rPr>
              <w:t>7</w:t>
            </w:r>
            <w:r>
              <w:rPr>
                <w:rFonts w:hint="default" w:ascii="Times New Roman" w:hAnsi="Times New Roman" w:eastAsia="宋体" w:cs="Times New Roman"/>
                <w:i w:val="0"/>
                <w:iCs w:val="0"/>
                <w:caps w:val="0"/>
                <w:color w:val="auto"/>
                <w:spacing w:val="0"/>
                <w:kern w:val="2"/>
                <w:sz w:val="24"/>
                <w:szCs w:val="24"/>
                <w:highlight w:val="none"/>
                <w:shd w:val="clear"/>
                <w:lang w:val="zh-CN" w:eastAsia="zh-CN" w:bidi="ar-SA"/>
              </w:rPr>
              <w:t>月寻</w:t>
            </w:r>
            <w:r>
              <w:rPr>
                <w:rFonts w:hint="default" w:ascii="Times New Roman" w:hAnsi="Times New Roman" w:eastAsia="宋体" w:cs="Times New Roman"/>
                <w:bCs/>
                <w:i w:val="0"/>
                <w:iCs w:val="0"/>
                <w:caps w:val="0"/>
                <w:color w:val="auto"/>
                <w:spacing w:val="0"/>
                <w:sz w:val="24"/>
                <w:szCs w:val="24"/>
                <w:highlight w:val="none"/>
                <w:shd w:val="clear"/>
                <w:lang w:val="zh-CN"/>
              </w:rPr>
              <w:t>甸县</w:t>
            </w:r>
            <w:r>
              <w:rPr>
                <w:rFonts w:hint="default" w:ascii="Times New Roman" w:hAnsi="Times New Roman" w:eastAsia="宋体" w:cs="Times New Roman"/>
                <w:bCs/>
                <w:i w:val="0"/>
                <w:iCs w:val="0"/>
                <w:caps w:val="0"/>
                <w:color w:val="auto"/>
                <w:spacing w:val="0"/>
                <w:sz w:val="24"/>
                <w:szCs w:val="24"/>
                <w:highlight w:val="none"/>
                <w:shd w:val="clear"/>
                <w:lang w:val="en-US" w:eastAsia="zh-CN"/>
              </w:rPr>
              <w:t>水环境质量</w:t>
            </w:r>
            <w:r>
              <w:rPr>
                <w:rFonts w:hint="default" w:ascii="Times New Roman" w:hAnsi="Times New Roman" w:eastAsia="宋体" w:cs="Times New Roman"/>
                <w:bCs/>
                <w:i w:val="0"/>
                <w:iCs w:val="0"/>
                <w:caps w:val="0"/>
                <w:color w:val="auto"/>
                <w:spacing w:val="0"/>
                <w:sz w:val="24"/>
                <w:szCs w:val="24"/>
                <w:highlight w:val="none"/>
                <w:shd w:val="clear"/>
                <w:lang w:val="zh-CN"/>
              </w:rPr>
              <w:t>监测月报（</w:t>
            </w:r>
            <w:r>
              <w:rPr>
                <w:rFonts w:hint="default" w:ascii="Times New Roman" w:hAnsi="Times New Roman" w:eastAsia="宋体" w:cs="Times New Roman"/>
                <w:bCs/>
                <w:i w:val="0"/>
                <w:iCs w:val="0"/>
                <w:caps w:val="0"/>
                <w:color w:val="auto"/>
                <w:spacing w:val="0"/>
                <w:sz w:val="24"/>
                <w:szCs w:val="24"/>
                <w:highlight w:val="none"/>
                <w:shd w:val="clear"/>
                <w:lang w:val="en-US" w:eastAsia="zh-CN"/>
              </w:rPr>
              <w:t>二零二三年第</w:t>
            </w:r>
            <w:r>
              <w:rPr>
                <w:rFonts w:hint="eastAsia" w:ascii="Times New Roman" w:hAnsi="Times New Roman" w:cs="Times New Roman"/>
                <w:bCs/>
                <w:i w:val="0"/>
                <w:iCs w:val="0"/>
                <w:caps w:val="0"/>
                <w:color w:val="auto"/>
                <w:spacing w:val="0"/>
                <w:sz w:val="24"/>
                <w:szCs w:val="24"/>
                <w:highlight w:val="none"/>
                <w:shd w:val="clear"/>
                <w:lang w:val="en-US" w:eastAsia="zh-CN"/>
              </w:rPr>
              <w:t>七</w:t>
            </w:r>
            <w:r>
              <w:rPr>
                <w:rFonts w:hint="default" w:ascii="Times New Roman" w:hAnsi="Times New Roman" w:eastAsia="宋体" w:cs="Times New Roman"/>
                <w:bCs/>
                <w:i w:val="0"/>
                <w:iCs w:val="0"/>
                <w:caps w:val="0"/>
                <w:color w:val="auto"/>
                <w:spacing w:val="0"/>
                <w:sz w:val="24"/>
                <w:szCs w:val="24"/>
                <w:highlight w:val="none"/>
                <w:shd w:val="clear"/>
                <w:lang w:val="en-US" w:eastAsia="zh-CN"/>
              </w:rPr>
              <w:t>期</w:t>
            </w:r>
            <w:r>
              <w:rPr>
                <w:rFonts w:hint="default" w:ascii="Times New Roman" w:hAnsi="Times New Roman" w:eastAsia="宋体" w:cs="Times New Roman"/>
                <w:bCs/>
                <w:i w:val="0"/>
                <w:iCs w:val="0"/>
                <w:caps w:val="0"/>
                <w:color w:val="auto"/>
                <w:spacing w:val="0"/>
                <w:sz w:val="24"/>
                <w:szCs w:val="24"/>
                <w:highlight w:val="none"/>
                <w:shd w:val="clear"/>
                <w:lang w:val="zh-CN"/>
              </w:rPr>
              <w:t>）</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color w:val="auto"/>
                <w:sz w:val="24"/>
                <w:highlight w:val="none"/>
                <w:lang w:val="en-US" w:eastAsia="zh-CN"/>
              </w:rPr>
              <w:t>可知，</w:t>
            </w: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eastAsia" w:ascii="Times New Roman" w:hAnsi="Times New Roman" w:cs="Times New Roman"/>
                <w:i w:val="0"/>
                <w:iCs w:val="0"/>
                <w:caps w:val="0"/>
                <w:color w:val="auto"/>
                <w:spacing w:val="0"/>
                <w:kern w:val="2"/>
                <w:sz w:val="24"/>
                <w:szCs w:val="24"/>
                <w:highlight w:val="none"/>
                <w:shd w:val="clear"/>
                <w:lang w:val="en-US" w:eastAsia="zh-CN"/>
              </w:rPr>
              <w:t>7</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省厅驻昆明市生态环境监测站监测的寻甸县境内监测点）进行水质监测1期，其中：</w:t>
            </w:r>
            <w:r>
              <w:rPr>
                <w:rFonts w:ascii="Times New Roman" w:hAnsi="Times New Roman" w:eastAsia="宋体" w:cs="Times New Roman"/>
                <w:color w:val="auto"/>
                <w:kern w:val="0"/>
                <w:sz w:val="24"/>
                <w:szCs w:val="24"/>
                <w:lang w:val="en-US" w:eastAsia="zh-CN" w:bidi="ar-SA"/>
              </w:rPr>
              <w:t>河流</w:t>
            </w:r>
            <w:r>
              <w:rPr>
                <w:rFonts w:hint="eastAsia" w:ascii="Times New Roman" w:hAnsi="Times New Roman" w:eastAsia="宋体" w:cs="Times New Roman"/>
                <w:color w:val="auto"/>
                <w:kern w:val="0"/>
                <w:sz w:val="24"/>
                <w:szCs w:val="24"/>
                <w:lang w:val="en-US" w:eastAsia="zh-CN" w:bidi="ar-SA"/>
              </w:rPr>
              <w:t>14条共设17个监测断面，除1个断面断流外，其它断面均正常监测，依据监测数据，16个监测断面中达到Ⅲ类以上水质标准的有1</w:t>
            </w:r>
            <w:r>
              <w:rPr>
                <w:rFonts w:hint="eastAsia" w:ascii="Times New Roman" w:hAnsi="Times New Roman" w:cs="Times New Roman"/>
                <w:color w:val="auto"/>
                <w:kern w:val="0"/>
                <w:sz w:val="24"/>
                <w:szCs w:val="24"/>
                <w:lang w:val="en-US" w:eastAsia="zh-CN" w:bidi="ar-SA"/>
              </w:rPr>
              <w:t>1</w:t>
            </w:r>
            <w:r>
              <w:rPr>
                <w:rFonts w:hint="eastAsia" w:ascii="Times New Roman" w:hAnsi="Times New Roman" w:eastAsia="宋体" w:cs="Times New Roman"/>
                <w:color w:val="auto"/>
                <w:kern w:val="0"/>
                <w:sz w:val="24"/>
                <w:szCs w:val="24"/>
                <w:lang w:val="en-US" w:eastAsia="zh-CN" w:bidi="ar-SA"/>
              </w:rPr>
              <w:t>个断面,水质达标率为</w:t>
            </w:r>
            <w:r>
              <w:rPr>
                <w:rFonts w:hint="eastAsia" w:ascii="Times New Roman" w:hAnsi="Times New Roman" w:cs="Times New Roman"/>
                <w:color w:val="auto"/>
                <w:kern w:val="0"/>
                <w:sz w:val="24"/>
                <w:szCs w:val="24"/>
                <w:lang w:val="en-US" w:eastAsia="zh-CN" w:bidi="ar-SA"/>
              </w:rPr>
              <w:t>68.75</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14:paraId="5C46CE6A">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w:t>
            </w:r>
            <w:r>
              <w:rPr>
                <w:rStyle w:val="29"/>
                <w:rFonts w:hint="default" w:ascii="Times New Roman" w:hAnsi="Times New Roman" w:eastAsia="宋体" w:cs="Times New Roman"/>
                <w:b/>
                <w:bCs/>
                <w:i w:val="0"/>
                <w:iCs w:val="0"/>
                <w:caps w:val="0"/>
                <w:color w:val="auto"/>
                <w:spacing w:val="0"/>
                <w:sz w:val="21"/>
                <w:szCs w:val="21"/>
                <w:shd w:val="clear" w:fill="FFFFFF"/>
              </w:rPr>
              <w:t>2023年0</w:t>
            </w:r>
            <w:r>
              <w:rPr>
                <w:rStyle w:val="29"/>
                <w:rFonts w:hint="eastAsia" w:cs="Times New Roman"/>
                <w:b/>
                <w:bCs/>
                <w:i w:val="0"/>
                <w:iCs w:val="0"/>
                <w:caps w:val="0"/>
                <w:color w:val="auto"/>
                <w:spacing w:val="0"/>
                <w:sz w:val="21"/>
                <w:szCs w:val="21"/>
                <w:shd w:val="clear" w:fill="FFFFFF"/>
                <w:lang w:val="en-US" w:eastAsia="zh-CN"/>
              </w:rPr>
              <w:t>7</w:t>
            </w:r>
            <w:r>
              <w:rPr>
                <w:rStyle w:val="29"/>
                <w:rFonts w:hint="default" w:ascii="Times New Roman" w:hAnsi="Times New Roman" w:eastAsia="宋体" w:cs="Times New Roman"/>
                <w:b/>
                <w:bCs/>
                <w:i w:val="0"/>
                <w:iCs w:val="0"/>
                <w:caps w:val="0"/>
                <w:color w:val="auto"/>
                <w:spacing w:val="0"/>
                <w:sz w:val="21"/>
                <w:szCs w:val="21"/>
                <w:shd w:val="clear" w:fill="FFFFFF"/>
              </w:rPr>
              <w:t>月寻甸境内湖库质状况统计表</w:t>
            </w:r>
          </w:p>
          <w:tbl>
            <w:tblPr>
              <w:tblStyle w:val="27"/>
              <w:tblW w:w="838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638"/>
              <w:gridCol w:w="575"/>
              <w:gridCol w:w="537"/>
              <w:gridCol w:w="1411"/>
              <w:gridCol w:w="3576"/>
            </w:tblGrid>
            <w:tr w14:paraId="3605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4A7386B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38" w:type="dxa"/>
                  <w:vAlign w:val="center"/>
                </w:tcPr>
                <w:p w14:paraId="6047B4F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575" w:type="dxa"/>
                  <w:vAlign w:val="center"/>
                </w:tcPr>
                <w:p w14:paraId="6DE6373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537" w:type="dxa"/>
                  <w:vAlign w:val="center"/>
                </w:tcPr>
                <w:p w14:paraId="12C93C7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411" w:type="dxa"/>
                  <w:vAlign w:val="center"/>
                </w:tcPr>
                <w:p w14:paraId="71F8014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3576" w:type="dxa"/>
                  <w:vAlign w:val="center"/>
                </w:tcPr>
                <w:p w14:paraId="297AB4A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29"/>
                      <w:rFonts w:hint="default" w:ascii="Times New Roman" w:hAnsi="Times New Roman" w:eastAsia="宋体" w:cs="Times New Roman"/>
                      <w:b/>
                      <w:bCs/>
                      <w:i w:val="0"/>
                      <w:iCs w:val="0"/>
                      <w:caps w:val="0"/>
                      <w:color w:val="auto"/>
                      <w:spacing w:val="0"/>
                      <w:sz w:val="21"/>
                      <w:szCs w:val="21"/>
                      <w:shd w:val="clear" w:fill="FFFFFF"/>
                    </w:rPr>
                    <w:t>(wpi)水质类别超标项目与超标倍数</w:t>
                  </w:r>
                </w:p>
              </w:tc>
            </w:tr>
            <w:tr w14:paraId="7B02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73ECF995">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jc w:val="both"/>
                    <w:textAlignment w:val="bottom"/>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羊街河（果马河）李家坝断面</w:t>
                  </w:r>
                </w:p>
              </w:tc>
              <w:tc>
                <w:tcPr>
                  <w:tcW w:w="638" w:type="dxa"/>
                  <w:vAlign w:val="center"/>
                </w:tcPr>
                <w:p w14:paraId="1E79DBD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575" w:type="dxa"/>
                  <w:vAlign w:val="center"/>
                </w:tcPr>
                <w:p w14:paraId="35C8466E">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cs="Times New Roman"/>
                      <w:bCs w:val="0"/>
                      <w:color w:val="auto"/>
                      <w:sz w:val="21"/>
                      <w:szCs w:val="21"/>
                      <w:highlight w:val="none"/>
                      <w:vertAlign w:val="baseline"/>
                      <w:lang w:val="en-US" w:eastAsia="zh-CN"/>
                    </w:rPr>
                    <w:t>7</w:t>
                  </w:r>
                </w:p>
              </w:tc>
              <w:tc>
                <w:tcPr>
                  <w:tcW w:w="537" w:type="dxa"/>
                  <w:vAlign w:val="center"/>
                </w:tcPr>
                <w:p w14:paraId="21E8815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w:t>
                  </w:r>
                  <w:r>
                    <w:rPr>
                      <w:rFonts w:hint="eastAsia" w:ascii="Times New Roman" w:hAnsi="Times New Roman" w:cs="Times New Roman"/>
                      <w:bCs w:val="0"/>
                      <w:color w:val="auto"/>
                      <w:sz w:val="21"/>
                      <w:szCs w:val="21"/>
                      <w:highlight w:val="none"/>
                      <w:vertAlign w:val="baseline"/>
                      <w:lang w:val="en-US" w:eastAsia="zh-CN"/>
                    </w:rPr>
                    <w:t>4</w:t>
                  </w:r>
                </w:p>
              </w:tc>
              <w:tc>
                <w:tcPr>
                  <w:tcW w:w="1411" w:type="dxa"/>
                  <w:vAlign w:val="center"/>
                </w:tcPr>
                <w:p w14:paraId="0ACFF46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eastAsia" w:ascii="Times New Roman" w:hAnsi="Times New Roman" w:eastAsia="宋体" w:cs="Times New Roman"/>
                      <w:color w:val="auto"/>
                      <w:kern w:val="0"/>
                      <w:sz w:val="24"/>
                      <w:szCs w:val="24"/>
                      <w:lang w:val="en-US" w:eastAsia="zh-CN" w:bidi="ar-SA"/>
                    </w:rPr>
                    <w:t>Ⅲ</w:t>
                  </w:r>
                  <w:r>
                    <w:rPr>
                      <w:rFonts w:hint="default" w:ascii="Times New Roman" w:hAnsi="Times New Roman" w:eastAsia="宋体" w:cs="Times New Roman"/>
                      <w:i w:val="0"/>
                      <w:iCs w:val="0"/>
                      <w:caps w:val="0"/>
                      <w:color w:val="auto"/>
                      <w:spacing w:val="0"/>
                      <w:sz w:val="21"/>
                      <w:szCs w:val="21"/>
                      <w:shd w:val="clear" w:fill="FFFFFF"/>
                    </w:rPr>
                    <w:t>类</w:t>
                  </w:r>
                </w:p>
              </w:tc>
              <w:tc>
                <w:tcPr>
                  <w:tcW w:w="3576" w:type="dxa"/>
                  <w:vAlign w:val="center"/>
                </w:tcPr>
                <w:p w14:paraId="024D5C77">
                  <w:pPr>
                    <w:pStyle w:val="2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jc w:val="center"/>
                    <w:textAlignment w:val="bottom"/>
                    <w:rPr>
                      <w:rFonts w:hint="default"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cs="Times New Roman"/>
                      <w:i w:val="0"/>
                      <w:iCs w:val="0"/>
                      <w:caps w:val="0"/>
                      <w:color w:val="auto"/>
                      <w:spacing w:val="0"/>
                      <w:kern w:val="2"/>
                      <w:sz w:val="21"/>
                      <w:szCs w:val="21"/>
                      <w:shd w:val="clear" w:fill="FFFFFF"/>
                      <w:lang w:val="en-US" w:eastAsia="zh-CN" w:bidi="ar-SA"/>
                    </w:rPr>
                    <w:t>/</w:t>
                  </w:r>
                </w:p>
                <w:p w14:paraId="062ED4D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p>
              </w:tc>
            </w:tr>
            <w:tr w14:paraId="6447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3" w:type="dxa"/>
                  <w:gridSpan w:val="6"/>
                  <w:vAlign w:val="center"/>
                </w:tcPr>
                <w:p w14:paraId="18E4EBE0">
                  <w:pPr>
                    <w:keepNext w:val="0"/>
                    <w:keepLines w:val="0"/>
                    <w:pageBreakBefore w:val="0"/>
                    <w:widowControl/>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羊街河（果马河）李家坝断面</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位于本项目</w:t>
                  </w:r>
                  <w:r>
                    <w:rPr>
                      <w:rFonts w:hint="eastAsia" w:cs="Times New Roman"/>
                      <w:bCs w:val="0"/>
                      <w:color w:val="auto"/>
                      <w:sz w:val="21"/>
                      <w:szCs w:val="21"/>
                      <w:highlight w:val="none"/>
                      <w:vertAlign w:val="baseline"/>
                      <w:lang w:val="zh-CN" w:eastAsia="zh-CN"/>
                    </w:rPr>
                    <w:t>西北侧</w:t>
                  </w:r>
                  <w:r>
                    <w:rPr>
                      <w:rFonts w:hint="eastAsia" w:cs="Times New Roman"/>
                      <w:bCs w:val="0"/>
                      <w:color w:val="auto"/>
                      <w:sz w:val="21"/>
                      <w:szCs w:val="21"/>
                      <w:highlight w:val="none"/>
                      <w:vertAlign w:val="baseline"/>
                      <w:lang w:val="en-US" w:eastAsia="zh-CN"/>
                    </w:rPr>
                    <w:t>2135m。</w:t>
                  </w:r>
                </w:p>
              </w:tc>
            </w:tr>
          </w:tbl>
          <w:p w14:paraId="1FC038B3">
            <w:pPr>
              <w:tabs>
                <w:tab w:val="left" w:pos="676"/>
              </w:tabs>
              <w:adjustRightInd w:val="0"/>
              <w:snapToGrid w:val="0"/>
              <w:spacing w:line="346" w:lineRule="auto"/>
              <w:ind w:firstLine="480" w:firstLineChars="20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bCs/>
                <w:i w:val="0"/>
                <w:iCs w:val="0"/>
                <w:caps w:val="0"/>
                <w:color w:val="auto"/>
                <w:spacing w:val="0"/>
                <w:sz w:val="24"/>
                <w:szCs w:val="24"/>
                <w:shd w:val="clear"/>
                <w:lang w:val="en-US" w:eastAsia="zh-CN"/>
              </w:rPr>
              <w:t>根据统计表中可</w:t>
            </w:r>
            <w:r>
              <w:rPr>
                <w:rFonts w:hint="default" w:ascii="Times New Roman" w:hAnsi="Times New Roman" w:eastAsia="宋体" w:cs="Times New Roman"/>
                <w:color w:val="auto"/>
                <w:kern w:val="2"/>
                <w:sz w:val="24"/>
                <w:szCs w:val="20"/>
                <w:highlight w:val="none"/>
                <w:lang w:val="en-US" w:eastAsia="zh-CN" w:bidi="ar-SA"/>
              </w:rPr>
              <w:t>知，</w:t>
            </w:r>
            <w:r>
              <w:rPr>
                <w:rFonts w:hint="eastAsia" w:ascii="Times New Roman" w:hAnsi="Times New Roman" w:eastAsia="宋体" w:cs="Times New Roman"/>
                <w:color w:val="auto"/>
                <w:kern w:val="2"/>
                <w:sz w:val="24"/>
                <w:szCs w:val="20"/>
                <w:highlight w:val="none"/>
                <w:lang w:val="en-US" w:eastAsia="zh-CN" w:bidi="ar-SA"/>
              </w:rPr>
              <w:t>羊街</w:t>
            </w:r>
            <w:r>
              <w:rPr>
                <w:rFonts w:hint="default" w:ascii="Times New Roman" w:hAnsi="Times New Roman" w:eastAsia="宋体" w:cs="Times New Roman"/>
                <w:color w:val="auto"/>
                <w:kern w:val="2"/>
                <w:sz w:val="24"/>
                <w:szCs w:val="20"/>
                <w:highlight w:val="none"/>
                <w:lang w:val="en-US" w:eastAsia="zh-CN" w:bidi="ar-SA"/>
              </w:rPr>
              <w:t>河（</w:t>
            </w:r>
            <w:r>
              <w:rPr>
                <w:rFonts w:hint="eastAsia" w:ascii="Times New Roman" w:hAnsi="Times New Roman" w:eastAsia="宋体" w:cs="Times New Roman"/>
                <w:color w:val="auto"/>
                <w:kern w:val="2"/>
                <w:sz w:val="24"/>
                <w:szCs w:val="20"/>
                <w:highlight w:val="none"/>
                <w:lang w:val="en-US" w:eastAsia="zh-CN" w:bidi="ar-SA"/>
              </w:rPr>
              <w:t>果马</w:t>
            </w:r>
            <w:r>
              <w:rPr>
                <w:rFonts w:hint="default" w:ascii="Times New Roman" w:hAnsi="Times New Roman" w:eastAsia="宋体" w:cs="Times New Roman"/>
                <w:color w:val="auto"/>
                <w:kern w:val="2"/>
                <w:sz w:val="24"/>
                <w:szCs w:val="20"/>
                <w:highlight w:val="none"/>
                <w:lang w:val="en-US" w:eastAsia="zh-CN" w:bidi="ar-SA"/>
              </w:rPr>
              <w:t>河）李家坝断面为</w:t>
            </w:r>
            <w:r>
              <w:rPr>
                <w:rFonts w:hint="eastAsia" w:ascii="Times New Roman" w:hAnsi="Times New Roman" w:eastAsia="宋体" w:cs="Times New Roman"/>
                <w:color w:val="auto"/>
                <w:kern w:val="0"/>
                <w:sz w:val="24"/>
                <w:szCs w:val="24"/>
                <w:lang w:val="en-US" w:eastAsia="zh-CN" w:bidi="ar-SA"/>
              </w:rPr>
              <w:t>Ⅲ</w:t>
            </w:r>
            <w:r>
              <w:rPr>
                <w:rFonts w:hint="default" w:ascii="Times New Roman" w:hAnsi="Times New Roman" w:eastAsia="宋体" w:cs="Times New Roman"/>
                <w:color w:val="auto"/>
                <w:kern w:val="2"/>
                <w:sz w:val="24"/>
                <w:szCs w:val="20"/>
                <w:highlight w:val="none"/>
                <w:lang w:val="en-US" w:eastAsia="zh-CN" w:bidi="ar-SA"/>
              </w:rPr>
              <w:t>类</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color w:val="auto"/>
                <w:sz w:val="24"/>
                <w:szCs w:val="20"/>
                <w:highlight w:val="none"/>
              </w:rPr>
              <w:t>能达到《地表水环境质量标准》（GB3838-2002）Ⅲ类标准限值</w:t>
            </w:r>
            <w:r>
              <w:rPr>
                <w:color w:val="auto"/>
                <w:sz w:val="24"/>
              </w:rPr>
              <w:t>。</w:t>
            </w:r>
          </w:p>
          <w:p w14:paraId="43574360">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14:paraId="71A82CBE">
            <w:pPr>
              <w:pStyle w:val="15"/>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w:t>
            </w:r>
            <w:r>
              <w:rPr>
                <w:rFonts w:hint="default" w:ascii="Times New Roman" w:hAnsi="Times New Roman" w:eastAsia="宋体" w:cs="Times New Roman"/>
                <w:b w:val="0"/>
                <w:bCs w:val="0"/>
                <w:color w:val="auto"/>
                <w:sz w:val="24"/>
                <w:szCs w:val="24"/>
                <w:highlight w:val="none"/>
              </w:rPr>
              <w:t>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rPr>
              <w:t>工业、仓储物流区执行《声环境质量标准》（GB3096-2008）3类标准</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highlight w:val="none"/>
                <w:lang w:val="zh-CN"/>
              </w:rPr>
              <w:t>因此</w:t>
            </w:r>
            <w:r>
              <w:rPr>
                <w:rFonts w:hint="default" w:ascii="Times New Roman" w:hAnsi="Times New Roman" w:eastAsia="宋体" w:cs="Times New Roman"/>
                <w:color w:val="auto"/>
                <w:sz w:val="24"/>
                <w:highlight w:val="none"/>
              </w:rPr>
              <w:t>评价区域</w:t>
            </w:r>
            <w:r>
              <w:rPr>
                <w:rFonts w:hint="default" w:ascii="Times New Roman" w:hAnsi="Times New Roman" w:eastAsia="宋体" w:cs="Times New Roman"/>
                <w:color w:val="auto"/>
                <w:sz w:val="24"/>
                <w:highlight w:val="none"/>
                <w:lang w:val="zh-CN"/>
              </w:rPr>
              <w:t>属于</w:t>
            </w:r>
            <w:r>
              <w:rPr>
                <w:rFonts w:hint="default" w:ascii="Times New Roman" w:hAnsi="Times New Roman" w:eastAsia="宋体" w:cs="Times New Roman"/>
                <w:color w:val="auto"/>
                <w:sz w:val="24"/>
                <w:highlight w:val="none"/>
              </w:rPr>
              <w:t>《声环境质量标准》（GB3096-2008）3类声环境功能区。</w:t>
            </w:r>
          </w:p>
          <w:p w14:paraId="7D8EF970">
            <w:pPr>
              <w:keepNext w:val="0"/>
              <w:keepLines w:val="0"/>
              <w:pageBreakBefore w:val="0"/>
              <w:widowControl w:val="0"/>
              <w:kinsoku/>
              <w:wordWrap/>
              <w:overflowPunct/>
              <w:topLinePunct w:val="0"/>
              <w:autoSpaceDE/>
              <w:autoSpaceDN/>
              <w:bidi w:val="0"/>
              <w:adjustRightInd w:val="0"/>
              <w:snapToGrid w:val="0"/>
              <w:spacing w:line="360" w:lineRule="auto"/>
              <w:ind w:firstLine="480"/>
              <w:jc w:val="center"/>
              <w:textAlignment w:val="auto"/>
              <w:rPr>
                <w:rFonts w:hint="eastAsia"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根据《建设项目环境影响报告表编制技术指南（污染影响类）》（试行），项目区50m范围内</w:t>
            </w:r>
            <w:r>
              <w:rPr>
                <w:rFonts w:hint="eastAsia" w:ascii="Times New Roman" w:hAnsi="Times New Roman" w:eastAsia="宋体" w:cs="Times New Roman"/>
                <w:b w:val="0"/>
                <w:bCs w:val="0"/>
                <w:color w:val="auto"/>
                <w:kern w:val="2"/>
                <w:sz w:val="24"/>
                <w:szCs w:val="24"/>
                <w:lang w:val="en-US" w:eastAsia="zh-CN" w:bidi="ar-SA"/>
              </w:rPr>
              <w:t>存在</w:t>
            </w:r>
            <w:r>
              <w:rPr>
                <w:rFonts w:hint="default" w:ascii="Times New Roman" w:hAnsi="Times New Roman" w:eastAsia="宋体" w:cs="Times New Roman"/>
                <w:b w:val="0"/>
                <w:bCs w:val="0"/>
                <w:color w:val="auto"/>
                <w:kern w:val="2"/>
                <w:sz w:val="24"/>
                <w:szCs w:val="24"/>
                <w:lang w:val="en-US" w:eastAsia="zh-CN" w:bidi="ar-SA"/>
              </w:rPr>
              <w:t>声环境保护目标，因此</w:t>
            </w:r>
            <w:r>
              <w:rPr>
                <w:rFonts w:hint="eastAsia" w:ascii="Times New Roman" w:hAnsi="Times New Roman" w:eastAsia="宋体" w:cs="Times New Roman"/>
                <w:b w:val="0"/>
                <w:bCs w:val="0"/>
                <w:color w:val="auto"/>
                <w:kern w:val="2"/>
                <w:sz w:val="24"/>
                <w:szCs w:val="24"/>
                <w:lang w:val="en-US" w:eastAsia="zh-CN" w:bidi="ar-SA"/>
              </w:rPr>
              <w:t>建设单位委托云南泰义检测技术有</w:t>
            </w:r>
          </w:p>
          <w:p w14:paraId="22034FA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ascii="Times New Roman" w:hAnsi="Times New Roman"/>
                <w:b/>
                <w:bCs/>
                <w:color w:val="auto"/>
                <w:sz w:val="24"/>
                <w:szCs w:val="24"/>
              </w:rPr>
            </w:pPr>
            <w:r>
              <w:rPr>
                <w:rFonts w:hint="eastAsia" w:ascii="Times New Roman" w:hAnsi="Times New Roman" w:eastAsia="宋体" w:cs="Times New Roman"/>
                <w:b w:val="0"/>
                <w:bCs w:val="0"/>
                <w:color w:val="auto"/>
                <w:kern w:val="2"/>
                <w:sz w:val="24"/>
                <w:szCs w:val="24"/>
                <w:lang w:val="en-US" w:eastAsia="zh-CN" w:bidi="ar-SA"/>
              </w:rPr>
              <w:t>限公司</w:t>
            </w:r>
            <w:r>
              <w:rPr>
                <w:rFonts w:hint="eastAsia" w:ascii="Times New Roman" w:hAnsi="Times New Roman" w:eastAsia="宋体" w:cs="Times New Roman"/>
                <w:b w:val="0"/>
                <w:bCs w:val="0"/>
                <w:color w:val="auto"/>
                <w:kern w:val="2"/>
                <w:sz w:val="24"/>
                <w:szCs w:val="24"/>
                <w:lang w:val="zh-CN" w:eastAsia="zh-CN" w:bidi="ar-SA"/>
              </w:rPr>
              <w:t>于</w:t>
            </w:r>
            <w:r>
              <w:rPr>
                <w:rFonts w:hint="eastAsia" w:ascii="Times New Roman" w:hAnsi="Times New Roman" w:eastAsia="宋体" w:cs="Times New Roman"/>
                <w:b w:val="0"/>
                <w:bCs w:val="0"/>
                <w:color w:val="auto"/>
                <w:kern w:val="2"/>
                <w:sz w:val="24"/>
                <w:szCs w:val="24"/>
                <w:lang w:val="en-US" w:eastAsia="zh-CN" w:bidi="ar-SA"/>
              </w:rPr>
              <w:t>2023</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28</w:t>
            </w:r>
            <w:r>
              <w:rPr>
                <w:rFonts w:hint="eastAsia"/>
                <w:color w:val="auto"/>
                <w:sz w:val="24"/>
                <w:szCs w:val="24"/>
              </w:rPr>
              <w:t>日～202</w:t>
            </w:r>
            <w:r>
              <w:rPr>
                <w:rFonts w:hint="eastAsia"/>
                <w:color w:val="auto"/>
                <w:sz w:val="24"/>
                <w:szCs w:val="24"/>
                <w:lang w:val="en-US" w:eastAsia="zh-CN"/>
              </w:rPr>
              <w:t>3</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29</w:t>
            </w:r>
            <w:r>
              <w:rPr>
                <w:rFonts w:hint="eastAsia"/>
                <w:color w:val="auto"/>
                <w:sz w:val="24"/>
                <w:szCs w:val="24"/>
              </w:rPr>
              <w:t>日</w:t>
            </w:r>
            <w:r>
              <w:rPr>
                <w:rFonts w:ascii="Times New Roman" w:hAnsi="Times New Roman"/>
                <w:color w:val="auto"/>
                <w:sz w:val="24"/>
                <w:szCs w:val="24"/>
                <w:lang w:bidi="ar"/>
              </w:rPr>
              <w:t>对本项目</w:t>
            </w:r>
            <w:r>
              <w:rPr>
                <w:rFonts w:hint="eastAsia"/>
                <w:color w:val="auto"/>
                <w:sz w:val="24"/>
                <w:szCs w:val="24"/>
              </w:rPr>
              <w:t>厂界外周边50米范围内存在的声环境保护目标</w:t>
            </w:r>
            <w:r>
              <w:rPr>
                <w:rFonts w:hint="eastAsia" w:ascii="Times New Roman" w:hAnsi="Times New Roman"/>
                <w:color w:val="auto"/>
                <w:sz w:val="24"/>
                <w:szCs w:val="24"/>
                <w:lang w:bidi="ar"/>
              </w:rPr>
              <w:t>进行监测，监测结果</w:t>
            </w:r>
            <w:r>
              <w:rPr>
                <w:rFonts w:ascii="Times New Roman" w:hAnsi="Times New Roman"/>
                <w:color w:val="auto"/>
                <w:sz w:val="24"/>
                <w:szCs w:val="24"/>
                <w:lang w:bidi="ar"/>
              </w:rPr>
              <w:t>见表3-</w:t>
            </w:r>
            <w:r>
              <w:rPr>
                <w:rFonts w:hint="eastAsia"/>
                <w:color w:val="auto"/>
                <w:sz w:val="24"/>
                <w:szCs w:val="24"/>
                <w:lang w:val="en-US" w:eastAsia="zh-CN" w:bidi="ar"/>
              </w:rPr>
              <w:t>6</w:t>
            </w:r>
            <w:r>
              <w:rPr>
                <w:rFonts w:ascii="Times New Roman" w:hAnsi="Times New Roman"/>
                <w:color w:val="auto"/>
                <w:sz w:val="24"/>
                <w:szCs w:val="24"/>
                <w:lang w:bidi="ar"/>
              </w:rPr>
              <w:t>。</w:t>
            </w:r>
          </w:p>
          <w:p w14:paraId="6FAFF593">
            <w:pPr>
              <w:adjustRightInd w:val="0"/>
              <w:snapToGrid w:val="0"/>
              <w:jc w:val="center"/>
              <w:rPr>
                <w:b/>
                <w:bCs/>
                <w:color w:val="auto"/>
                <w:szCs w:val="21"/>
              </w:rPr>
            </w:pPr>
            <w:r>
              <w:rPr>
                <w:b/>
                <w:bCs/>
                <w:color w:val="auto"/>
                <w:szCs w:val="21"/>
              </w:rPr>
              <w:t>表3-</w:t>
            </w:r>
            <w:r>
              <w:rPr>
                <w:rFonts w:hint="eastAsia"/>
                <w:b/>
                <w:bCs/>
                <w:color w:val="auto"/>
                <w:szCs w:val="21"/>
                <w:lang w:val="en-US" w:eastAsia="zh-CN"/>
              </w:rPr>
              <w:t>6</w:t>
            </w:r>
            <w:r>
              <w:rPr>
                <w:b/>
                <w:bCs/>
                <w:color w:val="auto"/>
                <w:szCs w:val="21"/>
              </w:rPr>
              <w:t xml:space="preserve">  </w:t>
            </w:r>
            <w:r>
              <w:rPr>
                <w:rFonts w:hint="eastAsia"/>
                <w:b/>
                <w:bCs/>
                <w:color w:val="auto"/>
                <w:szCs w:val="21"/>
              </w:rPr>
              <w:t>项目</w:t>
            </w:r>
            <w:r>
              <w:rPr>
                <w:b/>
                <w:bCs/>
                <w:color w:val="auto"/>
                <w:szCs w:val="21"/>
              </w:rPr>
              <w:t>声环境监测结果统计一览表  单位：dB(A)</w:t>
            </w:r>
          </w:p>
          <w:tbl>
            <w:tblPr>
              <w:tblStyle w:val="26"/>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954"/>
              <w:gridCol w:w="931"/>
              <w:gridCol w:w="865"/>
              <w:gridCol w:w="909"/>
              <w:gridCol w:w="799"/>
              <w:gridCol w:w="905"/>
              <w:gridCol w:w="755"/>
            </w:tblGrid>
            <w:tr w14:paraId="74BA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39" w:type="dxa"/>
                  <w:vMerge w:val="restart"/>
                  <w:tcBorders>
                    <w:top w:val="single" w:color="auto" w:sz="4" w:space="0"/>
                    <w:left w:val="single" w:color="auto" w:sz="4" w:space="0"/>
                    <w:right w:val="single" w:color="auto" w:sz="4" w:space="0"/>
                  </w:tcBorders>
                  <w:noWrap w:val="0"/>
                  <w:vAlign w:val="center"/>
                </w:tcPr>
                <w:p w14:paraId="00E77367">
                  <w:pPr>
                    <w:adjustRightInd w:val="0"/>
                    <w:snapToGrid w:val="0"/>
                    <w:jc w:val="center"/>
                    <w:rPr>
                      <w:b/>
                      <w:bCs/>
                      <w:color w:val="auto"/>
                      <w:szCs w:val="21"/>
                      <w:lang w:bidi="ar"/>
                    </w:rPr>
                  </w:pPr>
                  <w:r>
                    <w:rPr>
                      <w:b/>
                      <w:bCs/>
                      <w:color w:val="auto"/>
                      <w:szCs w:val="21"/>
                      <w:lang w:bidi="ar"/>
                    </w:rPr>
                    <w:t>监测点位</w:t>
                  </w:r>
                </w:p>
              </w:tc>
              <w:tc>
                <w:tcPr>
                  <w:tcW w:w="3659" w:type="dxa"/>
                  <w:gridSpan w:val="4"/>
                  <w:tcBorders>
                    <w:top w:val="single" w:color="auto" w:sz="4" w:space="0"/>
                    <w:left w:val="single" w:color="auto" w:sz="4" w:space="0"/>
                    <w:bottom w:val="single" w:color="auto" w:sz="4" w:space="0"/>
                    <w:right w:val="single" w:color="auto" w:sz="4" w:space="0"/>
                  </w:tcBorders>
                  <w:noWrap w:val="0"/>
                  <w:vAlign w:val="center"/>
                </w:tcPr>
                <w:p w14:paraId="06B0FF1D">
                  <w:pPr>
                    <w:adjustRightInd w:val="0"/>
                    <w:snapToGrid w:val="0"/>
                    <w:jc w:val="center"/>
                    <w:rPr>
                      <w:b/>
                      <w:bCs/>
                      <w:color w:val="auto"/>
                      <w:szCs w:val="21"/>
                      <w:lang w:bidi="ar"/>
                    </w:rPr>
                  </w:pPr>
                  <w:r>
                    <w:rPr>
                      <w:b/>
                      <w:bCs/>
                      <w:color w:val="auto"/>
                      <w:szCs w:val="21"/>
                      <w:lang w:bidi="ar"/>
                    </w:rPr>
                    <w:t>监测值Leq（dB（A））</w:t>
                  </w:r>
                </w:p>
              </w:tc>
              <w:tc>
                <w:tcPr>
                  <w:tcW w:w="1704" w:type="dxa"/>
                  <w:gridSpan w:val="2"/>
                  <w:vMerge w:val="restart"/>
                  <w:tcBorders>
                    <w:top w:val="single" w:color="auto" w:sz="4" w:space="0"/>
                    <w:left w:val="single" w:color="auto" w:sz="4" w:space="0"/>
                    <w:right w:val="single" w:color="auto" w:sz="4" w:space="0"/>
                  </w:tcBorders>
                  <w:noWrap w:val="0"/>
                  <w:vAlign w:val="center"/>
                </w:tcPr>
                <w:p w14:paraId="19AAAA8D">
                  <w:pPr>
                    <w:adjustRightInd w:val="0"/>
                    <w:snapToGrid w:val="0"/>
                    <w:jc w:val="center"/>
                    <w:rPr>
                      <w:b/>
                      <w:bCs/>
                      <w:color w:val="auto"/>
                      <w:szCs w:val="21"/>
                      <w:lang w:bidi="ar"/>
                    </w:rPr>
                  </w:pPr>
                  <w:r>
                    <w:rPr>
                      <w:b/>
                      <w:bCs/>
                      <w:color w:val="auto"/>
                      <w:szCs w:val="21"/>
                      <w:lang w:bidi="ar"/>
                    </w:rPr>
                    <w:t>标准限值dB（A）</w:t>
                  </w:r>
                </w:p>
              </w:tc>
              <w:tc>
                <w:tcPr>
                  <w:tcW w:w="755" w:type="dxa"/>
                  <w:vMerge w:val="restart"/>
                  <w:tcBorders>
                    <w:top w:val="single" w:color="auto" w:sz="4" w:space="0"/>
                    <w:left w:val="single" w:color="auto" w:sz="4" w:space="0"/>
                    <w:right w:val="single" w:color="auto" w:sz="4" w:space="0"/>
                  </w:tcBorders>
                  <w:noWrap w:val="0"/>
                  <w:vAlign w:val="center"/>
                </w:tcPr>
                <w:p w14:paraId="76E301A7">
                  <w:pPr>
                    <w:adjustRightInd w:val="0"/>
                    <w:snapToGrid w:val="0"/>
                    <w:jc w:val="center"/>
                    <w:rPr>
                      <w:b/>
                      <w:bCs/>
                      <w:color w:val="auto"/>
                      <w:szCs w:val="21"/>
                      <w:lang w:bidi="ar"/>
                    </w:rPr>
                  </w:pPr>
                  <w:r>
                    <w:rPr>
                      <w:b/>
                      <w:bCs/>
                      <w:color w:val="auto"/>
                      <w:szCs w:val="21"/>
                      <w:lang w:bidi="ar"/>
                    </w:rPr>
                    <w:t>达标情况</w:t>
                  </w:r>
                </w:p>
              </w:tc>
            </w:tr>
            <w:tr w14:paraId="6210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39" w:type="dxa"/>
                  <w:vMerge w:val="continue"/>
                  <w:tcBorders>
                    <w:left w:val="single" w:color="auto" w:sz="4" w:space="0"/>
                    <w:right w:val="single" w:color="auto" w:sz="4" w:space="0"/>
                  </w:tcBorders>
                  <w:noWrap w:val="0"/>
                  <w:vAlign w:val="center"/>
                </w:tcPr>
                <w:p w14:paraId="234E03A9">
                  <w:pPr>
                    <w:adjustRightInd w:val="0"/>
                    <w:snapToGrid w:val="0"/>
                    <w:jc w:val="center"/>
                    <w:rPr>
                      <w:color w:val="auto"/>
                      <w:szCs w:val="21"/>
                      <w:lang w:bidi="ar"/>
                    </w:rPr>
                  </w:pPr>
                </w:p>
              </w:tc>
              <w:tc>
                <w:tcPr>
                  <w:tcW w:w="1885" w:type="dxa"/>
                  <w:gridSpan w:val="2"/>
                  <w:tcBorders>
                    <w:top w:val="single" w:color="auto" w:sz="4" w:space="0"/>
                    <w:left w:val="single" w:color="auto" w:sz="4" w:space="0"/>
                    <w:bottom w:val="single" w:color="auto" w:sz="4" w:space="0"/>
                    <w:right w:val="single" w:color="auto" w:sz="4" w:space="0"/>
                  </w:tcBorders>
                  <w:noWrap w:val="0"/>
                  <w:vAlign w:val="center"/>
                </w:tcPr>
                <w:p w14:paraId="27F52F4A">
                  <w:pPr>
                    <w:adjustRightInd w:val="0"/>
                    <w:snapToGrid w:val="0"/>
                    <w:jc w:val="center"/>
                    <w:rPr>
                      <w:rFonts w:hint="default" w:eastAsia="宋体"/>
                      <w:b/>
                      <w:bCs/>
                      <w:color w:val="auto"/>
                      <w:szCs w:val="21"/>
                      <w:lang w:val="en-US" w:eastAsia="zh-CN" w:bidi="ar"/>
                    </w:rPr>
                  </w:pPr>
                  <w:r>
                    <w:rPr>
                      <w:b/>
                      <w:bCs/>
                      <w:color w:val="auto"/>
                      <w:szCs w:val="21"/>
                      <w:lang w:bidi="ar"/>
                    </w:rPr>
                    <w:t>20</w:t>
                  </w:r>
                  <w:r>
                    <w:rPr>
                      <w:rFonts w:hint="eastAsia"/>
                      <w:b/>
                      <w:bCs/>
                      <w:color w:val="auto"/>
                      <w:szCs w:val="21"/>
                      <w:lang w:bidi="ar"/>
                    </w:rPr>
                    <w:t>2</w:t>
                  </w:r>
                  <w:r>
                    <w:rPr>
                      <w:rFonts w:hint="eastAsia"/>
                      <w:b/>
                      <w:bCs/>
                      <w:color w:val="auto"/>
                      <w:szCs w:val="21"/>
                      <w:lang w:val="en-US" w:eastAsia="zh-CN" w:bidi="ar"/>
                    </w:rPr>
                    <w:t>3</w:t>
                  </w:r>
                  <w:r>
                    <w:rPr>
                      <w:rFonts w:hint="eastAsia"/>
                      <w:b/>
                      <w:bCs/>
                      <w:color w:val="auto"/>
                      <w:szCs w:val="21"/>
                      <w:lang w:bidi="ar"/>
                    </w:rPr>
                    <w:t>.</w:t>
                  </w:r>
                  <w:r>
                    <w:rPr>
                      <w:rFonts w:hint="eastAsia"/>
                      <w:b/>
                      <w:bCs/>
                      <w:color w:val="auto"/>
                      <w:szCs w:val="21"/>
                      <w:lang w:val="en-US" w:eastAsia="zh-CN" w:bidi="ar"/>
                    </w:rPr>
                    <w:t>11</w:t>
                  </w:r>
                  <w:r>
                    <w:rPr>
                      <w:rFonts w:hint="eastAsia"/>
                      <w:b/>
                      <w:bCs/>
                      <w:color w:val="auto"/>
                      <w:szCs w:val="21"/>
                      <w:lang w:bidi="ar"/>
                    </w:rPr>
                    <w:t>.</w:t>
                  </w:r>
                  <w:r>
                    <w:rPr>
                      <w:rFonts w:hint="eastAsia"/>
                      <w:b/>
                      <w:bCs/>
                      <w:color w:val="auto"/>
                      <w:szCs w:val="21"/>
                      <w:lang w:val="en-US" w:eastAsia="zh-CN" w:bidi="ar"/>
                    </w:rPr>
                    <w:t>28</w:t>
                  </w:r>
                </w:p>
              </w:tc>
              <w:tc>
                <w:tcPr>
                  <w:tcW w:w="1774" w:type="dxa"/>
                  <w:gridSpan w:val="2"/>
                  <w:tcBorders>
                    <w:top w:val="single" w:color="auto" w:sz="4" w:space="0"/>
                    <w:left w:val="single" w:color="auto" w:sz="4" w:space="0"/>
                    <w:bottom w:val="single" w:color="auto" w:sz="4" w:space="0"/>
                    <w:right w:val="single" w:color="auto" w:sz="4" w:space="0"/>
                  </w:tcBorders>
                  <w:noWrap w:val="0"/>
                  <w:vAlign w:val="center"/>
                </w:tcPr>
                <w:p w14:paraId="5F3CC880">
                  <w:pPr>
                    <w:adjustRightInd w:val="0"/>
                    <w:snapToGrid w:val="0"/>
                    <w:jc w:val="center"/>
                    <w:rPr>
                      <w:rFonts w:hint="default" w:eastAsia="宋体"/>
                      <w:b/>
                      <w:bCs/>
                      <w:color w:val="auto"/>
                      <w:szCs w:val="21"/>
                      <w:lang w:val="en-US" w:eastAsia="zh-CN" w:bidi="ar"/>
                    </w:rPr>
                  </w:pPr>
                  <w:r>
                    <w:rPr>
                      <w:b/>
                      <w:bCs/>
                      <w:color w:val="auto"/>
                      <w:szCs w:val="21"/>
                      <w:lang w:bidi="ar"/>
                    </w:rPr>
                    <w:t>20</w:t>
                  </w:r>
                  <w:r>
                    <w:rPr>
                      <w:rFonts w:hint="eastAsia"/>
                      <w:b/>
                      <w:bCs/>
                      <w:color w:val="auto"/>
                      <w:szCs w:val="21"/>
                      <w:lang w:bidi="ar"/>
                    </w:rPr>
                    <w:t>2</w:t>
                  </w:r>
                  <w:r>
                    <w:rPr>
                      <w:rFonts w:hint="eastAsia"/>
                      <w:b/>
                      <w:bCs/>
                      <w:color w:val="auto"/>
                      <w:szCs w:val="21"/>
                      <w:lang w:val="en-US" w:eastAsia="zh-CN" w:bidi="ar"/>
                    </w:rPr>
                    <w:t>3</w:t>
                  </w:r>
                  <w:r>
                    <w:rPr>
                      <w:rFonts w:hint="eastAsia"/>
                      <w:b/>
                      <w:bCs/>
                      <w:color w:val="auto"/>
                      <w:szCs w:val="21"/>
                      <w:lang w:bidi="ar"/>
                    </w:rPr>
                    <w:t>.</w:t>
                  </w:r>
                  <w:r>
                    <w:rPr>
                      <w:rFonts w:hint="eastAsia"/>
                      <w:b/>
                      <w:bCs/>
                      <w:color w:val="auto"/>
                      <w:szCs w:val="21"/>
                      <w:lang w:val="en-US" w:eastAsia="zh-CN" w:bidi="ar"/>
                    </w:rPr>
                    <w:t>11</w:t>
                  </w:r>
                  <w:r>
                    <w:rPr>
                      <w:rFonts w:hint="eastAsia"/>
                      <w:b/>
                      <w:bCs/>
                      <w:color w:val="auto"/>
                      <w:szCs w:val="21"/>
                      <w:lang w:bidi="ar"/>
                    </w:rPr>
                    <w:t>.</w:t>
                  </w:r>
                  <w:r>
                    <w:rPr>
                      <w:rFonts w:hint="eastAsia"/>
                      <w:b/>
                      <w:bCs/>
                      <w:color w:val="auto"/>
                      <w:szCs w:val="21"/>
                      <w:lang w:val="en-US" w:eastAsia="zh-CN" w:bidi="ar"/>
                    </w:rPr>
                    <w:t>29</w:t>
                  </w:r>
                </w:p>
              </w:tc>
              <w:tc>
                <w:tcPr>
                  <w:tcW w:w="1704" w:type="dxa"/>
                  <w:gridSpan w:val="2"/>
                  <w:vMerge w:val="continue"/>
                  <w:tcBorders>
                    <w:left w:val="single" w:color="auto" w:sz="4" w:space="0"/>
                    <w:bottom w:val="single" w:color="auto" w:sz="4" w:space="0"/>
                    <w:right w:val="single" w:color="auto" w:sz="4" w:space="0"/>
                  </w:tcBorders>
                  <w:noWrap w:val="0"/>
                  <w:vAlign w:val="center"/>
                </w:tcPr>
                <w:p w14:paraId="39E4D1F2">
                  <w:pPr>
                    <w:adjustRightInd w:val="0"/>
                    <w:snapToGrid w:val="0"/>
                    <w:jc w:val="center"/>
                    <w:rPr>
                      <w:b/>
                      <w:bCs/>
                      <w:color w:val="auto"/>
                      <w:szCs w:val="21"/>
                      <w:lang w:bidi="ar"/>
                    </w:rPr>
                  </w:pPr>
                </w:p>
              </w:tc>
              <w:tc>
                <w:tcPr>
                  <w:tcW w:w="755" w:type="dxa"/>
                  <w:vMerge w:val="continue"/>
                  <w:tcBorders>
                    <w:left w:val="single" w:color="auto" w:sz="4" w:space="0"/>
                    <w:right w:val="single" w:color="auto" w:sz="4" w:space="0"/>
                  </w:tcBorders>
                  <w:noWrap w:val="0"/>
                  <w:vAlign w:val="center"/>
                </w:tcPr>
                <w:p w14:paraId="3876F888">
                  <w:pPr>
                    <w:adjustRightInd w:val="0"/>
                    <w:snapToGrid w:val="0"/>
                    <w:jc w:val="center"/>
                    <w:rPr>
                      <w:color w:val="auto"/>
                      <w:szCs w:val="21"/>
                      <w:lang w:bidi="ar"/>
                    </w:rPr>
                  </w:pPr>
                </w:p>
              </w:tc>
            </w:tr>
            <w:tr w14:paraId="05BA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39" w:type="dxa"/>
                  <w:vMerge w:val="continue"/>
                  <w:tcBorders>
                    <w:left w:val="single" w:color="auto" w:sz="4" w:space="0"/>
                    <w:bottom w:val="single" w:color="auto" w:sz="4" w:space="0"/>
                    <w:right w:val="single" w:color="auto" w:sz="4" w:space="0"/>
                  </w:tcBorders>
                  <w:noWrap w:val="0"/>
                  <w:vAlign w:val="center"/>
                </w:tcPr>
                <w:p w14:paraId="2CA68682">
                  <w:pPr>
                    <w:adjustRightInd w:val="0"/>
                    <w:snapToGrid w:val="0"/>
                    <w:jc w:val="center"/>
                    <w:rPr>
                      <w:color w:val="auto"/>
                      <w:szCs w:val="21"/>
                      <w:lang w:bidi="ar"/>
                    </w:rPr>
                  </w:pPr>
                </w:p>
              </w:tc>
              <w:tc>
                <w:tcPr>
                  <w:tcW w:w="954" w:type="dxa"/>
                  <w:tcBorders>
                    <w:top w:val="single" w:color="auto" w:sz="4" w:space="0"/>
                    <w:left w:val="single" w:color="auto" w:sz="4" w:space="0"/>
                    <w:bottom w:val="single" w:color="auto" w:sz="4" w:space="0"/>
                    <w:right w:val="single" w:color="auto" w:sz="4" w:space="0"/>
                  </w:tcBorders>
                  <w:noWrap w:val="0"/>
                  <w:vAlign w:val="center"/>
                </w:tcPr>
                <w:p w14:paraId="073424C4">
                  <w:pPr>
                    <w:adjustRightInd w:val="0"/>
                    <w:snapToGrid w:val="0"/>
                    <w:jc w:val="center"/>
                    <w:rPr>
                      <w:b/>
                      <w:bCs/>
                      <w:color w:val="auto"/>
                      <w:szCs w:val="21"/>
                      <w:lang w:bidi="ar"/>
                    </w:rPr>
                  </w:pPr>
                  <w:r>
                    <w:rPr>
                      <w:b/>
                      <w:bCs/>
                      <w:color w:val="auto"/>
                      <w:szCs w:val="21"/>
                      <w:lang w:bidi="ar"/>
                    </w:rPr>
                    <w:t>昼间</w:t>
                  </w:r>
                </w:p>
              </w:tc>
              <w:tc>
                <w:tcPr>
                  <w:tcW w:w="931" w:type="dxa"/>
                  <w:tcBorders>
                    <w:top w:val="single" w:color="auto" w:sz="4" w:space="0"/>
                    <w:left w:val="single" w:color="auto" w:sz="4" w:space="0"/>
                    <w:bottom w:val="single" w:color="auto" w:sz="4" w:space="0"/>
                    <w:right w:val="single" w:color="auto" w:sz="4" w:space="0"/>
                  </w:tcBorders>
                  <w:noWrap w:val="0"/>
                  <w:vAlign w:val="center"/>
                </w:tcPr>
                <w:p w14:paraId="185E8A09">
                  <w:pPr>
                    <w:adjustRightInd w:val="0"/>
                    <w:snapToGrid w:val="0"/>
                    <w:jc w:val="center"/>
                    <w:rPr>
                      <w:b/>
                      <w:bCs/>
                      <w:color w:val="auto"/>
                      <w:szCs w:val="21"/>
                      <w:lang w:bidi="ar"/>
                    </w:rPr>
                  </w:pPr>
                  <w:r>
                    <w:rPr>
                      <w:b/>
                      <w:bCs/>
                      <w:color w:val="auto"/>
                      <w:szCs w:val="21"/>
                      <w:lang w:bidi="ar"/>
                    </w:rPr>
                    <w:t>夜间</w:t>
                  </w:r>
                </w:p>
              </w:tc>
              <w:tc>
                <w:tcPr>
                  <w:tcW w:w="865" w:type="dxa"/>
                  <w:tcBorders>
                    <w:top w:val="single" w:color="auto" w:sz="4" w:space="0"/>
                    <w:left w:val="single" w:color="auto" w:sz="4" w:space="0"/>
                    <w:bottom w:val="single" w:color="auto" w:sz="4" w:space="0"/>
                    <w:right w:val="single" w:color="auto" w:sz="4" w:space="0"/>
                  </w:tcBorders>
                  <w:noWrap w:val="0"/>
                  <w:vAlign w:val="center"/>
                </w:tcPr>
                <w:p w14:paraId="26102EEE">
                  <w:pPr>
                    <w:adjustRightInd w:val="0"/>
                    <w:snapToGrid w:val="0"/>
                    <w:jc w:val="center"/>
                    <w:rPr>
                      <w:b/>
                      <w:bCs/>
                      <w:color w:val="auto"/>
                      <w:szCs w:val="21"/>
                      <w:lang w:bidi="ar"/>
                    </w:rPr>
                  </w:pPr>
                  <w:r>
                    <w:rPr>
                      <w:b/>
                      <w:bCs/>
                      <w:color w:val="auto"/>
                      <w:szCs w:val="21"/>
                      <w:lang w:bidi="ar"/>
                    </w:rPr>
                    <w:t>昼间</w:t>
                  </w:r>
                </w:p>
              </w:tc>
              <w:tc>
                <w:tcPr>
                  <w:tcW w:w="909" w:type="dxa"/>
                  <w:tcBorders>
                    <w:top w:val="single" w:color="auto" w:sz="4" w:space="0"/>
                    <w:left w:val="single" w:color="auto" w:sz="4" w:space="0"/>
                    <w:bottom w:val="single" w:color="auto" w:sz="4" w:space="0"/>
                    <w:right w:val="single" w:color="auto" w:sz="4" w:space="0"/>
                  </w:tcBorders>
                  <w:noWrap w:val="0"/>
                  <w:vAlign w:val="center"/>
                </w:tcPr>
                <w:p w14:paraId="6A8A769D">
                  <w:pPr>
                    <w:adjustRightInd w:val="0"/>
                    <w:snapToGrid w:val="0"/>
                    <w:jc w:val="center"/>
                    <w:rPr>
                      <w:b/>
                      <w:bCs/>
                      <w:color w:val="auto"/>
                      <w:szCs w:val="21"/>
                      <w:lang w:bidi="ar"/>
                    </w:rPr>
                  </w:pPr>
                  <w:r>
                    <w:rPr>
                      <w:b/>
                      <w:bCs/>
                      <w:color w:val="auto"/>
                      <w:szCs w:val="21"/>
                      <w:lang w:bidi="ar"/>
                    </w:rPr>
                    <w:t>夜间</w:t>
                  </w:r>
                </w:p>
              </w:tc>
              <w:tc>
                <w:tcPr>
                  <w:tcW w:w="799" w:type="dxa"/>
                  <w:tcBorders>
                    <w:top w:val="single" w:color="auto" w:sz="4" w:space="0"/>
                    <w:left w:val="single" w:color="auto" w:sz="4" w:space="0"/>
                    <w:bottom w:val="single" w:color="auto" w:sz="4" w:space="0"/>
                    <w:right w:val="single" w:color="auto" w:sz="4" w:space="0"/>
                  </w:tcBorders>
                  <w:noWrap w:val="0"/>
                  <w:vAlign w:val="center"/>
                </w:tcPr>
                <w:p w14:paraId="4F39573F">
                  <w:pPr>
                    <w:adjustRightInd w:val="0"/>
                    <w:snapToGrid w:val="0"/>
                    <w:jc w:val="center"/>
                    <w:rPr>
                      <w:b/>
                      <w:bCs/>
                      <w:color w:val="auto"/>
                      <w:szCs w:val="21"/>
                      <w:lang w:bidi="ar"/>
                    </w:rPr>
                  </w:pPr>
                  <w:r>
                    <w:rPr>
                      <w:b/>
                      <w:bCs/>
                      <w:color w:val="auto"/>
                      <w:szCs w:val="21"/>
                      <w:lang w:bidi="ar"/>
                    </w:rPr>
                    <w:t>昼间</w:t>
                  </w:r>
                </w:p>
              </w:tc>
              <w:tc>
                <w:tcPr>
                  <w:tcW w:w="905" w:type="dxa"/>
                  <w:tcBorders>
                    <w:top w:val="single" w:color="auto" w:sz="4" w:space="0"/>
                    <w:left w:val="single" w:color="auto" w:sz="4" w:space="0"/>
                    <w:bottom w:val="single" w:color="auto" w:sz="4" w:space="0"/>
                    <w:right w:val="single" w:color="auto" w:sz="4" w:space="0"/>
                  </w:tcBorders>
                  <w:noWrap w:val="0"/>
                  <w:vAlign w:val="center"/>
                </w:tcPr>
                <w:p w14:paraId="404DAC71">
                  <w:pPr>
                    <w:adjustRightInd w:val="0"/>
                    <w:snapToGrid w:val="0"/>
                    <w:jc w:val="center"/>
                    <w:rPr>
                      <w:b/>
                      <w:bCs/>
                      <w:color w:val="auto"/>
                      <w:szCs w:val="21"/>
                      <w:lang w:bidi="ar"/>
                    </w:rPr>
                  </w:pPr>
                  <w:r>
                    <w:rPr>
                      <w:b/>
                      <w:bCs/>
                      <w:color w:val="auto"/>
                      <w:szCs w:val="21"/>
                      <w:lang w:bidi="ar"/>
                    </w:rPr>
                    <w:t>夜间</w:t>
                  </w:r>
                </w:p>
              </w:tc>
              <w:tc>
                <w:tcPr>
                  <w:tcW w:w="755" w:type="dxa"/>
                  <w:vMerge w:val="continue"/>
                  <w:tcBorders>
                    <w:left w:val="single" w:color="auto" w:sz="4" w:space="0"/>
                    <w:bottom w:val="single" w:color="auto" w:sz="4" w:space="0"/>
                    <w:right w:val="single" w:color="auto" w:sz="4" w:space="0"/>
                  </w:tcBorders>
                  <w:noWrap w:val="0"/>
                  <w:vAlign w:val="center"/>
                </w:tcPr>
                <w:p w14:paraId="1664EF71">
                  <w:pPr>
                    <w:adjustRightInd w:val="0"/>
                    <w:snapToGrid w:val="0"/>
                    <w:jc w:val="center"/>
                    <w:rPr>
                      <w:color w:val="auto"/>
                      <w:szCs w:val="21"/>
                      <w:lang w:bidi="ar"/>
                    </w:rPr>
                  </w:pPr>
                </w:p>
              </w:tc>
            </w:tr>
            <w:tr w14:paraId="412B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39" w:type="dxa"/>
                  <w:tcBorders>
                    <w:top w:val="single" w:color="auto" w:sz="4" w:space="0"/>
                    <w:left w:val="single" w:color="auto" w:sz="4" w:space="0"/>
                    <w:bottom w:val="single" w:color="auto" w:sz="4" w:space="0"/>
                    <w:right w:val="single" w:color="auto" w:sz="4" w:space="0"/>
                  </w:tcBorders>
                  <w:noWrap w:val="0"/>
                  <w:vAlign w:val="center"/>
                </w:tcPr>
                <w:p w14:paraId="778177C1">
                  <w:pPr>
                    <w:adjustRightInd w:val="0"/>
                    <w:snapToGrid w:val="0"/>
                    <w:jc w:val="center"/>
                    <w:rPr>
                      <w:rFonts w:hint="default" w:eastAsia="宋体"/>
                      <w:color w:val="auto"/>
                      <w:szCs w:val="21"/>
                      <w:lang w:val="en-US" w:eastAsia="zh-CN" w:bidi="ar"/>
                    </w:rPr>
                  </w:pPr>
                  <w:r>
                    <w:rPr>
                      <w:rFonts w:hint="eastAsia"/>
                      <w:color w:val="auto"/>
                      <w:szCs w:val="21"/>
                      <w:lang w:val="en-US" w:eastAsia="zh-CN" w:bidi="ar"/>
                    </w:rPr>
                    <w:t>新发村</w:t>
                  </w:r>
                </w:p>
              </w:tc>
              <w:tc>
                <w:tcPr>
                  <w:tcW w:w="954" w:type="dxa"/>
                  <w:tcBorders>
                    <w:top w:val="single" w:color="auto" w:sz="4" w:space="0"/>
                    <w:left w:val="single" w:color="auto" w:sz="4" w:space="0"/>
                    <w:bottom w:val="single" w:color="auto" w:sz="4" w:space="0"/>
                    <w:right w:val="single" w:color="auto" w:sz="4" w:space="0"/>
                  </w:tcBorders>
                  <w:noWrap w:val="0"/>
                  <w:vAlign w:val="center"/>
                </w:tcPr>
                <w:p w14:paraId="4B0A4469">
                  <w:pPr>
                    <w:adjustRightInd w:val="0"/>
                    <w:snapToGrid w:val="0"/>
                    <w:jc w:val="center"/>
                    <w:rPr>
                      <w:rFonts w:hint="default"/>
                      <w:color w:val="auto"/>
                      <w:szCs w:val="21"/>
                      <w:lang w:val="en-US" w:eastAsia="zh-CN" w:bidi="ar"/>
                    </w:rPr>
                  </w:pPr>
                  <w:r>
                    <w:rPr>
                      <w:rFonts w:hint="eastAsia"/>
                      <w:color w:val="auto"/>
                      <w:szCs w:val="21"/>
                      <w:lang w:val="en-US" w:eastAsia="zh-CN" w:bidi="ar"/>
                    </w:rPr>
                    <w:t>52</w:t>
                  </w:r>
                </w:p>
              </w:tc>
              <w:tc>
                <w:tcPr>
                  <w:tcW w:w="931" w:type="dxa"/>
                  <w:tcBorders>
                    <w:top w:val="single" w:color="auto" w:sz="4" w:space="0"/>
                    <w:left w:val="single" w:color="auto" w:sz="4" w:space="0"/>
                    <w:bottom w:val="single" w:color="auto" w:sz="4" w:space="0"/>
                    <w:right w:val="single" w:color="auto" w:sz="4" w:space="0"/>
                  </w:tcBorders>
                  <w:noWrap w:val="0"/>
                  <w:vAlign w:val="center"/>
                </w:tcPr>
                <w:p w14:paraId="0A803D4D">
                  <w:pPr>
                    <w:adjustRightInd w:val="0"/>
                    <w:snapToGrid w:val="0"/>
                    <w:jc w:val="center"/>
                    <w:rPr>
                      <w:rFonts w:hint="default"/>
                      <w:color w:val="auto"/>
                      <w:szCs w:val="21"/>
                      <w:lang w:val="en-US" w:eastAsia="zh-CN" w:bidi="ar"/>
                    </w:rPr>
                  </w:pPr>
                  <w:r>
                    <w:rPr>
                      <w:rFonts w:hint="eastAsia"/>
                      <w:color w:val="auto"/>
                      <w:szCs w:val="21"/>
                      <w:lang w:val="en-US" w:eastAsia="zh-CN" w:bidi="ar"/>
                    </w:rPr>
                    <w:t>44</w:t>
                  </w:r>
                </w:p>
              </w:tc>
              <w:tc>
                <w:tcPr>
                  <w:tcW w:w="865" w:type="dxa"/>
                  <w:tcBorders>
                    <w:top w:val="single" w:color="auto" w:sz="4" w:space="0"/>
                    <w:left w:val="single" w:color="auto" w:sz="4" w:space="0"/>
                    <w:bottom w:val="single" w:color="auto" w:sz="4" w:space="0"/>
                    <w:right w:val="single" w:color="auto" w:sz="4" w:space="0"/>
                  </w:tcBorders>
                  <w:noWrap w:val="0"/>
                  <w:vAlign w:val="center"/>
                </w:tcPr>
                <w:p w14:paraId="23B870E3">
                  <w:pPr>
                    <w:adjustRightInd w:val="0"/>
                    <w:snapToGrid w:val="0"/>
                    <w:jc w:val="center"/>
                    <w:rPr>
                      <w:rFonts w:hint="default"/>
                      <w:color w:val="auto"/>
                      <w:szCs w:val="21"/>
                      <w:lang w:val="en-US" w:eastAsia="zh-CN" w:bidi="ar"/>
                    </w:rPr>
                  </w:pPr>
                  <w:r>
                    <w:rPr>
                      <w:rFonts w:hint="eastAsia"/>
                      <w:color w:val="auto"/>
                      <w:szCs w:val="21"/>
                      <w:lang w:val="en-US" w:eastAsia="zh-CN" w:bidi="ar"/>
                    </w:rPr>
                    <w:t>51</w:t>
                  </w:r>
                </w:p>
              </w:tc>
              <w:tc>
                <w:tcPr>
                  <w:tcW w:w="909" w:type="dxa"/>
                  <w:tcBorders>
                    <w:top w:val="single" w:color="auto" w:sz="4" w:space="0"/>
                    <w:left w:val="single" w:color="auto" w:sz="4" w:space="0"/>
                    <w:bottom w:val="single" w:color="auto" w:sz="4" w:space="0"/>
                    <w:right w:val="single" w:color="auto" w:sz="4" w:space="0"/>
                  </w:tcBorders>
                  <w:noWrap w:val="0"/>
                  <w:vAlign w:val="center"/>
                </w:tcPr>
                <w:p w14:paraId="00BA9EAE">
                  <w:pPr>
                    <w:adjustRightInd w:val="0"/>
                    <w:snapToGrid w:val="0"/>
                    <w:jc w:val="center"/>
                    <w:rPr>
                      <w:rFonts w:hint="default"/>
                      <w:color w:val="auto"/>
                      <w:szCs w:val="21"/>
                      <w:lang w:val="en-US" w:eastAsia="zh-CN" w:bidi="ar"/>
                    </w:rPr>
                  </w:pPr>
                  <w:r>
                    <w:rPr>
                      <w:rFonts w:hint="eastAsia"/>
                      <w:color w:val="auto"/>
                      <w:szCs w:val="21"/>
                      <w:lang w:val="en-US" w:eastAsia="zh-CN" w:bidi="ar"/>
                    </w:rPr>
                    <w:t>44</w:t>
                  </w:r>
                </w:p>
              </w:tc>
              <w:tc>
                <w:tcPr>
                  <w:tcW w:w="799" w:type="dxa"/>
                  <w:tcBorders>
                    <w:top w:val="single" w:color="auto" w:sz="4" w:space="0"/>
                    <w:left w:val="single" w:color="auto" w:sz="4" w:space="0"/>
                    <w:bottom w:val="single" w:color="auto" w:sz="4" w:space="0"/>
                    <w:right w:val="single" w:color="auto" w:sz="4" w:space="0"/>
                  </w:tcBorders>
                  <w:noWrap w:val="0"/>
                  <w:vAlign w:val="center"/>
                </w:tcPr>
                <w:p w14:paraId="4BC2BBDD">
                  <w:pPr>
                    <w:adjustRightInd w:val="0"/>
                    <w:snapToGrid w:val="0"/>
                    <w:jc w:val="center"/>
                    <w:rPr>
                      <w:rFonts w:hint="eastAsia"/>
                      <w:color w:val="auto"/>
                      <w:szCs w:val="21"/>
                      <w:lang w:val="en-US" w:eastAsia="zh-CN" w:bidi="ar"/>
                    </w:rPr>
                  </w:pPr>
                  <w:r>
                    <w:rPr>
                      <w:rFonts w:hint="eastAsia"/>
                      <w:color w:val="auto"/>
                      <w:szCs w:val="21"/>
                      <w:lang w:val="en-US" w:eastAsia="zh-CN" w:bidi="ar"/>
                    </w:rPr>
                    <w:t>60</w:t>
                  </w:r>
                </w:p>
              </w:tc>
              <w:tc>
                <w:tcPr>
                  <w:tcW w:w="905" w:type="dxa"/>
                  <w:tcBorders>
                    <w:top w:val="single" w:color="auto" w:sz="4" w:space="0"/>
                    <w:left w:val="single" w:color="auto" w:sz="4" w:space="0"/>
                    <w:bottom w:val="single" w:color="auto" w:sz="4" w:space="0"/>
                    <w:right w:val="single" w:color="auto" w:sz="4" w:space="0"/>
                  </w:tcBorders>
                  <w:noWrap w:val="0"/>
                  <w:vAlign w:val="center"/>
                </w:tcPr>
                <w:p w14:paraId="277FA610">
                  <w:pPr>
                    <w:adjustRightInd w:val="0"/>
                    <w:snapToGrid w:val="0"/>
                    <w:jc w:val="center"/>
                    <w:rPr>
                      <w:rFonts w:hint="eastAsia"/>
                      <w:color w:val="auto"/>
                      <w:szCs w:val="21"/>
                      <w:lang w:bidi="ar"/>
                    </w:rPr>
                  </w:pPr>
                  <w:r>
                    <w:rPr>
                      <w:rFonts w:hint="eastAsia"/>
                      <w:color w:val="auto"/>
                      <w:szCs w:val="21"/>
                      <w:lang w:bidi="ar"/>
                    </w:rPr>
                    <w:t>5</w:t>
                  </w:r>
                  <w:r>
                    <w:rPr>
                      <w:rFonts w:hint="eastAsia"/>
                      <w:color w:val="auto"/>
                      <w:szCs w:val="21"/>
                      <w:lang w:val="en-US" w:eastAsia="zh-CN" w:bidi="ar"/>
                    </w:rPr>
                    <w:t>0</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7893D7BB">
                  <w:pPr>
                    <w:adjustRightInd w:val="0"/>
                    <w:snapToGrid w:val="0"/>
                    <w:jc w:val="center"/>
                    <w:rPr>
                      <w:color w:val="auto"/>
                      <w:szCs w:val="21"/>
                      <w:lang w:bidi="ar"/>
                    </w:rPr>
                  </w:pPr>
                  <w:r>
                    <w:rPr>
                      <w:color w:val="auto"/>
                      <w:szCs w:val="21"/>
                      <w:lang w:bidi="ar"/>
                    </w:rPr>
                    <w:t>达标</w:t>
                  </w:r>
                </w:p>
              </w:tc>
            </w:tr>
          </w:tbl>
          <w:p w14:paraId="3407B43B">
            <w:pPr>
              <w:pStyle w:val="113"/>
              <w:adjustRightInd w:val="0"/>
              <w:snapToGrid w:val="0"/>
              <w:spacing w:line="360" w:lineRule="auto"/>
              <w:rPr>
                <w:rFonts w:hint="eastAsia" w:ascii="Times New Roman" w:hAnsi="Times New Roman"/>
                <w:color w:val="auto"/>
                <w:kern w:val="2"/>
              </w:rPr>
            </w:pPr>
            <w:r>
              <w:rPr>
                <w:rFonts w:ascii="Times New Roman" w:hAnsi="Times New Roman"/>
                <w:color w:val="auto"/>
                <w:kern w:val="2"/>
              </w:rPr>
              <w:t>由上表可知，本项目</w:t>
            </w:r>
            <w:r>
              <w:rPr>
                <w:rFonts w:hint="eastAsia" w:ascii="Times New Roman" w:hAnsi="Times New Roman"/>
                <w:color w:val="auto"/>
              </w:rPr>
              <w:t>厂界外周边50米范围内存在的声环境保护目标</w:t>
            </w:r>
            <w:r>
              <w:rPr>
                <w:rFonts w:ascii="Times New Roman" w:hAnsi="Times New Roman"/>
                <w:color w:val="auto"/>
                <w:kern w:val="2"/>
              </w:rPr>
              <w:t>声环境现状良好，项目所在区域声环境现状符合《声环境质量标准》（GB3096-2008）中</w:t>
            </w:r>
            <w:r>
              <w:rPr>
                <w:rFonts w:hint="eastAsia" w:ascii="Times New Roman" w:hAnsi="Times New Roman"/>
                <w:color w:val="auto"/>
                <w:kern w:val="2"/>
                <w:lang w:val="en-US" w:eastAsia="zh-CN"/>
              </w:rPr>
              <w:t>2</w:t>
            </w:r>
            <w:r>
              <w:rPr>
                <w:rFonts w:ascii="Times New Roman" w:hAnsi="Times New Roman"/>
                <w:color w:val="auto"/>
                <w:kern w:val="2"/>
              </w:rPr>
              <w:t>类(即昼间≤6</w:t>
            </w:r>
            <w:r>
              <w:rPr>
                <w:rFonts w:hint="eastAsia" w:ascii="Times New Roman" w:hAnsi="Times New Roman"/>
                <w:color w:val="auto"/>
                <w:kern w:val="2"/>
                <w:lang w:val="en-US" w:eastAsia="zh-CN"/>
              </w:rPr>
              <w:t>0</w:t>
            </w:r>
            <w:r>
              <w:rPr>
                <w:rFonts w:ascii="Times New Roman" w:hAnsi="Times New Roman"/>
                <w:color w:val="auto"/>
                <w:kern w:val="2"/>
              </w:rPr>
              <w:t>dB（A）、夜间≤5</w:t>
            </w:r>
            <w:r>
              <w:rPr>
                <w:rFonts w:hint="eastAsia" w:ascii="Times New Roman" w:hAnsi="Times New Roman"/>
                <w:color w:val="auto"/>
                <w:kern w:val="2"/>
                <w:lang w:val="en-US" w:eastAsia="zh-CN"/>
              </w:rPr>
              <w:t>0</w:t>
            </w:r>
            <w:r>
              <w:rPr>
                <w:rFonts w:ascii="Times New Roman" w:hAnsi="Times New Roman"/>
                <w:color w:val="auto"/>
                <w:kern w:val="2"/>
              </w:rPr>
              <w:t>dB（A）)标准要求</w:t>
            </w:r>
            <w:r>
              <w:rPr>
                <w:rFonts w:hint="eastAsia" w:ascii="Times New Roman" w:hAnsi="Times New Roman"/>
                <w:color w:val="auto"/>
                <w:kern w:val="2"/>
              </w:rPr>
              <w:t>。</w:t>
            </w:r>
          </w:p>
          <w:p w14:paraId="027CAD40">
            <w:pPr>
              <w:pStyle w:val="72"/>
              <w:keepNext w:val="0"/>
              <w:keepLines w:val="0"/>
              <w:pageBreakBefore w:val="0"/>
              <w:widowControl w:val="0"/>
              <w:kinsoku/>
              <w:wordWrap/>
              <w:overflowPunct/>
              <w:topLinePunct w:val="0"/>
              <w:bidi w:val="0"/>
              <w:adjustRightInd w:val="0"/>
              <w:snapToGrid w:val="0"/>
              <w:spacing w:line="356"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14:paraId="7088CAE9">
            <w:pPr>
              <w:keepNext w:val="0"/>
              <w:keepLines w:val="0"/>
              <w:pageBreakBefore w:val="0"/>
              <w:widowControl w:val="0"/>
              <w:kinsoku/>
              <w:wordWrap/>
              <w:overflowPunct/>
              <w:topLinePunct w:val="0"/>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w:t>
            </w:r>
            <w:r>
              <w:rPr>
                <w:rFonts w:hint="default" w:ascii="Times New Roman" w:hAnsi="Times New Roman" w:eastAsia="宋体" w:cs="Times New Roman"/>
                <w:b/>
                <w:bCs/>
                <w:color w:val="auto"/>
                <w:sz w:val="24"/>
                <w:highlight w:val="none"/>
                <w:lang w:val="en-US" w:eastAsia="zh-CN"/>
              </w:rPr>
              <w:t>地下水、土壤</w:t>
            </w:r>
            <w:r>
              <w:rPr>
                <w:rFonts w:hint="default" w:ascii="Times New Roman" w:hAnsi="Times New Roman" w:eastAsia="宋体" w:cs="Times New Roman"/>
                <w:b/>
                <w:bCs/>
                <w:color w:val="auto"/>
                <w:sz w:val="24"/>
                <w:highlight w:val="none"/>
              </w:rPr>
              <w:t>环境质量现状</w:t>
            </w:r>
          </w:p>
          <w:p w14:paraId="58EE4575">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本项目为</w:t>
            </w:r>
            <w:r>
              <w:rPr>
                <w:rFonts w:hint="eastAsia" w:cs="Times New Roman"/>
                <w:color w:val="auto"/>
                <w:sz w:val="24"/>
                <w:szCs w:val="24"/>
                <w:highlight w:val="none"/>
                <w:lang w:val="zh-CN"/>
              </w:rPr>
              <w:t>牛油、牛干巴</w:t>
            </w:r>
            <w:r>
              <w:rPr>
                <w:rFonts w:hint="default" w:ascii="Times New Roman" w:hAnsi="Times New Roman" w:eastAsia="宋体" w:cs="Times New Roman"/>
                <w:color w:val="auto"/>
                <w:sz w:val="24"/>
                <w:szCs w:val="24"/>
                <w:highlight w:val="none"/>
                <w:lang w:val="zh-CN"/>
              </w:rPr>
              <w:t>及</w:t>
            </w:r>
            <w:r>
              <w:rPr>
                <w:rFonts w:hint="eastAsia" w:cs="Times New Roman"/>
                <w:color w:val="auto"/>
                <w:sz w:val="24"/>
                <w:szCs w:val="24"/>
                <w:highlight w:val="none"/>
                <w:lang w:val="zh-CN"/>
              </w:rPr>
              <w:t>饲料油脂</w:t>
            </w:r>
            <w:r>
              <w:rPr>
                <w:rFonts w:hint="default" w:ascii="Times New Roman" w:hAnsi="Times New Roman" w:eastAsia="宋体" w:cs="Times New Roman"/>
                <w:color w:val="auto"/>
                <w:sz w:val="24"/>
                <w:szCs w:val="24"/>
                <w:highlight w:val="none"/>
                <w:lang w:val="zh-CN"/>
              </w:rPr>
              <w:t>加工项目</w:t>
            </w:r>
            <w:r>
              <w:rPr>
                <w:rFonts w:hint="default" w:ascii="Times New Roman" w:hAnsi="Times New Roman" w:eastAsia="宋体" w:cs="Times New Roman"/>
                <w:color w:val="auto"/>
                <w:sz w:val="24"/>
                <w:highlight w:val="none"/>
              </w:rPr>
              <w:t>，根据《建设项目环境影响报告表编制技术指南（污染影响类）》，原则上不开展环境质量现状调查</w:t>
            </w:r>
            <w:r>
              <w:rPr>
                <w:rFonts w:hint="default" w:ascii="Times New Roman" w:hAnsi="Times New Roman" w:eastAsia="宋体" w:cs="Times New Roman"/>
                <w:color w:val="auto"/>
                <w:sz w:val="24"/>
                <w:highlight w:val="none"/>
                <w:lang w:eastAsia="zh-CN"/>
              </w:rPr>
              <w:t>。</w:t>
            </w:r>
          </w:p>
          <w:p w14:paraId="552AE783">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5、生态环境质量现状</w:t>
            </w:r>
          </w:p>
          <w:p w14:paraId="08824EF2">
            <w:pPr>
              <w:keepNext w:val="0"/>
              <w:keepLines w:val="0"/>
              <w:pageBreakBefore w:val="0"/>
              <w:widowControl w:val="0"/>
              <w:kinsoku/>
              <w:wordWrap/>
              <w:overflowPunct/>
              <w:topLinePunct w:val="0"/>
              <w:autoSpaceDE/>
              <w:autoSpaceDN/>
              <w:bidi w:val="0"/>
              <w:adjustRightInd/>
              <w:snapToGrid w:val="0"/>
              <w:spacing w:line="356"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内无自然保护区、风景名胜区、森林公园、历史文化遗迹等需要特殊保护的生态敏感目标，无国家珍稀濒危保护物种、国家重点保护野生植物和云南省级重点野生保护动物，也没有特有种类存在</w:t>
            </w:r>
            <w:r>
              <w:rPr>
                <w:rFonts w:hint="default" w:ascii="Times New Roman" w:hAnsi="Times New Roman" w:eastAsia="宋体" w:cs="Times New Roman"/>
                <w:color w:val="auto"/>
                <w:sz w:val="24"/>
                <w:szCs w:val="24"/>
                <w:highlight w:val="none"/>
              </w:rPr>
              <w:t>。</w:t>
            </w:r>
          </w:p>
        </w:tc>
      </w:tr>
      <w:tr w14:paraId="6F8E1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14:paraId="4C53CED8">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14:paraId="165B827D">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14:paraId="143D836E">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86" w:type="dxa"/>
            <w:vAlign w:val="center"/>
          </w:tcPr>
          <w:p w14:paraId="584ADA1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14:paraId="73191C95">
            <w:pPr>
              <w:pStyle w:val="64"/>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5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根据现场踏勘，本项目周边500m范围内大气环境保护目标主要为羊街镇中心寄宿制完小</w:t>
            </w:r>
            <w:r>
              <w:rPr>
                <w:rFonts w:hint="eastAsia" w:cs="Times New Roman"/>
                <w:color w:val="auto"/>
                <w:sz w:val="24"/>
                <w:szCs w:val="24"/>
                <w:highlight w:val="none"/>
                <w:lang w:val="en-US" w:eastAsia="zh-CN"/>
              </w:rPr>
              <w:t>、新发村</w:t>
            </w:r>
            <w:r>
              <w:rPr>
                <w:rFonts w:hint="default" w:ascii="Times New Roman" w:hAnsi="Times New Roman" w:eastAsia="宋体" w:cs="Times New Roman"/>
                <w:color w:val="auto"/>
                <w:sz w:val="24"/>
                <w:szCs w:val="24"/>
                <w:highlight w:val="none"/>
                <w:lang w:val="en-US" w:eastAsia="zh-CN"/>
              </w:rPr>
              <w:t>，敏感点</w:t>
            </w:r>
            <w:r>
              <w:rPr>
                <w:rFonts w:hint="default" w:ascii="Times New Roman" w:hAnsi="Times New Roman" w:eastAsia="宋体" w:cs="Times New Roman"/>
                <w:color w:val="auto"/>
                <w:sz w:val="24"/>
                <w:szCs w:val="24"/>
                <w:highlight w:val="none"/>
                <w:lang w:val="zh-CN"/>
              </w:rPr>
              <w:t>环境</w:t>
            </w:r>
            <w:r>
              <w:rPr>
                <w:rFonts w:hint="default" w:ascii="Times New Roman" w:hAnsi="Times New Roman" w:eastAsia="宋体" w:cs="Times New Roman"/>
                <w:color w:val="auto"/>
              </w:rPr>
              <w:t>空气质量</w:t>
            </w:r>
            <w:r>
              <w:rPr>
                <w:rFonts w:hint="default" w:ascii="Times New Roman" w:hAnsi="Times New Roman" w:eastAsia="宋体" w:cs="Times New Roman"/>
                <w:color w:val="auto"/>
                <w:lang w:val="en-US" w:eastAsia="zh-CN"/>
              </w:rPr>
              <w:t>执行</w:t>
            </w:r>
            <w:r>
              <w:rPr>
                <w:rFonts w:hint="default" w:ascii="Times New Roman" w:hAnsi="Times New Roman" w:eastAsia="宋体" w:cs="Times New Roman"/>
                <w:color w:val="auto"/>
              </w:rPr>
              <w:t>《环境空气质量标准》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GB3095-2012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二类区要求。</w:t>
            </w:r>
          </w:p>
          <w:p w14:paraId="723013D9">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14:paraId="0B484D09">
            <w:pPr>
              <w:adjustRightInd w:val="0"/>
              <w:snapToGrid w:val="0"/>
              <w:spacing w:line="360" w:lineRule="auto"/>
              <w:ind w:firstLine="480" w:firstLineChars="200"/>
              <w:rPr>
                <w:rFonts w:hint="eastAsia" w:eastAsia="宋体"/>
                <w:color w:val="auto"/>
                <w:szCs w:val="24"/>
                <w:lang w:eastAsia="zh-CN"/>
              </w:rPr>
            </w:pPr>
            <w:r>
              <w:rPr>
                <w:color w:val="auto"/>
                <w:sz w:val="24"/>
                <w:szCs w:val="24"/>
              </w:rPr>
              <w:t>声环境保护目标为</w:t>
            </w:r>
            <w:r>
              <w:rPr>
                <w:rFonts w:hint="eastAsia"/>
                <w:color w:val="auto"/>
                <w:sz w:val="24"/>
                <w:szCs w:val="24"/>
              </w:rPr>
              <w:t>厂界外50m范围内的噪声敏感区</w:t>
            </w:r>
            <w:r>
              <w:rPr>
                <w:rFonts w:hint="eastAsia"/>
                <w:color w:val="auto"/>
                <w:sz w:val="24"/>
                <w:szCs w:val="24"/>
                <w:lang w:eastAsia="zh-CN"/>
              </w:rPr>
              <w:t>，</w:t>
            </w:r>
            <w:r>
              <w:rPr>
                <w:rFonts w:hint="eastAsia"/>
                <w:color w:val="auto"/>
                <w:sz w:val="24"/>
                <w:szCs w:val="24"/>
                <w:lang w:val="zh-CN"/>
              </w:rPr>
              <w:t>根据现场踏勘，</w:t>
            </w:r>
            <w:r>
              <w:rPr>
                <w:color w:val="auto"/>
                <w:sz w:val="24"/>
                <w:szCs w:val="24"/>
                <w:lang w:val="zh-CN"/>
              </w:rPr>
              <w:t>项目</w:t>
            </w:r>
            <w:r>
              <w:rPr>
                <w:rFonts w:hint="eastAsia"/>
                <w:color w:val="auto"/>
                <w:sz w:val="24"/>
                <w:szCs w:val="24"/>
                <w:lang w:val="zh-CN"/>
              </w:rPr>
              <w:t>周边</w:t>
            </w:r>
            <w:r>
              <w:rPr>
                <w:rFonts w:hint="eastAsia"/>
                <w:color w:val="auto"/>
                <w:sz w:val="24"/>
                <w:szCs w:val="24"/>
              </w:rPr>
              <w:t>50m范围内存在声环境敏感点，故设声环境保护目标</w:t>
            </w:r>
            <w:r>
              <w:rPr>
                <w:rFonts w:hint="eastAsia"/>
                <w:color w:val="auto"/>
                <w:sz w:val="24"/>
                <w:szCs w:val="24"/>
                <w:lang w:eastAsia="zh-CN"/>
              </w:rPr>
              <w:t>，参照</w:t>
            </w:r>
            <w:r>
              <w:rPr>
                <w:rFonts w:ascii="Times New Roman" w:hAnsi="Times New Roman"/>
                <w:color w:val="auto"/>
                <w:kern w:val="2"/>
                <w:sz w:val="24"/>
                <w:szCs w:val="24"/>
              </w:rPr>
              <w:t>《声环境质量标准》（GB3096-2008）中</w:t>
            </w:r>
            <w:r>
              <w:rPr>
                <w:rFonts w:hint="eastAsia" w:ascii="Times New Roman" w:hAnsi="Times New Roman"/>
                <w:color w:val="auto"/>
                <w:kern w:val="2"/>
                <w:sz w:val="24"/>
                <w:szCs w:val="24"/>
                <w:lang w:val="en-US" w:eastAsia="zh-CN"/>
              </w:rPr>
              <w:t>2</w:t>
            </w:r>
            <w:r>
              <w:rPr>
                <w:rFonts w:ascii="Times New Roman" w:hAnsi="Times New Roman"/>
                <w:color w:val="auto"/>
                <w:kern w:val="2"/>
                <w:sz w:val="24"/>
                <w:szCs w:val="24"/>
              </w:rPr>
              <w:t>类标准要求</w:t>
            </w:r>
            <w:r>
              <w:rPr>
                <w:rFonts w:hint="eastAsia" w:ascii="Times New Roman" w:hAnsi="Times New Roman"/>
                <w:color w:val="auto"/>
                <w:kern w:val="2"/>
                <w:sz w:val="24"/>
                <w:szCs w:val="24"/>
                <w:lang w:eastAsia="zh-CN"/>
              </w:rPr>
              <w:t>保护</w:t>
            </w:r>
            <w:r>
              <w:rPr>
                <w:rFonts w:hint="eastAsia" w:ascii="Times New Roman" w:hAnsi="Times New Roman"/>
                <w:color w:val="auto"/>
                <w:kern w:val="2"/>
                <w:sz w:val="24"/>
                <w:szCs w:val="24"/>
              </w:rPr>
              <w:t>。</w:t>
            </w:r>
          </w:p>
          <w:p w14:paraId="3036E14E">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14:paraId="74DC2BF7">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highlight w:val="none"/>
                <w:lang w:val="zh-CN"/>
              </w:rPr>
              <w:t>本项目距离最近的地表水体为</w:t>
            </w:r>
            <w:r>
              <w:rPr>
                <w:rFonts w:hint="eastAsia" w:ascii="Times New Roman" w:hAnsi="Times New Roman" w:eastAsia="宋体" w:cs="Times New Roman"/>
                <w:color w:val="auto"/>
                <w:kern w:val="0"/>
                <w:sz w:val="24"/>
                <w:lang w:eastAsia="zh-CN"/>
              </w:rPr>
              <w:t>南侧</w:t>
            </w:r>
            <w:r>
              <w:rPr>
                <w:rFonts w:hint="eastAsia" w:cs="Times New Roman"/>
                <w:color w:val="auto"/>
                <w:kern w:val="0"/>
                <w:sz w:val="24"/>
                <w:lang w:val="en-US" w:eastAsia="zh-CN"/>
              </w:rPr>
              <w:t>72</w:t>
            </w:r>
            <w:r>
              <w:rPr>
                <w:rFonts w:hint="eastAsia" w:ascii="Times New Roman" w:hAnsi="Times New Roman" w:eastAsia="宋体" w:cs="Times New Roman"/>
                <w:color w:val="auto"/>
                <w:kern w:val="0"/>
                <w:sz w:val="24"/>
                <w:lang w:val="en-US" w:eastAsia="zh-CN"/>
              </w:rPr>
              <w:t>m的苦叫河，苦叫河汇入</w:t>
            </w:r>
            <w:r>
              <w:rPr>
                <w:rFonts w:hint="eastAsia" w:cs="Times New Roman"/>
                <w:color w:val="auto"/>
                <w:kern w:val="0"/>
                <w:sz w:val="24"/>
                <w:lang w:val="en-US" w:eastAsia="zh-CN"/>
              </w:rPr>
              <w:t>西</w:t>
            </w:r>
            <w:r>
              <w:rPr>
                <w:rFonts w:hint="eastAsia" w:ascii="Times New Roman" w:hAnsi="Times New Roman" w:eastAsia="宋体" w:cs="Times New Roman"/>
                <w:color w:val="auto"/>
                <w:kern w:val="0"/>
                <w:sz w:val="24"/>
              </w:rPr>
              <w:t>侧2</w:t>
            </w:r>
            <w:r>
              <w:rPr>
                <w:rFonts w:hint="eastAsia" w:cs="Times New Roman"/>
                <w:color w:val="auto"/>
                <w:kern w:val="0"/>
                <w:sz w:val="24"/>
                <w:lang w:val="en-US" w:eastAsia="zh-CN"/>
              </w:rPr>
              <w:t>004</w:t>
            </w:r>
            <w:r>
              <w:rPr>
                <w:rFonts w:hint="eastAsia" w:ascii="Times New Roman" w:hAnsi="Times New Roman" w:eastAsia="宋体" w:cs="Times New Roman"/>
                <w:color w:val="auto"/>
                <w:kern w:val="0"/>
                <w:sz w:val="24"/>
              </w:rPr>
              <w:t>m的</w:t>
            </w:r>
            <w:r>
              <w:rPr>
                <w:rFonts w:ascii="Times New Roman" w:hAnsi="Times New Roman" w:eastAsia="宋体" w:cs="Times New Roman"/>
                <w:color w:val="auto"/>
                <w:kern w:val="0"/>
                <w:sz w:val="24"/>
              </w:rPr>
              <w:t>果马河（羊街河）</w:t>
            </w:r>
            <w:r>
              <w:rPr>
                <w:rFonts w:hint="default" w:ascii="Times New Roman" w:hAnsi="Times New Roman" w:eastAsia="宋体" w:cs="Times New Roman"/>
                <w:color w:val="auto"/>
                <w:kern w:val="0"/>
                <w:sz w:val="24"/>
                <w:lang w:eastAsia="zh-CN"/>
              </w:rPr>
              <w:t>，羊街</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果马</w:t>
            </w:r>
            <w:r>
              <w:rPr>
                <w:rFonts w:hint="default" w:ascii="Times New Roman" w:hAnsi="Times New Roman" w:eastAsia="宋体" w:cs="Times New Roman"/>
                <w:color w:val="auto"/>
                <w:kern w:val="0"/>
                <w:sz w:val="24"/>
              </w:rPr>
              <w:t>河）</w:t>
            </w:r>
            <w:r>
              <w:rPr>
                <w:rFonts w:hint="default" w:ascii="Times New Roman" w:hAnsi="Times New Roman" w:eastAsia="宋体" w:cs="Times New Roman"/>
                <w:color w:val="auto"/>
                <w:kern w:val="0"/>
                <w:sz w:val="24"/>
                <w:lang w:eastAsia="zh-CN"/>
              </w:rPr>
              <w:t>最终汇入牛栏江</w:t>
            </w:r>
            <w:r>
              <w:rPr>
                <w:rFonts w:hint="default" w:ascii="Times New Roman" w:hAnsi="Times New Roman" w:eastAsia="宋体" w:cs="Times New Roman"/>
                <w:color w:val="auto"/>
                <w:sz w:val="24"/>
                <w:highlight w:val="none"/>
              </w:rPr>
              <w:t>，属牛栏江支流。</w:t>
            </w:r>
            <w:r>
              <w:rPr>
                <w:rFonts w:hint="default" w:ascii="Times New Roman" w:hAnsi="Times New Roman" w:eastAsia="宋体" w:cs="Times New Roman"/>
                <w:color w:val="auto"/>
                <w:kern w:val="0"/>
                <w:sz w:val="24"/>
              </w:rPr>
              <w:t>果马河（羊街河）</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w:t>
            </w:r>
            <w:r>
              <w:rPr>
                <w:rFonts w:hint="default" w:ascii="Times New Roman" w:hAnsi="Times New Roman" w:eastAsia="宋体" w:cs="Times New Roman"/>
                <w:color w:val="auto"/>
                <w:kern w:val="0"/>
                <w:sz w:val="24"/>
                <w:highlight w:val="none"/>
                <w:lang w:val="zh-CN"/>
              </w:rPr>
              <w:t>。</w:t>
            </w:r>
          </w:p>
          <w:p w14:paraId="027F62C4">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14:paraId="2297325E">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14:paraId="4D35BAC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14:paraId="4EBE03D1">
            <w:pPr>
              <w:pStyle w:val="9"/>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云南寻甸产业园区羊街片区非烟轻工产业区内</w:t>
            </w:r>
            <w:r>
              <w:rPr>
                <w:rFonts w:hint="default" w:ascii="Times New Roman" w:hAnsi="Times New Roman" w:eastAsia="宋体" w:cs="Times New Roman"/>
                <w:color w:val="auto"/>
                <w:sz w:val="24"/>
                <w:szCs w:val="24"/>
                <w:highlight w:val="none"/>
                <w:lang w:val="en-US" w:eastAsia="zh-CN"/>
              </w:rPr>
              <w:t>，不涉及园区外用地，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14:paraId="40506A40">
            <w:pPr>
              <w:pStyle w:val="9"/>
              <w:keepNext w:val="0"/>
              <w:keepLines w:val="0"/>
              <w:pageBreakBefore w:val="0"/>
              <w:widowControl w:val="0"/>
              <w:kinsoku/>
              <w:wordWrap/>
              <w:overflowPunct/>
              <w:topLinePunct w:val="0"/>
              <w:autoSpaceDE/>
              <w:autoSpaceDN/>
              <w:bidi w:val="0"/>
              <w:adjustRightInd/>
              <w:snapToGrid/>
              <w:spacing w:line="356" w:lineRule="auto"/>
              <w:ind w:firstLine="480" w:firstLineChars="200"/>
              <w:jc w:val="lef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Cs/>
                <w:color w:val="auto"/>
                <w:sz w:val="24"/>
                <w:highlight w:val="none"/>
                <w:lang w:val="en-US" w:eastAsia="zh-CN"/>
              </w:rPr>
              <w:t>本项目主要保护目标详见下表，</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14:paraId="2362CD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7DFF4A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5F6278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0455B3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6E9C91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2CCBAB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756F3C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244DB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40A07B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p>
          <w:p w14:paraId="2BBDA1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eastAsia" w:cs="Times New Roman"/>
                <w:b/>
                <w:color w:val="auto"/>
                <w:szCs w:val="21"/>
                <w:highlight w:val="none"/>
                <w:lang w:val="en-US" w:eastAsia="zh-CN"/>
              </w:rPr>
              <w:t>7</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项目主要保护目标一览表</w:t>
            </w:r>
          </w:p>
          <w:tbl>
            <w:tblPr>
              <w:tblStyle w:val="26"/>
              <w:tblW w:w="852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33"/>
              <w:gridCol w:w="916"/>
              <w:gridCol w:w="902"/>
              <w:gridCol w:w="744"/>
              <w:gridCol w:w="955"/>
              <w:gridCol w:w="810"/>
              <w:gridCol w:w="890"/>
              <w:gridCol w:w="1739"/>
            </w:tblGrid>
            <w:tr w14:paraId="7BD293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14:paraId="2BEB8B52">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14:paraId="7892D8E6">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133" w:type="dxa"/>
                  <w:vMerge w:val="restart"/>
                  <w:tcBorders>
                    <w:tl2br w:val="nil"/>
                    <w:tr2bl w:val="nil"/>
                  </w:tcBorders>
                  <w:noWrap w:val="0"/>
                  <w:vAlign w:val="center"/>
                </w:tcPr>
                <w:p w14:paraId="5157B8F5">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818" w:type="dxa"/>
                  <w:gridSpan w:val="2"/>
                  <w:tcBorders>
                    <w:tl2br w:val="nil"/>
                    <w:tr2bl w:val="nil"/>
                  </w:tcBorders>
                  <w:noWrap w:val="0"/>
                  <w:vAlign w:val="center"/>
                </w:tcPr>
                <w:p w14:paraId="49B4EB0D">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44" w:type="dxa"/>
                  <w:vMerge w:val="restart"/>
                  <w:tcBorders>
                    <w:tl2br w:val="nil"/>
                    <w:tr2bl w:val="nil"/>
                  </w:tcBorders>
                  <w:noWrap w:val="0"/>
                  <w:vAlign w:val="center"/>
                </w:tcPr>
                <w:p w14:paraId="5E69FBD9">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55" w:type="dxa"/>
                  <w:vMerge w:val="restart"/>
                  <w:tcBorders>
                    <w:tl2br w:val="nil"/>
                    <w:tr2bl w:val="nil"/>
                  </w:tcBorders>
                  <w:noWrap w:val="0"/>
                  <w:vAlign w:val="center"/>
                </w:tcPr>
                <w:p w14:paraId="46AC79FA">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810" w:type="dxa"/>
                  <w:vMerge w:val="restart"/>
                  <w:tcBorders>
                    <w:tl2br w:val="nil"/>
                    <w:tr2bl w:val="nil"/>
                  </w:tcBorders>
                  <w:noWrap w:val="0"/>
                  <w:vAlign w:val="center"/>
                </w:tcPr>
                <w:p w14:paraId="6F52C4D5">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890" w:type="dxa"/>
                  <w:vMerge w:val="restart"/>
                  <w:tcBorders>
                    <w:tl2br w:val="nil"/>
                    <w:tr2bl w:val="nil"/>
                  </w:tcBorders>
                  <w:noWrap w:val="0"/>
                  <w:vAlign w:val="center"/>
                </w:tcPr>
                <w:p w14:paraId="05A8E5A4">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1739" w:type="dxa"/>
                  <w:vMerge w:val="restart"/>
                  <w:tcBorders>
                    <w:tl2br w:val="nil"/>
                    <w:tr2bl w:val="nil"/>
                  </w:tcBorders>
                  <w:noWrap w:val="0"/>
                  <w:vAlign w:val="center"/>
                </w:tcPr>
                <w:p w14:paraId="547F1F91">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14:paraId="5E5807E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14:paraId="4CA924E8">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vMerge w:val="continue"/>
                  <w:tcBorders>
                    <w:tl2br w:val="nil"/>
                    <w:tr2bl w:val="nil"/>
                  </w:tcBorders>
                  <w:noWrap w:val="0"/>
                  <w:vAlign w:val="center"/>
                </w:tcPr>
                <w:p w14:paraId="50EA59CC">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16" w:type="dxa"/>
                  <w:tcBorders>
                    <w:tl2br w:val="nil"/>
                    <w:tr2bl w:val="nil"/>
                  </w:tcBorders>
                  <w:noWrap w:val="0"/>
                  <w:vAlign w:val="center"/>
                </w:tcPr>
                <w:p w14:paraId="2CF6D777">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经度</w:t>
                  </w:r>
                </w:p>
              </w:tc>
              <w:tc>
                <w:tcPr>
                  <w:tcW w:w="902" w:type="dxa"/>
                  <w:tcBorders>
                    <w:tl2br w:val="nil"/>
                    <w:tr2bl w:val="nil"/>
                  </w:tcBorders>
                  <w:noWrap w:val="0"/>
                  <w:vAlign w:val="center"/>
                </w:tcPr>
                <w:p w14:paraId="51A9B676">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纬度</w:t>
                  </w:r>
                </w:p>
              </w:tc>
              <w:tc>
                <w:tcPr>
                  <w:tcW w:w="744" w:type="dxa"/>
                  <w:vMerge w:val="continue"/>
                  <w:tcBorders>
                    <w:tl2br w:val="nil"/>
                    <w:tr2bl w:val="nil"/>
                  </w:tcBorders>
                  <w:noWrap w:val="0"/>
                  <w:vAlign w:val="center"/>
                </w:tcPr>
                <w:p w14:paraId="6686E92C">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5" w:type="dxa"/>
                  <w:vMerge w:val="continue"/>
                  <w:tcBorders>
                    <w:tl2br w:val="nil"/>
                    <w:tr2bl w:val="nil"/>
                  </w:tcBorders>
                  <w:noWrap w:val="0"/>
                  <w:vAlign w:val="center"/>
                </w:tcPr>
                <w:p w14:paraId="7557ACC4">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10" w:type="dxa"/>
                  <w:vMerge w:val="continue"/>
                  <w:tcBorders>
                    <w:tl2br w:val="nil"/>
                    <w:tr2bl w:val="nil"/>
                  </w:tcBorders>
                  <w:noWrap w:val="0"/>
                  <w:vAlign w:val="center"/>
                </w:tcPr>
                <w:p w14:paraId="606EF92D">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890" w:type="dxa"/>
                  <w:vMerge w:val="continue"/>
                  <w:tcBorders>
                    <w:tl2br w:val="nil"/>
                    <w:tr2bl w:val="nil"/>
                  </w:tcBorders>
                  <w:noWrap w:val="0"/>
                  <w:vAlign w:val="center"/>
                </w:tcPr>
                <w:p w14:paraId="47828779">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39" w:type="dxa"/>
                  <w:vMerge w:val="continue"/>
                  <w:tcBorders>
                    <w:tl2br w:val="nil"/>
                    <w:tr2bl w:val="nil"/>
                  </w:tcBorders>
                  <w:noWrap w:val="0"/>
                  <w:vAlign w:val="center"/>
                </w:tcPr>
                <w:p w14:paraId="2FA25857">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14:paraId="3EC88D1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14:paraId="286405DF">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133" w:type="dxa"/>
                  <w:tcBorders>
                    <w:tl2br w:val="nil"/>
                    <w:tr2bl w:val="nil"/>
                  </w:tcBorders>
                  <w:noWrap w:val="0"/>
                  <w:vAlign w:val="center"/>
                </w:tcPr>
                <w:p w14:paraId="4051E71B">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新发村</w:t>
                  </w:r>
                </w:p>
              </w:tc>
              <w:tc>
                <w:tcPr>
                  <w:tcW w:w="916" w:type="dxa"/>
                  <w:tcBorders>
                    <w:tl2br w:val="nil"/>
                    <w:tr2bl w:val="nil"/>
                  </w:tcBorders>
                  <w:noWrap w:val="0"/>
                  <w:vAlign w:val="center"/>
                </w:tcPr>
                <w:p w14:paraId="08BC5120">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w:t>
                  </w:r>
                  <w:r>
                    <w:rPr>
                      <w:rFonts w:hint="eastAsia" w:cs="Times New Roman"/>
                      <w:color w:val="auto"/>
                      <w:sz w:val="21"/>
                      <w:szCs w:val="21"/>
                      <w:highlight w:val="none"/>
                      <w:lang w:val="en-US" w:eastAsia="zh-CN"/>
                    </w:rPr>
                    <w:t>56.866</w:t>
                  </w: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14:paraId="1428AB16">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w:t>
                  </w:r>
                  <w:r>
                    <w:rPr>
                      <w:rFonts w:hint="eastAsia" w:cs="Times New Roman"/>
                      <w:color w:val="auto"/>
                      <w:sz w:val="21"/>
                      <w:szCs w:val="21"/>
                      <w:highlight w:val="none"/>
                      <w:lang w:val="en-US" w:eastAsia="zh-CN"/>
                    </w:rPr>
                    <w:t>1.287</w:t>
                  </w:r>
                  <w:r>
                    <w:rPr>
                      <w:rFonts w:hint="default" w:ascii="Times New Roman" w:hAnsi="Times New Roman" w:eastAsia="宋体" w:cs="Times New Roman"/>
                      <w:color w:val="auto"/>
                      <w:sz w:val="21"/>
                      <w:szCs w:val="21"/>
                      <w:highlight w:val="none"/>
                      <w:lang w:val="en-US" w:eastAsia="zh-CN"/>
                    </w:rPr>
                    <w:t>″</w:t>
                  </w:r>
                </w:p>
              </w:tc>
              <w:tc>
                <w:tcPr>
                  <w:tcW w:w="744" w:type="dxa"/>
                  <w:tcBorders>
                    <w:tl2br w:val="nil"/>
                    <w:tr2bl w:val="nil"/>
                  </w:tcBorders>
                  <w:noWrap w:val="0"/>
                  <w:vAlign w:val="center"/>
                </w:tcPr>
                <w:p w14:paraId="464417E8">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居民</w:t>
                  </w:r>
                </w:p>
              </w:tc>
              <w:tc>
                <w:tcPr>
                  <w:tcW w:w="955" w:type="dxa"/>
                  <w:tcBorders>
                    <w:tl2br w:val="nil"/>
                    <w:tr2bl w:val="nil"/>
                  </w:tcBorders>
                  <w:noWrap w:val="0"/>
                  <w:vAlign w:val="center"/>
                </w:tcPr>
                <w:p w14:paraId="07FF6AB4">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eastAsia"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14:paraId="60CDAA5C">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w:t>
                  </w:r>
                </w:p>
              </w:tc>
              <w:tc>
                <w:tcPr>
                  <w:tcW w:w="890" w:type="dxa"/>
                  <w:tcBorders>
                    <w:tl2br w:val="nil"/>
                    <w:tr2bl w:val="nil"/>
                  </w:tcBorders>
                  <w:noWrap w:val="0"/>
                  <w:vAlign w:val="center"/>
                </w:tcPr>
                <w:p w14:paraId="15D02A3A">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0m</w:t>
                  </w:r>
                </w:p>
              </w:tc>
              <w:tc>
                <w:tcPr>
                  <w:tcW w:w="1739" w:type="dxa"/>
                  <w:vMerge w:val="restart"/>
                  <w:tcBorders>
                    <w:tl2br w:val="nil"/>
                    <w:tr2bl w:val="nil"/>
                  </w:tcBorders>
                  <w:noWrap w:val="0"/>
                  <w:vAlign w:val="center"/>
                </w:tcPr>
                <w:p w14:paraId="674BA934">
                  <w:pPr>
                    <w:pStyle w:val="25"/>
                    <w:keepNext w:val="0"/>
                    <w:keepLines w:val="0"/>
                    <w:pageBreakBefore w:val="0"/>
                    <w:kinsoku/>
                    <w:wordWrap w:val="0"/>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二类功能区，《环境空气质量标准》（GB3095-2012）及2018修改单二级标准</w:t>
                  </w:r>
                </w:p>
              </w:tc>
            </w:tr>
            <w:tr w14:paraId="41C58A1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14:paraId="78B2CBEA">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133" w:type="dxa"/>
                  <w:tcBorders>
                    <w:tl2br w:val="nil"/>
                    <w:tr2bl w:val="nil"/>
                  </w:tcBorders>
                  <w:noWrap w:val="0"/>
                  <w:vAlign w:val="center"/>
                </w:tcPr>
                <w:p w14:paraId="14D499F5">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羊街镇中心寄宿制完小</w:t>
                  </w:r>
                </w:p>
              </w:tc>
              <w:tc>
                <w:tcPr>
                  <w:tcW w:w="916" w:type="dxa"/>
                  <w:tcBorders>
                    <w:tl2br w:val="nil"/>
                    <w:tr2bl w:val="nil"/>
                  </w:tcBorders>
                  <w:noWrap w:val="0"/>
                  <w:vAlign w:val="center"/>
                </w:tcPr>
                <w:p w14:paraId="37C18A96">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103°07′38.858″</w:t>
                  </w:r>
                </w:p>
              </w:tc>
              <w:tc>
                <w:tcPr>
                  <w:tcW w:w="902" w:type="dxa"/>
                  <w:tcBorders>
                    <w:tl2br w:val="nil"/>
                    <w:tr2bl w:val="nil"/>
                  </w:tcBorders>
                  <w:noWrap w:val="0"/>
                  <w:vAlign w:val="center"/>
                </w:tcPr>
                <w:p w14:paraId="62D0ED4D">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25°26′21.070″</w:t>
                  </w:r>
                </w:p>
              </w:tc>
              <w:tc>
                <w:tcPr>
                  <w:tcW w:w="744" w:type="dxa"/>
                  <w:tcBorders>
                    <w:tl2br w:val="nil"/>
                    <w:tr2bl w:val="nil"/>
                  </w:tcBorders>
                  <w:noWrap w:val="0"/>
                  <w:vAlign w:val="center"/>
                </w:tcPr>
                <w:p w14:paraId="7247CD19">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学校</w:t>
                  </w:r>
                </w:p>
              </w:tc>
              <w:tc>
                <w:tcPr>
                  <w:tcW w:w="955" w:type="dxa"/>
                  <w:tcBorders>
                    <w:tl2br w:val="nil"/>
                    <w:tr2bl w:val="nil"/>
                  </w:tcBorders>
                  <w:noWrap w:val="0"/>
                  <w:vAlign w:val="center"/>
                </w:tcPr>
                <w:p w14:paraId="7D8FFF31">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14:paraId="4E11E667">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w:t>
                  </w:r>
                  <w:r>
                    <w:rPr>
                      <w:rFonts w:hint="eastAsia"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w:t>
                  </w:r>
                </w:p>
              </w:tc>
              <w:tc>
                <w:tcPr>
                  <w:tcW w:w="890" w:type="dxa"/>
                  <w:tcBorders>
                    <w:tl2br w:val="nil"/>
                    <w:tr2bl w:val="nil"/>
                  </w:tcBorders>
                  <w:noWrap w:val="0"/>
                  <w:vAlign w:val="center"/>
                </w:tcPr>
                <w:p w14:paraId="0045E5E5">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405</w:t>
                  </w:r>
                  <w:r>
                    <w:rPr>
                      <w:rFonts w:hint="default" w:ascii="Times New Roman" w:hAnsi="Times New Roman" w:eastAsia="宋体" w:cs="Times New Roman"/>
                      <w:color w:val="auto"/>
                      <w:sz w:val="21"/>
                      <w:szCs w:val="21"/>
                      <w:highlight w:val="none"/>
                      <w:lang w:val="en-US" w:eastAsia="zh-CN"/>
                    </w:rPr>
                    <w:t>m</w:t>
                  </w:r>
                </w:p>
              </w:tc>
              <w:tc>
                <w:tcPr>
                  <w:tcW w:w="1739" w:type="dxa"/>
                  <w:vMerge w:val="continue"/>
                  <w:tcBorders>
                    <w:tl2br w:val="nil"/>
                    <w:tr2bl w:val="nil"/>
                  </w:tcBorders>
                  <w:noWrap w:val="0"/>
                  <w:vAlign w:val="center"/>
                </w:tcPr>
                <w:p w14:paraId="252605D9">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14:paraId="4C6AE53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35" w:type="dxa"/>
                  <w:vMerge w:val="restart"/>
                  <w:tcBorders>
                    <w:tl2br w:val="nil"/>
                    <w:tr2bl w:val="nil"/>
                  </w:tcBorders>
                  <w:noWrap w:val="0"/>
                  <w:vAlign w:val="center"/>
                </w:tcPr>
                <w:p w14:paraId="32896C7A">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133" w:type="dxa"/>
                  <w:tcBorders>
                    <w:tl2br w:val="nil"/>
                    <w:tr2bl w:val="nil"/>
                  </w:tcBorders>
                  <w:noWrap w:val="0"/>
                  <w:vAlign w:val="center"/>
                </w:tcPr>
                <w:p w14:paraId="12FDE780">
                  <w:pPr>
                    <w:pStyle w:val="42"/>
                    <w:adjustRightInd/>
                    <w:spacing w:before="0"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bCs/>
                      <w:color w:val="auto"/>
                      <w:sz w:val="21"/>
                      <w:szCs w:val="21"/>
                      <w:lang w:eastAsia="zh-CN"/>
                    </w:rPr>
                    <w:t>苦叫河</w:t>
                  </w:r>
                </w:p>
              </w:tc>
              <w:tc>
                <w:tcPr>
                  <w:tcW w:w="916" w:type="dxa"/>
                  <w:tcBorders>
                    <w:tl2br w:val="nil"/>
                    <w:tr2bl w:val="nil"/>
                  </w:tcBorders>
                  <w:noWrap w:val="0"/>
                  <w:vAlign w:val="center"/>
                </w:tcPr>
                <w:p w14:paraId="012D0B26">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14:paraId="33319000">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44" w:type="dxa"/>
                  <w:tcBorders>
                    <w:tl2br w:val="nil"/>
                    <w:tr2bl w:val="nil"/>
                  </w:tcBorders>
                  <w:noWrap w:val="0"/>
                  <w:vAlign w:val="center"/>
                </w:tcPr>
                <w:p w14:paraId="4EEA238E">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55" w:type="dxa"/>
                  <w:tcBorders>
                    <w:tl2br w:val="nil"/>
                    <w:tr2bl w:val="nil"/>
                  </w:tcBorders>
                  <w:noWrap w:val="0"/>
                  <w:vAlign w:val="center"/>
                </w:tcPr>
                <w:p w14:paraId="6979F169">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810" w:type="dxa"/>
                  <w:tcBorders>
                    <w:tl2br w:val="nil"/>
                    <w:tr2bl w:val="nil"/>
                  </w:tcBorders>
                  <w:noWrap w:val="0"/>
                  <w:vAlign w:val="center"/>
                </w:tcPr>
                <w:p w14:paraId="6151A81E">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侧</w:t>
                  </w:r>
                </w:p>
              </w:tc>
              <w:tc>
                <w:tcPr>
                  <w:tcW w:w="890" w:type="dxa"/>
                  <w:tcBorders>
                    <w:tl2br w:val="nil"/>
                    <w:tr2bl w:val="nil"/>
                  </w:tcBorders>
                  <w:noWrap w:val="0"/>
                  <w:vAlign w:val="center"/>
                </w:tcPr>
                <w:p w14:paraId="66656684">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r>
                    <w:rPr>
                      <w:rFonts w:hint="default" w:ascii="Times New Roman" w:hAnsi="Times New Roman" w:eastAsia="宋体" w:cs="Times New Roman"/>
                      <w:color w:val="auto"/>
                      <w:sz w:val="21"/>
                      <w:szCs w:val="21"/>
                      <w:highlight w:val="none"/>
                      <w:lang w:val="en-US" w:eastAsia="zh-CN"/>
                    </w:rPr>
                    <w:t>m</w:t>
                  </w:r>
                </w:p>
              </w:tc>
              <w:tc>
                <w:tcPr>
                  <w:tcW w:w="1739" w:type="dxa"/>
                  <w:vMerge w:val="restart"/>
                  <w:tcBorders>
                    <w:tl2br w:val="nil"/>
                    <w:tr2bl w:val="nil"/>
                  </w:tcBorders>
                  <w:noWrap w:val="0"/>
                  <w:vAlign w:val="center"/>
                </w:tcPr>
                <w:p w14:paraId="4A2E038A">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r w14:paraId="2C83EF5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35" w:type="dxa"/>
                  <w:vMerge w:val="continue"/>
                  <w:tcBorders>
                    <w:tl2br w:val="nil"/>
                    <w:tr2bl w:val="nil"/>
                  </w:tcBorders>
                  <w:noWrap w:val="0"/>
                  <w:vAlign w:val="center"/>
                </w:tcPr>
                <w:p w14:paraId="1A078A4C">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color w:val="auto"/>
                    </w:rPr>
                  </w:pPr>
                </w:p>
              </w:tc>
              <w:tc>
                <w:tcPr>
                  <w:tcW w:w="1133" w:type="dxa"/>
                  <w:tcBorders>
                    <w:tl2br w:val="nil"/>
                    <w:tr2bl w:val="nil"/>
                  </w:tcBorders>
                  <w:noWrap w:val="0"/>
                  <w:vAlign w:val="center"/>
                </w:tcPr>
                <w:p w14:paraId="660774A5">
                  <w:pPr>
                    <w:pStyle w:val="42"/>
                    <w:adjustRightInd/>
                    <w:spacing w:before="0" w:beforeLines="0" w:afterLines="0" w:line="240" w:lineRule="auto"/>
                    <w:ind w:firstLine="0" w:firstLineChars="0"/>
                    <w:rPr>
                      <w:rFonts w:hint="default" w:ascii="Times New Roman" w:hAnsi="Times New Roman" w:eastAsia="宋体" w:cs="Times New Roman"/>
                      <w:color w:val="auto"/>
                      <w:sz w:val="21"/>
                      <w:szCs w:val="21"/>
                    </w:rPr>
                  </w:pPr>
                  <w:r>
                    <w:rPr>
                      <w:rFonts w:ascii="Times New Roman"/>
                      <w:color w:val="auto"/>
                      <w:sz w:val="21"/>
                      <w:szCs w:val="21"/>
                    </w:rPr>
                    <w:t>果马河（羊街河）</w:t>
                  </w:r>
                </w:p>
              </w:tc>
              <w:tc>
                <w:tcPr>
                  <w:tcW w:w="916" w:type="dxa"/>
                  <w:tcBorders>
                    <w:tl2br w:val="nil"/>
                    <w:tr2bl w:val="nil"/>
                  </w:tcBorders>
                  <w:noWrap w:val="0"/>
                  <w:vAlign w:val="center"/>
                </w:tcPr>
                <w:p w14:paraId="12A74DCF">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2" w:type="dxa"/>
                  <w:tcBorders>
                    <w:tl2br w:val="nil"/>
                    <w:tr2bl w:val="nil"/>
                  </w:tcBorders>
                  <w:noWrap w:val="0"/>
                  <w:vAlign w:val="center"/>
                </w:tcPr>
                <w:p w14:paraId="2E7B85D7">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44" w:type="dxa"/>
                  <w:tcBorders>
                    <w:tl2br w:val="nil"/>
                    <w:tr2bl w:val="nil"/>
                  </w:tcBorders>
                  <w:noWrap w:val="0"/>
                  <w:vAlign w:val="center"/>
                </w:tcPr>
                <w:p w14:paraId="71F4DA01">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55" w:type="dxa"/>
                  <w:tcBorders>
                    <w:tl2br w:val="nil"/>
                    <w:tr2bl w:val="nil"/>
                  </w:tcBorders>
                  <w:noWrap w:val="0"/>
                  <w:vAlign w:val="center"/>
                </w:tcPr>
                <w:p w14:paraId="05FB51B3">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10" w:type="dxa"/>
                  <w:tcBorders>
                    <w:tl2br w:val="nil"/>
                    <w:tr2bl w:val="nil"/>
                  </w:tcBorders>
                  <w:noWrap w:val="0"/>
                  <w:vAlign w:val="center"/>
                </w:tcPr>
                <w:p w14:paraId="61937F47">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西侧</w:t>
                  </w:r>
                </w:p>
              </w:tc>
              <w:tc>
                <w:tcPr>
                  <w:tcW w:w="890" w:type="dxa"/>
                  <w:tcBorders>
                    <w:tl2br w:val="nil"/>
                    <w:tr2bl w:val="nil"/>
                  </w:tcBorders>
                  <w:noWrap w:val="0"/>
                  <w:vAlign w:val="center"/>
                </w:tcPr>
                <w:p w14:paraId="6CE6A6E9">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2004m</w:t>
                  </w:r>
                </w:p>
              </w:tc>
              <w:tc>
                <w:tcPr>
                  <w:tcW w:w="1739" w:type="dxa"/>
                  <w:vMerge w:val="continue"/>
                  <w:tcBorders>
                    <w:tl2br w:val="nil"/>
                    <w:tr2bl w:val="nil"/>
                  </w:tcBorders>
                  <w:noWrap w:val="0"/>
                  <w:vAlign w:val="center"/>
                </w:tcPr>
                <w:p w14:paraId="1B599181">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r>
            <w:tr w14:paraId="5DF6AE4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35" w:type="dxa"/>
                  <w:tcBorders>
                    <w:tl2br w:val="nil"/>
                    <w:tr2bl w:val="nil"/>
                  </w:tcBorders>
                  <w:noWrap w:val="0"/>
                  <w:vAlign w:val="center"/>
                </w:tcPr>
                <w:p w14:paraId="7AA6A7A5">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eastAsia="宋体"/>
                      <w:color w:val="auto"/>
                      <w:lang w:eastAsia="zh-CN"/>
                    </w:rPr>
                  </w:pPr>
                  <w:r>
                    <w:rPr>
                      <w:rFonts w:hint="eastAsia"/>
                      <w:color w:val="auto"/>
                      <w:lang w:eastAsia="zh-CN"/>
                    </w:rPr>
                    <w:t>声环境</w:t>
                  </w:r>
                </w:p>
              </w:tc>
              <w:tc>
                <w:tcPr>
                  <w:tcW w:w="1133" w:type="dxa"/>
                  <w:tcBorders>
                    <w:tl2br w:val="nil"/>
                    <w:tr2bl w:val="nil"/>
                  </w:tcBorders>
                  <w:noWrap w:val="0"/>
                  <w:vAlign w:val="center"/>
                </w:tcPr>
                <w:p w14:paraId="23C436B6">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color w:val="auto"/>
                      <w:sz w:val="21"/>
                      <w:szCs w:val="21"/>
                    </w:rPr>
                  </w:pPr>
                  <w:r>
                    <w:rPr>
                      <w:rFonts w:hint="eastAsia" w:cs="Times New Roman"/>
                      <w:color w:val="auto"/>
                      <w:sz w:val="21"/>
                      <w:szCs w:val="21"/>
                      <w:highlight w:val="none"/>
                      <w:lang w:val="en-US" w:eastAsia="zh-CN"/>
                    </w:rPr>
                    <w:t>新发村</w:t>
                  </w:r>
                </w:p>
              </w:tc>
              <w:tc>
                <w:tcPr>
                  <w:tcW w:w="916" w:type="dxa"/>
                  <w:tcBorders>
                    <w:tl2br w:val="nil"/>
                    <w:tr2bl w:val="nil"/>
                  </w:tcBorders>
                  <w:noWrap w:val="0"/>
                  <w:vAlign w:val="center"/>
                </w:tcPr>
                <w:p w14:paraId="1CA1C3ED">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103°07′</w:t>
                  </w:r>
                  <w:r>
                    <w:rPr>
                      <w:rFonts w:hint="eastAsia" w:cs="Times New Roman"/>
                      <w:color w:val="auto"/>
                      <w:sz w:val="21"/>
                      <w:szCs w:val="21"/>
                      <w:highlight w:val="none"/>
                      <w:lang w:val="en-US" w:eastAsia="zh-CN"/>
                    </w:rPr>
                    <w:t>56.866</w:t>
                  </w: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14:paraId="22BDFAB6">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25°26′</w:t>
                  </w:r>
                  <w:r>
                    <w:rPr>
                      <w:rFonts w:hint="eastAsia" w:cs="Times New Roman"/>
                      <w:color w:val="auto"/>
                      <w:sz w:val="21"/>
                      <w:szCs w:val="21"/>
                      <w:highlight w:val="none"/>
                      <w:lang w:val="en-US" w:eastAsia="zh-CN"/>
                    </w:rPr>
                    <w:t>1.287</w:t>
                  </w:r>
                  <w:r>
                    <w:rPr>
                      <w:rFonts w:hint="default" w:ascii="Times New Roman" w:hAnsi="Times New Roman" w:eastAsia="宋体" w:cs="Times New Roman"/>
                      <w:color w:val="auto"/>
                      <w:sz w:val="21"/>
                      <w:szCs w:val="21"/>
                      <w:highlight w:val="none"/>
                      <w:lang w:val="en-US" w:eastAsia="zh-CN"/>
                    </w:rPr>
                    <w:t>″</w:t>
                  </w:r>
                </w:p>
              </w:tc>
              <w:tc>
                <w:tcPr>
                  <w:tcW w:w="744" w:type="dxa"/>
                  <w:tcBorders>
                    <w:tl2br w:val="nil"/>
                    <w:tr2bl w:val="nil"/>
                  </w:tcBorders>
                  <w:noWrap w:val="0"/>
                  <w:vAlign w:val="center"/>
                </w:tcPr>
                <w:p w14:paraId="1C4256C4">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居民</w:t>
                  </w:r>
                </w:p>
              </w:tc>
              <w:tc>
                <w:tcPr>
                  <w:tcW w:w="955" w:type="dxa"/>
                  <w:tcBorders>
                    <w:tl2br w:val="nil"/>
                    <w:tr2bl w:val="nil"/>
                  </w:tcBorders>
                  <w:noWrap w:val="0"/>
                  <w:vAlign w:val="center"/>
                </w:tcPr>
                <w:p w14:paraId="516A4810">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约</w:t>
                  </w:r>
                  <w:r>
                    <w:rPr>
                      <w:rFonts w:hint="eastAsia"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lang w:eastAsia="zh-CN"/>
                    </w:rPr>
                    <w:t>人</w:t>
                  </w:r>
                </w:p>
              </w:tc>
              <w:tc>
                <w:tcPr>
                  <w:tcW w:w="810" w:type="dxa"/>
                  <w:tcBorders>
                    <w:tl2br w:val="nil"/>
                    <w:tr2bl w:val="nil"/>
                  </w:tcBorders>
                  <w:noWrap w:val="0"/>
                  <w:vAlign w:val="center"/>
                </w:tcPr>
                <w:p w14:paraId="01999AEF">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eastAsia="zh-CN"/>
                    </w:rPr>
                  </w:pP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w:t>
                  </w:r>
                </w:p>
              </w:tc>
              <w:tc>
                <w:tcPr>
                  <w:tcW w:w="890" w:type="dxa"/>
                  <w:tcBorders>
                    <w:tl2br w:val="nil"/>
                    <w:tr2bl w:val="nil"/>
                  </w:tcBorders>
                  <w:noWrap w:val="0"/>
                  <w:vAlign w:val="center"/>
                </w:tcPr>
                <w:p w14:paraId="2889E11E">
                  <w:pPr>
                    <w:pStyle w:val="25"/>
                    <w:keepNext w:val="0"/>
                    <w:keepLines w:val="0"/>
                    <w:pageBreakBefore w:val="0"/>
                    <w:kinsoku/>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0m</w:t>
                  </w:r>
                </w:p>
              </w:tc>
              <w:tc>
                <w:tcPr>
                  <w:tcW w:w="1739" w:type="dxa"/>
                  <w:tcBorders>
                    <w:tl2br w:val="nil"/>
                    <w:tr2bl w:val="nil"/>
                  </w:tcBorders>
                  <w:noWrap w:val="0"/>
                  <w:vAlign w:val="center"/>
                </w:tcPr>
                <w:p w14:paraId="6CF55116">
                  <w:pPr>
                    <w:pStyle w:val="25"/>
                    <w:keepNext w:val="0"/>
                    <w:keepLines w:val="0"/>
                    <w:pageBreakBefore w:val="0"/>
                    <w:kinsoku/>
                    <w:wordWrap w:val="0"/>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ascii="Times New Roman" w:hAnsi="Times New Roman"/>
                      <w:color w:val="auto"/>
                      <w:kern w:val="2"/>
                      <w:sz w:val="21"/>
                      <w:szCs w:val="21"/>
                    </w:rPr>
                    <w:t>《声环境质量标准》（GB3096-2008）中</w:t>
                  </w:r>
                  <w:r>
                    <w:rPr>
                      <w:rFonts w:hint="eastAsia" w:ascii="Times New Roman" w:hAnsi="Times New Roman"/>
                      <w:color w:val="auto"/>
                      <w:kern w:val="2"/>
                      <w:sz w:val="21"/>
                      <w:szCs w:val="21"/>
                      <w:lang w:val="en-US" w:eastAsia="zh-CN"/>
                    </w:rPr>
                    <w:t>2</w:t>
                  </w:r>
                  <w:r>
                    <w:rPr>
                      <w:rFonts w:ascii="Times New Roman" w:hAnsi="Times New Roman"/>
                      <w:color w:val="auto"/>
                      <w:kern w:val="2"/>
                      <w:sz w:val="21"/>
                      <w:szCs w:val="21"/>
                    </w:rPr>
                    <w:t>类标准</w:t>
                  </w:r>
                </w:p>
              </w:tc>
            </w:tr>
          </w:tbl>
          <w:p w14:paraId="1900F18B">
            <w:pPr>
              <w:pStyle w:val="9"/>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p>
        </w:tc>
      </w:tr>
      <w:tr w14:paraId="5F83A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tcMar>
              <w:left w:w="28" w:type="dxa"/>
              <w:right w:w="28" w:type="dxa"/>
            </w:tcMar>
            <w:vAlign w:val="center"/>
          </w:tcPr>
          <w:p w14:paraId="056B905A">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14:paraId="01A9E208">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14:paraId="65E2F715">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14:paraId="0472EAF2">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14:paraId="08DBEA48">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86" w:type="dxa"/>
            <w:vAlign w:val="center"/>
          </w:tcPr>
          <w:p w14:paraId="082D5CA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14:paraId="002F77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14:paraId="50BFA999">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14:paraId="55651B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eastAsia" w:cs="Times New Roman"/>
                <w:b/>
                <w:bCs/>
                <w:color w:val="auto"/>
                <w:szCs w:val="21"/>
                <w:highlight w:val="none"/>
                <w:lang w:val="en-US" w:eastAsia="zh-CN"/>
              </w:rPr>
              <w:t>8</w:t>
            </w:r>
            <w:r>
              <w:rPr>
                <w:rFonts w:hint="default" w:ascii="Times New Roman" w:hAnsi="Times New Roman" w:eastAsia="宋体" w:cs="Times New Roman"/>
                <w:b/>
                <w:bCs/>
                <w:color w:val="auto"/>
                <w:szCs w:val="21"/>
                <w:highlight w:val="none"/>
              </w:rPr>
              <w:t xml:space="preserve">  无组织颗粒物排放标准</w:t>
            </w:r>
          </w:p>
          <w:tbl>
            <w:tblPr>
              <w:tblStyle w:val="26"/>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682"/>
              <w:gridCol w:w="3501"/>
            </w:tblGrid>
            <w:tr w14:paraId="4049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75" w:type="dxa"/>
                  <w:vMerge w:val="restart"/>
                  <w:noWrap w:val="0"/>
                  <w:vAlign w:val="center"/>
                </w:tcPr>
                <w:p w14:paraId="25C6DB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6183" w:type="dxa"/>
                  <w:gridSpan w:val="2"/>
                  <w:noWrap w:val="0"/>
                  <w:vAlign w:val="center"/>
                </w:tcPr>
                <w:p w14:paraId="2B44CF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14:paraId="6DE0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5" w:type="dxa"/>
                  <w:vMerge w:val="continue"/>
                  <w:noWrap w:val="0"/>
                  <w:vAlign w:val="center"/>
                </w:tcPr>
                <w:p w14:paraId="4E56C3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2682" w:type="dxa"/>
                  <w:noWrap w:val="0"/>
                  <w:vAlign w:val="center"/>
                </w:tcPr>
                <w:p w14:paraId="5A2583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3501" w:type="dxa"/>
                  <w:noWrap w:val="0"/>
                  <w:vAlign w:val="center"/>
                </w:tcPr>
                <w:p w14:paraId="45267E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14:paraId="11FA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5" w:type="dxa"/>
                  <w:noWrap w:val="0"/>
                  <w:vAlign w:val="center"/>
                </w:tcPr>
                <w:p w14:paraId="245F4C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2682" w:type="dxa"/>
                  <w:noWrap w:val="0"/>
                  <w:vAlign w:val="center"/>
                </w:tcPr>
                <w:p w14:paraId="702179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3501" w:type="dxa"/>
                  <w:noWrap w:val="0"/>
                  <w:vAlign w:val="center"/>
                </w:tcPr>
                <w:p w14:paraId="7DE164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14:paraId="6E26E8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14:paraId="3517FC13">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拟设置</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台</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t/h的生物质</w:t>
            </w:r>
            <w:r>
              <w:rPr>
                <w:rFonts w:hint="default" w:ascii="Times New Roman" w:hAnsi="Times New Roman" w:eastAsia="宋体" w:cs="Times New Roman"/>
                <w:color w:val="auto"/>
                <w:sz w:val="24"/>
                <w:highlight w:val="none"/>
                <w:shd w:val="clear" w:color="auto" w:fill="FFFFFF"/>
                <w:lang w:eastAsia="zh-CN"/>
              </w:rPr>
              <w:t>蒸汽</w:t>
            </w:r>
            <w:r>
              <w:rPr>
                <w:rFonts w:hint="default" w:ascii="Times New Roman" w:hAnsi="Times New Roman" w:eastAsia="宋体" w:cs="Times New Roman"/>
                <w:color w:val="auto"/>
                <w:sz w:val="24"/>
                <w:highlight w:val="none"/>
                <w:shd w:val="clear" w:color="auto" w:fill="FFFFFF"/>
              </w:rPr>
              <w:t>锅炉</w:t>
            </w:r>
            <w:r>
              <w:rPr>
                <w:rFonts w:hint="eastAsia" w:ascii="Times New Roman" w:hAnsi="Times New Roman" w:eastAsia="宋体" w:cs="Times New Roman"/>
                <w:color w:val="auto"/>
                <w:sz w:val="24"/>
                <w:highlight w:val="none"/>
                <w:shd w:val="clear" w:color="auto" w:fill="FFFFFF"/>
                <w:lang w:eastAsia="zh-CN"/>
              </w:rPr>
              <w:t>和</w:t>
            </w:r>
            <w:r>
              <w:rPr>
                <w:rFonts w:hint="eastAsia" w:ascii="Times New Roman" w:hAnsi="Times New Roman" w:eastAsia="宋体" w:cs="Times New Roman"/>
                <w:color w:val="auto"/>
                <w:sz w:val="24"/>
                <w:highlight w:val="none"/>
                <w:shd w:val="clear" w:color="auto" w:fill="FFFFFF"/>
                <w:lang w:val="en-US" w:eastAsia="zh-CN"/>
              </w:rPr>
              <w:t>2台</w:t>
            </w:r>
            <w:r>
              <w:rPr>
                <w:rFonts w:hint="eastAsia" w:cs="Times New Roman"/>
                <w:color w:val="auto"/>
                <w:sz w:val="24"/>
                <w:highlight w:val="none"/>
                <w:shd w:val="clear" w:color="auto" w:fill="FFFFFF"/>
                <w:lang w:val="en-US" w:eastAsia="zh-CN"/>
              </w:rPr>
              <w:t>3t/h</w:t>
            </w:r>
            <w:r>
              <w:rPr>
                <w:rFonts w:hint="eastAsia" w:ascii="Times New Roman" w:hAnsi="Times New Roman" w:eastAsia="宋体" w:cs="Times New Roman"/>
                <w:color w:val="auto"/>
                <w:sz w:val="24"/>
                <w:highlight w:val="none"/>
                <w:shd w:val="clear" w:color="auto" w:fill="FFFFFF"/>
                <w:lang w:val="en-US" w:eastAsia="zh-CN"/>
              </w:rPr>
              <w:t>燃</w:t>
            </w:r>
            <w:r>
              <w:rPr>
                <w:rFonts w:hint="eastAsia" w:ascii="Times New Roman" w:hAnsi="Times New Roman" w:eastAsia="宋体" w:cs="Times New Roman"/>
                <w:color w:val="auto"/>
                <w:sz w:val="24"/>
                <w:highlight w:val="none"/>
                <w:shd w:val="clear" w:color="auto" w:fill="FFFFFF"/>
                <w:lang w:eastAsia="zh-CN"/>
              </w:rPr>
              <w:t>生物质的</w:t>
            </w:r>
            <w:r>
              <w:rPr>
                <w:rFonts w:hint="eastAsia"/>
                <w:color w:val="auto"/>
                <w:sz w:val="24"/>
                <w:lang w:eastAsia="zh-CN"/>
              </w:rPr>
              <w:t>导热油炉</w:t>
            </w:r>
            <w:r>
              <w:rPr>
                <w:color w:val="auto"/>
                <w:sz w:val="24"/>
                <w:shd w:val="clear" w:color="auto" w:fill="FFFFFF"/>
              </w:rPr>
              <w:t>为生产过程提供热量</w:t>
            </w:r>
            <w:r>
              <w:rPr>
                <w:rFonts w:hint="eastAsia"/>
                <w:color w:val="auto"/>
                <w:sz w:val="24"/>
              </w:rPr>
              <w:t>；</w:t>
            </w:r>
            <w:r>
              <w:rPr>
                <w:rFonts w:hint="default" w:ascii="Times New Roman" w:hAnsi="Times New Roman" w:eastAsia="宋体" w:cs="Times New Roman"/>
                <w:color w:val="auto"/>
                <w:sz w:val="24"/>
                <w:shd w:val="clear" w:color="auto" w:fill="FFFFFF"/>
              </w:rPr>
              <w:t>为</w:t>
            </w:r>
            <w:r>
              <w:rPr>
                <w:rFonts w:hint="default" w:ascii="Times New Roman" w:hAnsi="Times New Roman" w:eastAsia="宋体" w:cs="Times New Roman"/>
                <w:color w:val="auto"/>
                <w:sz w:val="24"/>
                <w:shd w:val="clear" w:color="auto" w:fill="FFFFFF"/>
                <w:lang w:val="en-US" w:eastAsia="zh-CN"/>
              </w:rPr>
              <w:t>生产过程</w:t>
            </w:r>
            <w:r>
              <w:rPr>
                <w:rFonts w:hint="default" w:ascii="Times New Roman" w:hAnsi="Times New Roman" w:eastAsia="宋体" w:cs="Times New Roman"/>
                <w:color w:val="auto"/>
                <w:sz w:val="24"/>
                <w:shd w:val="clear" w:color="auto" w:fill="FFFFFF"/>
              </w:rPr>
              <w:t>提供热量</w:t>
            </w:r>
            <w:r>
              <w:rPr>
                <w:rFonts w:hint="default" w:ascii="Times New Roman" w:hAnsi="Times New Roman" w:eastAsia="宋体" w:cs="Times New Roman"/>
                <w:color w:val="auto"/>
                <w:sz w:val="24"/>
              </w:rPr>
              <w:t>，</w:t>
            </w:r>
            <w:r>
              <w:rPr>
                <w:rFonts w:hint="eastAsia" w:cs="Times New Roman"/>
                <w:color w:val="auto"/>
                <w:sz w:val="24"/>
                <w:lang w:eastAsia="zh-CN"/>
              </w:rPr>
              <w:t>燃料燃烧</w:t>
            </w:r>
            <w:r>
              <w:rPr>
                <w:rFonts w:hint="default" w:ascii="Times New Roman" w:hAnsi="Times New Roman" w:eastAsia="宋体" w:cs="Times New Roman"/>
                <w:color w:val="auto"/>
                <w:sz w:val="24"/>
              </w:rPr>
              <w:t>废气中所产生的污染物主要为烟尘、二氧化硫及氮氧化物。</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lang w:eastAsia="zh-CN"/>
              </w:rPr>
              <w:t>执行</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eastAsia"/>
                <w:color w:val="auto"/>
                <w:sz w:val="24"/>
              </w:rPr>
              <w:t>根据</w:t>
            </w:r>
            <w:r>
              <w:rPr>
                <w:color w:val="auto"/>
                <w:sz w:val="24"/>
              </w:rPr>
              <w:t>《锅炉大气污染物排放标准》（GB13271-2014）</w:t>
            </w:r>
            <w:r>
              <w:rPr>
                <w:rFonts w:hint="eastAsia"/>
                <w:color w:val="auto"/>
                <w:sz w:val="24"/>
              </w:rPr>
              <w:t>中4.5要求，燃油、燃气锅炉烟囱不低于8米，新建锅炉房的烟囱周围半径200m距离内有建筑物时，其烟囱应高出最高建筑物3m以上。本项目周围建筑最高约为20m，本项目设置排气筒高度为</w:t>
            </w:r>
            <w:r>
              <w:rPr>
                <w:rFonts w:hint="eastAsia"/>
                <w:color w:val="auto"/>
                <w:sz w:val="24"/>
                <w:lang w:val="en-US" w:eastAsia="zh-CN"/>
              </w:rPr>
              <w:t>35</w:t>
            </w:r>
            <w:r>
              <w:rPr>
                <w:rFonts w:hint="eastAsia"/>
                <w:color w:val="auto"/>
                <w:sz w:val="24"/>
              </w:rPr>
              <w:t>m，满足排气筒高度设置要求。</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燃煤</w:t>
            </w:r>
            <w:r>
              <w:rPr>
                <w:rFonts w:hint="default" w:ascii="Times New Roman" w:hAnsi="Times New Roman" w:eastAsia="宋体" w:cs="Times New Roman"/>
                <w:color w:val="auto"/>
                <w:sz w:val="24"/>
              </w:rPr>
              <w:t>锅炉废气排放标准见表</w:t>
            </w:r>
            <w:r>
              <w:rPr>
                <w:rFonts w:hint="default" w:ascii="Times New Roman" w:hAnsi="Times New Roman" w:eastAsia="宋体" w:cs="Times New Roman"/>
                <w:color w:val="auto"/>
                <w:sz w:val="24"/>
                <w:lang w:val="en-US" w:eastAsia="zh-CN"/>
              </w:rPr>
              <w:t>3-</w:t>
            </w:r>
            <w:r>
              <w:rPr>
                <w:rFonts w:hint="eastAsia" w:cs="Times New Roman"/>
                <w:color w:val="auto"/>
                <w:sz w:val="24"/>
                <w:lang w:val="en-US" w:eastAsia="zh-CN"/>
              </w:rPr>
              <w:t>9</w:t>
            </w:r>
            <w:r>
              <w:rPr>
                <w:rFonts w:hint="default" w:ascii="Times New Roman" w:hAnsi="Times New Roman" w:eastAsia="宋体" w:cs="Times New Roman"/>
                <w:color w:val="auto"/>
                <w:sz w:val="24"/>
              </w:rPr>
              <w:t>。</w:t>
            </w:r>
          </w:p>
          <w:p w14:paraId="0156BC5B">
            <w:pPr>
              <w:widowControl w:val="0"/>
              <w:jc w:val="center"/>
              <w:rPr>
                <w:rFonts w:hint="default" w:ascii="Times New Roman" w:hAnsi="Times New Roman" w:eastAsia="宋体" w:cs="Times New Roman"/>
                <w:b/>
                <w:bCs/>
                <w:color w:val="auto"/>
                <w:sz w:val="21"/>
                <w:szCs w:val="21"/>
              </w:rPr>
            </w:pPr>
          </w:p>
          <w:p w14:paraId="1E2188B2">
            <w:pPr>
              <w:widowControl w:val="0"/>
              <w:jc w:val="center"/>
              <w:rPr>
                <w:rFonts w:hint="default" w:ascii="Times New Roman" w:hAnsi="Times New Roman" w:eastAsia="宋体" w:cs="Times New Roman"/>
                <w:b/>
                <w:bCs/>
                <w:color w:val="auto"/>
                <w:sz w:val="21"/>
                <w:szCs w:val="21"/>
              </w:rPr>
            </w:pPr>
          </w:p>
          <w:p w14:paraId="78F645F4">
            <w:pPr>
              <w:widowControl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燃</w:t>
            </w:r>
            <w:r>
              <w:rPr>
                <w:rFonts w:hint="default" w:ascii="Times New Roman" w:hAnsi="Times New Roman" w:eastAsia="宋体" w:cs="Times New Roman"/>
                <w:b/>
                <w:bCs/>
                <w:color w:val="auto"/>
                <w:sz w:val="21"/>
                <w:szCs w:val="21"/>
                <w:lang w:val="en-US" w:eastAsia="zh-CN"/>
              </w:rPr>
              <w:t>煤</w:t>
            </w:r>
            <w:r>
              <w:rPr>
                <w:rFonts w:hint="default" w:ascii="Times New Roman" w:hAnsi="Times New Roman" w:eastAsia="宋体" w:cs="Times New Roman"/>
                <w:b/>
                <w:bCs/>
                <w:color w:val="auto"/>
                <w:sz w:val="21"/>
                <w:szCs w:val="21"/>
              </w:rPr>
              <w:t>锅炉大气污染物排放标准</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lang w:eastAsia="zh-CN"/>
              </w:rPr>
              <w:t>单位：mg/m</w:t>
            </w:r>
            <w:r>
              <w:rPr>
                <w:rFonts w:hint="default" w:ascii="Times New Roman" w:hAnsi="Times New Roman" w:eastAsia="宋体" w:cs="Times New Roman"/>
                <w:b/>
                <w:bCs/>
                <w:color w:val="auto"/>
                <w:spacing w:val="-6"/>
                <w:sz w:val="21"/>
                <w:szCs w:val="21"/>
                <w:highlight w:val="none"/>
                <w:vertAlign w:val="superscript"/>
                <w:lang w:eastAsia="zh-CN"/>
              </w:rPr>
              <w:t>3</w:t>
            </w:r>
          </w:p>
          <w:tbl>
            <w:tblPr>
              <w:tblStyle w:val="26"/>
              <w:tblW w:w="8525"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1990"/>
              <w:gridCol w:w="1370"/>
              <w:gridCol w:w="1621"/>
            </w:tblGrid>
            <w:tr w14:paraId="7EF4C03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restart"/>
                  <w:tcBorders>
                    <w:tl2br w:val="nil"/>
                    <w:tr2bl w:val="nil"/>
                  </w:tcBorders>
                  <w:noWrap w:val="0"/>
                  <w:vAlign w:val="center"/>
                </w:tcPr>
                <w:p w14:paraId="3E1D40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990" w:type="dxa"/>
                  <w:tcBorders>
                    <w:tl2br w:val="nil"/>
                    <w:tr2bl w:val="nil"/>
                  </w:tcBorders>
                  <w:noWrap w:val="0"/>
                  <w:vAlign w:val="center"/>
                </w:tcPr>
                <w:p w14:paraId="10D1769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w:t>
                  </w:r>
                </w:p>
              </w:tc>
              <w:tc>
                <w:tcPr>
                  <w:tcW w:w="1370" w:type="dxa"/>
                  <w:vMerge w:val="restart"/>
                  <w:tcBorders>
                    <w:tl2br w:val="nil"/>
                    <w:tr2bl w:val="nil"/>
                  </w:tcBorders>
                  <w:noWrap w:val="0"/>
                  <w:vAlign w:val="center"/>
                </w:tcPr>
                <w:p w14:paraId="4A0A2BB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w:t>
                  </w:r>
                </w:p>
                <w:p w14:paraId="0490FC4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监控位置</w:t>
                  </w:r>
                </w:p>
              </w:tc>
              <w:tc>
                <w:tcPr>
                  <w:tcW w:w="1621" w:type="dxa"/>
                  <w:vMerge w:val="restart"/>
                  <w:tcBorders>
                    <w:tl2br w:val="nil"/>
                    <w:tr2bl w:val="nil"/>
                  </w:tcBorders>
                  <w:noWrap w:val="0"/>
                  <w:vAlign w:val="center"/>
                </w:tcPr>
                <w:p w14:paraId="09B6C67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t/h</w:t>
                  </w:r>
                  <w:r>
                    <w:rPr>
                      <w:rFonts w:hint="default" w:ascii="Times New Roman" w:hAnsi="Times New Roman" w:eastAsia="宋体" w:cs="Times New Roman"/>
                      <w:b/>
                      <w:bCs/>
                      <w:color w:val="auto"/>
                      <w:sz w:val="21"/>
                      <w:szCs w:val="21"/>
                      <w:highlight w:val="none"/>
                    </w:rPr>
                    <w:t>烟囱最低允许高度</w:t>
                  </w:r>
                </w:p>
              </w:tc>
            </w:tr>
            <w:tr w14:paraId="1962C4B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vMerge w:val="continue"/>
                  <w:tcBorders>
                    <w:tl2br w:val="nil"/>
                    <w:tr2bl w:val="nil"/>
                  </w:tcBorders>
                  <w:noWrap w:val="0"/>
                  <w:vAlign w:val="center"/>
                </w:tcPr>
                <w:p w14:paraId="621FFD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1990" w:type="dxa"/>
                  <w:tcBorders>
                    <w:tl2br w:val="nil"/>
                    <w:tr2bl w:val="nil"/>
                  </w:tcBorders>
                  <w:noWrap w:val="0"/>
                  <w:vAlign w:val="center"/>
                </w:tcPr>
                <w:p w14:paraId="55098B6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w:t>
                  </w:r>
                  <w:r>
                    <w:rPr>
                      <w:rFonts w:hint="default" w:ascii="Times New Roman" w:hAnsi="Times New Roman" w:eastAsia="宋体" w:cs="Times New Roman"/>
                      <w:b/>
                      <w:bCs/>
                      <w:color w:val="auto"/>
                      <w:sz w:val="21"/>
                      <w:szCs w:val="21"/>
                      <w:highlight w:val="none"/>
                      <w:lang w:val="en-US" w:eastAsia="zh-CN"/>
                    </w:rPr>
                    <w:t>煤</w:t>
                  </w:r>
                  <w:r>
                    <w:rPr>
                      <w:rFonts w:hint="default" w:ascii="Times New Roman" w:hAnsi="Times New Roman" w:eastAsia="宋体" w:cs="Times New Roman"/>
                      <w:b/>
                      <w:bCs/>
                      <w:color w:val="auto"/>
                      <w:sz w:val="21"/>
                      <w:szCs w:val="21"/>
                      <w:highlight w:val="none"/>
                    </w:rPr>
                    <w:t>锅炉</w:t>
                  </w:r>
                </w:p>
              </w:tc>
              <w:tc>
                <w:tcPr>
                  <w:tcW w:w="1370" w:type="dxa"/>
                  <w:vMerge w:val="continue"/>
                  <w:tcBorders>
                    <w:tl2br w:val="nil"/>
                    <w:tr2bl w:val="nil"/>
                  </w:tcBorders>
                  <w:noWrap w:val="0"/>
                  <w:vAlign w:val="center"/>
                </w:tcPr>
                <w:p w14:paraId="25B7422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14:paraId="13E5E472">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6E01AEE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14:paraId="4583E83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990" w:type="dxa"/>
                  <w:tcBorders>
                    <w:tl2br w:val="nil"/>
                    <w:tr2bl w:val="nil"/>
                  </w:tcBorders>
                  <w:noWrap w:val="0"/>
                  <w:vAlign w:val="center"/>
                </w:tcPr>
                <w:p w14:paraId="4BAFD5A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370" w:type="dxa"/>
                  <w:vMerge w:val="restart"/>
                  <w:tcBorders>
                    <w:tl2br w:val="nil"/>
                    <w:tr2bl w:val="nil"/>
                  </w:tcBorders>
                  <w:noWrap w:val="0"/>
                  <w:vAlign w:val="center"/>
                </w:tcPr>
                <w:p w14:paraId="061447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烟囱或烟道</w:t>
                  </w:r>
                </w:p>
              </w:tc>
              <w:tc>
                <w:tcPr>
                  <w:tcW w:w="1621" w:type="dxa"/>
                  <w:vMerge w:val="restart"/>
                  <w:tcBorders>
                    <w:tl2br w:val="nil"/>
                    <w:tr2bl w:val="nil"/>
                  </w:tcBorders>
                  <w:noWrap w:val="0"/>
                  <w:vAlign w:val="center"/>
                </w:tcPr>
                <w:p w14:paraId="60262A6E">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m</w:t>
                  </w:r>
                </w:p>
              </w:tc>
            </w:tr>
            <w:tr w14:paraId="467072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14:paraId="3DF0EF3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p>
              </w:tc>
              <w:tc>
                <w:tcPr>
                  <w:tcW w:w="1990" w:type="dxa"/>
                  <w:tcBorders>
                    <w:tl2br w:val="nil"/>
                    <w:tr2bl w:val="nil"/>
                  </w:tcBorders>
                  <w:noWrap w:val="0"/>
                  <w:vAlign w:val="center"/>
                </w:tcPr>
                <w:p w14:paraId="7BE611B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14:paraId="476C330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14:paraId="4CE43D7F">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703BF0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14:paraId="63EF83B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p>
              </w:tc>
              <w:tc>
                <w:tcPr>
                  <w:tcW w:w="1990" w:type="dxa"/>
                  <w:tcBorders>
                    <w:tl2br w:val="nil"/>
                    <w:tr2bl w:val="nil"/>
                  </w:tcBorders>
                  <w:noWrap w:val="0"/>
                  <w:vAlign w:val="center"/>
                </w:tcPr>
                <w:p w14:paraId="51586FA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w:t>
                  </w:r>
                </w:p>
              </w:tc>
              <w:tc>
                <w:tcPr>
                  <w:tcW w:w="1370" w:type="dxa"/>
                  <w:vMerge w:val="continue"/>
                  <w:tcBorders>
                    <w:tl2br w:val="nil"/>
                    <w:tr2bl w:val="nil"/>
                  </w:tcBorders>
                  <w:noWrap w:val="0"/>
                  <w:vAlign w:val="center"/>
                </w:tcPr>
                <w:p w14:paraId="6FD5ED1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14:paraId="3F45FEA9">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107D3A4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14:paraId="7DF1992C">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Cs w:val="21"/>
                    </w:rPr>
                    <w:t>汞及其化合物</w:t>
                  </w:r>
                </w:p>
              </w:tc>
              <w:tc>
                <w:tcPr>
                  <w:tcW w:w="1990" w:type="dxa"/>
                  <w:tcBorders>
                    <w:tl2br w:val="nil"/>
                    <w:tr2bl w:val="nil"/>
                  </w:tcBorders>
                  <w:noWrap w:val="0"/>
                  <w:vAlign w:val="center"/>
                </w:tcPr>
                <w:p w14:paraId="40B9873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0.05</w:t>
                  </w:r>
                </w:p>
              </w:tc>
              <w:tc>
                <w:tcPr>
                  <w:tcW w:w="1370" w:type="dxa"/>
                  <w:vMerge w:val="continue"/>
                  <w:tcBorders>
                    <w:tl2br w:val="nil"/>
                    <w:tr2bl w:val="nil"/>
                  </w:tcBorders>
                  <w:noWrap w:val="0"/>
                  <w:vAlign w:val="center"/>
                </w:tcPr>
                <w:p w14:paraId="41C486A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21" w:type="dxa"/>
                  <w:vMerge w:val="continue"/>
                  <w:tcBorders>
                    <w:tl2br w:val="nil"/>
                    <w:tr2bl w:val="nil"/>
                  </w:tcBorders>
                  <w:noWrap w:val="0"/>
                  <w:vAlign w:val="center"/>
                </w:tcPr>
                <w:p w14:paraId="3EC0CA40">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r w14:paraId="1980F2B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44" w:type="dxa"/>
                  <w:tcBorders>
                    <w:tl2br w:val="nil"/>
                    <w:tr2bl w:val="nil"/>
                  </w:tcBorders>
                  <w:noWrap w:val="0"/>
                  <w:vAlign w:val="center"/>
                </w:tcPr>
                <w:p w14:paraId="29D611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烟气黑度（林格曼黑度，级）</w:t>
                  </w:r>
                </w:p>
              </w:tc>
              <w:tc>
                <w:tcPr>
                  <w:tcW w:w="1990" w:type="dxa"/>
                  <w:tcBorders>
                    <w:tl2br w:val="nil"/>
                    <w:tr2bl w:val="nil"/>
                  </w:tcBorders>
                  <w:noWrap w:val="0"/>
                  <w:vAlign w:val="center"/>
                </w:tcPr>
                <w:p w14:paraId="262DAA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70" w:type="dxa"/>
                  <w:tcBorders>
                    <w:tl2br w:val="nil"/>
                    <w:tr2bl w:val="nil"/>
                  </w:tcBorders>
                  <w:noWrap w:val="0"/>
                  <w:vAlign w:val="center"/>
                </w:tcPr>
                <w:p w14:paraId="7EFA40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烟囱排放口</w:t>
                  </w:r>
                </w:p>
              </w:tc>
              <w:tc>
                <w:tcPr>
                  <w:tcW w:w="1621" w:type="dxa"/>
                  <w:vMerge w:val="continue"/>
                  <w:tcBorders>
                    <w:tl2br w:val="nil"/>
                    <w:tr2bl w:val="nil"/>
                  </w:tcBorders>
                  <w:noWrap w:val="0"/>
                  <w:vAlign w:val="center"/>
                </w:tcPr>
                <w:p w14:paraId="1B0A4337">
                  <w:pPr>
                    <w:keepNext w:val="0"/>
                    <w:keepLines w:val="0"/>
                    <w:widowControl w:val="0"/>
                    <w:suppressLineNumbers w:val="0"/>
                    <w:adjustRightInd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14:paraId="2EA949F7">
            <w:pPr>
              <w:autoSpaceDE w:val="0"/>
              <w:autoSpaceDN w:val="0"/>
              <w:spacing w:line="360" w:lineRule="auto"/>
              <w:ind w:firstLine="480" w:firstLineChars="200"/>
              <w:rPr>
                <w:b/>
                <w:bCs/>
                <w:color w:val="auto"/>
                <w:szCs w:val="21"/>
              </w:rPr>
            </w:pPr>
            <w:r>
              <w:rPr>
                <w:rFonts w:hint="eastAsia"/>
                <w:color w:val="auto"/>
                <w:sz w:val="24"/>
              </w:rPr>
              <w:t>②</w:t>
            </w:r>
            <w:r>
              <w:rPr>
                <w:color w:val="auto"/>
                <w:kern w:val="0"/>
                <w:sz w:val="24"/>
              </w:rPr>
              <w:t>项目运营期</w:t>
            </w:r>
            <w:r>
              <w:rPr>
                <w:color w:val="auto"/>
                <w:sz w:val="24"/>
              </w:rPr>
              <w:t>产生的恶臭气体</w:t>
            </w:r>
            <w:r>
              <w:rPr>
                <w:color w:val="auto"/>
                <w:kern w:val="0"/>
                <w:sz w:val="24"/>
              </w:rPr>
              <w:t>污染物</w:t>
            </w:r>
            <w:r>
              <w:rPr>
                <w:color w:val="auto"/>
                <w:sz w:val="24"/>
              </w:rPr>
              <w:t>执行《</w:t>
            </w:r>
            <w:r>
              <w:rPr>
                <w:rFonts w:hint="eastAsia"/>
                <w:color w:val="auto"/>
                <w:sz w:val="24"/>
              </w:rPr>
              <w:t>恶臭污染物</w:t>
            </w:r>
            <w:r>
              <w:rPr>
                <w:color w:val="auto"/>
                <w:sz w:val="24"/>
              </w:rPr>
              <w:t>排放标准》（GB1</w:t>
            </w:r>
            <w:r>
              <w:rPr>
                <w:rFonts w:hint="eastAsia"/>
                <w:color w:val="auto"/>
                <w:sz w:val="24"/>
              </w:rPr>
              <w:t>4554</w:t>
            </w:r>
            <w:r>
              <w:rPr>
                <w:color w:val="auto"/>
                <w:sz w:val="24"/>
              </w:rPr>
              <w:t>-</w:t>
            </w:r>
            <w:r>
              <w:rPr>
                <w:rFonts w:hint="eastAsia"/>
                <w:color w:val="auto"/>
                <w:sz w:val="24"/>
              </w:rPr>
              <w:t>93</w:t>
            </w:r>
            <w:r>
              <w:rPr>
                <w:color w:val="auto"/>
                <w:sz w:val="24"/>
              </w:rPr>
              <w:t>）</w:t>
            </w:r>
            <w:r>
              <w:rPr>
                <w:color w:val="auto"/>
                <w:spacing w:val="-10"/>
                <w:sz w:val="24"/>
              </w:rPr>
              <w:t>表</w:t>
            </w:r>
            <w:r>
              <w:rPr>
                <w:rFonts w:hint="eastAsia"/>
                <w:color w:val="auto"/>
                <w:sz w:val="24"/>
              </w:rPr>
              <w:t>1恶臭污染物厂界标准值二级标准</w:t>
            </w:r>
            <w:r>
              <w:rPr>
                <w:color w:val="auto"/>
                <w:sz w:val="24"/>
              </w:rPr>
              <w:t>，标准值见表</w:t>
            </w:r>
            <w:r>
              <w:rPr>
                <w:rFonts w:hint="eastAsia"/>
                <w:color w:val="auto"/>
                <w:sz w:val="24"/>
              </w:rPr>
              <w:t>3</w:t>
            </w:r>
            <w:r>
              <w:rPr>
                <w:color w:val="auto"/>
                <w:sz w:val="24"/>
              </w:rPr>
              <w:t>-</w:t>
            </w:r>
            <w:r>
              <w:rPr>
                <w:rFonts w:hint="eastAsia"/>
                <w:color w:val="auto"/>
                <w:sz w:val="24"/>
                <w:lang w:val="en-US" w:eastAsia="zh-CN"/>
              </w:rPr>
              <w:t>10</w:t>
            </w:r>
            <w:r>
              <w:rPr>
                <w:bCs/>
                <w:color w:val="auto"/>
                <w:sz w:val="24"/>
              </w:rPr>
              <w:t>。</w:t>
            </w:r>
          </w:p>
          <w:p w14:paraId="764339F2">
            <w:pPr>
              <w:spacing w:line="360" w:lineRule="auto"/>
              <w:jc w:val="center"/>
              <w:rPr>
                <w:b/>
                <w:bCs/>
                <w:color w:val="auto"/>
                <w:szCs w:val="21"/>
              </w:rPr>
            </w:pPr>
            <w:r>
              <w:rPr>
                <w:b/>
                <w:bCs/>
                <w:color w:val="auto"/>
                <w:szCs w:val="21"/>
              </w:rPr>
              <w:t>表</w:t>
            </w:r>
            <w:r>
              <w:rPr>
                <w:rFonts w:hint="eastAsia"/>
                <w:b/>
                <w:bCs/>
                <w:color w:val="auto"/>
                <w:szCs w:val="21"/>
              </w:rPr>
              <w:t>3</w:t>
            </w:r>
            <w:r>
              <w:rPr>
                <w:b/>
                <w:bCs/>
                <w:color w:val="auto"/>
                <w:szCs w:val="21"/>
              </w:rPr>
              <w:t>-</w:t>
            </w:r>
            <w:r>
              <w:rPr>
                <w:rFonts w:hint="eastAsia"/>
                <w:b/>
                <w:bCs/>
                <w:color w:val="auto"/>
                <w:szCs w:val="21"/>
                <w:lang w:val="en-US" w:eastAsia="zh-CN"/>
              </w:rPr>
              <w:t xml:space="preserve">10  </w:t>
            </w:r>
            <w:r>
              <w:rPr>
                <w:rFonts w:hint="eastAsia"/>
                <w:b/>
                <w:bCs/>
                <w:color w:val="auto"/>
                <w:szCs w:val="21"/>
              </w:rPr>
              <w:t>恶臭污染物厂界标准值</w:t>
            </w:r>
          </w:p>
          <w:tbl>
            <w:tblPr>
              <w:tblStyle w:val="26"/>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3366"/>
              <w:gridCol w:w="2803"/>
            </w:tblGrid>
            <w:tr w14:paraId="5AF5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14:paraId="14E88A22">
                  <w:pPr>
                    <w:adjustRightInd w:val="0"/>
                    <w:snapToGrid w:val="0"/>
                    <w:jc w:val="center"/>
                    <w:rPr>
                      <w:b/>
                      <w:bCs/>
                      <w:color w:val="auto"/>
                      <w:szCs w:val="21"/>
                    </w:rPr>
                  </w:pPr>
                  <w:r>
                    <w:rPr>
                      <w:b/>
                      <w:bCs/>
                      <w:color w:val="auto"/>
                      <w:szCs w:val="21"/>
                    </w:rPr>
                    <w:t>控制项目</w:t>
                  </w:r>
                </w:p>
              </w:tc>
              <w:tc>
                <w:tcPr>
                  <w:tcW w:w="3366" w:type="dxa"/>
                  <w:vAlign w:val="center"/>
                </w:tcPr>
                <w:p w14:paraId="09D048E8">
                  <w:pPr>
                    <w:adjustRightInd w:val="0"/>
                    <w:snapToGrid w:val="0"/>
                    <w:jc w:val="center"/>
                    <w:rPr>
                      <w:b/>
                      <w:bCs/>
                      <w:color w:val="auto"/>
                      <w:szCs w:val="21"/>
                    </w:rPr>
                  </w:pPr>
                  <w:r>
                    <w:rPr>
                      <w:b/>
                      <w:bCs/>
                      <w:color w:val="auto"/>
                      <w:szCs w:val="21"/>
                    </w:rPr>
                    <w:t>单位</w:t>
                  </w:r>
                </w:p>
              </w:tc>
              <w:tc>
                <w:tcPr>
                  <w:tcW w:w="2803" w:type="dxa"/>
                  <w:vAlign w:val="center"/>
                </w:tcPr>
                <w:p w14:paraId="05C26AC7">
                  <w:pPr>
                    <w:adjustRightInd w:val="0"/>
                    <w:snapToGrid w:val="0"/>
                    <w:jc w:val="center"/>
                    <w:rPr>
                      <w:b/>
                      <w:bCs/>
                      <w:color w:val="auto"/>
                      <w:szCs w:val="21"/>
                    </w:rPr>
                  </w:pPr>
                  <w:r>
                    <w:rPr>
                      <w:b/>
                      <w:bCs/>
                      <w:color w:val="auto"/>
                      <w:szCs w:val="21"/>
                    </w:rPr>
                    <w:t>限值</w:t>
                  </w:r>
                </w:p>
              </w:tc>
            </w:tr>
            <w:tr w14:paraId="5110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14:paraId="45D351D9">
                  <w:pPr>
                    <w:adjustRightInd w:val="0"/>
                    <w:snapToGrid w:val="0"/>
                    <w:jc w:val="center"/>
                    <w:rPr>
                      <w:bCs/>
                      <w:color w:val="auto"/>
                      <w:szCs w:val="21"/>
                    </w:rPr>
                  </w:pPr>
                  <w:r>
                    <w:rPr>
                      <w:bCs/>
                      <w:color w:val="auto"/>
                      <w:szCs w:val="21"/>
                    </w:rPr>
                    <w:t>臭气浓度</w:t>
                  </w:r>
                </w:p>
              </w:tc>
              <w:tc>
                <w:tcPr>
                  <w:tcW w:w="3366" w:type="dxa"/>
                  <w:vAlign w:val="center"/>
                </w:tcPr>
                <w:p w14:paraId="509AEBE2">
                  <w:pPr>
                    <w:adjustRightInd w:val="0"/>
                    <w:snapToGrid w:val="0"/>
                    <w:jc w:val="center"/>
                    <w:rPr>
                      <w:bCs/>
                      <w:color w:val="auto"/>
                      <w:szCs w:val="21"/>
                    </w:rPr>
                  </w:pPr>
                  <w:r>
                    <w:rPr>
                      <w:bCs/>
                      <w:color w:val="auto"/>
                      <w:szCs w:val="21"/>
                    </w:rPr>
                    <w:t>无量纲</w:t>
                  </w:r>
                </w:p>
              </w:tc>
              <w:tc>
                <w:tcPr>
                  <w:tcW w:w="2803" w:type="dxa"/>
                  <w:vAlign w:val="center"/>
                </w:tcPr>
                <w:p w14:paraId="66B01513">
                  <w:pPr>
                    <w:adjustRightInd w:val="0"/>
                    <w:snapToGrid w:val="0"/>
                    <w:jc w:val="center"/>
                    <w:rPr>
                      <w:bCs/>
                      <w:color w:val="auto"/>
                      <w:szCs w:val="21"/>
                    </w:rPr>
                  </w:pPr>
                  <w:r>
                    <w:rPr>
                      <w:rFonts w:hint="eastAsia"/>
                      <w:bCs/>
                      <w:color w:val="auto"/>
                      <w:szCs w:val="21"/>
                    </w:rPr>
                    <w:t>20</w:t>
                  </w:r>
                </w:p>
              </w:tc>
            </w:tr>
            <w:tr w14:paraId="2FA8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14:paraId="403A4D04">
                  <w:pPr>
                    <w:adjustRightInd w:val="0"/>
                    <w:snapToGrid w:val="0"/>
                    <w:jc w:val="center"/>
                    <w:rPr>
                      <w:bCs/>
                      <w:color w:val="auto"/>
                      <w:szCs w:val="21"/>
                    </w:rPr>
                  </w:pPr>
                  <w:r>
                    <w:rPr>
                      <w:rFonts w:hint="eastAsia"/>
                      <w:bCs/>
                      <w:color w:val="auto"/>
                      <w:szCs w:val="21"/>
                    </w:rPr>
                    <w:t>硫化氢</w:t>
                  </w:r>
                </w:p>
              </w:tc>
              <w:tc>
                <w:tcPr>
                  <w:tcW w:w="3366" w:type="dxa"/>
                  <w:vAlign w:val="center"/>
                </w:tcPr>
                <w:p w14:paraId="382F9AAB">
                  <w:pPr>
                    <w:adjustRightInd w:val="0"/>
                    <w:snapToGrid w:val="0"/>
                    <w:jc w:val="center"/>
                    <w:rPr>
                      <w:bCs/>
                      <w:color w:val="auto"/>
                      <w:szCs w:val="21"/>
                    </w:rPr>
                  </w:pPr>
                  <w:r>
                    <w:rPr>
                      <w:color w:val="auto"/>
                      <w:szCs w:val="21"/>
                    </w:rPr>
                    <w:t>mg/m</w:t>
                  </w:r>
                  <w:r>
                    <w:rPr>
                      <w:color w:val="auto"/>
                      <w:szCs w:val="21"/>
                      <w:vertAlign w:val="superscript"/>
                    </w:rPr>
                    <w:t>3</w:t>
                  </w:r>
                </w:p>
              </w:tc>
              <w:tc>
                <w:tcPr>
                  <w:tcW w:w="2803" w:type="dxa"/>
                  <w:vAlign w:val="center"/>
                </w:tcPr>
                <w:p w14:paraId="4A327C91">
                  <w:pPr>
                    <w:adjustRightInd w:val="0"/>
                    <w:snapToGrid w:val="0"/>
                    <w:jc w:val="center"/>
                    <w:rPr>
                      <w:bCs/>
                      <w:color w:val="auto"/>
                      <w:szCs w:val="21"/>
                    </w:rPr>
                  </w:pPr>
                  <w:r>
                    <w:rPr>
                      <w:rFonts w:hint="eastAsia"/>
                      <w:bCs/>
                      <w:color w:val="auto"/>
                      <w:szCs w:val="21"/>
                    </w:rPr>
                    <w:t>0.06</w:t>
                  </w:r>
                </w:p>
              </w:tc>
            </w:tr>
            <w:tr w14:paraId="61BF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vAlign w:val="center"/>
                </w:tcPr>
                <w:p w14:paraId="24AFDBC5">
                  <w:pPr>
                    <w:adjustRightInd w:val="0"/>
                    <w:snapToGrid w:val="0"/>
                    <w:jc w:val="center"/>
                    <w:rPr>
                      <w:bCs/>
                      <w:color w:val="auto"/>
                      <w:szCs w:val="21"/>
                    </w:rPr>
                  </w:pPr>
                  <w:r>
                    <w:rPr>
                      <w:rFonts w:hint="eastAsia"/>
                      <w:bCs/>
                      <w:color w:val="auto"/>
                      <w:szCs w:val="21"/>
                    </w:rPr>
                    <w:t>氨</w:t>
                  </w:r>
                </w:p>
              </w:tc>
              <w:tc>
                <w:tcPr>
                  <w:tcW w:w="3366" w:type="dxa"/>
                  <w:vAlign w:val="center"/>
                </w:tcPr>
                <w:p w14:paraId="64C604EA">
                  <w:pPr>
                    <w:adjustRightInd w:val="0"/>
                    <w:snapToGrid w:val="0"/>
                    <w:jc w:val="center"/>
                    <w:rPr>
                      <w:bCs/>
                      <w:color w:val="auto"/>
                      <w:szCs w:val="21"/>
                    </w:rPr>
                  </w:pPr>
                  <w:r>
                    <w:rPr>
                      <w:color w:val="auto"/>
                      <w:szCs w:val="21"/>
                    </w:rPr>
                    <w:t>mg/m</w:t>
                  </w:r>
                  <w:r>
                    <w:rPr>
                      <w:color w:val="auto"/>
                      <w:szCs w:val="21"/>
                      <w:vertAlign w:val="superscript"/>
                    </w:rPr>
                    <w:t>3</w:t>
                  </w:r>
                </w:p>
              </w:tc>
              <w:tc>
                <w:tcPr>
                  <w:tcW w:w="2803" w:type="dxa"/>
                  <w:vAlign w:val="center"/>
                </w:tcPr>
                <w:p w14:paraId="0C5F131B">
                  <w:pPr>
                    <w:adjustRightInd w:val="0"/>
                    <w:snapToGrid w:val="0"/>
                    <w:jc w:val="center"/>
                    <w:rPr>
                      <w:bCs/>
                      <w:color w:val="auto"/>
                      <w:szCs w:val="21"/>
                    </w:rPr>
                  </w:pPr>
                  <w:r>
                    <w:rPr>
                      <w:rFonts w:hint="eastAsia"/>
                      <w:bCs/>
                      <w:color w:val="auto"/>
                      <w:szCs w:val="21"/>
                    </w:rPr>
                    <w:t>1.5</w:t>
                  </w:r>
                </w:p>
              </w:tc>
            </w:tr>
          </w:tbl>
          <w:p w14:paraId="36D6094C">
            <w:pPr>
              <w:adjustRightInd w:val="0"/>
              <w:snapToGrid w:val="0"/>
              <w:spacing w:line="360" w:lineRule="auto"/>
              <w:ind w:firstLine="480" w:firstLineChars="200"/>
              <w:jc w:val="left"/>
              <w:rPr>
                <w:color w:val="auto"/>
                <w:sz w:val="24"/>
              </w:rPr>
            </w:pPr>
            <w:r>
              <w:rPr>
                <w:rFonts w:hint="eastAsia" w:ascii="宋体" w:hAnsi="宋体" w:cs="宋体"/>
                <w:color w:val="auto"/>
                <w:sz w:val="24"/>
                <w:lang w:eastAsia="zh-CN"/>
              </w:rPr>
              <w:t>③</w:t>
            </w:r>
            <w:r>
              <w:rPr>
                <w:rFonts w:hint="eastAsia"/>
                <w:color w:val="auto"/>
                <w:sz w:val="24"/>
                <w:lang w:eastAsia="zh-CN"/>
              </w:rPr>
              <w:t>熔炼环节产生的废气以油烟和非甲烷总烃计，</w:t>
            </w:r>
            <w:r>
              <w:rPr>
                <w:rFonts w:hint="eastAsia"/>
                <w:color w:val="auto"/>
                <w:sz w:val="24"/>
              </w:rPr>
              <w:t>脱臭脱酸环节产生的挥发性物质以非甲烷总烃计，执行</w:t>
            </w:r>
            <w:r>
              <w:rPr>
                <w:color w:val="auto"/>
                <w:sz w:val="24"/>
              </w:rPr>
              <w:t>《大气污染物综合排放标准》（GB16297-1996）</w:t>
            </w:r>
            <w:r>
              <w:rPr>
                <w:rFonts w:hint="eastAsia"/>
                <w:color w:val="auto"/>
                <w:sz w:val="24"/>
              </w:rPr>
              <w:t>表2</w:t>
            </w:r>
            <w:r>
              <w:rPr>
                <w:color w:val="auto"/>
                <w:sz w:val="24"/>
              </w:rPr>
              <w:t>中</w:t>
            </w:r>
            <w:r>
              <w:rPr>
                <w:rFonts w:hint="eastAsia"/>
                <w:color w:val="auto"/>
                <w:sz w:val="24"/>
                <w:lang w:eastAsia="zh-CN"/>
              </w:rPr>
              <w:t>二级标准及</w:t>
            </w:r>
            <w:r>
              <w:rPr>
                <w:color w:val="auto"/>
                <w:sz w:val="24"/>
              </w:rPr>
              <w:t>无组织排放监控浓度限值</w:t>
            </w:r>
            <w:r>
              <w:rPr>
                <w:rFonts w:hint="eastAsia"/>
                <w:color w:val="auto"/>
                <w:sz w:val="24"/>
              </w:rPr>
              <w:t>，</w:t>
            </w:r>
            <w:r>
              <w:rPr>
                <w:rFonts w:hint="default" w:ascii="Times New Roman" w:hAnsi="Times New Roman" w:eastAsia="宋体" w:cs="Times New Roman"/>
                <w:color w:val="auto"/>
                <w:sz w:val="24"/>
              </w:rPr>
              <w:t>根据《大气污染物综合排放标准》（GB16297-1996）中“7.1排气筒高度除须遵守表列排放速率标准值外，还应高出周围200m半径范围的建筑5m以上，不能达到该要求的排气筒，应按其高度对应的表列排放速率标准值严格50%执行”的规定，结合项目所处区域实际情况，</w:t>
            </w:r>
            <w:r>
              <w:rPr>
                <w:rFonts w:hint="default" w:ascii="Times New Roman" w:hAnsi="Times New Roman" w:eastAsia="宋体" w:cs="Times New Roman"/>
                <w:color w:val="auto"/>
                <w:sz w:val="24"/>
                <w:lang w:val="zh-CN"/>
              </w:rPr>
              <w:t>项目未高出周围200m半径范围的建筑5m以上</w:t>
            </w:r>
            <w:r>
              <w:rPr>
                <w:rFonts w:hint="default" w:ascii="Times New Roman" w:hAnsi="Times New Roman" w:eastAsia="宋体" w:cs="Times New Roman"/>
                <w:color w:val="auto"/>
                <w:sz w:val="24"/>
              </w:rPr>
              <w:t>，故本项目污染物排放速率严格50%执行</w:t>
            </w:r>
            <w:r>
              <w:rPr>
                <w:rFonts w:hint="default" w:ascii="Times New Roman" w:hAnsi="Times New Roman" w:eastAsia="宋体" w:cs="Times New Roman"/>
                <w:color w:val="auto"/>
                <w:sz w:val="24"/>
                <w:lang w:val="zh-CN"/>
              </w:rPr>
              <w:t>，</w:t>
            </w:r>
            <w:r>
              <w:rPr>
                <w:rFonts w:hint="eastAsia"/>
                <w:color w:val="auto"/>
                <w:sz w:val="24"/>
              </w:rPr>
              <w:t>标准值详见表3-1</w:t>
            </w:r>
            <w:r>
              <w:rPr>
                <w:rFonts w:hint="eastAsia"/>
                <w:color w:val="auto"/>
                <w:sz w:val="24"/>
                <w:lang w:val="en-US" w:eastAsia="zh-CN"/>
              </w:rPr>
              <w:t>1</w:t>
            </w:r>
            <w:r>
              <w:rPr>
                <w:rFonts w:hint="eastAsia"/>
                <w:color w:val="auto"/>
                <w:sz w:val="24"/>
              </w:rPr>
              <w:t>。</w:t>
            </w:r>
          </w:p>
          <w:p w14:paraId="5AC07099">
            <w:pPr>
              <w:adjustRightInd w:val="0"/>
              <w:snapToGrid w:val="0"/>
              <w:jc w:val="center"/>
              <w:rPr>
                <w:b/>
                <w:color w:val="auto"/>
              </w:rPr>
            </w:pPr>
            <w:r>
              <w:rPr>
                <w:b/>
                <w:bCs/>
                <w:color w:val="auto"/>
              </w:rPr>
              <w:t>表</w:t>
            </w:r>
            <w:r>
              <w:rPr>
                <w:rFonts w:hint="eastAsia"/>
                <w:b/>
                <w:bCs/>
                <w:color w:val="auto"/>
              </w:rPr>
              <w:t>3</w:t>
            </w:r>
            <w:r>
              <w:rPr>
                <w:b/>
                <w:bCs/>
                <w:color w:val="auto"/>
              </w:rPr>
              <w:t>-</w:t>
            </w:r>
            <w:r>
              <w:rPr>
                <w:rFonts w:hint="eastAsia"/>
                <w:b/>
                <w:bCs/>
                <w:color w:val="auto"/>
              </w:rPr>
              <w:t>1</w:t>
            </w:r>
            <w:r>
              <w:rPr>
                <w:rFonts w:hint="eastAsia"/>
                <w:b/>
                <w:bCs/>
                <w:color w:val="auto"/>
                <w:lang w:val="en-US" w:eastAsia="zh-CN"/>
              </w:rPr>
              <w:t>1</w:t>
            </w:r>
            <w:r>
              <w:rPr>
                <w:b/>
                <w:bCs/>
                <w:color w:val="auto"/>
              </w:rPr>
              <w:t xml:space="preserve"> </w:t>
            </w:r>
            <w:r>
              <w:rPr>
                <w:b/>
                <w:color w:val="auto"/>
              </w:rPr>
              <w:t xml:space="preserve">  </w:t>
            </w:r>
            <w:r>
              <w:rPr>
                <w:rFonts w:hint="eastAsia"/>
                <w:b/>
                <w:bCs/>
                <w:color w:val="auto"/>
                <w:szCs w:val="21"/>
              </w:rPr>
              <w:t>项目废气排放标准</w:t>
            </w:r>
            <w:r>
              <w:rPr>
                <w:b/>
                <w:color w:val="auto"/>
              </w:rPr>
              <w:t xml:space="preserve">  单位：mg/m</w:t>
            </w:r>
            <w:r>
              <w:rPr>
                <w:b/>
                <w:color w:val="auto"/>
                <w:vertAlign w:val="superscript"/>
              </w:rPr>
              <w:t>3</w:t>
            </w:r>
          </w:p>
          <w:tbl>
            <w:tblPr>
              <w:tblStyle w:val="26"/>
              <w:tblW w:w="8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418"/>
              <w:gridCol w:w="648"/>
              <w:gridCol w:w="614"/>
              <w:gridCol w:w="713"/>
              <w:gridCol w:w="890"/>
              <w:gridCol w:w="1237"/>
              <w:gridCol w:w="1943"/>
            </w:tblGrid>
            <w:tr w14:paraId="3088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6" w:type="dxa"/>
                  <w:vMerge w:val="restart"/>
                  <w:vAlign w:val="center"/>
                </w:tcPr>
                <w:p w14:paraId="49DEEBCB">
                  <w:pPr>
                    <w:spacing w:line="110" w:lineRule="atLeast"/>
                    <w:jc w:val="center"/>
                    <w:textAlignment w:val="baseline"/>
                    <w:rPr>
                      <w:b/>
                      <w:bCs/>
                      <w:color w:val="auto"/>
                    </w:rPr>
                  </w:pPr>
                  <w:r>
                    <w:rPr>
                      <w:b/>
                      <w:bCs/>
                      <w:color w:val="auto"/>
                    </w:rPr>
                    <w:t>污染物</w:t>
                  </w:r>
                </w:p>
              </w:tc>
              <w:tc>
                <w:tcPr>
                  <w:tcW w:w="1418" w:type="dxa"/>
                  <w:vMerge w:val="restart"/>
                  <w:vAlign w:val="center"/>
                </w:tcPr>
                <w:p w14:paraId="65BD2BC8">
                  <w:pPr>
                    <w:spacing w:line="110" w:lineRule="atLeast"/>
                    <w:jc w:val="center"/>
                    <w:textAlignment w:val="baseline"/>
                    <w:rPr>
                      <w:b/>
                      <w:bCs/>
                      <w:color w:val="auto"/>
                    </w:rPr>
                  </w:pPr>
                  <w:r>
                    <w:rPr>
                      <w:b/>
                      <w:bCs/>
                      <w:color w:val="auto"/>
                    </w:rPr>
                    <w:t>最高允许排放浓度（mg/m</w:t>
                  </w:r>
                  <w:r>
                    <w:rPr>
                      <w:b/>
                      <w:bCs/>
                      <w:color w:val="auto"/>
                      <w:vertAlign w:val="superscript"/>
                    </w:rPr>
                    <w:t>3</w:t>
                  </w:r>
                  <w:r>
                    <w:rPr>
                      <w:b/>
                      <w:bCs/>
                      <w:color w:val="auto"/>
                    </w:rPr>
                    <w:t>）</w:t>
                  </w:r>
                </w:p>
              </w:tc>
              <w:tc>
                <w:tcPr>
                  <w:tcW w:w="1262" w:type="dxa"/>
                  <w:gridSpan w:val="2"/>
                  <w:vAlign w:val="center"/>
                </w:tcPr>
                <w:p w14:paraId="7409943E">
                  <w:pPr>
                    <w:spacing w:line="110" w:lineRule="atLeast"/>
                    <w:jc w:val="center"/>
                    <w:textAlignment w:val="baseline"/>
                    <w:rPr>
                      <w:b/>
                      <w:bCs/>
                      <w:color w:val="auto"/>
                    </w:rPr>
                  </w:pPr>
                  <w:r>
                    <w:rPr>
                      <w:b/>
                      <w:bCs/>
                      <w:color w:val="auto"/>
                    </w:rPr>
                    <w:t>最高允许排放速率（kg/h）</w:t>
                  </w:r>
                </w:p>
              </w:tc>
              <w:tc>
                <w:tcPr>
                  <w:tcW w:w="1603" w:type="dxa"/>
                  <w:gridSpan w:val="2"/>
                  <w:vAlign w:val="center"/>
                </w:tcPr>
                <w:p w14:paraId="4222D568">
                  <w:pPr>
                    <w:spacing w:line="110" w:lineRule="atLeast"/>
                    <w:jc w:val="center"/>
                    <w:textAlignment w:val="baseline"/>
                    <w:rPr>
                      <w:b/>
                      <w:bCs/>
                      <w:color w:val="auto"/>
                    </w:rPr>
                  </w:pPr>
                  <w:r>
                    <w:rPr>
                      <w:b/>
                      <w:bCs/>
                      <w:color w:val="auto"/>
                    </w:rPr>
                    <w:t>最高允许排放速率（kg/h）</w:t>
                  </w:r>
                </w:p>
              </w:tc>
              <w:tc>
                <w:tcPr>
                  <w:tcW w:w="1237" w:type="dxa"/>
                  <w:vMerge w:val="restart"/>
                  <w:vAlign w:val="center"/>
                </w:tcPr>
                <w:p w14:paraId="1DEF561E">
                  <w:pPr>
                    <w:spacing w:line="110" w:lineRule="atLeast"/>
                    <w:jc w:val="center"/>
                    <w:textAlignment w:val="baseline"/>
                    <w:rPr>
                      <w:b/>
                      <w:bCs/>
                      <w:color w:val="auto"/>
                    </w:rPr>
                  </w:pPr>
                  <w:r>
                    <w:rPr>
                      <w:rFonts w:hint="eastAsia"/>
                      <w:b/>
                      <w:bCs/>
                      <w:color w:val="auto"/>
                    </w:rPr>
                    <w:t>无组织</w:t>
                  </w:r>
                  <w:r>
                    <w:rPr>
                      <w:b/>
                      <w:bCs/>
                      <w:color w:val="auto"/>
                    </w:rPr>
                    <w:t>排放</w:t>
                  </w:r>
                  <w:r>
                    <w:rPr>
                      <w:rFonts w:hint="eastAsia"/>
                      <w:b/>
                      <w:bCs/>
                      <w:color w:val="auto"/>
                    </w:rPr>
                    <w:t>监控</w:t>
                  </w:r>
                  <w:r>
                    <w:rPr>
                      <w:b/>
                      <w:bCs/>
                      <w:color w:val="auto"/>
                    </w:rPr>
                    <w:t>浓度</w:t>
                  </w:r>
                  <w:r>
                    <w:rPr>
                      <w:rFonts w:hint="eastAsia"/>
                      <w:b/>
                      <w:bCs/>
                      <w:color w:val="auto"/>
                    </w:rPr>
                    <w:t>限值</w:t>
                  </w:r>
                  <w:r>
                    <w:rPr>
                      <w:b/>
                      <w:bCs/>
                      <w:color w:val="auto"/>
                    </w:rPr>
                    <w:t>（mg/m</w:t>
                  </w:r>
                  <w:r>
                    <w:rPr>
                      <w:b/>
                      <w:bCs/>
                      <w:color w:val="auto"/>
                      <w:vertAlign w:val="superscript"/>
                    </w:rPr>
                    <w:t>3</w:t>
                  </w:r>
                  <w:r>
                    <w:rPr>
                      <w:b/>
                      <w:bCs/>
                      <w:color w:val="auto"/>
                    </w:rPr>
                    <w:t>）</w:t>
                  </w:r>
                </w:p>
              </w:tc>
              <w:tc>
                <w:tcPr>
                  <w:tcW w:w="1943" w:type="dxa"/>
                  <w:vMerge w:val="restart"/>
                  <w:vAlign w:val="center"/>
                </w:tcPr>
                <w:p w14:paraId="275D4B09">
                  <w:pPr>
                    <w:spacing w:line="110" w:lineRule="atLeast"/>
                    <w:jc w:val="center"/>
                    <w:textAlignment w:val="baseline"/>
                    <w:rPr>
                      <w:b/>
                      <w:bCs/>
                      <w:color w:val="auto"/>
                    </w:rPr>
                  </w:pPr>
                  <w:r>
                    <w:rPr>
                      <w:b/>
                      <w:bCs/>
                      <w:color w:val="auto"/>
                      <w:szCs w:val="21"/>
                    </w:rPr>
                    <w:t>执行标准</w:t>
                  </w:r>
                </w:p>
              </w:tc>
            </w:tr>
            <w:tr w14:paraId="3E28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6" w:type="dxa"/>
                  <w:vMerge w:val="continue"/>
                  <w:vAlign w:val="center"/>
                </w:tcPr>
                <w:p w14:paraId="33C2F738">
                  <w:pPr>
                    <w:spacing w:line="110" w:lineRule="atLeast"/>
                    <w:jc w:val="center"/>
                    <w:textAlignment w:val="baseline"/>
                    <w:rPr>
                      <w:b/>
                      <w:bCs/>
                      <w:color w:val="auto"/>
                    </w:rPr>
                  </w:pPr>
                </w:p>
              </w:tc>
              <w:tc>
                <w:tcPr>
                  <w:tcW w:w="1418" w:type="dxa"/>
                  <w:vMerge w:val="continue"/>
                  <w:vAlign w:val="center"/>
                </w:tcPr>
                <w:p w14:paraId="523C1BB5">
                  <w:pPr>
                    <w:spacing w:line="110" w:lineRule="atLeast"/>
                    <w:jc w:val="center"/>
                    <w:textAlignment w:val="baseline"/>
                    <w:rPr>
                      <w:b/>
                      <w:bCs/>
                      <w:color w:val="auto"/>
                    </w:rPr>
                  </w:pPr>
                </w:p>
              </w:tc>
              <w:tc>
                <w:tcPr>
                  <w:tcW w:w="648" w:type="dxa"/>
                  <w:vAlign w:val="center"/>
                </w:tcPr>
                <w:p w14:paraId="27864429">
                  <w:pPr>
                    <w:spacing w:line="110" w:lineRule="atLeast"/>
                    <w:jc w:val="center"/>
                    <w:textAlignment w:val="baseline"/>
                    <w:rPr>
                      <w:b/>
                      <w:bCs/>
                      <w:color w:val="auto"/>
                    </w:rPr>
                  </w:pPr>
                  <w:r>
                    <w:rPr>
                      <w:b/>
                      <w:bCs/>
                      <w:color w:val="auto"/>
                    </w:rPr>
                    <w:t>排气筒高度m</w:t>
                  </w:r>
                </w:p>
              </w:tc>
              <w:tc>
                <w:tcPr>
                  <w:tcW w:w="614" w:type="dxa"/>
                  <w:vAlign w:val="center"/>
                </w:tcPr>
                <w:p w14:paraId="595CEB2E">
                  <w:pPr>
                    <w:spacing w:line="110" w:lineRule="atLeast"/>
                    <w:jc w:val="center"/>
                    <w:textAlignment w:val="baseline"/>
                    <w:rPr>
                      <w:b/>
                      <w:bCs/>
                      <w:color w:val="auto"/>
                    </w:rPr>
                  </w:pPr>
                  <w:r>
                    <w:rPr>
                      <w:b/>
                      <w:bCs/>
                      <w:color w:val="auto"/>
                    </w:rPr>
                    <w:t>二级</w:t>
                  </w:r>
                </w:p>
              </w:tc>
              <w:tc>
                <w:tcPr>
                  <w:tcW w:w="713" w:type="dxa"/>
                  <w:vAlign w:val="center"/>
                </w:tcPr>
                <w:p w14:paraId="5D34D5D7">
                  <w:pPr>
                    <w:spacing w:line="110" w:lineRule="atLeast"/>
                    <w:jc w:val="center"/>
                    <w:textAlignment w:val="baseline"/>
                    <w:rPr>
                      <w:b/>
                      <w:bCs/>
                      <w:color w:val="auto"/>
                    </w:rPr>
                  </w:pPr>
                  <w:r>
                    <w:rPr>
                      <w:b/>
                      <w:bCs/>
                      <w:color w:val="auto"/>
                    </w:rPr>
                    <w:t>排气筒高度m</w:t>
                  </w:r>
                </w:p>
              </w:tc>
              <w:tc>
                <w:tcPr>
                  <w:tcW w:w="890" w:type="dxa"/>
                  <w:vAlign w:val="center"/>
                </w:tcPr>
                <w:p w14:paraId="67CC22F1">
                  <w:pPr>
                    <w:spacing w:line="110" w:lineRule="atLeast"/>
                    <w:jc w:val="center"/>
                    <w:textAlignment w:val="baseline"/>
                    <w:rPr>
                      <w:b/>
                      <w:bCs/>
                      <w:color w:val="auto"/>
                    </w:rPr>
                  </w:pPr>
                  <w:r>
                    <w:rPr>
                      <w:b/>
                      <w:bCs/>
                      <w:color w:val="auto"/>
                    </w:rPr>
                    <w:t>二级（严格50%）</w:t>
                  </w:r>
                </w:p>
              </w:tc>
              <w:tc>
                <w:tcPr>
                  <w:tcW w:w="1237" w:type="dxa"/>
                  <w:vMerge w:val="continue"/>
                  <w:vAlign w:val="center"/>
                </w:tcPr>
                <w:p w14:paraId="5EC2CD1E">
                  <w:pPr>
                    <w:spacing w:line="110" w:lineRule="atLeast"/>
                    <w:jc w:val="center"/>
                    <w:textAlignment w:val="baseline"/>
                    <w:rPr>
                      <w:b/>
                      <w:bCs/>
                      <w:color w:val="auto"/>
                    </w:rPr>
                  </w:pPr>
                </w:p>
              </w:tc>
              <w:tc>
                <w:tcPr>
                  <w:tcW w:w="1943" w:type="dxa"/>
                  <w:vMerge w:val="continue"/>
                  <w:vAlign w:val="center"/>
                </w:tcPr>
                <w:p w14:paraId="73CEA5BD">
                  <w:pPr>
                    <w:spacing w:line="110" w:lineRule="atLeast"/>
                    <w:jc w:val="center"/>
                    <w:textAlignment w:val="baseline"/>
                    <w:rPr>
                      <w:b/>
                      <w:bCs/>
                      <w:color w:val="auto"/>
                    </w:rPr>
                  </w:pPr>
                </w:p>
              </w:tc>
            </w:tr>
            <w:tr w14:paraId="7B13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exact"/>
                <w:jc w:val="center"/>
              </w:trPr>
              <w:tc>
                <w:tcPr>
                  <w:tcW w:w="946" w:type="dxa"/>
                  <w:vAlign w:val="center"/>
                </w:tcPr>
                <w:p w14:paraId="1FC85BE7">
                  <w:pPr>
                    <w:spacing w:line="110" w:lineRule="atLeast"/>
                    <w:jc w:val="center"/>
                    <w:textAlignment w:val="baseline"/>
                    <w:rPr>
                      <w:color w:val="auto"/>
                    </w:rPr>
                  </w:pPr>
                  <w:r>
                    <w:rPr>
                      <w:color w:val="auto"/>
                    </w:rPr>
                    <w:t>非甲烷总烃</w:t>
                  </w:r>
                </w:p>
              </w:tc>
              <w:tc>
                <w:tcPr>
                  <w:tcW w:w="1418" w:type="dxa"/>
                  <w:vAlign w:val="center"/>
                </w:tcPr>
                <w:p w14:paraId="5BB64F0F">
                  <w:pPr>
                    <w:spacing w:line="110" w:lineRule="atLeast"/>
                    <w:jc w:val="center"/>
                    <w:textAlignment w:val="baseline"/>
                    <w:rPr>
                      <w:rFonts w:hint="default" w:eastAsia="宋体"/>
                      <w:color w:val="auto"/>
                      <w:lang w:val="en-US" w:eastAsia="zh-CN"/>
                    </w:rPr>
                  </w:pPr>
                  <w:r>
                    <w:rPr>
                      <w:rFonts w:hint="eastAsia"/>
                      <w:color w:val="auto"/>
                      <w:lang w:val="en-US" w:eastAsia="zh-CN"/>
                    </w:rPr>
                    <w:t>120</w:t>
                  </w:r>
                </w:p>
              </w:tc>
              <w:tc>
                <w:tcPr>
                  <w:tcW w:w="648" w:type="dxa"/>
                  <w:vAlign w:val="center"/>
                </w:tcPr>
                <w:p w14:paraId="4D86F3A3">
                  <w:pPr>
                    <w:spacing w:line="110" w:lineRule="atLeast"/>
                    <w:jc w:val="center"/>
                    <w:textAlignment w:val="baseline"/>
                    <w:rPr>
                      <w:rFonts w:hint="default" w:eastAsia="宋体"/>
                      <w:color w:val="auto"/>
                      <w:lang w:val="en-US" w:eastAsia="zh-CN"/>
                    </w:rPr>
                  </w:pPr>
                  <w:r>
                    <w:rPr>
                      <w:rFonts w:hint="eastAsia"/>
                      <w:color w:val="auto"/>
                      <w:lang w:val="en-US" w:eastAsia="zh-CN"/>
                    </w:rPr>
                    <w:t>15</w:t>
                  </w:r>
                </w:p>
              </w:tc>
              <w:tc>
                <w:tcPr>
                  <w:tcW w:w="614" w:type="dxa"/>
                  <w:vAlign w:val="center"/>
                </w:tcPr>
                <w:p w14:paraId="6FC22061">
                  <w:pPr>
                    <w:spacing w:line="110" w:lineRule="atLeast"/>
                    <w:jc w:val="center"/>
                    <w:textAlignment w:val="baseline"/>
                    <w:rPr>
                      <w:rFonts w:hint="default" w:eastAsia="宋体"/>
                      <w:color w:val="auto"/>
                      <w:lang w:val="en-US" w:eastAsia="zh-CN"/>
                    </w:rPr>
                  </w:pPr>
                  <w:r>
                    <w:rPr>
                      <w:rFonts w:hint="eastAsia"/>
                      <w:color w:val="auto"/>
                      <w:lang w:val="en-US" w:eastAsia="zh-CN"/>
                    </w:rPr>
                    <w:t>3.5</w:t>
                  </w:r>
                </w:p>
              </w:tc>
              <w:tc>
                <w:tcPr>
                  <w:tcW w:w="713" w:type="dxa"/>
                  <w:vAlign w:val="center"/>
                </w:tcPr>
                <w:p w14:paraId="384A2738">
                  <w:pPr>
                    <w:spacing w:line="110" w:lineRule="atLeast"/>
                    <w:jc w:val="center"/>
                    <w:textAlignment w:val="baseline"/>
                    <w:rPr>
                      <w:rFonts w:hint="default" w:eastAsia="宋体"/>
                      <w:color w:val="auto"/>
                      <w:lang w:val="en-US" w:eastAsia="zh-CN"/>
                    </w:rPr>
                  </w:pPr>
                  <w:r>
                    <w:rPr>
                      <w:rFonts w:hint="eastAsia"/>
                      <w:color w:val="auto"/>
                      <w:lang w:val="en-US" w:eastAsia="zh-CN"/>
                    </w:rPr>
                    <w:t>15</w:t>
                  </w:r>
                </w:p>
              </w:tc>
              <w:tc>
                <w:tcPr>
                  <w:tcW w:w="890" w:type="dxa"/>
                  <w:vAlign w:val="center"/>
                </w:tcPr>
                <w:p w14:paraId="6948C5A2">
                  <w:pPr>
                    <w:spacing w:line="110" w:lineRule="atLeast"/>
                    <w:jc w:val="center"/>
                    <w:textAlignment w:val="baseline"/>
                    <w:rPr>
                      <w:rFonts w:hint="default" w:eastAsia="宋体"/>
                      <w:color w:val="auto"/>
                      <w:lang w:val="en-US" w:eastAsia="zh-CN"/>
                    </w:rPr>
                  </w:pPr>
                  <w:r>
                    <w:rPr>
                      <w:rFonts w:hint="eastAsia"/>
                      <w:color w:val="auto"/>
                      <w:lang w:val="en-US" w:eastAsia="zh-CN"/>
                    </w:rPr>
                    <w:t>1.75</w:t>
                  </w:r>
                </w:p>
              </w:tc>
              <w:tc>
                <w:tcPr>
                  <w:tcW w:w="1237" w:type="dxa"/>
                  <w:vAlign w:val="center"/>
                </w:tcPr>
                <w:p w14:paraId="64D717E9">
                  <w:pPr>
                    <w:spacing w:line="110" w:lineRule="atLeast"/>
                    <w:jc w:val="center"/>
                    <w:textAlignment w:val="baseline"/>
                    <w:rPr>
                      <w:color w:val="auto"/>
                    </w:rPr>
                  </w:pPr>
                  <w:r>
                    <w:rPr>
                      <w:rFonts w:hint="eastAsia"/>
                      <w:color w:val="auto"/>
                    </w:rPr>
                    <w:t>4.0</w:t>
                  </w:r>
                </w:p>
              </w:tc>
              <w:tc>
                <w:tcPr>
                  <w:tcW w:w="1943" w:type="dxa"/>
                  <w:vAlign w:val="center"/>
                </w:tcPr>
                <w:p w14:paraId="0DF70EBF">
                  <w:pPr>
                    <w:spacing w:line="110" w:lineRule="atLeast"/>
                    <w:jc w:val="center"/>
                    <w:textAlignment w:val="baseline"/>
                    <w:rPr>
                      <w:color w:val="auto"/>
                    </w:rPr>
                  </w:pPr>
                  <w:r>
                    <w:rPr>
                      <w:color w:val="auto"/>
                      <w:szCs w:val="21"/>
                    </w:rPr>
                    <w:t>《大气污染物综合排放标准》（GB16297-1996）表2中二级标准</w:t>
                  </w:r>
                </w:p>
              </w:tc>
            </w:tr>
          </w:tbl>
          <w:p w14:paraId="117B62E4">
            <w:pPr>
              <w:adjustRightInd w:val="0"/>
              <w:snapToGrid w:val="0"/>
              <w:spacing w:line="360" w:lineRule="auto"/>
              <w:ind w:firstLine="480" w:firstLineChars="200"/>
              <w:jc w:val="left"/>
              <w:rPr>
                <w:rFonts w:hint="eastAsia" w:ascii="宋体" w:hAnsi="宋体" w:eastAsia="宋体" w:cs="宋体"/>
                <w:color w:val="auto"/>
                <w:sz w:val="24"/>
                <w:vertAlign w:val="baseline"/>
                <w:lang w:eastAsia="zh-CN"/>
              </w:rPr>
            </w:pPr>
            <w:r>
              <w:rPr>
                <w:rFonts w:hint="eastAsia" w:ascii="宋体" w:hAnsi="宋体" w:cs="宋体"/>
                <w:color w:val="auto"/>
                <w:sz w:val="24"/>
              </w:rPr>
              <w:t>熔炼</w:t>
            </w:r>
            <w:r>
              <w:rPr>
                <w:rFonts w:hint="eastAsia" w:ascii="宋体" w:hAnsi="宋体" w:cs="宋体"/>
                <w:color w:val="auto"/>
                <w:sz w:val="24"/>
                <w:lang w:eastAsia="zh-CN"/>
              </w:rPr>
              <w:t>锅功率为</w:t>
            </w:r>
            <w:r>
              <w:rPr>
                <w:rFonts w:hint="eastAsia" w:ascii="宋体" w:hAnsi="宋体" w:cs="宋体"/>
                <w:color w:val="auto"/>
                <w:sz w:val="24"/>
                <w:lang w:val="en-US" w:eastAsia="zh-CN"/>
              </w:rPr>
              <w:t>4KW*3，</w:t>
            </w:r>
            <w:r>
              <w:rPr>
                <w:rFonts w:hint="eastAsia" w:ascii="宋体" w:hAnsi="宋体" w:cs="宋体"/>
                <w:color w:val="auto"/>
                <w:sz w:val="24"/>
              </w:rPr>
              <w:t>废气（</w:t>
            </w:r>
            <w:r>
              <w:rPr>
                <w:rFonts w:hint="eastAsia" w:ascii="宋体" w:hAnsi="宋体" w:cs="宋体"/>
                <w:color w:val="auto"/>
                <w:sz w:val="24"/>
                <w:lang w:eastAsia="zh-CN"/>
              </w:rPr>
              <w:t>油烟</w:t>
            </w:r>
            <w:r>
              <w:rPr>
                <w:rFonts w:hint="eastAsia" w:ascii="宋体" w:hAnsi="宋体" w:cs="宋体"/>
                <w:color w:val="auto"/>
                <w:sz w:val="24"/>
              </w:rPr>
              <w:t>）</w:t>
            </w:r>
            <w:r>
              <w:rPr>
                <w:color w:val="auto"/>
                <w:sz w:val="24"/>
              </w:rPr>
              <w:t>参照执行《饮食业油烟排放标准》（GB18438-2001）执行油烟最高允许排放浓度≤2mg/m</w:t>
            </w:r>
            <w:r>
              <w:rPr>
                <w:color w:val="auto"/>
                <w:sz w:val="24"/>
                <w:vertAlign w:val="superscript"/>
              </w:rPr>
              <w:t>3</w:t>
            </w:r>
            <w:r>
              <w:rPr>
                <w:rFonts w:hint="eastAsia"/>
                <w:color w:val="auto"/>
                <w:sz w:val="24"/>
                <w:vertAlign w:val="baseline"/>
                <w:lang w:eastAsia="zh-CN"/>
              </w:rPr>
              <w:t>。</w:t>
            </w:r>
          </w:p>
          <w:p w14:paraId="0FD4F26A">
            <w:pPr>
              <w:adjustRightInd w:val="0"/>
              <w:snapToGrid w:val="0"/>
              <w:jc w:val="center"/>
              <w:rPr>
                <w:b/>
                <w:bCs/>
                <w:color w:val="auto"/>
                <w:szCs w:val="21"/>
              </w:rPr>
            </w:pPr>
            <w:r>
              <w:rPr>
                <w:b/>
                <w:bCs/>
                <w:color w:val="auto"/>
                <w:szCs w:val="21"/>
              </w:rPr>
              <w:t>表</w:t>
            </w:r>
            <w:r>
              <w:rPr>
                <w:rFonts w:hint="eastAsia"/>
                <w:b/>
                <w:bCs/>
                <w:color w:val="auto"/>
                <w:szCs w:val="21"/>
              </w:rPr>
              <w:t>3</w:t>
            </w:r>
            <w:r>
              <w:rPr>
                <w:b/>
                <w:bCs/>
                <w:color w:val="auto"/>
                <w:szCs w:val="21"/>
              </w:rPr>
              <w:t>-</w:t>
            </w:r>
            <w:r>
              <w:rPr>
                <w:rFonts w:hint="eastAsia"/>
                <w:b/>
                <w:bCs/>
                <w:color w:val="auto"/>
                <w:szCs w:val="21"/>
                <w:lang w:val="en-US" w:eastAsia="zh-CN"/>
              </w:rPr>
              <w:t xml:space="preserve">12  </w:t>
            </w:r>
            <w:r>
              <w:rPr>
                <w:b/>
                <w:bCs/>
                <w:color w:val="auto"/>
                <w:szCs w:val="21"/>
              </w:rPr>
              <w:t>饮食业油烟排放标准</w:t>
            </w:r>
          </w:p>
          <w:tbl>
            <w:tblPr>
              <w:tblStyle w:val="26"/>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12"/>
              <w:gridCol w:w="1700"/>
              <w:gridCol w:w="1175"/>
              <w:gridCol w:w="1923"/>
            </w:tblGrid>
            <w:tr w14:paraId="1C84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612" w:type="dxa"/>
                  <w:vAlign w:val="center"/>
                </w:tcPr>
                <w:p w14:paraId="5462C237">
                  <w:pPr>
                    <w:autoSpaceDE w:val="0"/>
                    <w:autoSpaceDN w:val="0"/>
                    <w:snapToGrid w:val="0"/>
                    <w:jc w:val="center"/>
                    <w:rPr>
                      <w:color w:val="auto"/>
                      <w:szCs w:val="21"/>
                    </w:rPr>
                  </w:pPr>
                  <w:r>
                    <w:rPr>
                      <w:color w:val="auto"/>
                      <w:szCs w:val="21"/>
                    </w:rPr>
                    <w:t>规模</w:t>
                  </w:r>
                </w:p>
              </w:tc>
              <w:tc>
                <w:tcPr>
                  <w:tcW w:w="1700" w:type="dxa"/>
                  <w:vAlign w:val="center"/>
                </w:tcPr>
                <w:p w14:paraId="1D26ABCB">
                  <w:pPr>
                    <w:autoSpaceDE w:val="0"/>
                    <w:autoSpaceDN w:val="0"/>
                    <w:snapToGrid w:val="0"/>
                    <w:jc w:val="center"/>
                    <w:rPr>
                      <w:color w:val="auto"/>
                      <w:szCs w:val="21"/>
                    </w:rPr>
                  </w:pPr>
                  <w:r>
                    <w:rPr>
                      <w:color w:val="auto"/>
                      <w:szCs w:val="21"/>
                    </w:rPr>
                    <w:t>小型</w:t>
                  </w:r>
                </w:p>
              </w:tc>
              <w:tc>
                <w:tcPr>
                  <w:tcW w:w="1175" w:type="dxa"/>
                  <w:vAlign w:val="center"/>
                </w:tcPr>
                <w:p w14:paraId="3F16DE74">
                  <w:pPr>
                    <w:autoSpaceDE w:val="0"/>
                    <w:autoSpaceDN w:val="0"/>
                    <w:snapToGrid w:val="0"/>
                    <w:jc w:val="center"/>
                    <w:rPr>
                      <w:color w:val="auto"/>
                      <w:szCs w:val="21"/>
                    </w:rPr>
                  </w:pPr>
                  <w:r>
                    <w:rPr>
                      <w:rFonts w:hint="eastAsia"/>
                      <w:color w:val="auto"/>
                      <w:szCs w:val="21"/>
                      <w:lang w:eastAsia="zh-CN"/>
                    </w:rPr>
                    <w:t>中</w:t>
                  </w:r>
                  <w:r>
                    <w:rPr>
                      <w:color w:val="auto"/>
                      <w:szCs w:val="21"/>
                    </w:rPr>
                    <w:t>型</w:t>
                  </w:r>
                </w:p>
              </w:tc>
              <w:tc>
                <w:tcPr>
                  <w:tcW w:w="1923" w:type="dxa"/>
                  <w:vAlign w:val="center"/>
                </w:tcPr>
                <w:p w14:paraId="0BD044BF">
                  <w:pPr>
                    <w:autoSpaceDE w:val="0"/>
                    <w:autoSpaceDN w:val="0"/>
                    <w:snapToGrid w:val="0"/>
                    <w:jc w:val="center"/>
                    <w:rPr>
                      <w:color w:val="auto"/>
                      <w:szCs w:val="21"/>
                    </w:rPr>
                  </w:pPr>
                  <w:r>
                    <w:rPr>
                      <w:rFonts w:hint="eastAsia"/>
                      <w:color w:val="auto"/>
                      <w:szCs w:val="21"/>
                      <w:lang w:eastAsia="zh-CN"/>
                    </w:rPr>
                    <w:t>大</w:t>
                  </w:r>
                  <w:r>
                    <w:rPr>
                      <w:color w:val="auto"/>
                      <w:szCs w:val="21"/>
                    </w:rPr>
                    <w:t>型</w:t>
                  </w:r>
                </w:p>
              </w:tc>
            </w:tr>
            <w:tr w14:paraId="0605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612" w:type="dxa"/>
                  <w:vAlign w:val="center"/>
                </w:tcPr>
                <w:p w14:paraId="3F583D3C">
                  <w:pPr>
                    <w:autoSpaceDE w:val="0"/>
                    <w:autoSpaceDN w:val="0"/>
                    <w:snapToGrid w:val="0"/>
                    <w:jc w:val="center"/>
                    <w:rPr>
                      <w:color w:val="auto"/>
                      <w:szCs w:val="21"/>
                    </w:rPr>
                  </w:pPr>
                  <w:r>
                    <w:rPr>
                      <w:color w:val="auto"/>
                      <w:szCs w:val="21"/>
                    </w:rPr>
                    <w:t>基准灶头数</w:t>
                  </w:r>
                </w:p>
              </w:tc>
              <w:tc>
                <w:tcPr>
                  <w:tcW w:w="1700" w:type="dxa"/>
                  <w:vAlign w:val="center"/>
                </w:tcPr>
                <w:p w14:paraId="7AF53647">
                  <w:pPr>
                    <w:autoSpaceDE w:val="0"/>
                    <w:autoSpaceDN w:val="0"/>
                    <w:snapToGrid w:val="0"/>
                    <w:jc w:val="center"/>
                    <w:rPr>
                      <w:color w:val="auto"/>
                      <w:szCs w:val="21"/>
                    </w:rPr>
                  </w:pPr>
                  <w:r>
                    <w:rPr>
                      <w:color w:val="auto"/>
                      <w:szCs w:val="21"/>
                    </w:rPr>
                    <w:t>≥1，＜3</w:t>
                  </w:r>
                </w:p>
              </w:tc>
              <w:tc>
                <w:tcPr>
                  <w:tcW w:w="1175" w:type="dxa"/>
                  <w:vAlign w:val="center"/>
                </w:tcPr>
                <w:p w14:paraId="53486621">
                  <w:pPr>
                    <w:autoSpaceDE w:val="0"/>
                    <w:autoSpaceDN w:val="0"/>
                    <w:snapToGrid w:val="0"/>
                    <w:jc w:val="center"/>
                    <w:rPr>
                      <w:rFonts w:hint="eastAsia" w:eastAsia="宋体"/>
                      <w:color w:val="auto"/>
                      <w:szCs w:val="21"/>
                      <w:lang w:eastAsia="zh-CN"/>
                    </w:rPr>
                  </w:pPr>
                  <w:r>
                    <w:rPr>
                      <w:color w:val="auto"/>
                      <w:szCs w:val="21"/>
                    </w:rPr>
                    <w:t>≥</w:t>
                  </w:r>
                  <w:r>
                    <w:rPr>
                      <w:rFonts w:hint="eastAsia"/>
                      <w:color w:val="auto"/>
                      <w:szCs w:val="21"/>
                      <w:lang w:val="en-US" w:eastAsia="zh-CN"/>
                    </w:rPr>
                    <w:t>3</w:t>
                  </w:r>
                  <w:r>
                    <w:rPr>
                      <w:color w:val="auto"/>
                      <w:szCs w:val="21"/>
                    </w:rPr>
                    <w:t>，＜</w:t>
                  </w:r>
                  <w:r>
                    <w:rPr>
                      <w:rFonts w:hint="eastAsia"/>
                      <w:color w:val="auto"/>
                      <w:szCs w:val="21"/>
                      <w:lang w:val="en-US" w:eastAsia="zh-CN"/>
                    </w:rPr>
                    <w:t>6</w:t>
                  </w:r>
                </w:p>
              </w:tc>
              <w:tc>
                <w:tcPr>
                  <w:tcW w:w="1923" w:type="dxa"/>
                  <w:vAlign w:val="center"/>
                </w:tcPr>
                <w:p w14:paraId="3749B069">
                  <w:pPr>
                    <w:autoSpaceDE w:val="0"/>
                    <w:autoSpaceDN w:val="0"/>
                    <w:snapToGrid w:val="0"/>
                    <w:jc w:val="center"/>
                    <w:rPr>
                      <w:rFonts w:hint="eastAsia" w:eastAsia="宋体"/>
                      <w:color w:val="auto"/>
                      <w:szCs w:val="21"/>
                      <w:lang w:eastAsia="zh-CN"/>
                    </w:rPr>
                  </w:pPr>
                  <w:r>
                    <w:rPr>
                      <w:color w:val="auto"/>
                      <w:szCs w:val="21"/>
                    </w:rPr>
                    <w:t>≥</w:t>
                  </w:r>
                  <w:r>
                    <w:rPr>
                      <w:rFonts w:hint="eastAsia"/>
                      <w:color w:val="auto"/>
                      <w:szCs w:val="21"/>
                      <w:lang w:val="en-US" w:eastAsia="zh-CN"/>
                    </w:rPr>
                    <w:t>6</w:t>
                  </w:r>
                </w:p>
              </w:tc>
            </w:tr>
            <w:tr w14:paraId="4D85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612" w:type="dxa"/>
                  <w:vAlign w:val="center"/>
                </w:tcPr>
                <w:p w14:paraId="021E39F8">
                  <w:pPr>
                    <w:autoSpaceDE w:val="0"/>
                    <w:autoSpaceDN w:val="0"/>
                    <w:snapToGrid w:val="0"/>
                    <w:jc w:val="center"/>
                    <w:rPr>
                      <w:color w:val="auto"/>
                      <w:szCs w:val="21"/>
                    </w:rPr>
                  </w:pPr>
                  <w:r>
                    <w:rPr>
                      <w:color w:val="auto"/>
                      <w:szCs w:val="21"/>
                    </w:rPr>
                    <w:t>油烟最高允许排放浓度(mg/m</w:t>
                  </w:r>
                  <w:r>
                    <w:rPr>
                      <w:color w:val="auto"/>
                      <w:szCs w:val="21"/>
                      <w:vertAlign w:val="superscript"/>
                    </w:rPr>
                    <w:t>3</w:t>
                  </w:r>
                  <w:r>
                    <w:rPr>
                      <w:color w:val="auto"/>
                      <w:szCs w:val="21"/>
                    </w:rPr>
                    <w:t>)</w:t>
                  </w:r>
                </w:p>
              </w:tc>
              <w:tc>
                <w:tcPr>
                  <w:tcW w:w="1700" w:type="dxa"/>
                  <w:vAlign w:val="center"/>
                </w:tcPr>
                <w:p w14:paraId="50ED75E8">
                  <w:pPr>
                    <w:snapToGrid w:val="0"/>
                    <w:jc w:val="center"/>
                    <w:rPr>
                      <w:color w:val="auto"/>
                      <w:szCs w:val="21"/>
                    </w:rPr>
                  </w:pPr>
                  <w:r>
                    <w:rPr>
                      <w:color w:val="auto"/>
                      <w:szCs w:val="21"/>
                    </w:rPr>
                    <w:t>2.0</w:t>
                  </w:r>
                </w:p>
              </w:tc>
              <w:tc>
                <w:tcPr>
                  <w:tcW w:w="1175" w:type="dxa"/>
                  <w:vAlign w:val="center"/>
                </w:tcPr>
                <w:p w14:paraId="644A4E3E">
                  <w:pPr>
                    <w:snapToGrid w:val="0"/>
                    <w:jc w:val="center"/>
                    <w:rPr>
                      <w:color w:val="auto"/>
                      <w:szCs w:val="21"/>
                    </w:rPr>
                  </w:pPr>
                  <w:r>
                    <w:rPr>
                      <w:color w:val="auto"/>
                      <w:szCs w:val="21"/>
                    </w:rPr>
                    <w:t>2.0</w:t>
                  </w:r>
                </w:p>
              </w:tc>
              <w:tc>
                <w:tcPr>
                  <w:tcW w:w="1923" w:type="dxa"/>
                  <w:vAlign w:val="center"/>
                </w:tcPr>
                <w:p w14:paraId="4539B71F">
                  <w:pPr>
                    <w:snapToGrid w:val="0"/>
                    <w:jc w:val="center"/>
                    <w:rPr>
                      <w:color w:val="auto"/>
                      <w:szCs w:val="21"/>
                    </w:rPr>
                  </w:pPr>
                  <w:r>
                    <w:rPr>
                      <w:color w:val="auto"/>
                      <w:szCs w:val="21"/>
                    </w:rPr>
                    <w:t>2.0</w:t>
                  </w:r>
                </w:p>
              </w:tc>
            </w:tr>
            <w:tr w14:paraId="3F6C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612" w:type="dxa"/>
                  <w:vAlign w:val="center"/>
                </w:tcPr>
                <w:p w14:paraId="71DB603E">
                  <w:pPr>
                    <w:autoSpaceDE w:val="0"/>
                    <w:autoSpaceDN w:val="0"/>
                    <w:snapToGrid w:val="0"/>
                    <w:jc w:val="center"/>
                    <w:rPr>
                      <w:color w:val="auto"/>
                      <w:szCs w:val="21"/>
                    </w:rPr>
                  </w:pPr>
                  <w:r>
                    <w:rPr>
                      <w:color w:val="auto"/>
                      <w:szCs w:val="21"/>
                    </w:rPr>
                    <w:t>净化设施最低去除效率(%)</w:t>
                  </w:r>
                </w:p>
              </w:tc>
              <w:tc>
                <w:tcPr>
                  <w:tcW w:w="1700" w:type="dxa"/>
                  <w:vAlign w:val="center"/>
                </w:tcPr>
                <w:p w14:paraId="3CA21135">
                  <w:pPr>
                    <w:autoSpaceDE w:val="0"/>
                    <w:autoSpaceDN w:val="0"/>
                    <w:snapToGrid w:val="0"/>
                    <w:jc w:val="center"/>
                    <w:rPr>
                      <w:color w:val="auto"/>
                      <w:szCs w:val="21"/>
                    </w:rPr>
                  </w:pPr>
                  <w:r>
                    <w:rPr>
                      <w:color w:val="auto"/>
                      <w:szCs w:val="21"/>
                    </w:rPr>
                    <w:t>60</w:t>
                  </w:r>
                </w:p>
              </w:tc>
              <w:tc>
                <w:tcPr>
                  <w:tcW w:w="1175" w:type="dxa"/>
                  <w:vAlign w:val="center"/>
                </w:tcPr>
                <w:p w14:paraId="4C56EA76">
                  <w:pPr>
                    <w:autoSpaceDE w:val="0"/>
                    <w:autoSpaceDN w:val="0"/>
                    <w:snapToGrid w:val="0"/>
                    <w:jc w:val="center"/>
                    <w:rPr>
                      <w:rFonts w:hint="default" w:eastAsia="宋体"/>
                      <w:color w:val="auto"/>
                      <w:szCs w:val="21"/>
                      <w:lang w:val="en-US" w:eastAsia="zh-CN"/>
                    </w:rPr>
                  </w:pPr>
                  <w:r>
                    <w:rPr>
                      <w:rFonts w:hint="eastAsia"/>
                      <w:color w:val="auto"/>
                      <w:szCs w:val="21"/>
                      <w:lang w:val="en-US" w:eastAsia="zh-CN"/>
                    </w:rPr>
                    <w:t>75</w:t>
                  </w:r>
                </w:p>
              </w:tc>
              <w:tc>
                <w:tcPr>
                  <w:tcW w:w="1923" w:type="dxa"/>
                  <w:vAlign w:val="center"/>
                </w:tcPr>
                <w:p w14:paraId="1825F4EF">
                  <w:pPr>
                    <w:autoSpaceDE w:val="0"/>
                    <w:autoSpaceDN w:val="0"/>
                    <w:snapToGrid w:val="0"/>
                    <w:jc w:val="center"/>
                    <w:rPr>
                      <w:rFonts w:hint="default" w:eastAsia="宋体"/>
                      <w:color w:val="auto"/>
                      <w:szCs w:val="21"/>
                      <w:lang w:val="en-US" w:eastAsia="zh-CN"/>
                    </w:rPr>
                  </w:pPr>
                  <w:r>
                    <w:rPr>
                      <w:rFonts w:hint="eastAsia"/>
                      <w:color w:val="auto"/>
                      <w:szCs w:val="21"/>
                      <w:lang w:val="en-US" w:eastAsia="zh-CN"/>
                    </w:rPr>
                    <w:t>85</w:t>
                  </w:r>
                </w:p>
              </w:tc>
            </w:tr>
          </w:tbl>
          <w:p w14:paraId="1C963F53">
            <w:pPr>
              <w:adjustRightInd w:val="0"/>
              <w:snapToGrid w:val="0"/>
              <w:spacing w:line="360" w:lineRule="auto"/>
              <w:ind w:firstLine="480" w:firstLineChars="200"/>
              <w:jc w:val="left"/>
              <w:rPr>
                <w:b/>
                <w:bCs/>
                <w:color w:val="auto"/>
                <w:szCs w:val="21"/>
              </w:rPr>
            </w:pPr>
            <w:r>
              <w:rPr>
                <w:rFonts w:hint="eastAsia" w:ascii="宋体" w:hAnsi="宋体" w:cs="宋体"/>
                <w:color w:val="auto"/>
                <w:sz w:val="24"/>
                <w:lang w:eastAsia="zh-CN"/>
              </w:rPr>
              <w:t>④</w:t>
            </w:r>
            <w:r>
              <w:rPr>
                <w:rFonts w:hint="eastAsia" w:ascii="宋体" w:hAnsi="宋体" w:cs="宋体"/>
                <w:color w:val="auto"/>
                <w:sz w:val="24"/>
              </w:rPr>
              <w:t>项目运营期食堂设置</w:t>
            </w:r>
            <w:r>
              <w:rPr>
                <w:color w:val="auto"/>
                <w:sz w:val="24"/>
              </w:rPr>
              <w:t>1</w:t>
            </w:r>
            <w:r>
              <w:rPr>
                <w:rFonts w:hint="eastAsia" w:ascii="宋体" w:hAnsi="宋体" w:cs="宋体"/>
                <w:color w:val="auto"/>
                <w:sz w:val="24"/>
              </w:rPr>
              <w:t>个灶头，食堂油烟执行《饮食业油烟排放标准》</w:t>
            </w:r>
            <w:r>
              <w:rPr>
                <w:color w:val="auto"/>
                <w:sz w:val="24"/>
              </w:rPr>
              <w:t>（GB18483-2001）</w:t>
            </w:r>
            <w:r>
              <w:rPr>
                <w:rFonts w:hint="eastAsia" w:ascii="宋体" w:hAnsi="宋体" w:cs="宋体"/>
                <w:color w:val="auto"/>
                <w:sz w:val="24"/>
              </w:rPr>
              <w:t>小型标准，具体数值详见表</w:t>
            </w:r>
            <w:r>
              <w:rPr>
                <w:rFonts w:eastAsia="仿宋"/>
                <w:color w:val="auto"/>
                <w:sz w:val="24"/>
              </w:rPr>
              <w:t>3-</w:t>
            </w:r>
            <w:r>
              <w:rPr>
                <w:rFonts w:hint="eastAsia" w:eastAsia="仿宋"/>
                <w:color w:val="auto"/>
                <w:sz w:val="24"/>
                <w:lang w:val="en-US" w:eastAsia="zh-CN"/>
              </w:rPr>
              <w:t>13</w:t>
            </w:r>
            <w:r>
              <w:rPr>
                <w:rFonts w:hint="eastAsia" w:ascii="仿宋" w:hAnsi="仿宋" w:eastAsia="仿宋" w:cs="仿宋"/>
                <w:color w:val="auto"/>
                <w:sz w:val="24"/>
              </w:rPr>
              <w:t>。</w:t>
            </w:r>
          </w:p>
          <w:p w14:paraId="2A1D8D29">
            <w:pPr>
              <w:adjustRightInd w:val="0"/>
              <w:snapToGrid w:val="0"/>
              <w:jc w:val="center"/>
              <w:rPr>
                <w:b/>
                <w:bCs/>
                <w:color w:val="auto"/>
                <w:szCs w:val="21"/>
              </w:rPr>
            </w:pPr>
          </w:p>
          <w:p w14:paraId="5C06B8C4">
            <w:pPr>
              <w:adjustRightInd w:val="0"/>
              <w:snapToGrid w:val="0"/>
              <w:jc w:val="center"/>
              <w:rPr>
                <w:b/>
                <w:bCs/>
                <w:color w:val="auto"/>
                <w:szCs w:val="21"/>
              </w:rPr>
            </w:pPr>
          </w:p>
          <w:p w14:paraId="09994FF1">
            <w:pPr>
              <w:adjustRightInd w:val="0"/>
              <w:snapToGrid w:val="0"/>
              <w:jc w:val="center"/>
              <w:rPr>
                <w:b/>
                <w:bCs/>
                <w:color w:val="auto"/>
                <w:szCs w:val="21"/>
              </w:rPr>
            </w:pPr>
            <w:r>
              <w:rPr>
                <w:b/>
                <w:bCs/>
                <w:color w:val="auto"/>
                <w:szCs w:val="21"/>
              </w:rPr>
              <w:t>表</w:t>
            </w:r>
            <w:r>
              <w:rPr>
                <w:rFonts w:hint="eastAsia"/>
                <w:b/>
                <w:bCs/>
                <w:color w:val="auto"/>
                <w:szCs w:val="21"/>
              </w:rPr>
              <w:t>3</w:t>
            </w:r>
            <w:r>
              <w:rPr>
                <w:b/>
                <w:bCs/>
                <w:color w:val="auto"/>
                <w:szCs w:val="21"/>
              </w:rPr>
              <w:t>-</w:t>
            </w:r>
            <w:r>
              <w:rPr>
                <w:rFonts w:hint="eastAsia"/>
                <w:b/>
                <w:bCs/>
                <w:color w:val="auto"/>
                <w:szCs w:val="21"/>
                <w:lang w:val="en-US" w:eastAsia="zh-CN"/>
              </w:rPr>
              <w:t xml:space="preserve">13  </w:t>
            </w:r>
            <w:r>
              <w:rPr>
                <w:b/>
                <w:bCs/>
                <w:color w:val="auto"/>
                <w:szCs w:val="21"/>
              </w:rPr>
              <w:t>饮食业油烟排放标准</w:t>
            </w:r>
          </w:p>
          <w:tbl>
            <w:tblPr>
              <w:tblStyle w:val="26"/>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50"/>
              <w:gridCol w:w="1860"/>
            </w:tblGrid>
            <w:tr w14:paraId="18CA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550" w:type="dxa"/>
                  <w:vAlign w:val="center"/>
                </w:tcPr>
                <w:p w14:paraId="6AE3BF77">
                  <w:pPr>
                    <w:autoSpaceDE w:val="0"/>
                    <w:autoSpaceDN w:val="0"/>
                    <w:snapToGrid w:val="0"/>
                    <w:jc w:val="center"/>
                    <w:rPr>
                      <w:color w:val="auto"/>
                      <w:szCs w:val="21"/>
                    </w:rPr>
                  </w:pPr>
                  <w:r>
                    <w:rPr>
                      <w:color w:val="auto"/>
                      <w:szCs w:val="21"/>
                    </w:rPr>
                    <w:t>规模</w:t>
                  </w:r>
                </w:p>
              </w:tc>
              <w:tc>
                <w:tcPr>
                  <w:tcW w:w="1860" w:type="dxa"/>
                  <w:vAlign w:val="center"/>
                </w:tcPr>
                <w:p w14:paraId="21F376F0">
                  <w:pPr>
                    <w:autoSpaceDE w:val="0"/>
                    <w:autoSpaceDN w:val="0"/>
                    <w:snapToGrid w:val="0"/>
                    <w:jc w:val="center"/>
                    <w:rPr>
                      <w:color w:val="auto"/>
                      <w:szCs w:val="21"/>
                    </w:rPr>
                  </w:pPr>
                  <w:r>
                    <w:rPr>
                      <w:color w:val="auto"/>
                      <w:szCs w:val="21"/>
                    </w:rPr>
                    <w:t>小型</w:t>
                  </w:r>
                </w:p>
              </w:tc>
            </w:tr>
            <w:tr w14:paraId="5E69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550" w:type="dxa"/>
                  <w:vAlign w:val="center"/>
                </w:tcPr>
                <w:p w14:paraId="7C500816">
                  <w:pPr>
                    <w:autoSpaceDE w:val="0"/>
                    <w:autoSpaceDN w:val="0"/>
                    <w:snapToGrid w:val="0"/>
                    <w:jc w:val="center"/>
                    <w:rPr>
                      <w:color w:val="auto"/>
                      <w:szCs w:val="21"/>
                    </w:rPr>
                  </w:pPr>
                  <w:r>
                    <w:rPr>
                      <w:color w:val="auto"/>
                      <w:szCs w:val="21"/>
                    </w:rPr>
                    <w:t>基准灶头数</w:t>
                  </w:r>
                </w:p>
              </w:tc>
              <w:tc>
                <w:tcPr>
                  <w:tcW w:w="1860" w:type="dxa"/>
                  <w:vAlign w:val="center"/>
                </w:tcPr>
                <w:p w14:paraId="2B8C6A84">
                  <w:pPr>
                    <w:autoSpaceDE w:val="0"/>
                    <w:autoSpaceDN w:val="0"/>
                    <w:snapToGrid w:val="0"/>
                    <w:jc w:val="center"/>
                    <w:rPr>
                      <w:color w:val="auto"/>
                      <w:szCs w:val="21"/>
                    </w:rPr>
                  </w:pPr>
                  <w:r>
                    <w:rPr>
                      <w:color w:val="auto"/>
                      <w:szCs w:val="21"/>
                    </w:rPr>
                    <w:t>≥1，＜3</w:t>
                  </w:r>
                </w:p>
              </w:tc>
            </w:tr>
            <w:tr w14:paraId="20D8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550" w:type="dxa"/>
                  <w:vAlign w:val="center"/>
                </w:tcPr>
                <w:p w14:paraId="2EAA9588">
                  <w:pPr>
                    <w:autoSpaceDE w:val="0"/>
                    <w:autoSpaceDN w:val="0"/>
                    <w:snapToGrid w:val="0"/>
                    <w:jc w:val="center"/>
                    <w:rPr>
                      <w:color w:val="auto"/>
                      <w:szCs w:val="21"/>
                    </w:rPr>
                  </w:pPr>
                  <w:r>
                    <w:rPr>
                      <w:color w:val="auto"/>
                      <w:szCs w:val="21"/>
                    </w:rPr>
                    <w:t>油烟最高允许排放浓度(mg/m</w:t>
                  </w:r>
                  <w:r>
                    <w:rPr>
                      <w:color w:val="auto"/>
                      <w:szCs w:val="21"/>
                      <w:vertAlign w:val="superscript"/>
                    </w:rPr>
                    <w:t>3</w:t>
                  </w:r>
                  <w:r>
                    <w:rPr>
                      <w:color w:val="auto"/>
                      <w:szCs w:val="21"/>
                    </w:rPr>
                    <w:t>)</w:t>
                  </w:r>
                </w:p>
              </w:tc>
              <w:tc>
                <w:tcPr>
                  <w:tcW w:w="1860" w:type="dxa"/>
                  <w:vAlign w:val="center"/>
                </w:tcPr>
                <w:p w14:paraId="42F653BE">
                  <w:pPr>
                    <w:snapToGrid w:val="0"/>
                    <w:jc w:val="center"/>
                    <w:rPr>
                      <w:color w:val="auto"/>
                      <w:szCs w:val="21"/>
                    </w:rPr>
                  </w:pPr>
                  <w:r>
                    <w:rPr>
                      <w:color w:val="auto"/>
                      <w:szCs w:val="21"/>
                    </w:rPr>
                    <w:t>2.0</w:t>
                  </w:r>
                </w:p>
              </w:tc>
            </w:tr>
            <w:tr w14:paraId="1BFA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550" w:type="dxa"/>
                  <w:vAlign w:val="center"/>
                </w:tcPr>
                <w:p w14:paraId="4E26CEDC">
                  <w:pPr>
                    <w:autoSpaceDE w:val="0"/>
                    <w:autoSpaceDN w:val="0"/>
                    <w:snapToGrid w:val="0"/>
                    <w:jc w:val="center"/>
                    <w:rPr>
                      <w:color w:val="auto"/>
                      <w:szCs w:val="21"/>
                    </w:rPr>
                  </w:pPr>
                  <w:r>
                    <w:rPr>
                      <w:color w:val="auto"/>
                      <w:szCs w:val="21"/>
                    </w:rPr>
                    <w:t>净化设施最低去除效率(%)</w:t>
                  </w:r>
                </w:p>
              </w:tc>
              <w:tc>
                <w:tcPr>
                  <w:tcW w:w="1860" w:type="dxa"/>
                  <w:vAlign w:val="center"/>
                </w:tcPr>
                <w:p w14:paraId="2535E6FC">
                  <w:pPr>
                    <w:autoSpaceDE w:val="0"/>
                    <w:autoSpaceDN w:val="0"/>
                    <w:snapToGrid w:val="0"/>
                    <w:jc w:val="center"/>
                    <w:rPr>
                      <w:color w:val="auto"/>
                      <w:szCs w:val="21"/>
                    </w:rPr>
                  </w:pPr>
                  <w:r>
                    <w:rPr>
                      <w:color w:val="auto"/>
                      <w:szCs w:val="21"/>
                    </w:rPr>
                    <w:t>60</w:t>
                  </w:r>
                </w:p>
              </w:tc>
            </w:tr>
          </w:tbl>
          <w:p w14:paraId="2A01A41E">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14:paraId="5ACE607B">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rPr>
              <w:t>云南寻甸产业园区总体规划修编（2021-2035）环境影</w:t>
            </w:r>
            <w:r>
              <w:rPr>
                <w:rFonts w:hint="default" w:ascii="Times New Roman" w:hAnsi="Times New Roman" w:eastAsia="宋体" w:cs="Times New Roman"/>
                <w:b w:val="0"/>
                <w:bCs w:val="0"/>
                <w:color w:val="auto"/>
                <w:sz w:val="24"/>
                <w:szCs w:val="24"/>
                <w:highlight w:val="none"/>
              </w:rPr>
              <w:t>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rPr>
              <w:t>需间接排放废水达到《污水排入城镇下水道水质标准》（GB/T31962-2015）A等级（间接排放的氨氮、总磷需执行《工业企业废水氮、磷污染物间接排放限值》（DB5301T49-2021））、行业排放标准（如果有行业标准执行行业标准）后，排入园区污水管网，最终进入园区污水处理厂进行处理。</w:t>
            </w:r>
          </w:p>
          <w:p w14:paraId="64B71FE5">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w:t>
            </w:r>
            <w:r>
              <w:rPr>
                <w:rFonts w:hint="eastAsia" w:cs="Times New Roman"/>
                <w:b w:val="0"/>
                <w:bCs w:val="0"/>
                <w:color w:val="auto"/>
                <w:sz w:val="24"/>
                <w:szCs w:val="24"/>
                <w:highlight w:val="none"/>
                <w:lang w:val="en-US" w:eastAsia="zh-CN"/>
              </w:rPr>
              <w:t>、</w:t>
            </w:r>
            <w:r>
              <w:rPr>
                <w:rFonts w:hint="eastAsia"/>
                <w:color w:val="auto"/>
                <w:sz w:val="24"/>
                <w:szCs w:val="24"/>
              </w:rPr>
              <w:t>脱胶脱磷废水</w:t>
            </w:r>
            <w:r>
              <w:rPr>
                <w:rFonts w:hint="eastAsia"/>
                <w:color w:val="auto"/>
                <w:sz w:val="24"/>
                <w:szCs w:val="24"/>
                <w:lang w:eastAsia="zh-CN"/>
              </w:rPr>
              <w:t>、牛肉腌制废水、</w:t>
            </w:r>
            <w:r>
              <w:rPr>
                <w:rFonts w:hint="eastAsia" w:ascii="Times New Roman" w:hAnsi="Times New Roman" w:eastAsia="宋体" w:cs="Times New Roman"/>
                <w:color w:val="auto"/>
                <w:sz w:val="24"/>
                <w:szCs w:val="24"/>
                <w:lang w:val="en-US" w:eastAsia="zh-CN"/>
              </w:rPr>
              <w:t>车间地面清洗</w:t>
            </w:r>
            <w:r>
              <w:rPr>
                <w:rFonts w:hint="default" w:ascii="Times New Roman" w:hAnsi="Times New Roman" w:eastAsia="宋体" w:cs="Times New Roman"/>
                <w:color w:val="auto"/>
                <w:sz w:val="24"/>
                <w:szCs w:val="24"/>
                <w:lang w:val="en-US" w:eastAsia="zh-CN"/>
              </w:rPr>
              <w:t>废水</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设备清洗废水</w:t>
            </w:r>
            <w:r>
              <w:rPr>
                <w:rFonts w:hint="default" w:ascii="Times New Roman" w:hAnsi="Times New Roman" w:eastAsia="宋体" w:cs="Times New Roman"/>
                <w:b w:val="0"/>
                <w:bCs w:val="0"/>
                <w:color w:val="auto"/>
                <w:sz w:val="24"/>
                <w:szCs w:val="24"/>
                <w:highlight w:val="none"/>
                <w:lang w:val="en-US" w:eastAsia="zh-CN"/>
              </w:rPr>
              <w:t>经隔油池预处理后与其他办公生活污水、生产废水一并进入化粪池、自建污水处理设施处理达标后经市政污水管网排入寻甸产业园区羊街片区污水处理厂进行处理。因此，本项目废水执行《污水排入城镇下水道水质标准》（GB/T 31962-2015）A等级标准及</w:t>
            </w:r>
            <w:r>
              <w:rPr>
                <w:rFonts w:hint="default" w:ascii="Times New Roman" w:hAnsi="Times New Roman" w:eastAsia="宋体" w:cs="Times New Roman"/>
                <w:color w:val="auto"/>
                <w:sz w:val="24"/>
                <w:szCs w:val="24"/>
              </w:rPr>
              <w:t>《工业企业废水氮、磷污染物间接排放限值》（DB5301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49-2021）</w:t>
            </w:r>
            <w:r>
              <w:rPr>
                <w:rFonts w:hint="default" w:ascii="Times New Roman" w:hAnsi="Times New Roman" w:eastAsia="宋体" w:cs="Times New Roman"/>
                <w:color w:val="auto"/>
                <w:sz w:val="24"/>
                <w:szCs w:val="24"/>
                <w:lang w:val="en-US" w:eastAsia="zh-CN"/>
              </w:rPr>
              <w:t>标准要求，</w:t>
            </w:r>
            <w:r>
              <w:rPr>
                <w:rFonts w:hint="default" w:ascii="Times New Roman" w:hAnsi="Times New Roman" w:eastAsia="宋体" w:cs="Times New Roman"/>
                <w:b w:val="0"/>
                <w:bCs w:val="0"/>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val="en-US" w:eastAsia="zh-CN"/>
              </w:rPr>
              <w:t>执行标准值见表3-</w:t>
            </w:r>
            <w:r>
              <w:rPr>
                <w:rFonts w:hint="eastAsia"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w:t>
            </w:r>
          </w:p>
          <w:p w14:paraId="2778E8FE">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w:t>
            </w:r>
            <w:r>
              <w:rPr>
                <w:rFonts w:hint="eastAsia" w:cs="Times New Roman"/>
                <w:b/>
                <w:bCs/>
                <w:color w:val="auto"/>
                <w:sz w:val="21"/>
                <w:szCs w:val="21"/>
                <w:highlight w:val="none"/>
                <w:lang w:val="en-US" w:eastAsia="zh-CN" w:bidi="ar"/>
              </w:rPr>
              <w:t>14</w:t>
            </w:r>
            <w:r>
              <w:rPr>
                <w:rFonts w:hint="default" w:ascii="Times New Roman" w:hAnsi="Times New Roman" w:eastAsia="宋体" w:cs="Times New Roman"/>
                <w:b/>
                <w:bCs/>
                <w:color w:val="auto"/>
                <w:sz w:val="21"/>
                <w:szCs w:val="21"/>
                <w:highlight w:val="none"/>
                <w:lang w:val="en-US" w:eastAsia="zh-CN" w:bidi="ar"/>
              </w:rPr>
              <w:t xml:space="preserve">  本项目废水排放标准</w:t>
            </w:r>
          </w:p>
          <w:tbl>
            <w:tblPr>
              <w:tblStyle w:val="26"/>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3"/>
              <w:gridCol w:w="1324"/>
              <w:gridCol w:w="1960"/>
              <w:gridCol w:w="1336"/>
            </w:tblGrid>
            <w:tr w14:paraId="2954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14:paraId="564AF716">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1324" w:type="dxa"/>
                  <w:vAlign w:val="center"/>
                </w:tcPr>
                <w:p w14:paraId="6BDBEB8F">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GB/T31962-2015中A等级标准</w:t>
                  </w:r>
                </w:p>
              </w:tc>
              <w:tc>
                <w:tcPr>
                  <w:tcW w:w="1960" w:type="dxa"/>
                  <w:vAlign w:val="center"/>
                </w:tcPr>
                <w:p w14:paraId="738A925A">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rPr>
                    <w:t>DB5301</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rPr>
                    <w:t>T49-2021</w:t>
                  </w:r>
                  <w:r>
                    <w:rPr>
                      <w:rFonts w:hint="default" w:ascii="Times New Roman" w:hAnsi="Times New Roman" w:eastAsia="宋体" w:cs="Times New Roman"/>
                      <w:b/>
                      <w:bCs/>
                      <w:color w:val="auto"/>
                      <w:sz w:val="21"/>
                      <w:szCs w:val="21"/>
                      <w:lang w:val="en-US" w:eastAsia="zh-CN"/>
                    </w:rPr>
                    <w:t>间接排放标准</w:t>
                  </w:r>
                </w:p>
              </w:tc>
              <w:tc>
                <w:tcPr>
                  <w:tcW w:w="1336" w:type="dxa"/>
                  <w:vAlign w:val="center"/>
                </w:tcPr>
                <w:p w14:paraId="50ACDDCB">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本项目最终执行标准</w:t>
                  </w:r>
                </w:p>
              </w:tc>
            </w:tr>
            <w:tr w14:paraId="3D47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14:paraId="18870ED4">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1324" w:type="dxa"/>
                  <w:vAlign w:val="center"/>
                </w:tcPr>
                <w:p w14:paraId="4C3205D8">
                  <w:pPr>
                    <w:pStyle w:val="44"/>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c>
                <w:tcPr>
                  <w:tcW w:w="1960" w:type="dxa"/>
                  <w:vAlign w:val="center"/>
                </w:tcPr>
                <w:p w14:paraId="27DFD332">
                  <w:pPr>
                    <w:pStyle w:val="44"/>
                    <w:shd w:val="clear" w:color="auto" w:fill="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14:paraId="65CA095C">
                  <w:pPr>
                    <w:pStyle w:val="44"/>
                    <w:shd w:val="clear" w:color="auto" w:fill="auto"/>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6.5~9.5</w:t>
                  </w:r>
                </w:p>
              </w:tc>
            </w:tr>
            <w:tr w14:paraId="022A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14:paraId="131BB432">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化学需氧量（COD）/（mg/L）≤</w:t>
                  </w:r>
                </w:p>
              </w:tc>
              <w:tc>
                <w:tcPr>
                  <w:tcW w:w="1324" w:type="dxa"/>
                  <w:vAlign w:val="center"/>
                </w:tcPr>
                <w:p w14:paraId="54D97BAF">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c>
                <w:tcPr>
                  <w:tcW w:w="1960" w:type="dxa"/>
                  <w:vAlign w:val="center"/>
                </w:tcPr>
                <w:p w14:paraId="2C004E05">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14:paraId="53EEA3CE">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r>
            <w:tr w14:paraId="5574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14:paraId="44345EFD">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1324" w:type="dxa"/>
                  <w:vAlign w:val="center"/>
                </w:tcPr>
                <w:p w14:paraId="1FBCE6CC">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c>
                <w:tcPr>
                  <w:tcW w:w="1960" w:type="dxa"/>
                  <w:vAlign w:val="center"/>
                </w:tcPr>
                <w:p w14:paraId="26F883DE">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14:paraId="41131597">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350</w:t>
                  </w:r>
                </w:p>
              </w:tc>
            </w:tr>
            <w:tr w14:paraId="1DA9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14:paraId="103DEB56">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悬浮物/（mg/L）≤</w:t>
                  </w:r>
                </w:p>
              </w:tc>
              <w:tc>
                <w:tcPr>
                  <w:tcW w:w="1324" w:type="dxa"/>
                  <w:vAlign w:val="center"/>
                </w:tcPr>
                <w:p w14:paraId="6689F899">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1960" w:type="dxa"/>
                  <w:vAlign w:val="center"/>
                </w:tcPr>
                <w:p w14:paraId="78669A70">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14:paraId="559122C1">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r>
            <w:tr w14:paraId="0EBC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14:paraId="322D7049">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1324" w:type="dxa"/>
                  <w:vAlign w:val="center"/>
                </w:tcPr>
                <w:p w14:paraId="63A108F4">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c>
                <w:tcPr>
                  <w:tcW w:w="1960" w:type="dxa"/>
                  <w:vAlign w:val="center"/>
                </w:tcPr>
                <w:p w14:paraId="50EA96FC">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25（其他工业企业）</w:t>
                  </w:r>
                </w:p>
              </w:tc>
              <w:tc>
                <w:tcPr>
                  <w:tcW w:w="1336" w:type="dxa"/>
                  <w:vAlign w:val="center"/>
                </w:tcPr>
                <w:p w14:paraId="2F00186A">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r w14:paraId="6F49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3" w:type="dxa"/>
                  <w:vAlign w:val="center"/>
                </w:tcPr>
                <w:p w14:paraId="7B1D40F2">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总氮/（mg/L）≤</w:t>
                  </w:r>
                </w:p>
              </w:tc>
              <w:tc>
                <w:tcPr>
                  <w:tcW w:w="1324" w:type="dxa"/>
                  <w:vAlign w:val="center"/>
                </w:tcPr>
                <w:p w14:paraId="3C5FD142">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960" w:type="dxa"/>
                  <w:vAlign w:val="center"/>
                </w:tcPr>
                <w:p w14:paraId="154BA346">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45（其他工业企业）</w:t>
                  </w:r>
                </w:p>
              </w:tc>
              <w:tc>
                <w:tcPr>
                  <w:tcW w:w="1336" w:type="dxa"/>
                  <w:vAlign w:val="center"/>
                </w:tcPr>
                <w:p w14:paraId="2F92133C">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r>
            <w:tr w14:paraId="2CB6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14:paraId="06FE9A68">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总磷/（mg/L）≤</w:t>
                  </w:r>
                </w:p>
              </w:tc>
              <w:tc>
                <w:tcPr>
                  <w:tcW w:w="1324" w:type="dxa"/>
                  <w:vAlign w:val="center"/>
                </w:tcPr>
                <w:p w14:paraId="2DD0BC6B">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960" w:type="dxa"/>
                  <w:vAlign w:val="center"/>
                </w:tcPr>
                <w:p w14:paraId="54D834E9">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7（其他工业企业）</w:t>
                  </w:r>
                </w:p>
              </w:tc>
              <w:tc>
                <w:tcPr>
                  <w:tcW w:w="1336" w:type="dxa"/>
                  <w:vAlign w:val="center"/>
                </w:tcPr>
                <w:p w14:paraId="3F900C30">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r>
            <w:tr w14:paraId="33CC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14:paraId="6216EA72">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LAS/（mg/L）≤</w:t>
                  </w:r>
                </w:p>
              </w:tc>
              <w:tc>
                <w:tcPr>
                  <w:tcW w:w="1324" w:type="dxa"/>
                  <w:vAlign w:val="center"/>
                </w:tcPr>
                <w:p w14:paraId="22B2CBC7">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960" w:type="dxa"/>
                  <w:vAlign w:val="center"/>
                </w:tcPr>
                <w:p w14:paraId="39977773">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14:paraId="12F56784">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14:paraId="633D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14:paraId="2F8CF2D2">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动植物油/（mg/L）≤</w:t>
                  </w:r>
                </w:p>
              </w:tc>
              <w:tc>
                <w:tcPr>
                  <w:tcW w:w="1324" w:type="dxa"/>
                  <w:vAlign w:val="center"/>
                </w:tcPr>
                <w:p w14:paraId="508B7453">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960" w:type="dxa"/>
                  <w:vAlign w:val="center"/>
                </w:tcPr>
                <w:p w14:paraId="09500F94">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14:paraId="1B659CE9">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14:paraId="595C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793" w:type="dxa"/>
                  <w:vAlign w:val="center"/>
                </w:tcPr>
                <w:p w14:paraId="673DD844">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色度（倍）</w:t>
                  </w:r>
                </w:p>
              </w:tc>
              <w:tc>
                <w:tcPr>
                  <w:tcW w:w="1324" w:type="dxa"/>
                  <w:vAlign w:val="center"/>
                </w:tcPr>
                <w:p w14:paraId="3FD3A7AC">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c>
                <w:tcPr>
                  <w:tcW w:w="1960" w:type="dxa"/>
                  <w:vAlign w:val="center"/>
                </w:tcPr>
                <w:p w14:paraId="5B9AB87B">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336" w:type="dxa"/>
                  <w:vAlign w:val="center"/>
                </w:tcPr>
                <w:p w14:paraId="22956FE2">
                  <w:pPr>
                    <w:pStyle w:val="44"/>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r>
            <w:tr w14:paraId="240B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4"/>
                  <w:vAlign w:val="center"/>
                </w:tcPr>
                <w:p w14:paraId="3A8FD724">
                  <w:pPr>
                    <w:pStyle w:val="44"/>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14:paraId="49A00A29">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14:paraId="2B0CBAEC">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14:paraId="3CBA0588">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14:paraId="07996C03">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15</w:t>
            </w:r>
            <w:r>
              <w:rPr>
                <w:rFonts w:hint="default" w:ascii="Times New Roman" w:hAnsi="Times New Roman" w:eastAsia="宋体" w:cs="Times New Roman"/>
                <w:color w:val="auto"/>
                <w:kern w:val="0"/>
                <w:sz w:val="24"/>
                <w:highlight w:val="none"/>
              </w:rPr>
              <w:t>。</w:t>
            </w:r>
          </w:p>
          <w:p w14:paraId="210A8C28">
            <w:pPr>
              <w:adjustRightInd w:val="0"/>
              <w:snapToGrid w:val="0"/>
              <w:jc w:val="center"/>
              <w:textAlignment w:val="baseline"/>
              <w:rPr>
                <w:rFonts w:hint="default" w:ascii="Times New Roman" w:hAnsi="Times New Roman" w:eastAsia="宋体" w:cs="Times New Roman"/>
                <w:b/>
                <w:bCs/>
                <w:color w:val="auto"/>
                <w:highlight w:val="none"/>
              </w:rPr>
            </w:pPr>
          </w:p>
          <w:p w14:paraId="0A783179">
            <w:pP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w:t>
            </w:r>
            <w:r>
              <w:rPr>
                <w:rFonts w:hint="eastAsia" w:cs="Times New Roman"/>
                <w:b/>
                <w:bCs/>
                <w:color w:val="auto"/>
                <w:highlight w:val="none"/>
                <w:lang w:val="en-US" w:eastAsia="zh-CN"/>
              </w:rPr>
              <w:t>15</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6"/>
              <w:tblW w:w="845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4"/>
              <w:gridCol w:w="1453"/>
              <w:gridCol w:w="3788"/>
            </w:tblGrid>
            <w:tr w14:paraId="2F54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noWrap w:val="0"/>
                  <w:vAlign w:val="center"/>
                </w:tcPr>
                <w:p w14:paraId="45FEA326">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3087" w:type="dxa"/>
                  <w:gridSpan w:val="2"/>
                  <w:noWrap w:val="0"/>
                  <w:vAlign w:val="center"/>
                </w:tcPr>
                <w:p w14:paraId="07082D25">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3788" w:type="dxa"/>
                  <w:noWrap w:val="0"/>
                  <w:vAlign w:val="center"/>
                </w:tcPr>
                <w:p w14:paraId="3E6FDC92">
                  <w:pPr>
                    <w:pStyle w:val="25"/>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14:paraId="5AA3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vMerge w:val="restart"/>
                  <w:noWrap w:val="0"/>
                  <w:vAlign w:val="center"/>
                </w:tcPr>
                <w:p w14:paraId="07BBAA42">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1634" w:type="dxa"/>
                  <w:noWrap w:val="0"/>
                  <w:vAlign w:val="center"/>
                </w:tcPr>
                <w:p w14:paraId="72644DAC">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1453" w:type="dxa"/>
                  <w:noWrap w:val="0"/>
                  <w:vAlign w:val="center"/>
                </w:tcPr>
                <w:p w14:paraId="0D474999">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3788" w:type="dxa"/>
                  <w:vMerge w:val="restart"/>
                  <w:noWrap w:val="0"/>
                  <w:vAlign w:val="center"/>
                </w:tcPr>
                <w:p w14:paraId="2D79B984">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14:paraId="628C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vMerge w:val="continue"/>
                  <w:noWrap w:val="0"/>
                  <w:vAlign w:val="center"/>
                </w:tcPr>
                <w:p w14:paraId="60508025">
                  <w:pPr>
                    <w:pStyle w:val="25"/>
                    <w:spacing w:after="0"/>
                    <w:ind w:left="0" w:leftChars="0" w:firstLine="0" w:firstLineChars="0"/>
                    <w:jc w:val="center"/>
                    <w:rPr>
                      <w:rFonts w:hint="default" w:ascii="Times New Roman" w:hAnsi="Times New Roman" w:eastAsia="宋体" w:cs="Times New Roman"/>
                      <w:bCs/>
                      <w:color w:val="auto"/>
                      <w:highlight w:val="none"/>
                    </w:rPr>
                  </w:pPr>
                </w:p>
              </w:tc>
              <w:tc>
                <w:tcPr>
                  <w:tcW w:w="1634" w:type="dxa"/>
                  <w:noWrap w:val="0"/>
                  <w:vAlign w:val="center"/>
                </w:tcPr>
                <w:p w14:paraId="48CA2F10">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1453" w:type="dxa"/>
                  <w:noWrap w:val="0"/>
                  <w:vAlign w:val="center"/>
                </w:tcPr>
                <w:p w14:paraId="4357EF84">
                  <w:pPr>
                    <w:pStyle w:val="25"/>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3788" w:type="dxa"/>
                  <w:vMerge w:val="continue"/>
                  <w:noWrap w:val="0"/>
                  <w:vAlign w:val="center"/>
                </w:tcPr>
                <w:p w14:paraId="2BC4BFF3">
                  <w:pPr>
                    <w:pStyle w:val="25"/>
                    <w:spacing w:after="0"/>
                    <w:ind w:left="0" w:leftChars="0" w:firstLine="0" w:firstLineChars="0"/>
                    <w:jc w:val="center"/>
                    <w:rPr>
                      <w:rFonts w:hint="default" w:ascii="Times New Roman" w:hAnsi="Times New Roman" w:eastAsia="宋体" w:cs="Times New Roman"/>
                      <w:bCs/>
                      <w:color w:val="auto"/>
                      <w:sz w:val="24"/>
                      <w:highlight w:val="none"/>
                    </w:rPr>
                  </w:pPr>
                </w:p>
              </w:tc>
            </w:tr>
          </w:tbl>
          <w:p w14:paraId="267AFE21">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14:paraId="7A712039">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highlight w:val="none"/>
              </w:rPr>
              <w:t>噪声排放执行《工业企业厂界环境噪声排放标准》（GB12348-2008）</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kern w:val="2"/>
                <w:sz w:val="24"/>
                <w:highlight w:val="none"/>
              </w:rPr>
              <w:t>标准限</w:t>
            </w:r>
            <w:r>
              <w:rPr>
                <w:rFonts w:hint="default" w:ascii="Times New Roman" w:hAnsi="Times New Roman" w:eastAsia="宋体" w:cs="Times New Roman"/>
                <w:color w:val="auto"/>
                <w:kern w:val="0"/>
                <w:sz w:val="24"/>
                <w:highlight w:val="none"/>
              </w:rPr>
              <w:t>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14:paraId="015F98A2">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1</w:t>
            </w:r>
            <w:r>
              <w:rPr>
                <w:rFonts w:hint="eastAsia" w:cs="Times New Roman"/>
                <w:b/>
                <w:color w:val="auto"/>
                <w:kern w:val="21"/>
                <w:szCs w:val="21"/>
                <w:highlight w:val="none"/>
                <w:lang w:val="en-US" w:eastAsia="zh-CN"/>
              </w:rPr>
              <w:t>6</w:t>
            </w:r>
            <w:r>
              <w:rPr>
                <w:rFonts w:hint="default" w:ascii="Times New Roman" w:hAnsi="Times New Roman" w:eastAsia="宋体" w:cs="Times New Roman"/>
                <w:b/>
                <w:color w:val="auto"/>
                <w:kern w:val="21"/>
                <w:szCs w:val="21"/>
                <w:highlight w:val="none"/>
                <w:lang w:val="en-US" w:eastAsia="zh-CN"/>
              </w:rPr>
              <w:t xml:space="preserve">  </w:t>
            </w:r>
            <w:r>
              <w:rPr>
                <w:rFonts w:hint="default" w:ascii="Times New Roman" w:hAnsi="Times New Roman" w:eastAsia="宋体" w:cs="Times New Roman"/>
                <w:b/>
                <w:color w:val="auto"/>
                <w:kern w:val="21"/>
                <w:szCs w:val="21"/>
                <w:highlight w:val="none"/>
              </w:rPr>
              <w:t>工业企业厂界环境噪声排放标准   单位：dB（A）</w:t>
            </w:r>
          </w:p>
          <w:tbl>
            <w:tblPr>
              <w:tblStyle w:val="26"/>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2329"/>
              <w:gridCol w:w="1412"/>
            </w:tblGrid>
            <w:tr w14:paraId="461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restart"/>
                  <w:vAlign w:val="center"/>
                </w:tcPr>
                <w:p w14:paraId="6F0CF0BA">
                  <w:pP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3741" w:type="dxa"/>
                  <w:gridSpan w:val="2"/>
                  <w:vAlign w:val="center"/>
                </w:tcPr>
                <w:p w14:paraId="263E293D">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14:paraId="495F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Merge w:val="continue"/>
                  <w:vAlign w:val="center"/>
                </w:tcPr>
                <w:p w14:paraId="416BD749">
                  <w:pP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2329" w:type="dxa"/>
                  <w:vAlign w:val="center"/>
                </w:tcPr>
                <w:p w14:paraId="1FFF86A4">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14:paraId="09C3B036">
                  <w:pP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14:paraId="50DF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3" w:type="dxa"/>
                  <w:vAlign w:val="center"/>
                </w:tcPr>
                <w:p w14:paraId="612D204E">
                  <w:pPr>
                    <w:tabs>
                      <w:tab w:val="left" w:pos="0"/>
                    </w:tabs>
                    <w:adjustRightInd w:val="0"/>
                    <w:snapToGrid w:val="0"/>
                    <w:jc w:val="center"/>
                    <w:rPr>
                      <w:rFonts w:hint="default" w:ascii="Times New Roman" w:hAnsi="Times New Roman" w:eastAsia="宋体" w:cs="Times New Roman"/>
                      <w:bCs/>
                      <w:color w:val="auto"/>
                      <w:kern w:val="21"/>
                      <w:szCs w:val="21"/>
                      <w:highlight w:val="none"/>
                      <w:lang w:eastAsia="zh-CN"/>
                    </w:rPr>
                  </w:pPr>
                  <w:r>
                    <w:rPr>
                      <w:rFonts w:hint="default" w:ascii="Times New Roman" w:hAnsi="Times New Roman" w:eastAsia="宋体" w:cs="Times New Roman"/>
                      <w:bCs/>
                      <w:color w:val="auto"/>
                      <w:kern w:val="21"/>
                      <w:szCs w:val="21"/>
                      <w:highlight w:val="none"/>
                      <w:lang w:val="en-US" w:eastAsia="zh-CN"/>
                    </w:rPr>
                    <w:t>3</w:t>
                  </w:r>
                  <w:r>
                    <w:rPr>
                      <w:rFonts w:hint="default" w:ascii="Times New Roman" w:hAnsi="Times New Roman" w:eastAsia="宋体" w:cs="Times New Roman"/>
                      <w:bCs/>
                      <w:color w:val="auto"/>
                      <w:kern w:val="21"/>
                      <w:szCs w:val="21"/>
                      <w:highlight w:val="none"/>
                    </w:rPr>
                    <w:t>类</w:t>
                  </w:r>
                </w:p>
              </w:tc>
              <w:tc>
                <w:tcPr>
                  <w:tcW w:w="2329" w:type="dxa"/>
                  <w:vAlign w:val="center"/>
                </w:tcPr>
                <w:p w14:paraId="6F21A5DF">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14:paraId="2A773231">
                  <w:pP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bl>
          <w:p w14:paraId="6490D54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14:paraId="26EEC400">
            <w:pPr>
              <w:pStyle w:val="15"/>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Style w:val="7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w:t>
            </w:r>
          </w:p>
        </w:tc>
      </w:tr>
      <w:tr w14:paraId="10182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14:paraId="77D10E39">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14:paraId="63536EB0">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14:paraId="74E14663">
            <w:pP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86" w:type="dxa"/>
            <w:vAlign w:val="center"/>
          </w:tcPr>
          <w:p w14:paraId="0F9B4B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14:paraId="764BA10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14:paraId="33B327E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14:paraId="2B66801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szCs w:val="24"/>
                <w:highlight w:val="none"/>
                <w:lang w:eastAsia="zh-CN"/>
              </w:rPr>
            </w:pPr>
            <w:r>
              <w:rPr>
                <w:color w:val="auto"/>
                <w:kern w:val="0"/>
                <w:sz w:val="24"/>
                <w:szCs w:val="24"/>
                <w:highlight w:val="none"/>
              </w:rPr>
              <w:t>废气量</w:t>
            </w:r>
            <w:r>
              <w:rPr>
                <w:rFonts w:hint="eastAsia"/>
                <w:color w:val="auto"/>
                <w:kern w:val="0"/>
                <w:sz w:val="24"/>
                <w:szCs w:val="24"/>
                <w:highlight w:val="none"/>
                <w:lang w:eastAsia="zh-CN"/>
              </w:rPr>
              <w:t>：</w:t>
            </w:r>
            <w:r>
              <w:rPr>
                <w:rFonts w:hint="eastAsia" w:cs="Times New Roman"/>
                <w:color w:val="auto"/>
                <w:sz w:val="24"/>
                <w:szCs w:val="24"/>
                <w:highlight w:val="none"/>
                <w:lang w:val="en-US" w:eastAsia="zh-CN"/>
              </w:rPr>
              <w:t>4188.0876</w:t>
            </w:r>
            <w:r>
              <w:rPr>
                <w:color w:val="auto"/>
                <w:kern w:val="0"/>
                <w:sz w:val="24"/>
                <w:szCs w:val="24"/>
                <w:highlight w:val="none"/>
              </w:rPr>
              <w:t>万</w:t>
            </w:r>
            <w:r>
              <w:rPr>
                <w:bCs/>
                <w:color w:val="auto"/>
                <w:kern w:val="0"/>
                <w:sz w:val="24"/>
                <w:szCs w:val="24"/>
                <w:highlight w:val="none"/>
              </w:rPr>
              <w:t>Nm</w:t>
            </w:r>
            <w:r>
              <w:rPr>
                <w:bCs/>
                <w:color w:val="auto"/>
                <w:kern w:val="0"/>
                <w:sz w:val="24"/>
                <w:szCs w:val="24"/>
                <w:highlight w:val="none"/>
                <w:vertAlign w:val="superscript"/>
              </w:rPr>
              <w:t>3</w:t>
            </w:r>
            <w:r>
              <w:rPr>
                <w:bCs/>
                <w:color w:val="auto"/>
                <w:kern w:val="0"/>
                <w:sz w:val="24"/>
                <w:szCs w:val="24"/>
                <w:highlight w:val="none"/>
              </w:rPr>
              <w:t>/a，</w:t>
            </w:r>
            <w:r>
              <w:rPr>
                <w:rFonts w:hint="eastAsia"/>
                <w:color w:val="auto"/>
                <w:sz w:val="24"/>
                <w:szCs w:val="24"/>
                <w:highlight w:val="none"/>
              </w:rPr>
              <w:t>颗粒物排放量为0.0</w:t>
            </w:r>
            <w:r>
              <w:rPr>
                <w:rFonts w:hint="eastAsia"/>
                <w:color w:val="auto"/>
                <w:sz w:val="24"/>
                <w:szCs w:val="24"/>
                <w:highlight w:val="none"/>
                <w:lang w:val="en-US" w:eastAsia="zh-CN"/>
              </w:rPr>
              <w:t>699</w:t>
            </w:r>
            <w:r>
              <w:rPr>
                <w:rFonts w:hint="eastAsia"/>
                <w:color w:val="auto"/>
                <w:sz w:val="24"/>
                <w:szCs w:val="24"/>
                <w:highlight w:val="none"/>
              </w:rPr>
              <w:t>t/a；SO</w:t>
            </w:r>
            <w:r>
              <w:rPr>
                <w:rFonts w:hint="eastAsia"/>
                <w:color w:val="auto"/>
                <w:sz w:val="24"/>
                <w:szCs w:val="24"/>
                <w:highlight w:val="none"/>
                <w:vertAlign w:val="subscript"/>
              </w:rPr>
              <w:t>2</w:t>
            </w:r>
            <w:r>
              <w:rPr>
                <w:rFonts w:hint="eastAsia"/>
                <w:color w:val="auto"/>
                <w:sz w:val="24"/>
                <w:szCs w:val="24"/>
                <w:highlight w:val="none"/>
              </w:rPr>
              <w:t>排放量</w:t>
            </w:r>
            <w:r>
              <w:rPr>
                <w:rFonts w:hint="eastAsia"/>
                <w:color w:val="auto"/>
                <w:sz w:val="24"/>
                <w:szCs w:val="24"/>
                <w:highlight w:val="none"/>
                <w:lang w:eastAsia="zh-CN"/>
              </w:rPr>
              <w:t>为</w:t>
            </w:r>
            <w:r>
              <w:rPr>
                <w:rFonts w:hint="eastAsia"/>
                <w:color w:val="auto"/>
                <w:sz w:val="24"/>
                <w:szCs w:val="24"/>
                <w:highlight w:val="none"/>
                <w:lang w:val="en-US" w:eastAsia="zh-CN"/>
              </w:rPr>
              <w:t>2.3771</w:t>
            </w:r>
            <w:r>
              <w:rPr>
                <w:rFonts w:hint="eastAsia"/>
                <w:color w:val="auto"/>
                <w:sz w:val="24"/>
                <w:szCs w:val="24"/>
                <w:highlight w:val="none"/>
              </w:rPr>
              <w:t>t/a；NO</w:t>
            </w:r>
            <w:r>
              <w:rPr>
                <w:rFonts w:hint="eastAsia"/>
                <w:color w:val="auto"/>
                <w:sz w:val="24"/>
                <w:szCs w:val="24"/>
                <w:highlight w:val="none"/>
                <w:vertAlign w:val="subscript"/>
              </w:rPr>
              <w:t>x</w:t>
            </w:r>
            <w:r>
              <w:rPr>
                <w:rFonts w:hint="eastAsia"/>
                <w:color w:val="auto"/>
                <w:sz w:val="24"/>
                <w:szCs w:val="24"/>
                <w:highlight w:val="none"/>
              </w:rPr>
              <w:t>排放量</w:t>
            </w:r>
            <w:r>
              <w:rPr>
                <w:rFonts w:hint="eastAsia"/>
                <w:color w:val="auto"/>
                <w:sz w:val="24"/>
                <w:szCs w:val="24"/>
                <w:highlight w:val="none"/>
                <w:lang w:eastAsia="zh-CN"/>
              </w:rPr>
              <w:t>为</w:t>
            </w:r>
            <w:r>
              <w:rPr>
                <w:rFonts w:hint="eastAsia"/>
                <w:color w:val="auto"/>
                <w:sz w:val="24"/>
                <w:szCs w:val="24"/>
                <w:highlight w:val="none"/>
                <w:lang w:val="en-US" w:eastAsia="zh-CN"/>
              </w:rPr>
              <w:t>2.8525</w:t>
            </w:r>
            <w:r>
              <w:rPr>
                <w:rFonts w:hint="eastAsia"/>
                <w:color w:val="auto"/>
                <w:sz w:val="24"/>
                <w:szCs w:val="24"/>
                <w:highlight w:val="none"/>
              </w:rPr>
              <w:t>t/a；</w:t>
            </w:r>
            <w:r>
              <w:rPr>
                <w:rFonts w:hint="eastAsia"/>
                <w:color w:val="auto"/>
                <w:sz w:val="24"/>
                <w:szCs w:val="24"/>
                <w:highlight w:val="none"/>
                <w:lang w:eastAsia="zh-CN"/>
              </w:rPr>
              <w:t>油烟</w:t>
            </w:r>
            <w:r>
              <w:rPr>
                <w:rFonts w:hint="eastAsia"/>
                <w:color w:val="auto"/>
                <w:sz w:val="24"/>
                <w:szCs w:val="24"/>
                <w:highlight w:val="none"/>
              </w:rPr>
              <w:t>排放量0.</w:t>
            </w:r>
            <w:r>
              <w:rPr>
                <w:rFonts w:hint="eastAsia"/>
                <w:color w:val="auto"/>
                <w:sz w:val="24"/>
                <w:szCs w:val="24"/>
                <w:highlight w:val="none"/>
                <w:lang w:val="en-US" w:eastAsia="zh-CN"/>
              </w:rPr>
              <w:t>21</w:t>
            </w:r>
            <w:r>
              <w:rPr>
                <w:rFonts w:hint="eastAsia"/>
                <w:color w:val="auto"/>
                <w:sz w:val="24"/>
                <w:szCs w:val="24"/>
                <w:highlight w:val="none"/>
              </w:rPr>
              <w:t>t/a；</w:t>
            </w:r>
            <w:r>
              <w:rPr>
                <w:rFonts w:hint="eastAsia"/>
                <w:color w:val="auto"/>
                <w:sz w:val="24"/>
                <w:szCs w:val="24"/>
                <w:highlight w:val="none"/>
                <w:lang w:eastAsia="zh-CN"/>
              </w:rPr>
              <w:t>非甲烷总烃</w:t>
            </w:r>
            <w:r>
              <w:rPr>
                <w:rFonts w:hint="eastAsia"/>
                <w:color w:val="auto"/>
                <w:sz w:val="24"/>
                <w:szCs w:val="24"/>
                <w:highlight w:val="none"/>
              </w:rPr>
              <w:t>排放量为0.</w:t>
            </w:r>
            <w:r>
              <w:rPr>
                <w:rFonts w:hint="eastAsia"/>
                <w:color w:val="auto"/>
                <w:sz w:val="24"/>
                <w:szCs w:val="24"/>
                <w:highlight w:val="none"/>
                <w:lang w:val="en-US" w:eastAsia="zh-CN"/>
              </w:rPr>
              <w:t>28</w:t>
            </w:r>
            <w:r>
              <w:rPr>
                <w:rFonts w:hint="eastAsia"/>
                <w:color w:val="auto"/>
                <w:sz w:val="24"/>
                <w:szCs w:val="24"/>
                <w:highlight w:val="none"/>
              </w:rPr>
              <w:t>t/</w:t>
            </w:r>
            <w:r>
              <w:rPr>
                <w:rFonts w:hint="eastAsia"/>
                <w:color w:val="auto"/>
                <w:sz w:val="24"/>
                <w:highlight w:val="none"/>
              </w:rPr>
              <w:t>a</w:t>
            </w:r>
            <w:r>
              <w:rPr>
                <w:rFonts w:hint="eastAsia"/>
                <w:color w:val="auto"/>
                <w:sz w:val="24"/>
                <w:highlight w:val="none"/>
                <w:lang w:eastAsia="zh-CN"/>
              </w:rPr>
              <w:t>。</w:t>
            </w:r>
          </w:p>
          <w:p w14:paraId="3AB45585">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14:paraId="6BE3CE3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kern w:val="0"/>
                <w:sz w:val="24"/>
                <w:szCs w:val="24"/>
                <w:highlight w:val="none"/>
                <w:lang w:val="en-US" w:eastAsia="zh-CN"/>
              </w:rPr>
            </w:pPr>
            <w:r>
              <w:rPr>
                <w:rFonts w:hint="eastAsia"/>
                <w:color w:val="auto"/>
                <w:sz w:val="24"/>
                <w:highlight w:val="none"/>
                <w:lang w:eastAsia="zh-CN"/>
              </w:rPr>
              <w:t>氨</w:t>
            </w:r>
            <w:r>
              <w:rPr>
                <w:rFonts w:hint="eastAsia"/>
                <w:color w:val="auto"/>
                <w:sz w:val="24"/>
                <w:highlight w:val="none"/>
              </w:rPr>
              <w:t>排放量为0.</w:t>
            </w:r>
            <w:r>
              <w:rPr>
                <w:rFonts w:hint="eastAsia"/>
                <w:color w:val="auto"/>
                <w:sz w:val="24"/>
                <w:highlight w:val="none"/>
                <w:lang w:val="en-US" w:eastAsia="zh-CN"/>
              </w:rPr>
              <w:t>00063</w:t>
            </w:r>
            <w:r>
              <w:rPr>
                <w:rFonts w:hint="eastAsia"/>
                <w:color w:val="auto"/>
                <w:sz w:val="24"/>
                <w:highlight w:val="none"/>
              </w:rPr>
              <w:t>t/a</w:t>
            </w:r>
            <w:r>
              <w:rPr>
                <w:rFonts w:hint="eastAsia"/>
                <w:color w:val="auto"/>
                <w:sz w:val="24"/>
                <w:highlight w:val="none"/>
                <w:lang w:eastAsia="zh-CN"/>
              </w:rPr>
              <w:t>、硫化氢氨</w:t>
            </w:r>
            <w:r>
              <w:rPr>
                <w:rFonts w:hint="eastAsia"/>
                <w:color w:val="auto"/>
                <w:sz w:val="24"/>
                <w:highlight w:val="none"/>
              </w:rPr>
              <w:t>排放量为0.</w:t>
            </w:r>
            <w:r>
              <w:rPr>
                <w:rFonts w:hint="eastAsia"/>
                <w:color w:val="auto"/>
                <w:sz w:val="24"/>
                <w:highlight w:val="none"/>
                <w:lang w:val="en-US" w:eastAsia="zh-CN"/>
              </w:rPr>
              <w:t>00003</w:t>
            </w:r>
            <w:r>
              <w:rPr>
                <w:rFonts w:hint="eastAsia"/>
                <w:color w:val="auto"/>
                <w:sz w:val="24"/>
                <w:highlight w:val="none"/>
              </w:rPr>
              <w:t>t/a</w:t>
            </w:r>
            <w:r>
              <w:rPr>
                <w:rFonts w:hint="default" w:ascii="Times New Roman" w:hAnsi="Times New Roman" w:eastAsia="宋体" w:cs="Times New Roman"/>
                <w:bCs/>
                <w:color w:val="auto"/>
                <w:sz w:val="24"/>
                <w:szCs w:val="24"/>
                <w:highlight w:val="none"/>
              </w:rPr>
              <w:t>。</w:t>
            </w:r>
          </w:p>
          <w:p w14:paraId="3B9BE24E">
            <w:pPr>
              <w:pStyle w:val="6"/>
              <w:keepNext w:val="0"/>
              <w:keepLines w:val="0"/>
              <w:pageBreakBefore w:val="0"/>
              <w:widowControl w:val="0"/>
              <w:kinsoku/>
              <w:wordWrap/>
              <w:overflowPunct/>
              <w:topLinePunct w:val="0"/>
              <w:autoSpaceDE/>
              <w:autoSpaceDN/>
              <w:bidi w:val="0"/>
              <w:spacing w:before="0" w:line="360"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③全厂排放总量情况（有组织排放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14:paraId="4913FC5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sz w:val="24"/>
                <w:szCs w:val="24"/>
                <w:highlight w:val="none"/>
                <w:lang w:eastAsia="zh-CN"/>
              </w:rPr>
            </w:pPr>
            <w:r>
              <w:rPr>
                <w:color w:val="auto"/>
                <w:kern w:val="0"/>
                <w:sz w:val="24"/>
                <w:szCs w:val="24"/>
                <w:highlight w:val="none"/>
              </w:rPr>
              <w:t>废气量</w:t>
            </w:r>
            <w:r>
              <w:rPr>
                <w:rFonts w:hint="eastAsia"/>
                <w:color w:val="auto"/>
                <w:kern w:val="0"/>
                <w:sz w:val="24"/>
                <w:szCs w:val="24"/>
                <w:highlight w:val="none"/>
                <w:lang w:eastAsia="zh-CN"/>
              </w:rPr>
              <w:t>：</w:t>
            </w:r>
            <w:r>
              <w:rPr>
                <w:rFonts w:hint="eastAsia" w:cs="Times New Roman"/>
                <w:color w:val="auto"/>
                <w:sz w:val="24"/>
                <w:szCs w:val="24"/>
                <w:highlight w:val="none"/>
                <w:lang w:val="en-US" w:eastAsia="zh-CN"/>
              </w:rPr>
              <w:t>4188.0876</w:t>
            </w:r>
            <w:r>
              <w:rPr>
                <w:color w:val="auto"/>
                <w:kern w:val="0"/>
                <w:sz w:val="24"/>
                <w:szCs w:val="24"/>
                <w:highlight w:val="none"/>
              </w:rPr>
              <w:t>万</w:t>
            </w:r>
            <w:r>
              <w:rPr>
                <w:bCs/>
                <w:color w:val="auto"/>
                <w:kern w:val="0"/>
                <w:sz w:val="24"/>
                <w:szCs w:val="24"/>
                <w:highlight w:val="none"/>
              </w:rPr>
              <w:t>Nm</w:t>
            </w:r>
            <w:r>
              <w:rPr>
                <w:bCs/>
                <w:color w:val="auto"/>
                <w:kern w:val="0"/>
                <w:sz w:val="24"/>
                <w:szCs w:val="24"/>
                <w:highlight w:val="none"/>
                <w:vertAlign w:val="superscript"/>
              </w:rPr>
              <w:t>3</w:t>
            </w:r>
            <w:r>
              <w:rPr>
                <w:bCs/>
                <w:color w:val="auto"/>
                <w:kern w:val="0"/>
                <w:sz w:val="24"/>
                <w:szCs w:val="24"/>
                <w:highlight w:val="none"/>
              </w:rPr>
              <w:t>/a，</w:t>
            </w:r>
            <w:r>
              <w:rPr>
                <w:rFonts w:hint="eastAsia"/>
                <w:color w:val="auto"/>
                <w:sz w:val="24"/>
                <w:szCs w:val="24"/>
                <w:highlight w:val="none"/>
              </w:rPr>
              <w:t>颗粒物排放量为0.0</w:t>
            </w:r>
            <w:r>
              <w:rPr>
                <w:rFonts w:hint="eastAsia"/>
                <w:color w:val="auto"/>
                <w:sz w:val="24"/>
                <w:szCs w:val="24"/>
                <w:highlight w:val="none"/>
                <w:lang w:val="en-US" w:eastAsia="zh-CN"/>
              </w:rPr>
              <w:t>699</w:t>
            </w:r>
            <w:r>
              <w:rPr>
                <w:rFonts w:hint="eastAsia"/>
                <w:color w:val="auto"/>
                <w:sz w:val="24"/>
                <w:szCs w:val="24"/>
                <w:highlight w:val="none"/>
              </w:rPr>
              <w:t>t/a；SO</w:t>
            </w:r>
            <w:r>
              <w:rPr>
                <w:rFonts w:hint="eastAsia"/>
                <w:color w:val="auto"/>
                <w:sz w:val="24"/>
                <w:szCs w:val="24"/>
                <w:highlight w:val="none"/>
                <w:vertAlign w:val="subscript"/>
              </w:rPr>
              <w:t>2</w:t>
            </w:r>
            <w:r>
              <w:rPr>
                <w:rFonts w:hint="eastAsia"/>
                <w:color w:val="auto"/>
                <w:sz w:val="24"/>
                <w:szCs w:val="24"/>
                <w:highlight w:val="none"/>
              </w:rPr>
              <w:t>排放量</w:t>
            </w:r>
            <w:r>
              <w:rPr>
                <w:rFonts w:hint="eastAsia"/>
                <w:color w:val="auto"/>
                <w:sz w:val="24"/>
                <w:szCs w:val="24"/>
                <w:highlight w:val="none"/>
                <w:lang w:eastAsia="zh-CN"/>
              </w:rPr>
              <w:t>为</w:t>
            </w:r>
            <w:r>
              <w:rPr>
                <w:rFonts w:hint="eastAsia"/>
                <w:color w:val="auto"/>
                <w:sz w:val="24"/>
                <w:szCs w:val="24"/>
                <w:highlight w:val="none"/>
                <w:lang w:val="en-US" w:eastAsia="zh-CN"/>
              </w:rPr>
              <w:t>2.3771</w:t>
            </w:r>
            <w:r>
              <w:rPr>
                <w:rFonts w:hint="eastAsia"/>
                <w:color w:val="auto"/>
                <w:sz w:val="24"/>
                <w:szCs w:val="24"/>
                <w:highlight w:val="none"/>
              </w:rPr>
              <w:t>t/a；NO</w:t>
            </w:r>
            <w:r>
              <w:rPr>
                <w:rFonts w:hint="eastAsia"/>
                <w:color w:val="auto"/>
                <w:sz w:val="24"/>
                <w:szCs w:val="24"/>
                <w:highlight w:val="none"/>
                <w:vertAlign w:val="subscript"/>
              </w:rPr>
              <w:t>x</w:t>
            </w:r>
            <w:r>
              <w:rPr>
                <w:rFonts w:hint="eastAsia"/>
                <w:color w:val="auto"/>
                <w:sz w:val="24"/>
                <w:szCs w:val="24"/>
                <w:highlight w:val="none"/>
              </w:rPr>
              <w:t>排放量</w:t>
            </w:r>
            <w:r>
              <w:rPr>
                <w:rFonts w:hint="eastAsia"/>
                <w:color w:val="auto"/>
                <w:sz w:val="24"/>
                <w:szCs w:val="24"/>
                <w:highlight w:val="none"/>
                <w:lang w:eastAsia="zh-CN"/>
              </w:rPr>
              <w:t>为</w:t>
            </w:r>
            <w:r>
              <w:rPr>
                <w:rFonts w:hint="eastAsia"/>
                <w:color w:val="auto"/>
                <w:sz w:val="24"/>
                <w:szCs w:val="24"/>
                <w:highlight w:val="none"/>
                <w:lang w:val="en-US" w:eastAsia="zh-CN"/>
              </w:rPr>
              <w:t>2.8525</w:t>
            </w:r>
            <w:r>
              <w:rPr>
                <w:rFonts w:hint="eastAsia"/>
                <w:color w:val="auto"/>
                <w:sz w:val="24"/>
                <w:szCs w:val="24"/>
                <w:highlight w:val="none"/>
              </w:rPr>
              <w:t>t/a；</w:t>
            </w:r>
            <w:r>
              <w:rPr>
                <w:rFonts w:hint="eastAsia"/>
                <w:color w:val="auto"/>
                <w:sz w:val="24"/>
                <w:szCs w:val="24"/>
                <w:highlight w:val="none"/>
                <w:lang w:eastAsia="zh-CN"/>
              </w:rPr>
              <w:t>油烟</w:t>
            </w:r>
            <w:r>
              <w:rPr>
                <w:rFonts w:hint="eastAsia"/>
                <w:color w:val="auto"/>
                <w:sz w:val="24"/>
                <w:szCs w:val="24"/>
                <w:highlight w:val="none"/>
              </w:rPr>
              <w:t>排放量0.</w:t>
            </w:r>
            <w:r>
              <w:rPr>
                <w:rFonts w:hint="eastAsia"/>
                <w:color w:val="auto"/>
                <w:sz w:val="24"/>
                <w:szCs w:val="24"/>
                <w:highlight w:val="none"/>
                <w:lang w:val="en-US" w:eastAsia="zh-CN"/>
              </w:rPr>
              <w:t>21</w:t>
            </w:r>
            <w:r>
              <w:rPr>
                <w:rFonts w:hint="eastAsia"/>
                <w:color w:val="auto"/>
                <w:sz w:val="24"/>
                <w:szCs w:val="24"/>
                <w:highlight w:val="none"/>
              </w:rPr>
              <w:t>t/a；</w:t>
            </w:r>
            <w:r>
              <w:rPr>
                <w:rFonts w:hint="eastAsia"/>
                <w:color w:val="auto"/>
                <w:sz w:val="24"/>
                <w:szCs w:val="24"/>
                <w:highlight w:val="none"/>
                <w:lang w:eastAsia="zh-CN"/>
              </w:rPr>
              <w:t>非甲烷总烃</w:t>
            </w:r>
            <w:r>
              <w:rPr>
                <w:rFonts w:hint="eastAsia"/>
                <w:color w:val="auto"/>
                <w:sz w:val="24"/>
                <w:szCs w:val="24"/>
                <w:highlight w:val="none"/>
              </w:rPr>
              <w:t>排放量为0.</w:t>
            </w:r>
            <w:r>
              <w:rPr>
                <w:rFonts w:hint="eastAsia"/>
                <w:color w:val="auto"/>
                <w:sz w:val="24"/>
                <w:szCs w:val="24"/>
                <w:highlight w:val="none"/>
                <w:lang w:val="en-US" w:eastAsia="zh-CN"/>
              </w:rPr>
              <w:t>28</w:t>
            </w:r>
            <w:r>
              <w:rPr>
                <w:rFonts w:hint="eastAsia"/>
                <w:color w:val="auto"/>
                <w:sz w:val="24"/>
                <w:szCs w:val="24"/>
                <w:highlight w:val="none"/>
              </w:rPr>
              <w:t>t/</w:t>
            </w:r>
            <w:r>
              <w:rPr>
                <w:rFonts w:hint="eastAsia"/>
                <w:color w:val="auto"/>
                <w:sz w:val="24"/>
                <w:highlight w:val="none"/>
              </w:rPr>
              <w:t>a</w:t>
            </w:r>
            <w:r>
              <w:rPr>
                <w:rFonts w:hint="eastAsia"/>
                <w:color w:val="auto"/>
                <w:sz w:val="24"/>
                <w:highlight w:val="none"/>
                <w:lang w:eastAsia="zh-CN"/>
              </w:rPr>
              <w:t>；</w:t>
            </w:r>
          </w:p>
          <w:p w14:paraId="5C5C7B83">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color w:val="auto"/>
                <w:kern w:val="0"/>
                <w:sz w:val="24"/>
                <w:szCs w:val="24"/>
                <w:highlight w:val="none"/>
                <w:lang w:val="en-US" w:eastAsia="zh-CN"/>
              </w:rPr>
            </w:pPr>
            <w:r>
              <w:rPr>
                <w:rFonts w:hint="eastAsia"/>
                <w:color w:val="auto"/>
                <w:sz w:val="24"/>
                <w:highlight w:val="none"/>
                <w:lang w:eastAsia="zh-CN"/>
              </w:rPr>
              <w:t>氨</w:t>
            </w:r>
            <w:r>
              <w:rPr>
                <w:rFonts w:hint="eastAsia"/>
                <w:color w:val="auto"/>
                <w:sz w:val="24"/>
                <w:highlight w:val="none"/>
              </w:rPr>
              <w:t>排放量为0.</w:t>
            </w:r>
            <w:r>
              <w:rPr>
                <w:rFonts w:hint="eastAsia"/>
                <w:color w:val="auto"/>
                <w:sz w:val="24"/>
                <w:highlight w:val="none"/>
                <w:lang w:val="en-US" w:eastAsia="zh-CN"/>
              </w:rPr>
              <w:t>00063</w:t>
            </w:r>
            <w:r>
              <w:rPr>
                <w:rFonts w:hint="eastAsia"/>
                <w:color w:val="auto"/>
                <w:sz w:val="24"/>
                <w:highlight w:val="none"/>
              </w:rPr>
              <w:t>t/a</w:t>
            </w:r>
            <w:r>
              <w:rPr>
                <w:rFonts w:hint="eastAsia"/>
                <w:color w:val="auto"/>
                <w:sz w:val="24"/>
                <w:highlight w:val="none"/>
                <w:lang w:eastAsia="zh-CN"/>
              </w:rPr>
              <w:t>、硫化氢氨</w:t>
            </w:r>
            <w:r>
              <w:rPr>
                <w:rFonts w:hint="eastAsia"/>
                <w:color w:val="auto"/>
                <w:sz w:val="24"/>
                <w:highlight w:val="none"/>
              </w:rPr>
              <w:t>排放量为0.</w:t>
            </w:r>
            <w:r>
              <w:rPr>
                <w:rFonts w:hint="eastAsia"/>
                <w:color w:val="auto"/>
                <w:sz w:val="24"/>
                <w:highlight w:val="none"/>
                <w:lang w:val="en-US" w:eastAsia="zh-CN"/>
              </w:rPr>
              <w:t>00003</w:t>
            </w:r>
            <w:r>
              <w:rPr>
                <w:rFonts w:hint="eastAsia"/>
                <w:color w:val="auto"/>
                <w:sz w:val="24"/>
                <w:highlight w:val="none"/>
              </w:rPr>
              <w:t>t/a</w:t>
            </w:r>
            <w:r>
              <w:rPr>
                <w:rFonts w:hint="default" w:ascii="Times New Roman" w:hAnsi="Times New Roman" w:eastAsia="宋体" w:cs="Times New Roman"/>
                <w:bCs/>
                <w:color w:val="auto"/>
                <w:sz w:val="24"/>
                <w:szCs w:val="24"/>
                <w:highlight w:val="none"/>
              </w:rPr>
              <w:t>。</w:t>
            </w:r>
          </w:p>
          <w:p w14:paraId="103122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14:paraId="268444B7">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w:t>
            </w:r>
            <w:r>
              <w:rPr>
                <w:rFonts w:hint="eastAsia" w:cs="Times New Roman"/>
                <w:b w:val="0"/>
                <w:bCs w:val="0"/>
                <w:color w:val="auto"/>
                <w:sz w:val="24"/>
                <w:szCs w:val="24"/>
                <w:highlight w:val="none"/>
                <w:lang w:val="en-US" w:eastAsia="zh-CN"/>
              </w:rPr>
              <w:t>、</w:t>
            </w:r>
            <w:r>
              <w:rPr>
                <w:rFonts w:hint="eastAsia"/>
                <w:color w:val="auto"/>
                <w:sz w:val="24"/>
                <w:szCs w:val="24"/>
              </w:rPr>
              <w:t>脱胶脱磷废水</w:t>
            </w:r>
            <w:r>
              <w:rPr>
                <w:rFonts w:hint="eastAsia"/>
                <w:color w:val="auto"/>
                <w:sz w:val="24"/>
                <w:szCs w:val="24"/>
                <w:lang w:eastAsia="zh-CN"/>
              </w:rPr>
              <w:t>、牛肉腌制废水、</w:t>
            </w:r>
            <w:r>
              <w:rPr>
                <w:rFonts w:hint="eastAsia" w:ascii="Times New Roman" w:hAnsi="Times New Roman" w:eastAsia="宋体" w:cs="Times New Roman"/>
                <w:color w:val="auto"/>
                <w:sz w:val="24"/>
                <w:szCs w:val="24"/>
                <w:lang w:val="en-US" w:eastAsia="zh-CN"/>
              </w:rPr>
              <w:t>车间地面清洗</w:t>
            </w:r>
            <w:r>
              <w:rPr>
                <w:rFonts w:hint="default" w:ascii="Times New Roman" w:hAnsi="Times New Roman" w:eastAsia="宋体" w:cs="Times New Roman"/>
                <w:color w:val="auto"/>
                <w:sz w:val="24"/>
                <w:szCs w:val="24"/>
                <w:lang w:val="en-US" w:eastAsia="zh-CN"/>
              </w:rPr>
              <w:t>废水</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设备清洗废水</w:t>
            </w:r>
            <w:r>
              <w:rPr>
                <w:rFonts w:hint="default" w:ascii="Times New Roman" w:hAnsi="Times New Roman" w:eastAsia="宋体" w:cs="Times New Roman"/>
                <w:b w:val="0"/>
                <w:bCs w:val="0"/>
                <w:color w:val="auto"/>
                <w:sz w:val="24"/>
                <w:szCs w:val="24"/>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14:paraId="598D671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本项目废水排放总量为0.5</w:t>
            </w:r>
            <w:r>
              <w:rPr>
                <w:rFonts w:hint="eastAsia" w:cs="Times New Roman"/>
                <w:bCs/>
                <w:color w:val="auto"/>
                <w:sz w:val="24"/>
                <w:szCs w:val="24"/>
                <w:highlight w:val="none"/>
                <w:lang w:val="en-US" w:eastAsia="zh-CN"/>
              </w:rPr>
              <w:t>576</w:t>
            </w:r>
            <w:r>
              <w:rPr>
                <w:rFonts w:hint="default" w:ascii="Times New Roman" w:hAnsi="Times New Roman" w:eastAsia="宋体" w:cs="Times New Roman"/>
                <w:bCs/>
                <w:color w:val="auto"/>
                <w:sz w:val="24"/>
                <w:szCs w:val="24"/>
                <w:highlight w:val="none"/>
                <w:lang w:val="en-US" w:eastAsia="zh-CN"/>
              </w:rPr>
              <w:t>万</w:t>
            </w:r>
            <w:r>
              <w:rPr>
                <w:rFonts w:hint="default" w:ascii="Times New Roman" w:hAnsi="Times New Roman" w:eastAsia="宋体" w:cs="Times New Roman"/>
                <w:bCs/>
                <w:color w:val="auto"/>
                <w:sz w:val="24"/>
                <w:szCs w:val="24"/>
                <w:highlight w:val="none"/>
                <w:lang w:val="zh-CN" w:eastAsia="zh-CN"/>
              </w:rPr>
              <w:t>m</w:t>
            </w:r>
            <w:r>
              <w:rPr>
                <w:rFonts w:hint="default" w:ascii="Times New Roman" w:hAnsi="Times New Roman" w:eastAsia="宋体" w:cs="Times New Roman"/>
                <w:bCs/>
                <w:color w:val="auto"/>
                <w:sz w:val="24"/>
                <w:szCs w:val="24"/>
                <w:highlight w:val="none"/>
                <w:vertAlign w:val="superscript"/>
                <w:lang w:val="zh-CN" w:eastAsia="zh-CN"/>
              </w:rPr>
              <w:t>3</w:t>
            </w:r>
            <w:r>
              <w:rPr>
                <w:rFonts w:hint="default" w:ascii="Times New Roman" w:hAnsi="Times New Roman" w:eastAsia="宋体" w:cs="Times New Roman"/>
                <w:bCs/>
                <w:color w:val="auto"/>
                <w:sz w:val="24"/>
                <w:szCs w:val="24"/>
                <w:highlight w:val="none"/>
                <w:lang w:val="zh-CN" w:eastAsia="zh-CN"/>
              </w:rPr>
              <w:t>/a，</w:t>
            </w:r>
            <w:r>
              <w:rPr>
                <w:rFonts w:hint="default" w:ascii="Times New Roman" w:hAnsi="Times New Roman" w:eastAsia="宋体" w:cs="Times New Roman"/>
                <w:b w:val="0"/>
                <w:bCs/>
                <w:color w:val="auto"/>
                <w:spacing w:val="-10"/>
                <w:sz w:val="24"/>
                <w:szCs w:val="24"/>
                <w:highlight w:val="none"/>
                <w:vertAlign w:val="baseline"/>
                <w:lang w:val="en-US" w:eastAsia="zh-CN"/>
              </w:rPr>
              <w:t>COD</w:t>
            </w:r>
            <w:r>
              <w:rPr>
                <w:rFonts w:hint="default" w:ascii="Times New Roman" w:hAnsi="Times New Roman" w:eastAsia="宋体" w:cs="Times New Roman"/>
                <w:bCs/>
                <w:color w:val="auto"/>
                <w:sz w:val="24"/>
                <w:szCs w:val="24"/>
                <w:highlight w:val="none"/>
                <w:lang w:val="en-US" w:eastAsia="zh-CN"/>
              </w:rPr>
              <w:t>排放总量为0.</w:t>
            </w:r>
            <w:r>
              <w:rPr>
                <w:rFonts w:hint="eastAsia" w:cs="Times New Roman"/>
                <w:bCs/>
                <w:color w:val="auto"/>
                <w:sz w:val="24"/>
                <w:szCs w:val="24"/>
                <w:highlight w:val="none"/>
                <w:lang w:val="en-US" w:eastAsia="zh-CN"/>
              </w:rPr>
              <w:t>1471</w:t>
            </w:r>
            <w:r>
              <w:rPr>
                <w:rFonts w:hint="default" w:ascii="Times New Roman" w:hAnsi="Times New Roman" w:eastAsia="宋体" w:cs="Times New Roman"/>
                <w:bCs/>
                <w:color w:val="auto"/>
                <w:sz w:val="24"/>
                <w:szCs w:val="24"/>
                <w:highlight w:val="none"/>
                <w:lang w:val="en-US" w:eastAsia="zh-CN"/>
              </w:rPr>
              <w:t>t/a，</w:t>
            </w:r>
            <w:r>
              <w:rPr>
                <w:rFonts w:hint="default" w:ascii="Times New Roman" w:hAnsi="Times New Roman" w:eastAsia="宋体" w:cs="Times New Roman"/>
                <w:b w:val="0"/>
                <w:bCs/>
                <w:color w:val="auto"/>
                <w:spacing w:val="-10"/>
                <w:sz w:val="24"/>
                <w:szCs w:val="24"/>
                <w:highlight w:val="none"/>
                <w:vertAlign w:val="baseline"/>
                <w:lang w:val="en-US" w:eastAsia="zh-CN"/>
              </w:rPr>
              <w:t>BOD</w:t>
            </w:r>
            <w:r>
              <w:rPr>
                <w:rFonts w:hint="default" w:ascii="Times New Roman" w:hAnsi="Times New Roman" w:eastAsia="宋体" w:cs="Times New Roman"/>
                <w:b w:val="0"/>
                <w:bCs/>
                <w:color w:val="auto"/>
                <w:spacing w:val="-10"/>
                <w:sz w:val="24"/>
                <w:szCs w:val="24"/>
                <w:highlight w:val="none"/>
                <w:vertAlign w:val="subscript"/>
                <w:lang w:val="en-US" w:eastAsia="zh-CN"/>
              </w:rPr>
              <w:t>5</w:t>
            </w:r>
            <w:r>
              <w:rPr>
                <w:rFonts w:hint="default" w:ascii="Times New Roman" w:hAnsi="Times New Roman" w:eastAsia="宋体" w:cs="Times New Roman"/>
                <w:bCs/>
                <w:color w:val="auto"/>
                <w:sz w:val="24"/>
                <w:szCs w:val="24"/>
                <w:highlight w:val="none"/>
                <w:lang w:val="en-US" w:eastAsia="zh-CN"/>
              </w:rPr>
              <w:t>排放总量为0.</w:t>
            </w:r>
            <w:r>
              <w:rPr>
                <w:rFonts w:hint="eastAsia" w:cs="Times New Roman"/>
                <w:bCs/>
                <w:color w:val="auto"/>
                <w:sz w:val="24"/>
                <w:szCs w:val="24"/>
                <w:highlight w:val="none"/>
                <w:lang w:val="en-US" w:eastAsia="zh-CN"/>
              </w:rPr>
              <w:t>0899</w:t>
            </w:r>
            <w:r>
              <w:rPr>
                <w:rFonts w:hint="default" w:ascii="Times New Roman" w:hAnsi="Times New Roman" w:eastAsia="宋体" w:cs="Times New Roman"/>
                <w:bCs/>
                <w:color w:val="auto"/>
                <w:sz w:val="24"/>
                <w:szCs w:val="24"/>
                <w:highlight w:val="none"/>
                <w:lang w:val="en-US" w:eastAsia="zh-CN"/>
              </w:rPr>
              <w:t>t/a，氨氮排放总量为0.0</w:t>
            </w:r>
            <w:r>
              <w:rPr>
                <w:rFonts w:hint="eastAsia" w:cs="Times New Roman"/>
                <w:bCs/>
                <w:color w:val="auto"/>
                <w:sz w:val="24"/>
                <w:szCs w:val="24"/>
                <w:highlight w:val="none"/>
                <w:lang w:val="en-US" w:eastAsia="zh-CN"/>
              </w:rPr>
              <w:t>147</w:t>
            </w:r>
            <w:r>
              <w:rPr>
                <w:rFonts w:hint="default" w:ascii="Times New Roman" w:hAnsi="Times New Roman" w:eastAsia="宋体" w:cs="Times New Roman"/>
                <w:bCs/>
                <w:color w:val="auto"/>
                <w:sz w:val="24"/>
                <w:szCs w:val="24"/>
                <w:highlight w:val="none"/>
                <w:lang w:val="en-US" w:eastAsia="zh-CN"/>
              </w:rPr>
              <w:t>t/a，总磷排放总量为</w:t>
            </w:r>
            <w:r>
              <w:rPr>
                <w:rFonts w:hint="default" w:ascii="Times New Roman" w:hAnsi="Times New Roman" w:eastAsia="宋体" w:cs="Times New Roman"/>
                <w:i w:val="0"/>
                <w:iCs w:val="0"/>
                <w:color w:val="auto"/>
                <w:kern w:val="0"/>
                <w:sz w:val="24"/>
                <w:szCs w:val="24"/>
                <w:highlight w:val="none"/>
                <w:u w:val="none"/>
                <w:lang w:val="en-US" w:eastAsia="zh-CN" w:bidi="ar"/>
              </w:rPr>
              <w:t>0.</w:t>
            </w:r>
            <w:r>
              <w:rPr>
                <w:rFonts w:hint="eastAsia" w:cs="Times New Roman"/>
                <w:i w:val="0"/>
                <w:iCs w:val="0"/>
                <w:color w:val="auto"/>
                <w:kern w:val="0"/>
                <w:sz w:val="24"/>
                <w:szCs w:val="24"/>
                <w:highlight w:val="none"/>
                <w:u w:val="none"/>
                <w:lang w:val="en-US" w:eastAsia="zh-CN" w:bidi="ar"/>
              </w:rPr>
              <w:t>0357</w:t>
            </w:r>
            <w:r>
              <w:rPr>
                <w:rFonts w:hint="default" w:ascii="Times New Roman" w:hAnsi="Times New Roman" w:eastAsia="宋体" w:cs="Times New Roman"/>
                <w:bCs/>
                <w:color w:val="auto"/>
                <w:sz w:val="24"/>
                <w:szCs w:val="24"/>
                <w:highlight w:val="none"/>
                <w:lang w:val="en-US" w:eastAsia="zh-CN"/>
              </w:rPr>
              <w:t>t/a。此部分废水总量已纳入污水处理厂总量控制指标。</w:t>
            </w:r>
          </w:p>
          <w:p w14:paraId="08E73D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31A8DC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0239DE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1938C2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66C0AF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5CA6C4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638939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3F20B6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3D9503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4C7638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7AD95C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4812F0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p>
          <w:p w14:paraId="12A8110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highlight w:val="none"/>
              </w:rPr>
            </w:pPr>
          </w:p>
          <w:p w14:paraId="16F03E53">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p>
        </w:tc>
      </w:tr>
    </w:tbl>
    <w:p w14:paraId="677107DD">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20" w:name="_Toc6112"/>
      <w:bookmarkStart w:id="21" w:name="_Toc32349"/>
      <w:r>
        <w:rPr>
          <w:rFonts w:hint="default" w:ascii="Times New Roman" w:hAnsi="Times New Roman" w:eastAsia="宋体" w:cs="Times New Roman"/>
          <w:b/>
          <w:bCs/>
          <w:snapToGrid w:val="0"/>
          <w:color w:val="auto"/>
          <w:sz w:val="30"/>
          <w:szCs w:val="30"/>
          <w:highlight w:val="none"/>
        </w:rPr>
        <w:t>四、主要环境影响和保护措施</w:t>
      </w:r>
      <w:bookmarkEnd w:id="20"/>
      <w:bookmarkEnd w:id="21"/>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4"/>
        <w:gridCol w:w="8687"/>
      </w:tblGrid>
      <w:tr w14:paraId="20B26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dxa"/>
            <w:tcMar>
              <w:left w:w="28" w:type="dxa"/>
              <w:right w:w="28" w:type="dxa"/>
            </w:tcMar>
            <w:vAlign w:val="center"/>
          </w:tcPr>
          <w:p w14:paraId="5AE5D7AD">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14:paraId="2068FA99">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14:paraId="46EE44C0">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14:paraId="687E3B05">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14:paraId="10DFEC9A">
            <w:pPr>
              <w:pStyle w:val="23"/>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87" w:type="dxa"/>
            <w:vAlign w:val="center"/>
          </w:tcPr>
          <w:p w14:paraId="635AFF41">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14:paraId="224F3B09">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14:paraId="7CDB5E9D">
            <w:pPr>
              <w:pStyle w:val="24"/>
              <w:keepNext w:val="0"/>
              <w:keepLines w:val="0"/>
              <w:pageBreakBefore w:val="0"/>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14:paraId="1E9F5499">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14:paraId="307FFF38">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14:paraId="4BC7A64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施工场地定期洒水，以有效防止扬尘，在风速大于四级风速气象条件下加大洒水量及洒水频次；</w:t>
            </w:r>
          </w:p>
          <w:p w14:paraId="316B8FD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施工建筑材料定点堆放，在大风天气对散料堆场采用水喷淋防尘，用</w:t>
            </w:r>
            <w:r>
              <w:rPr>
                <w:rFonts w:hint="eastAsia" w:cs="Times New Roman"/>
                <w:color w:val="auto"/>
                <w:sz w:val="24"/>
                <w:szCs w:val="24"/>
                <w:lang w:eastAsia="zh-CN"/>
              </w:rPr>
              <w:t>篷布</w:t>
            </w:r>
            <w:r>
              <w:rPr>
                <w:rFonts w:hint="default" w:ascii="Times New Roman" w:hAnsi="Times New Roman" w:eastAsia="宋体" w:cs="Times New Roman"/>
                <w:color w:val="auto"/>
                <w:sz w:val="24"/>
                <w:szCs w:val="24"/>
              </w:rPr>
              <w:t>遮盖建筑材料，尽量按量购进建筑材料，避免在场内长时间堆放；</w:t>
            </w:r>
          </w:p>
          <w:p w14:paraId="7D2137E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施工场地清理阶段做到先洒水，后清扫，施工后期建筑垃圾及时清理；</w:t>
            </w:r>
          </w:p>
          <w:p w14:paraId="0C5665F6">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ja-JP"/>
              </w:rPr>
              <w:t>不得污染道路</w:t>
            </w:r>
            <w:r>
              <w:rPr>
                <w:rFonts w:hint="default" w:ascii="Times New Roman" w:hAnsi="Times New Roman" w:eastAsia="宋体" w:cs="Times New Roman"/>
                <w:color w:val="auto"/>
                <w:sz w:val="24"/>
                <w:szCs w:val="24"/>
                <w:lang w:eastAsia="zh-CN"/>
              </w:rPr>
              <w:t>；</w:t>
            </w:r>
          </w:p>
          <w:p w14:paraId="33837558">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优化施工期间运输车辆的出入场路径</w:t>
            </w:r>
            <w:r>
              <w:rPr>
                <w:rFonts w:hint="default" w:ascii="Times New Roman" w:hAnsi="Times New Roman" w:eastAsia="宋体" w:cs="Times New Roman"/>
                <w:color w:val="auto"/>
                <w:sz w:val="24"/>
                <w:szCs w:val="24"/>
                <w:lang w:eastAsia="zh-CN"/>
              </w:rPr>
              <w:t>；</w:t>
            </w:r>
          </w:p>
          <w:p w14:paraId="7A6E49AE">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运输车辆及机械</w:t>
            </w:r>
            <w:r>
              <w:rPr>
                <w:rFonts w:hint="default" w:ascii="Times New Roman" w:hAnsi="Times New Roman" w:eastAsia="宋体" w:cs="Times New Roman"/>
                <w:bCs/>
                <w:color w:val="auto"/>
                <w:sz w:val="24"/>
              </w:rPr>
              <w:t>驶出施工场地前应尽可能清除表面</w:t>
            </w:r>
            <w:r>
              <w:rPr>
                <w:rFonts w:hint="eastAsia" w:cs="Times New Roman"/>
                <w:bCs/>
                <w:color w:val="auto"/>
                <w:sz w:val="24"/>
                <w:lang w:eastAsia="zh-CN"/>
              </w:rPr>
              <w:t>黏附</w:t>
            </w:r>
            <w:r>
              <w:rPr>
                <w:rFonts w:hint="default" w:ascii="Times New Roman" w:hAnsi="Times New Roman" w:eastAsia="宋体" w:cs="Times New Roman"/>
                <w:bCs/>
                <w:color w:val="auto"/>
                <w:sz w:val="24"/>
              </w:rPr>
              <w:t>的泥土等</w:t>
            </w:r>
            <w:r>
              <w:rPr>
                <w:rFonts w:hint="default" w:ascii="Times New Roman" w:hAnsi="Times New Roman" w:eastAsia="宋体" w:cs="Times New Roman"/>
                <w:color w:val="auto"/>
                <w:sz w:val="24"/>
                <w:szCs w:val="24"/>
                <w:lang w:eastAsia="zh-CN"/>
              </w:rPr>
              <w:t>；</w:t>
            </w:r>
          </w:p>
          <w:p w14:paraId="78F86F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rPr>
            </w:pPr>
            <w:r>
              <w:rPr>
                <w:rFonts w:hint="default"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rPr>
              <w:t>在施工中合理组织施工，缩短施工时间，尽量减少施工污染。</w:t>
            </w:r>
          </w:p>
          <w:p w14:paraId="7C095F4F">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施工期产生的粉尘污染是短期的，随着施工活动的结束，施工扬尘对环境空气的影响也就随之结束，因此施工期粉尘对评价区域的空气环境质量影响较小。</w:t>
            </w:r>
          </w:p>
          <w:p w14:paraId="10273F53">
            <w:pP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14:paraId="4FA1C078">
            <w:pP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rPr>
              <w:t>根据工程规模，项目焊接工程量较小，焊接过程烟尘</w:t>
            </w:r>
            <w:r>
              <w:rPr>
                <w:rFonts w:hint="default" w:ascii="Times New Roman" w:hAnsi="Times New Roman" w:eastAsia="宋体" w:cs="Times New Roman"/>
                <w:color w:val="auto"/>
                <w:sz w:val="24"/>
                <w:lang w:eastAsia="zh-CN"/>
              </w:rPr>
              <w:t>量</w:t>
            </w:r>
            <w:r>
              <w:rPr>
                <w:rFonts w:hint="default" w:ascii="Times New Roman" w:hAnsi="Times New Roman" w:eastAsia="宋体" w:cs="Times New Roman"/>
                <w:color w:val="auto"/>
                <w:sz w:val="24"/>
                <w:lang w:val="en-US" w:eastAsia="zh-CN"/>
              </w:rPr>
              <w:t>不大</w:t>
            </w:r>
            <w:r>
              <w:rPr>
                <w:rFonts w:hint="default" w:ascii="Times New Roman" w:hAnsi="Times New Roman" w:eastAsia="宋体" w:cs="Times New Roman"/>
                <w:color w:val="auto"/>
                <w:sz w:val="24"/>
              </w:rPr>
              <w:t>，呈无组织排放。</w:t>
            </w:r>
            <w:r>
              <w:rPr>
                <w:rFonts w:hint="default" w:ascii="Times New Roman" w:hAnsi="Times New Roman" w:eastAsia="宋体" w:cs="Times New Roman"/>
                <w:color w:val="auto"/>
                <w:sz w:val="24"/>
                <w:szCs w:val="24"/>
              </w:rPr>
              <w:t>施工焊接烟尘具有间断性产生、产生量较小、产生点相对分散、易被稀释扩散等特点，焊接烟尘经自然扩散和稀释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14:paraId="3ADD24CD">
            <w:pP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rPr>
              <w:t>施工机械及车辆燃油废气</w:t>
            </w:r>
            <w:r>
              <w:rPr>
                <w:rFonts w:hint="default" w:ascii="Times New Roman" w:hAnsi="Times New Roman" w:eastAsia="宋体" w:cs="Times New Roman"/>
                <w:b/>
                <w:bCs/>
                <w:color w:val="auto"/>
                <w:sz w:val="24"/>
                <w:szCs w:val="24"/>
                <w:highlight w:val="none"/>
                <w:lang w:val="zh-CN"/>
              </w:rPr>
              <w:t>影响</w:t>
            </w:r>
          </w:p>
          <w:p w14:paraId="1B67D583">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rPr>
              <w:t>施工机械和运输车辆所产生的废气经自然扩散和稀释</w:t>
            </w:r>
            <w:r>
              <w:rPr>
                <w:rFonts w:hint="default" w:ascii="Times New Roman" w:hAnsi="Times New Roman" w:eastAsia="宋体" w:cs="Times New Roman"/>
                <w:color w:val="auto"/>
                <w:sz w:val="24"/>
                <w:szCs w:val="24"/>
                <w:lang w:eastAsia="zh-CN"/>
              </w:rPr>
              <w:t>后对周围环境影响较小</w:t>
            </w:r>
            <w:r>
              <w:rPr>
                <w:rFonts w:hint="default" w:ascii="Times New Roman" w:hAnsi="Times New Roman" w:eastAsia="宋体" w:cs="Times New Roman"/>
                <w:color w:val="auto"/>
                <w:sz w:val="24"/>
                <w:szCs w:val="24"/>
              </w:rPr>
              <w:t>。</w:t>
            </w:r>
          </w:p>
          <w:p w14:paraId="0BB1C8E5">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（4）使用涂料产生的废气</w:t>
            </w:r>
          </w:p>
          <w:p w14:paraId="0840D880">
            <w:pPr>
              <w:pStyle w:val="25"/>
              <w:keepNext w:val="0"/>
              <w:keepLines w:val="0"/>
              <w:pageBreakBefore w:val="0"/>
              <w:widowControl w:val="0"/>
              <w:kinsoku/>
              <w:wordWrap/>
              <w:overflowPunct/>
              <w:topLinePunct w:val="0"/>
              <w:autoSpaceDE/>
              <w:autoSpaceDN/>
              <w:bidi w:val="0"/>
              <w:spacing w:after="0" w:line="356" w:lineRule="auto"/>
              <w:ind w:left="0" w:leftChars="0"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color w:val="auto"/>
                <w:sz w:val="24"/>
                <w:lang w:val="en-US" w:eastAsia="zh-CN"/>
              </w:rPr>
              <w:t>项目建筑在后期装修过程中产生的废气属无组织排放，主要污染因子为挥发性有机废气等。项目在装修过程中，产生的废气主要来源包括地板漆、墙面漆和内墙涂料等，由于使用的油漆组分不同，挥发系数也不相同，并且装修阶段随机性大，时间跨度较长，装修作业点分散，油漆废气的排放时间和部位尚不能明确，装修阶段的油漆废气排放周期相对较短。因此，环评提出本项目应</w:t>
            </w:r>
            <w:bookmarkStart w:id="22" w:name="_Hlk141364638"/>
            <w:r>
              <w:rPr>
                <w:rFonts w:hint="default" w:ascii="Times New Roman" w:hAnsi="Times New Roman" w:eastAsia="宋体" w:cs="Times New Roman"/>
                <w:bCs/>
                <w:color w:val="auto"/>
                <w:sz w:val="24"/>
              </w:rPr>
              <w:t>使用环保型装修材料</w:t>
            </w:r>
            <w:bookmarkEnd w:id="22"/>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color w:val="auto"/>
                <w:sz w:val="24"/>
                <w:lang w:val="en-US" w:eastAsia="zh-CN"/>
              </w:rPr>
              <w:t>装修期间涂刷油漆时，应加强室内的通风换气，</w:t>
            </w:r>
            <w:r>
              <w:rPr>
                <w:rFonts w:hint="eastAsia" w:cs="Times New Roman"/>
                <w:b w:val="0"/>
                <w:bCs/>
                <w:color w:val="auto"/>
                <w:sz w:val="24"/>
                <w:lang w:val="en-US" w:eastAsia="zh-CN"/>
              </w:rPr>
              <w:t>再者</w:t>
            </w:r>
            <w:r>
              <w:rPr>
                <w:rFonts w:hint="default" w:ascii="Times New Roman" w:hAnsi="Times New Roman" w:eastAsia="宋体" w:cs="Times New Roman"/>
                <w:b w:val="0"/>
                <w:bCs/>
                <w:color w:val="auto"/>
                <w:sz w:val="24"/>
                <w:lang w:val="en-US" w:eastAsia="zh-CN"/>
              </w:rPr>
              <w:t>由于装修时废气中含有的有机废气等影响环境质量的有毒有害物质挥发时间长，应特别注意室内空气的流畅。</w:t>
            </w:r>
          </w:p>
          <w:p w14:paraId="50583A7E">
            <w:pPr>
              <w:pStyle w:val="25"/>
              <w:keepNext w:val="0"/>
              <w:keepLines w:val="0"/>
              <w:pageBreakBefore w:val="0"/>
              <w:widowControl w:val="0"/>
              <w:kinsoku/>
              <w:wordWrap/>
              <w:overflowPunct/>
              <w:topLinePunct w:val="0"/>
              <w:autoSpaceDE/>
              <w:autoSpaceDN/>
              <w:bidi w:val="0"/>
              <w:spacing w:after="0" w:line="356"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14:paraId="5BBC484D">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施工期产生的废水主要是施工废水</w:t>
            </w:r>
            <w:r>
              <w:rPr>
                <w:rFonts w:hint="default" w:ascii="Times New Roman" w:hAnsi="Times New Roman" w:eastAsia="宋体" w:cs="Times New Roman"/>
                <w:color w:val="auto"/>
                <w:sz w:val="24"/>
                <w:szCs w:val="24"/>
                <w:lang w:val="en-US" w:eastAsia="zh-CN"/>
              </w:rPr>
              <w:t>及施工人员</w:t>
            </w:r>
            <w:r>
              <w:rPr>
                <w:rFonts w:hint="default" w:ascii="Times New Roman" w:hAnsi="Times New Roman" w:eastAsia="宋体" w:cs="Times New Roman"/>
                <w:color w:val="auto"/>
                <w:sz w:val="24"/>
                <w:szCs w:val="24"/>
                <w:lang w:val="zh-CN" w:eastAsia="zh-CN"/>
              </w:rPr>
              <w:t>生活污水。</w:t>
            </w:r>
          </w:p>
          <w:p w14:paraId="18298FE9">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①施工废水</w:t>
            </w:r>
          </w:p>
          <w:p w14:paraId="30626F7F">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项目施工过程中主要产生施工设备维修、清洗产生的废水，施工期废水量约为</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/d，主要污染物为SS，浓度约1000mg/L。</w:t>
            </w:r>
          </w:p>
          <w:p w14:paraId="3F9ECA8B">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施工人员生活污水</w:t>
            </w:r>
          </w:p>
          <w:p w14:paraId="6A06EC0E">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项目施工期不设施工营地，施工人员均不在项目区食宿，施工人员</w:t>
            </w:r>
            <w:r>
              <w:rPr>
                <w:rFonts w:hint="eastAsia" w:ascii="Times New Roman" w:hAnsi="Times New Roman" w:eastAsia="宋体" w:cs="Times New Roman"/>
                <w:color w:val="auto"/>
                <w:sz w:val="24"/>
                <w:szCs w:val="24"/>
                <w:lang w:val="zh-CN" w:eastAsia="zh-CN"/>
              </w:rPr>
              <w:t>入厕依托</w:t>
            </w:r>
            <w:r>
              <w:rPr>
                <w:rFonts w:hint="eastAsia" w:cs="Times New Roman"/>
                <w:color w:val="auto"/>
                <w:sz w:val="24"/>
                <w:szCs w:val="24"/>
                <w:lang w:val="zh-CN" w:eastAsia="zh-CN"/>
              </w:rPr>
              <w:t>项目</w:t>
            </w:r>
            <w:r>
              <w:rPr>
                <w:rFonts w:hint="eastAsia" w:ascii="Times New Roman" w:hAnsi="Times New Roman" w:eastAsia="宋体" w:cs="Times New Roman"/>
                <w:color w:val="auto"/>
                <w:sz w:val="24"/>
                <w:szCs w:val="24"/>
                <w:lang w:val="zh-CN" w:eastAsia="zh-CN"/>
              </w:rPr>
              <w:t>周围公共卫生间现有设施</w:t>
            </w:r>
            <w:r>
              <w:rPr>
                <w:rFonts w:hint="eastAsia"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仅产生少量洗手清洁废水。项目施工总周期为</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zh-CN" w:eastAsia="zh-CN"/>
              </w:rPr>
              <w:t>个月，施工高峰期人员</w:t>
            </w:r>
            <w:r>
              <w:rPr>
                <w:rFonts w:hint="default" w:ascii="Times New Roman" w:hAnsi="Times New Roman" w:eastAsia="宋体" w:cs="Times New Roman"/>
                <w:color w:val="auto"/>
                <w:sz w:val="24"/>
                <w:szCs w:val="24"/>
                <w:lang w:val="en-US" w:eastAsia="zh-CN"/>
              </w:rPr>
              <w:t>约3</w:t>
            </w:r>
            <w:r>
              <w:rPr>
                <w:rFonts w:hint="default" w:ascii="Times New Roman" w:hAnsi="Times New Roman" w:eastAsia="宋体" w:cs="Times New Roman"/>
                <w:color w:val="auto"/>
                <w:sz w:val="24"/>
                <w:szCs w:val="24"/>
                <w:lang w:val="zh-CN" w:eastAsia="zh-CN"/>
              </w:rPr>
              <w:t>0人计，施工人员洗手清洁用水按</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0L/人·d计，</w:t>
            </w:r>
            <w:r>
              <w:rPr>
                <w:rFonts w:hint="default" w:ascii="Times New Roman" w:hAnsi="Times New Roman" w:eastAsia="宋体" w:cs="Times New Roman"/>
                <w:color w:val="auto"/>
                <w:sz w:val="24"/>
                <w:szCs w:val="24"/>
                <w:lang w:val="en-US" w:eastAsia="zh-CN"/>
              </w:rPr>
              <w:t>施工人员</w:t>
            </w:r>
            <w:r>
              <w:rPr>
                <w:rFonts w:hint="default" w:ascii="Times New Roman" w:hAnsi="Times New Roman" w:eastAsia="宋体" w:cs="Times New Roman"/>
                <w:color w:val="auto"/>
                <w:sz w:val="24"/>
                <w:szCs w:val="24"/>
                <w:lang w:val="zh-CN" w:eastAsia="zh-CN"/>
              </w:rPr>
              <w:t>用水量为</w:t>
            </w:r>
            <w:r>
              <w:rPr>
                <w:rFonts w:hint="eastAsia" w:cs="Times New Roman"/>
                <w:color w:val="auto"/>
                <w:sz w:val="24"/>
                <w:szCs w:val="24"/>
                <w:lang w:val="en-US" w:eastAsia="zh-CN"/>
              </w:rPr>
              <w:t>414</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平均0.6</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/d，排水系数按80%计算，则施工人员洗手清洁废水产生量为</w:t>
            </w:r>
            <w:r>
              <w:rPr>
                <w:rFonts w:hint="eastAsia" w:cs="Times New Roman"/>
                <w:color w:val="auto"/>
                <w:sz w:val="24"/>
                <w:szCs w:val="24"/>
                <w:lang w:val="en-US" w:eastAsia="zh-CN"/>
              </w:rPr>
              <w:t>331.2</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en-US" w:eastAsia="zh-CN"/>
              </w:rPr>
              <w:t>平均0.48</w:t>
            </w:r>
            <w:r>
              <w:rPr>
                <w:rFonts w:hint="default" w:ascii="Times New Roman" w:hAnsi="Times New Roman" w:eastAsia="宋体" w:cs="Times New Roman"/>
                <w:color w:val="auto"/>
                <w:sz w:val="24"/>
                <w:szCs w:val="24"/>
                <w:lang w:val="zh-CN" w:eastAsia="zh-CN"/>
              </w:rPr>
              <w:t>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/d。</w:t>
            </w:r>
          </w:p>
          <w:p w14:paraId="3C237222">
            <w:pPr>
              <w:widowControl/>
              <w:tabs>
                <w:tab w:val="left" w:pos="2100"/>
              </w:tabs>
              <w:adjustRightInd w:val="0"/>
              <w:snapToGrid w:val="0"/>
              <w:spacing w:line="360" w:lineRule="auto"/>
              <w:ind w:firstLine="480"/>
              <w:jc w:val="left"/>
              <w:rPr>
                <w:color w:val="auto"/>
                <w:sz w:val="24"/>
                <w:szCs w:val="24"/>
              </w:rPr>
            </w:pPr>
            <w:r>
              <w:rPr>
                <w:rFonts w:hint="eastAsia"/>
                <w:color w:val="auto"/>
                <w:sz w:val="24"/>
                <w:szCs w:val="24"/>
                <w:lang w:eastAsia="zh-CN"/>
              </w:rPr>
              <w:t>③雨天地表</w:t>
            </w:r>
            <w:r>
              <w:rPr>
                <w:color w:val="auto"/>
                <w:sz w:val="24"/>
                <w:szCs w:val="24"/>
              </w:rPr>
              <w:t>径流</w:t>
            </w:r>
          </w:p>
          <w:p w14:paraId="20A985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hAnsi="宋体"/>
                <w:color w:val="auto"/>
                <w:spacing w:val="0"/>
                <w:sz w:val="24"/>
                <w:szCs w:val="24"/>
                <w:lang w:val="en-US" w:eastAsia="zh-CN"/>
              </w:rPr>
            </w:pPr>
            <w:r>
              <w:rPr>
                <w:rFonts w:ascii="Times New Roman" w:hAnsi="宋体"/>
                <w:iCs/>
                <w:color w:val="auto"/>
                <w:sz w:val="24"/>
                <w:szCs w:val="24"/>
              </w:rPr>
              <w:t>雨季降雨对裸露地表的冲刷，形成地表冲刷水，也是施工期废水的来源之一，</w:t>
            </w:r>
            <w:r>
              <w:rPr>
                <w:rFonts w:ascii="Times New Roman" w:hAnsi="宋体"/>
                <w:color w:val="auto"/>
                <w:sz w:val="24"/>
                <w:szCs w:val="24"/>
              </w:rPr>
              <w:t>雨天暴雨径流</w:t>
            </w:r>
            <w:r>
              <w:rPr>
                <w:rFonts w:hint="eastAsia" w:ascii="Times New Roman" w:hAnsi="宋体"/>
                <w:color w:val="auto"/>
                <w:sz w:val="24"/>
                <w:szCs w:val="24"/>
              </w:rPr>
              <w:t>的前期雨水</w:t>
            </w:r>
            <w:r>
              <w:rPr>
                <w:rFonts w:ascii="Times New Roman" w:hAnsi="宋体"/>
                <w:color w:val="auto"/>
                <w:sz w:val="24"/>
                <w:szCs w:val="24"/>
              </w:rPr>
              <w:t>含有大量泥沙，直接外排会使周围水体的悬浮物含量增加，甚至还会阻塞排水管网。</w:t>
            </w:r>
            <w:r>
              <w:rPr>
                <w:rFonts w:hint="eastAsia" w:hAnsi="宋体"/>
                <w:color w:val="auto"/>
                <w:sz w:val="24"/>
                <w:szCs w:val="24"/>
                <w:lang w:eastAsia="zh-CN"/>
              </w:rPr>
              <w:t>根据业主提供资料可知本项目开挖裸露地表的面积为</w:t>
            </w:r>
            <w:r>
              <w:rPr>
                <w:rFonts w:hint="eastAsia" w:hAnsi="宋体"/>
                <w:color w:val="auto"/>
                <w:sz w:val="24"/>
                <w:szCs w:val="24"/>
                <w:lang w:val="en-US" w:eastAsia="zh-CN"/>
              </w:rPr>
              <w:t>16170</w:t>
            </w:r>
            <w:r>
              <w:rPr>
                <w:rFonts w:hint="eastAsia" w:hAnsi="宋体"/>
                <w:color w:val="auto"/>
                <w:spacing w:val="0"/>
                <w:sz w:val="24"/>
                <w:szCs w:val="24"/>
              </w:rPr>
              <w:t>m</w:t>
            </w:r>
            <w:r>
              <w:rPr>
                <w:rFonts w:hint="eastAsia" w:hAnsi="宋体"/>
                <w:color w:val="auto"/>
                <w:spacing w:val="0"/>
                <w:sz w:val="24"/>
                <w:szCs w:val="24"/>
                <w:vertAlign w:val="superscript"/>
                <w:lang w:val="en-US" w:eastAsia="zh-CN"/>
              </w:rPr>
              <w:t>2</w:t>
            </w:r>
            <w:r>
              <w:rPr>
                <w:rFonts w:hint="eastAsia" w:hAnsi="宋体"/>
                <w:color w:val="auto"/>
                <w:spacing w:val="0"/>
                <w:sz w:val="24"/>
                <w:szCs w:val="24"/>
                <w:lang w:val="en-US" w:eastAsia="zh-CN"/>
              </w:rPr>
              <w:t>。</w:t>
            </w:r>
          </w:p>
          <w:p w14:paraId="1A18FD06">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根据昆明市地区暴雨强度（</w:t>
            </w:r>
            <w:r>
              <w:rPr>
                <w:rFonts w:hint="default" w:ascii="Times New Roman" w:hAnsi="Times New Roman" w:eastAsia="宋体" w:cs="Times New Roman"/>
                <w:color w:val="auto"/>
                <w:kern w:val="0"/>
                <w:sz w:val="24"/>
                <w:szCs w:val="24"/>
                <w:highlight w:val="none"/>
                <w:lang w:val="en-US" w:eastAsia="zh-CN" w:bidi="ar"/>
              </w:rPr>
              <w:t>2015</w:t>
            </w:r>
            <w:r>
              <w:rPr>
                <w:rFonts w:hint="eastAsia" w:ascii="宋体" w:hAnsi="宋体" w:eastAsia="宋体" w:cs="宋体"/>
                <w:color w:val="auto"/>
                <w:kern w:val="0"/>
                <w:sz w:val="24"/>
                <w:szCs w:val="24"/>
                <w:highlight w:val="none"/>
                <w:lang w:val="en-US" w:eastAsia="zh-CN" w:bidi="ar"/>
              </w:rPr>
              <w:t>年版）公式：</w:t>
            </w:r>
          </w:p>
          <w:p w14:paraId="5181AD5D">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p>
          <w:p w14:paraId="4E213416">
            <w:pPr>
              <w:keepNext w:val="0"/>
              <w:keepLines w:val="0"/>
              <w:widowControl/>
              <w:suppressLineNumbers w:val="0"/>
              <w:jc w:val="left"/>
              <w:rPr>
                <w:color w:val="auto"/>
                <w:highlight w:val="none"/>
              </w:rPr>
            </w:pPr>
            <w:r>
              <w:rPr>
                <w:color w:val="auto"/>
                <w:highlight w:val="none"/>
              </w:rPr>
              <w:drawing>
                <wp:anchor distT="0" distB="0" distL="114300" distR="114300" simplePos="0" relativeHeight="251662336" behindDoc="0" locked="0" layoutInCell="1" allowOverlap="1">
                  <wp:simplePos x="0" y="0"/>
                  <wp:positionH relativeFrom="column">
                    <wp:posOffset>669925</wp:posOffset>
                  </wp:positionH>
                  <wp:positionV relativeFrom="paragraph">
                    <wp:posOffset>62865</wp:posOffset>
                  </wp:positionV>
                  <wp:extent cx="3867150" cy="771525"/>
                  <wp:effectExtent l="0" t="0" r="0" b="9525"/>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2"/>
                          <a:stretch>
                            <a:fillRect/>
                          </a:stretch>
                        </pic:blipFill>
                        <pic:spPr>
                          <a:xfrm>
                            <a:off x="0" y="0"/>
                            <a:ext cx="3867150" cy="771525"/>
                          </a:xfrm>
                          <a:prstGeom prst="rect">
                            <a:avLst/>
                          </a:prstGeom>
                          <a:noFill/>
                          <a:ln>
                            <a:noFill/>
                          </a:ln>
                        </pic:spPr>
                      </pic:pic>
                    </a:graphicData>
                  </a:graphic>
                </wp:anchor>
              </w:drawing>
            </w:r>
          </w:p>
          <w:p w14:paraId="71C378B2">
            <w:pPr>
              <w:pStyle w:val="58"/>
              <w:ind w:firstLine="480"/>
              <w:rPr>
                <w:color w:val="auto"/>
                <w:highlight w:val="none"/>
              </w:rPr>
            </w:pPr>
          </w:p>
          <w:p w14:paraId="39AD1E75">
            <w:pPr>
              <w:spacing w:line="360" w:lineRule="auto"/>
              <w:jc w:val="center"/>
              <w:rPr>
                <w:rFonts w:ascii="Times New Roman" w:hAnsi="Times New Roman" w:cs="Times New Roman"/>
                <w:color w:val="auto"/>
                <w:sz w:val="24"/>
                <w:highlight w:val="none"/>
              </w:rPr>
            </w:pPr>
          </w:p>
          <w:p w14:paraId="54D9299C">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27FFF2E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720" w:firstLineChars="3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式中：</w:t>
            </w:r>
            <w:r>
              <w:rPr>
                <w:rFonts w:hint="default" w:ascii="Times New Roman" w:hAnsi="Times New Roman" w:eastAsia="宋体" w:cs="Times New Roman"/>
                <w:color w:val="auto"/>
                <w:kern w:val="0"/>
                <w:sz w:val="24"/>
                <w:szCs w:val="24"/>
                <w:highlight w:val="none"/>
                <w:lang w:val="en-US" w:eastAsia="zh-CN" w:bidi="ar"/>
              </w:rPr>
              <w:t>P-</w:t>
            </w:r>
            <w:r>
              <w:rPr>
                <w:rFonts w:hint="eastAsia" w:ascii="宋体" w:hAnsi="宋体" w:eastAsia="宋体" w:cs="宋体"/>
                <w:color w:val="auto"/>
                <w:kern w:val="0"/>
                <w:sz w:val="24"/>
                <w:szCs w:val="24"/>
                <w:highlight w:val="none"/>
                <w:lang w:val="en-US" w:eastAsia="zh-CN" w:bidi="ar"/>
              </w:rPr>
              <w:t>设计降雨重现期</w:t>
            </w:r>
            <w:r>
              <w:rPr>
                <w:rFonts w:hint="default" w:ascii="Times New Roman" w:hAnsi="Times New Roman" w:eastAsia="宋体" w:cs="Times New Roman"/>
                <w:color w:val="auto"/>
                <w:kern w:val="0"/>
                <w:sz w:val="24"/>
                <w:szCs w:val="24"/>
                <w:highlight w:val="none"/>
                <w:lang w:val="en-US" w:eastAsia="zh-CN" w:bidi="ar"/>
              </w:rPr>
              <w:t>2a</w:t>
            </w:r>
            <w:r>
              <w:rPr>
                <w:rFonts w:hint="eastAsia" w:ascii="宋体" w:hAnsi="宋体" w:eastAsia="宋体" w:cs="宋体"/>
                <w:color w:val="auto"/>
                <w:kern w:val="0"/>
                <w:sz w:val="24"/>
                <w:szCs w:val="24"/>
                <w:highlight w:val="none"/>
                <w:lang w:val="en-US" w:eastAsia="zh-CN" w:bidi="ar"/>
              </w:rPr>
              <w:t>；</w:t>
            </w:r>
          </w:p>
          <w:p w14:paraId="2321BEE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t-</w:t>
            </w:r>
            <w:r>
              <w:rPr>
                <w:rFonts w:hint="eastAsia" w:ascii="宋体" w:hAnsi="宋体" w:eastAsia="宋体" w:cs="宋体"/>
                <w:color w:val="auto"/>
                <w:kern w:val="0"/>
                <w:sz w:val="24"/>
                <w:szCs w:val="24"/>
                <w:highlight w:val="none"/>
                <w:lang w:val="en-US" w:eastAsia="zh-CN" w:bidi="ar"/>
              </w:rPr>
              <w:t>降雨历时（以</w:t>
            </w:r>
            <w:r>
              <w:rPr>
                <w:rFonts w:hint="default" w:ascii="Times New Roman" w:hAnsi="Times New Roman" w:eastAsia="宋体" w:cs="Times New Roman"/>
                <w:color w:val="auto"/>
                <w:kern w:val="0"/>
                <w:sz w:val="24"/>
                <w:szCs w:val="24"/>
                <w:highlight w:val="none"/>
                <w:lang w:val="en-US" w:eastAsia="zh-CN" w:bidi="ar"/>
              </w:rPr>
              <w:t>120min</w:t>
            </w:r>
            <w:r>
              <w:rPr>
                <w:rFonts w:hint="eastAsia" w:ascii="宋体" w:hAnsi="宋体" w:eastAsia="宋体" w:cs="宋体"/>
                <w:color w:val="auto"/>
                <w:kern w:val="0"/>
                <w:sz w:val="24"/>
                <w:szCs w:val="24"/>
                <w:highlight w:val="none"/>
                <w:lang w:val="en-US" w:eastAsia="zh-CN" w:bidi="ar"/>
              </w:rPr>
              <w:t>计）；</w:t>
            </w:r>
          </w:p>
          <w:p w14:paraId="2960CF0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暴雨强度，</w:t>
            </w:r>
            <w:r>
              <w:rPr>
                <w:rFonts w:hint="default" w:ascii="Times New Roman" w:hAnsi="Times New Roman" w:eastAsia="宋体" w:cs="Times New Roman"/>
                <w:color w:val="auto"/>
                <w:kern w:val="0"/>
                <w:sz w:val="24"/>
                <w:szCs w:val="24"/>
                <w:highlight w:val="none"/>
                <w:lang w:val="en-US" w:eastAsia="zh-CN" w:bidi="ar"/>
              </w:rPr>
              <w:t>L/s•hm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p>
          <w:p w14:paraId="07842F7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经计算，</w:t>
            </w:r>
            <w:r>
              <w:rPr>
                <w:rFonts w:hint="default" w:ascii="Times New Roman" w:hAnsi="Times New Roman" w:eastAsia="宋体" w:cs="Times New Roman"/>
                <w:color w:val="auto"/>
                <w:kern w:val="0"/>
                <w:sz w:val="24"/>
                <w:szCs w:val="24"/>
                <w:highlight w:val="none"/>
                <w:lang w:val="en-US" w:eastAsia="zh-CN" w:bidi="ar"/>
              </w:rPr>
              <w:t>q=69L/s•hm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p>
          <w:p w14:paraId="49CC9B4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cs="Times New Roman"/>
                <w:color w:val="auto"/>
                <w:sz w:val="24"/>
                <w:highlight w:val="none"/>
              </w:rPr>
            </w:pPr>
            <w:r>
              <w:rPr>
                <w:rFonts w:hint="eastAsia" w:ascii="宋体" w:hAnsi="宋体" w:eastAsia="宋体" w:cs="宋体"/>
                <w:color w:val="auto"/>
                <w:kern w:val="0"/>
                <w:sz w:val="24"/>
                <w:szCs w:val="24"/>
                <w:highlight w:val="none"/>
                <w:lang w:val="en-US" w:eastAsia="zh-CN" w:bidi="ar"/>
              </w:rPr>
              <w:t>根据雨水设计流量公式：</w:t>
            </w:r>
          </w:p>
          <w:p w14:paraId="49584355">
            <w:pPr>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Q=Ψ·</w:t>
            </w:r>
            <w:r>
              <w:rPr>
                <w:rFonts w:hint="eastAsia" w:cs="Times New Roman"/>
                <w:color w:val="auto"/>
                <w:sz w:val="24"/>
                <w:highlight w:val="none"/>
                <w:lang w:val="en-US" w:eastAsia="zh-CN"/>
              </w:rPr>
              <w:t>q</w:t>
            </w:r>
            <w:r>
              <w:rPr>
                <w:rFonts w:ascii="Times New Roman" w:hAnsi="Times New Roman" w:cs="Times New Roman"/>
                <w:color w:val="auto"/>
                <w:sz w:val="24"/>
                <w:highlight w:val="none"/>
              </w:rPr>
              <w:t>·F</w:t>
            </w:r>
          </w:p>
          <w:p w14:paraId="30B8DC1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式中：</w:t>
            </w: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雨水流量，</w:t>
            </w:r>
            <w:r>
              <w:rPr>
                <w:rFonts w:hint="default" w:ascii="Times New Roman" w:hAnsi="Times New Roman" w:eastAsia="宋体" w:cs="Times New Roman"/>
                <w:color w:val="auto"/>
                <w:kern w:val="0"/>
                <w:sz w:val="24"/>
                <w:szCs w:val="24"/>
                <w:highlight w:val="none"/>
                <w:lang w:val="en-US" w:eastAsia="zh-CN" w:bidi="ar"/>
              </w:rPr>
              <w:t>L/s</w:t>
            </w:r>
            <w:r>
              <w:rPr>
                <w:rFonts w:hint="eastAsia" w:ascii="宋体" w:hAnsi="宋体" w:eastAsia="宋体" w:cs="宋体"/>
                <w:color w:val="auto"/>
                <w:kern w:val="0"/>
                <w:sz w:val="24"/>
                <w:szCs w:val="24"/>
                <w:highlight w:val="none"/>
                <w:lang w:val="en-US" w:eastAsia="zh-CN" w:bidi="ar"/>
              </w:rPr>
              <w:t xml:space="preserve">； </w:t>
            </w:r>
          </w:p>
          <w:p w14:paraId="55143A0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ascii="Times New Roman" w:hAnsi="Times New Roman" w:cs="Times New Roman"/>
                <w:color w:val="auto"/>
                <w:sz w:val="24"/>
                <w:highlight w:val="none"/>
              </w:rPr>
              <w:t>Ψ</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径流系数，施工期地面为非铺砌土路面，因此径流系数取值</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35</w:t>
            </w:r>
            <w:r>
              <w:rPr>
                <w:rFonts w:hint="eastAsia" w:ascii="宋体" w:hAnsi="宋体" w:eastAsia="宋体" w:cs="宋体"/>
                <w:color w:val="auto"/>
                <w:kern w:val="0"/>
                <w:sz w:val="24"/>
                <w:szCs w:val="24"/>
                <w:highlight w:val="none"/>
                <w:lang w:val="en-US" w:eastAsia="zh-CN" w:bidi="ar"/>
              </w:rPr>
              <w:t xml:space="preserve">； </w:t>
            </w:r>
          </w:p>
          <w:p w14:paraId="62DF54B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暴雨强度，</w:t>
            </w:r>
            <w:r>
              <w:rPr>
                <w:rFonts w:hint="default" w:ascii="Times New Roman" w:hAnsi="Times New Roman" w:eastAsia="宋体" w:cs="Times New Roman"/>
                <w:color w:val="auto"/>
                <w:kern w:val="0"/>
                <w:sz w:val="24"/>
                <w:szCs w:val="24"/>
                <w:highlight w:val="none"/>
                <w:lang w:val="en-US" w:eastAsia="zh-CN" w:bidi="ar"/>
              </w:rPr>
              <w:t>L/s•hm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69L/s•hm</w:t>
            </w:r>
            <w:r>
              <w:rPr>
                <w:rFonts w:hint="eastAsia" w:ascii="Times New Roman" w:hAnsi="Times New Roman" w:eastAsia="宋体" w:cs="Times New Roman"/>
                <w:color w:val="auto"/>
                <w:kern w:val="0"/>
                <w:sz w:val="24"/>
                <w:szCs w:val="24"/>
                <w:highlight w:val="none"/>
                <w:vertAlign w:val="superscript"/>
                <w:lang w:val="en-US" w:eastAsia="zh-CN" w:bidi="ar"/>
              </w:rPr>
              <w:t>2</w:t>
            </w:r>
          </w:p>
          <w:p w14:paraId="124F4BE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1200" w:firstLineChars="5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F-</w:t>
            </w:r>
            <w:r>
              <w:rPr>
                <w:rFonts w:hint="eastAsia" w:ascii="宋体" w:hAnsi="宋体" w:eastAsia="宋体" w:cs="宋体"/>
                <w:color w:val="auto"/>
                <w:kern w:val="0"/>
                <w:sz w:val="24"/>
                <w:szCs w:val="24"/>
                <w:highlight w:val="none"/>
                <w:lang w:val="en-US" w:eastAsia="zh-CN" w:bidi="ar"/>
              </w:rPr>
              <w:t>汇水面积，</w:t>
            </w:r>
            <w:r>
              <w:rPr>
                <w:rFonts w:hint="default" w:ascii="Times New Roman" w:hAnsi="Times New Roman" w:eastAsia="宋体" w:cs="Times New Roman"/>
                <w:color w:val="auto"/>
                <w:kern w:val="0"/>
                <w:sz w:val="24"/>
                <w:szCs w:val="24"/>
                <w:highlight w:val="none"/>
                <w:lang w:val="en-US" w:eastAsia="zh-CN" w:bidi="ar"/>
              </w:rPr>
              <w:t>hm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1.617</w:t>
            </w:r>
            <w:r>
              <w:rPr>
                <w:rFonts w:hint="default" w:ascii="Times New Roman" w:hAnsi="Times New Roman" w:eastAsia="宋体" w:cs="Times New Roman"/>
                <w:color w:val="auto"/>
                <w:kern w:val="0"/>
                <w:sz w:val="24"/>
                <w:szCs w:val="24"/>
                <w:highlight w:val="none"/>
                <w:lang w:val="en-US" w:eastAsia="zh-CN" w:bidi="ar"/>
              </w:rPr>
              <w:t>hm</w:t>
            </w:r>
            <w:r>
              <w:rPr>
                <w:rFonts w:hint="eastAsia" w:ascii="Times New Roman" w:hAnsi="Times New Roman" w:eastAsia="宋体" w:cs="Times New Roman"/>
                <w:color w:val="auto"/>
                <w:kern w:val="0"/>
                <w:sz w:val="24"/>
                <w:szCs w:val="24"/>
                <w:highlight w:val="none"/>
                <w:vertAlign w:val="superscript"/>
                <w:lang w:val="en-US" w:eastAsia="zh-CN" w:bidi="ar"/>
              </w:rPr>
              <w:t>2</w:t>
            </w:r>
          </w:p>
          <w:p w14:paraId="427C602A">
            <w:pPr>
              <w:keepNext w:val="0"/>
              <w:keepLines w:val="0"/>
              <w:pageBreakBefore w:val="0"/>
              <w:widowControl/>
              <w:tabs>
                <w:tab w:val="left" w:pos="2100"/>
              </w:tabs>
              <w:kinsoku/>
              <w:wordWrap/>
              <w:overflowPunct/>
              <w:topLinePunct w:val="0"/>
              <w:autoSpaceDE/>
              <w:autoSpaceDN/>
              <w:bidi w:val="0"/>
              <w:adjustRightInd w:val="0"/>
              <w:snapToGrid w:val="0"/>
              <w:spacing w:line="360" w:lineRule="auto"/>
              <w:ind w:firstLine="480"/>
              <w:jc w:val="left"/>
              <w:textAlignment w:val="auto"/>
              <w:rPr>
                <w:rFonts w:hint="eastAsia" w:ascii="Times New Roman" w:hAnsi="宋体"/>
                <w:color w:val="auto"/>
                <w:sz w:val="24"/>
                <w:szCs w:val="24"/>
                <w:lang w:eastAsia="zh-CN"/>
              </w:rPr>
            </w:pPr>
            <w:r>
              <w:rPr>
                <w:rFonts w:hint="eastAsia" w:ascii="宋体" w:hAnsi="宋体" w:eastAsia="宋体" w:cs="宋体"/>
                <w:color w:val="auto"/>
                <w:kern w:val="0"/>
                <w:sz w:val="24"/>
                <w:szCs w:val="24"/>
                <w:highlight w:val="none"/>
                <w:lang w:val="en-US" w:eastAsia="zh-CN" w:bidi="ar"/>
              </w:rPr>
              <w:t>经计算，</w:t>
            </w:r>
            <w:r>
              <w:rPr>
                <w:rFonts w:hint="default" w:ascii="Times New Roman" w:hAnsi="Times New Roman" w:eastAsia="宋体" w:cs="Times New Roman"/>
                <w:color w:val="auto"/>
                <w:kern w:val="0"/>
                <w:sz w:val="24"/>
                <w:szCs w:val="24"/>
                <w:highlight w:val="none"/>
                <w:lang w:val="en-US" w:eastAsia="zh-CN" w:bidi="ar"/>
              </w:rPr>
              <w:t>Q=</w:t>
            </w:r>
            <w:r>
              <w:rPr>
                <w:rFonts w:hint="eastAsia" w:ascii="Times New Roman" w:hAnsi="Times New Roman" w:eastAsia="宋体" w:cs="Times New Roman"/>
                <w:color w:val="auto"/>
                <w:kern w:val="0"/>
                <w:sz w:val="24"/>
                <w:szCs w:val="24"/>
                <w:highlight w:val="none"/>
                <w:lang w:val="en-US" w:eastAsia="zh-CN" w:bidi="ar"/>
              </w:rPr>
              <w:t>39.0506</w:t>
            </w:r>
            <w:r>
              <w:rPr>
                <w:rFonts w:hint="default" w:ascii="Times New Roman" w:hAnsi="Times New Roman" w:eastAsia="宋体" w:cs="Times New Roman"/>
                <w:color w:val="auto"/>
                <w:kern w:val="0"/>
                <w:sz w:val="24"/>
                <w:szCs w:val="24"/>
                <w:highlight w:val="none"/>
                <w:lang w:val="en-US" w:eastAsia="zh-CN" w:bidi="ar"/>
              </w:rPr>
              <w:t>L/s</w:t>
            </w:r>
            <w:r>
              <w:rPr>
                <w:rFonts w:hint="eastAsia" w:ascii="宋体" w:hAnsi="宋体" w:eastAsia="宋体" w:cs="宋体"/>
                <w:color w:val="auto"/>
                <w:kern w:val="0"/>
                <w:sz w:val="24"/>
                <w:szCs w:val="24"/>
                <w:highlight w:val="none"/>
                <w:lang w:val="en-US" w:eastAsia="zh-CN" w:bidi="ar"/>
              </w:rPr>
              <w:t>，项目应集中收集、沉淀</w:t>
            </w:r>
            <w:r>
              <w:rPr>
                <w:rFonts w:hint="default" w:ascii="Times New Roman" w:hAnsi="Times New Roman" w:eastAsia="宋体" w:cs="Times New Roman"/>
                <w:color w:val="auto"/>
                <w:kern w:val="0"/>
                <w:sz w:val="24"/>
                <w:szCs w:val="24"/>
                <w:highlight w:val="none"/>
                <w:lang w:val="en-US" w:eastAsia="zh-CN" w:bidi="ar"/>
              </w:rPr>
              <w:t>15min</w:t>
            </w:r>
            <w:r>
              <w:rPr>
                <w:rFonts w:hint="eastAsia" w:ascii="宋体" w:hAnsi="宋体" w:eastAsia="宋体" w:cs="宋体"/>
                <w:color w:val="auto"/>
                <w:kern w:val="0"/>
                <w:sz w:val="24"/>
                <w:szCs w:val="24"/>
                <w:highlight w:val="none"/>
                <w:lang w:val="en-US" w:eastAsia="zh-CN" w:bidi="ar"/>
              </w:rPr>
              <w:t>左右的雨水，因此本项目</w:t>
            </w:r>
            <w:r>
              <w:rPr>
                <w:rFonts w:hint="eastAsia" w:ascii="宋体" w:hAnsi="宋体" w:cs="宋体"/>
                <w:color w:val="auto"/>
                <w:kern w:val="0"/>
                <w:sz w:val="24"/>
                <w:szCs w:val="24"/>
                <w:highlight w:val="none"/>
                <w:lang w:val="en-US" w:eastAsia="zh-CN" w:bidi="ar"/>
              </w:rPr>
              <w:t>需</w:t>
            </w:r>
            <w:r>
              <w:rPr>
                <w:rFonts w:hint="eastAsia" w:ascii="宋体" w:hAnsi="宋体" w:eastAsia="宋体" w:cs="宋体"/>
                <w:color w:val="auto"/>
                <w:kern w:val="0"/>
                <w:sz w:val="24"/>
                <w:szCs w:val="24"/>
                <w:highlight w:val="none"/>
                <w:lang w:val="en-US" w:eastAsia="zh-CN" w:bidi="ar"/>
              </w:rPr>
              <w:t>收集、沉淀</w:t>
            </w:r>
            <w:r>
              <w:rPr>
                <w:rFonts w:hint="eastAsia" w:ascii="Times New Roman" w:hAnsi="Times New Roman" w:eastAsia="宋体" w:cs="Times New Roman"/>
                <w:color w:val="auto"/>
                <w:kern w:val="0"/>
                <w:sz w:val="24"/>
                <w:szCs w:val="24"/>
                <w:highlight w:val="none"/>
                <w:lang w:val="en-US" w:eastAsia="zh-CN" w:bidi="ar"/>
              </w:rPr>
              <w:t>35.1456</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初期雨水</w:t>
            </w:r>
            <w:r>
              <w:rPr>
                <w:rFonts w:hint="default" w:ascii="Times New Roman" w:hAnsi="Times New Roman" w:eastAsia="宋体" w:cs="Times New Roman"/>
                <w:color w:val="auto"/>
                <w:sz w:val="24"/>
                <w:szCs w:val="24"/>
                <w:highlight w:val="none"/>
                <w:vertAlign w:val="baseline"/>
                <w:lang w:val="en-US" w:eastAsia="zh-CN"/>
              </w:rPr>
              <w:t>。</w:t>
            </w:r>
          </w:p>
          <w:p w14:paraId="40FA26AA">
            <w:pPr>
              <w:keepNext w:val="0"/>
              <w:keepLines w:val="0"/>
              <w:pageBreakBefore w:val="0"/>
              <w:widowControl/>
              <w:tabs>
                <w:tab w:val="left" w:pos="2100"/>
              </w:tabs>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b/>
                <w:bCs/>
                <w:color w:val="auto"/>
                <w:sz w:val="24"/>
                <w:szCs w:val="24"/>
                <w:highlight w:val="none"/>
              </w:rPr>
            </w:pPr>
            <w:r>
              <w:rPr>
                <w:rFonts w:hint="eastAsia" w:ascii="宋体" w:hAnsi="宋体" w:eastAsia="宋体" w:cs="宋体"/>
                <w:color w:val="auto"/>
                <w:kern w:val="0"/>
                <w:sz w:val="24"/>
                <w:szCs w:val="24"/>
                <w:highlight w:val="none"/>
                <w:lang w:val="en-US" w:eastAsia="zh-CN" w:bidi="ar"/>
              </w:rPr>
              <w:t>施工区规范建设临时截排水沟及沉淀池，</w:t>
            </w:r>
            <w:r>
              <w:rPr>
                <w:rFonts w:hint="eastAsia" w:hAnsi="宋体"/>
                <w:color w:val="auto"/>
                <w:sz w:val="24"/>
                <w:szCs w:val="24"/>
                <w:lang w:eastAsia="zh-CN"/>
              </w:rPr>
              <w:t>地表径流和施工废水、</w:t>
            </w:r>
            <w:r>
              <w:rPr>
                <w:rFonts w:hint="default" w:ascii="Times New Roman" w:hAnsi="Times New Roman" w:eastAsia="宋体" w:cs="Times New Roman"/>
                <w:color w:val="auto"/>
                <w:sz w:val="24"/>
                <w:szCs w:val="24"/>
                <w:lang w:val="zh-CN" w:eastAsia="zh-CN"/>
              </w:rPr>
              <w:t>施工人员生活污水</w:t>
            </w:r>
            <w:r>
              <w:rPr>
                <w:rFonts w:hint="eastAsia" w:hAnsi="宋体"/>
                <w:color w:val="auto"/>
                <w:sz w:val="24"/>
                <w:szCs w:val="24"/>
                <w:lang w:eastAsia="zh-CN"/>
              </w:rPr>
              <w:t>使用同一沉淀池，总废水量为</w:t>
            </w:r>
            <w:r>
              <w:rPr>
                <w:rFonts w:hint="eastAsia" w:hAnsi="宋体"/>
                <w:color w:val="auto"/>
                <w:sz w:val="24"/>
                <w:szCs w:val="24"/>
                <w:lang w:val="en-US" w:eastAsia="zh-CN"/>
              </w:rPr>
              <w:t>36.6256m</w:t>
            </w:r>
            <w:r>
              <w:rPr>
                <w:rFonts w:hint="eastAsia" w:hAnsi="宋体"/>
                <w:color w:val="auto"/>
                <w:sz w:val="24"/>
                <w:szCs w:val="24"/>
                <w:vertAlign w:val="superscript"/>
                <w:lang w:val="en-US" w:eastAsia="zh-CN"/>
              </w:rPr>
              <w:t>3</w:t>
            </w:r>
            <w:r>
              <w:rPr>
                <w:rFonts w:hint="eastAsia" w:hAnsi="宋体"/>
                <w:color w:val="auto"/>
                <w:sz w:val="24"/>
                <w:szCs w:val="24"/>
                <w:lang w:val="en-US" w:eastAsia="zh-CN"/>
              </w:rPr>
              <w:t>，</w:t>
            </w:r>
            <w:r>
              <w:rPr>
                <w:rFonts w:ascii="Times New Roman" w:hAnsi="宋体"/>
                <w:color w:val="auto"/>
                <w:sz w:val="24"/>
                <w:szCs w:val="24"/>
              </w:rPr>
              <w:t>拟设</w:t>
            </w:r>
            <w:r>
              <w:rPr>
                <w:rFonts w:hint="eastAsia" w:hAnsi="宋体"/>
                <w:color w:val="auto"/>
                <w:sz w:val="24"/>
                <w:szCs w:val="24"/>
                <w:lang w:val="en-US" w:eastAsia="zh-CN"/>
              </w:rPr>
              <w:t>40</w:t>
            </w:r>
            <w:r>
              <w:rPr>
                <w:rFonts w:ascii="Times New Roman" w:hAnsi="Times New Roman"/>
                <w:color w:val="auto"/>
                <w:sz w:val="24"/>
                <w:szCs w:val="24"/>
              </w:rPr>
              <w:t>m³</w:t>
            </w:r>
            <w:r>
              <w:rPr>
                <w:rFonts w:ascii="Times New Roman" w:hAnsi="宋体"/>
                <w:color w:val="auto"/>
                <w:sz w:val="24"/>
                <w:szCs w:val="24"/>
              </w:rPr>
              <w:t>的沉淀池，收集暴雨径流中的前期雨水</w:t>
            </w:r>
            <w:r>
              <w:rPr>
                <w:rFonts w:hint="eastAsia" w:hAnsi="宋体"/>
                <w:color w:val="auto"/>
                <w:sz w:val="24"/>
                <w:szCs w:val="24"/>
                <w:lang w:eastAsia="zh-CN"/>
              </w:rPr>
              <w:t>和施工废水、</w:t>
            </w:r>
            <w:r>
              <w:rPr>
                <w:rFonts w:hint="default" w:ascii="Times New Roman" w:hAnsi="Times New Roman" w:eastAsia="宋体" w:cs="Times New Roman"/>
                <w:color w:val="auto"/>
                <w:sz w:val="24"/>
                <w:szCs w:val="24"/>
                <w:lang w:val="zh-CN" w:eastAsia="zh-CN"/>
              </w:rPr>
              <w:t>施工人员生活污水</w:t>
            </w:r>
            <w:r>
              <w:rPr>
                <w:rFonts w:ascii="Times New Roman" w:hAnsi="宋体"/>
                <w:color w:val="auto"/>
                <w:sz w:val="24"/>
                <w:szCs w:val="24"/>
              </w:rPr>
              <w:t>，使其经沉淀池处理后，回用于施工过程或施工现场洒水降尘</w:t>
            </w:r>
            <w:r>
              <w:rPr>
                <w:rFonts w:hint="default" w:ascii="Times New Roman" w:hAnsi="Times New Roman" w:eastAsia="宋体" w:cs="Times New Roman"/>
                <w:color w:val="auto"/>
                <w:sz w:val="24"/>
                <w:szCs w:val="24"/>
                <w:lang w:val="en-US" w:eastAsia="zh-CN"/>
              </w:rPr>
              <w:t>，不外排。</w:t>
            </w:r>
            <w:r>
              <w:rPr>
                <w:rFonts w:hint="default" w:ascii="Times New Roman" w:hAnsi="Times New Roman" w:eastAsia="宋体" w:cs="Times New Roman"/>
                <w:color w:val="auto"/>
                <w:sz w:val="24"/>
                <w:szCs w:val="24"/>
                <w:lang w:val="zh-CN" w:eastAsia="zh-CN"/>
              </w:rPr>
              <w:t>对周围地表水影响较小。</w:t>
            </w:r>
          </w:p>
          <w:p w14:paraId="29F9AD66">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14:paraId="7DD9B6C4">
            <w:pPr>
              <w:adjustRightInd w:val="0"/>
              <w:snapToGrid w:val="0"/>
              <w:spacing w:line="360" w:lineRule="auto"/>
              <w:ind w:firstLine="480" w:firstLineChars="200"/>
              <w:rPr>
                <w:color w:val="auto"/>
                <w:sz w:val="24"/>
              </w:rPr>
            </w:pPr>
            <w:r>
              <w:rPr>
                <w:color w:val="auto"/>
                <w:sz w:val="24"/>
              </w:rPr>
              <w:t>为减缓施工噪声的影响，本环评提出如下措施：</w:t>
            </w:r>
          </w:p>
          <w:p w14:paraId="33AF36DE">
            <w:pPr>
              <w:adjustRightInd w:val="0"/>
              <w:snapToGrid w:val="0"/>
              <w:spacing w:line="360" w:lineRule="auto"/>
              <w:ind w:firstLine="480" w:firstLineChars="200"/>
              <w:rPr>
                <w:color w:val="auto"/>
                <w:sz w:val="24"/>
              </w:rPr>
            </w:pPr>
            <w:r>
              <w:rPr>
                <w:color w:val="auto"/>
                <w:sz w:val="24"/>
              </w:rPr>
              <w:t>①</w:t>
            </w:r>
            <w:r>
              <w:rPr>
                <w:color w:val="auto"/>
                <w:kern w:val="0"/>
                <w:sz w:val="24"/>
              </w:rPr>
              <w:t>从声源上控制：</w:t>
            </w:r>
            <w:r>
              <w:rPr>
                <w:color w:val="auto"/>
                <w:sz w:val="24"/>
              </w:rPr>
              <w:t>选用噪声相对较低的施工机械设备；</w:t>
            </w:r>
          </w:p>
          <w:p w14:paraId="05ECAF55">
            <w:pPr>
              <w:adjustRightInd w:val="0"/>
              <w:snapToGrid w:val="0"/>
              <w:spacing w:line="360" w:lineRule="auto"/>
              <w:ind w:firstLine="480" w:firstLineChars="200"/>
              <w:textAlignment w:val="baseline"/>
              <w:rPr>
                <w:color w:val="auto"/>
                <w:kern w:val="0"/>
                <w:sz w:val="24"/>
              </w:rPr>
            </w:pPr>
            <w:r>
              <w:rPr>
                <w:color w:val="auto"/>
                <w:kern w:val="0"/>
                <w:sz w:val="24"/>
              </w:rPr>
              <w:t>②严禁夜间</w:t>
            </w:r>
            <w:r>
              <w:rPr>
                <w:rFonts w:hint="eastAsia"/>
                <w:color w:val="auto"/>
                <w:kern w:val="0"/>
                <w:sz w:val="24"/>
                <w:lang w:eastAsia="zh-CN"/>
              </w:rPr>
              <w:t>、中午休息时段</w:t>
            </w:r>
            <w:r>
              <w:rPr>
                <w:color w:val="auto"/>
                <w:kern w:val="0"/>
                <w:sz w:val="24"/>
              </w:rPr>
              <w:t>施工，若必须进行作业，需按要求提前向主管部门申请，</w:t>
            </w:r>
            <w:r>
              <w:rPr>
                <w:rFonts w:hint="eastAsia"/>
                <w:color w:val="auto"/>
                <w:kern w:val="0"/>
                <w:sz w:val="24"/>
                <w:lang w:eastAsia="zh-CN"/>
              </w:rPr>
              <w:t>并</w:t>
            </w:r>
            <w:r>
              <w:rPr>
                <w:color w:val="auto"/>
                <w:kern w:val="0"/>
                <w:sz w:val="24"/>
              </w:rPr>
              <w:t>将施工信息告知周边住户及单位。</w:t>
            </w:r>
          </w:p>
          <w:p w14:paraId="51707C78">
            <w:pPr>
              <w:adjustRightInd w:val="0"/>
              <w:snapToGrid w:val="0"/>
              <w:spacing w:line="360" w:lineRule="auto"/>
              <w:ind w:firstLine="480" w:firstLineChars="200"/>
              <w:textAlignment w:val="baseline"/>
              <w:rPr>
                <w:color w:val="auto"/>
                <w:kern w:val="0"/>
                <w:sz w:val="24"/>
              </w:rPr>
            </w:pPr>
            <w:r>
              <w:rPr>
                <w:color w:val="auto"/>
                <w:kern w:val="0"/>
                <w:sz w:val="24"/>
              </w:rPr>
              <w:t>③施工场地内可固定设备应尽量设置在设备专用房或操作间内，避免露天作业。</w:t>
            </w:r>
          </w:p>
          <w:p w14:paraId="45B1AC34">
            <w:pPr>
              <w:adjustRightInd w:val="0"/>
              <w:snapToGrid w:val="0"/>
              <w:spacing w:line="360" w:lineRule="auto"/>
              <w:ind w:firstLine="480" w:firstLineChars="200"/>
              <w:textAlignment w:val="baseline"/>
              <w:rPr>
                <w:color w:val="auto"/>
                <w:kern w:val="0"/>
                <w:sz w:val="24"/>
              </w:rPr>
            </w:pPr>
            <w:r>
              <w:rPr>
                <w:rFonts w:hint="eastAsia"/>
                <w:color w:val="auto"/>
                <w:kern w:val="0"/>
                <w:sz w:val="24"/>
                <w:lang w:eastAsia="zh-CN"/>
              </w:rPr>
              <w:t>④</w:t>
            </w:r>
            <w:r>
              <w:rPr>
                <w:color w:val="auto"/>
                <w:kern w:val="0"/>
                <w:sz w:val="24"/>
              </w:rPr>
              <w:t>施工场地的施工车辆出入地点应尽量远离敏感点，车辆出入现场时应低速、禁鸣。</w:t>
            </w:r>
          </w:p>
          <w:p w14:paraId="207BD836">
            <w:pPr>
              <w:adjustRightInd w:val="0"/>
              <w:snapToGrid w:val="0"/>
              <w:spacing w:line="360" w:lineRule="auto"/>
              <w:ind w:firstLine="480" w:firstLineChars="200"/>
              <w:textAlignment w:val="baseline"/>
              <w:rPr>
                <w:color w:val="auto"/>
                <w:kern w:val="0"/>
                <w:sz w:val="24"/>
              </w:rPr>
            </w:pPr>
            <w:r>
              <w:rPr>
                <w:rFonts w:hint="eastAsia"/>
                <w:color w:val="auto"/>
                <w:kern w:val="0"/>
                <w:sz w:val="24"/>
                <w:lang w:eastAsia="zh-CN"/>
              </w:rPr>
              <w:t>⑤</w:t>
            </w:r>
            <w:r>
              <w:rPr>
                <w:color w:val="auto"/>
                <w:kern w:val="0"/>
                <w:sz w:val="24"/>
              </w:rPr>
              <w:t>企业应合理安排工期，减短施工的施工时间；加强对施工人员的管理，做到文明施工，避免人为噪声的产生。</w:t>
            </w:r>
          </w:p>
          <w:p w14:paraId="6A5D1A92">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eastAsia="zh-CN"/>
              </w:rPr>
            </w:pPr>
            <w:r>
              <w:rPr>
                <w:rFonts w:hint="eastAsia" w:ascii="宋体" w:hAnsi="宋体" w:cs="宋体"/>
                <w:color w:val="auto"/>
                <w:sz w:val="24"/>
              </w:rPr>
              <w:t>通过以上措施的实施，可以最大限度的减小施工期机械噪声对环境的影响。项目</w:t>
            </w:r>
            <w:r>
              <w:rPr>
                <w:color w:val="auto"/>
                <w:sz w:val="24"/>
              </w:rPr>
              <w:t>施工期较短，施工期噪声的影响</w:t>
            </w:r>
            <w:r>
              <w:rPr>
                <w:rFonts w:hint="eastAsia"/>
                <w:color w:val="auto"/>
                <w:sz w:val="24"/>
              </w:rPr>
              <w:t>符合</w:t>
            </w:r>
            <w:r>
              <w:rPr>
                <w:color w:val="auto"/>
                <w:sz w:val="24"/>
                <w:lang w:bidi="ar"/>
              </w:rPr>
              <w:t>《建筑施工场界环境噪声排放标准》（GB 12523－2011）</w:t>
            </w:r>
            <w:r>
              <w:rPr>
                <w:rFonts w:hint="eastAsia"/>
                <w:color w:val="auto"/>
                <w:sz w:val="24"/>
                <w:lang w:bidi="ar"/>
              </w:rPr>
              <w:t>要求</w:t>
            </w:r>
            <w:r>
              <w:rPr>
                <w:rFonts w:hint="default" w:ascii="Times New Roman" w:hAnsi="Times New Roman" w:eastAsia="宋体" w:cs="Times New Roman"/>
                <w:b w:val="0"/>
                <w:bCs w:val="0"/>
                <w:color w:val="auto"/>
                <w:sz w:val="24"/>
                <w:szCs w:val="24"/>
                <w:highlight w:val="none"/>
                <w:lang w:eastAsia="zh-CN"/>
              </w:rPr>
              <w:t>。</w:t>
            </w:r>
          </w:p>
          <w:p w14:paraId="2B190EFE">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14:paraId="4BB54436">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项目施工期固体废弃物主要为</w:t>
            </w:r>
            <w:r>
              <w:rPr>
                <w:rFonts w:hint="default" w:ascii="Times New Roman" w:hAnsi="Times New Roman" w:eastAsia="宋体" w:cs="Times New Roman"/>
                <w:color w:val="auto"/>
                <w:sz w:val="24"/>
                <w:szCs w:val="24"/>
                <w:lang w:val="en-US" w:eastAsia="zh-CN"/>
              </w:rPr>
              <w:t>土石方、</w:t>
            </w:r>
            <w:r>
              <w:rPr>
                <w:rFonts w:hint="default" w:ascii="Times New Roman" w:hAnsi="Times New Roman" w:eastAsia="宋体" w:cs="Times New Roman"/>
                <w:color w:val="auto"/>
                <w:sz w:val="24"/>
                <w:szCs w:val="24"/>
              </w:rPr>
              <w:t>建筑垃圾和生活垃圾。</w:t>
            </w:r>
          </w:p>
          <w:p w14:paraId="215CBF74">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土石方</w:t>
            </w:r>
          </w:p>
          <w:p w14:paraId="704C0F22">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bookmarkStart w:id="23" w:name="_Toc30528"/>
            <w:r>
              <w:rPr>
                <w:rFonts w:hint="default" w:ascii="Times New Roman" w:hAnsi="Times New Roman" w:eastAsia="宋体" w:cs="Times New Roman"/>
                <w:color w:val="auto"/>
                <w:sz w:val="24"/>
                <w:highlight w:val="none"/>
              </w:rPr>
              <w:t>根据业主提供资料，</w:t>
            </w:r>
            <w:r>
              <w:rPr>
                <w:rFonts w:hint="default" w:ascii="Times New Roman" w:hAnsi="Times New Roman" w:eastAsia="宋体" w:cs="Times New Roman"/>
                <w:color w:val="auto"/>
                <w:sz w:val="24"/>
                <w:highlight w:val="none"/>
                <w:lang w:val="en-US" w:eastAsia="zh-CN"/>
              </w:rPr>
              <w:t>项目拟建位置</w:t>
            </w:r>
            <w:r>
              <w:rPr>
                <w:rFonts w:hint="default" w:ascii="Times New Roman" w:hAnsi="Times New Roman" w:eastAsia="宋体" w:cs="Times New Roman"/>
                <w:color w:val="auto"/>
                <w:sz w:val="24"/>
                <w:lang w:val="en-US" w:eastAsia="zh-CN"/>
              </w:rPr>
              <w:t>地势平坦</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val="en-US" w:eastAsia="zh-CN"/>
              </w:rPr>
              <w:t>土石方开挖量不大，</w:t>
            </w:r>
            <w:r>
              <w:rPr>
                <w:rFonts w:hint="default" w:ascii="Times New Roman" w:hAnsi="Times New Roman" w:eastAsia="宋体" w:cs="Times New Roman"/>
                <w:color w:val="auto"/>
                <w:sz w:val="24"/>
                <w:szCs w:val="24"/>
              </w:rPr>
              <w:t>项目施工期间的土石方主要</w:t>
            </w:r>
            <w:r>
              <w:rPr>
                <w:rFonts w:hint="eastAsia" w:cs="Times New Roman"/>
                <w:color w:val="auto"/>
                <w:sz w:val="24"/>
                <w:szCs w:val="24"/>
                <w:lang w:eastAsia="zh-CN"/>
              </w:rPr>
              <w:t>来自</w:t>
            </w:r>
            <w:r>
              <w:rPr>
                <w:rFonts w:hint="default" w:ascii="Times New Roman" w:hAnsi="Times New Roman" w:eastAsia="宋体" w:cs="Times New Roman"/>
                <w:color w:val="auto"/>
                <w:sz w:val="24"/>
                <w:szCs w:val="24"/>
                <w:lang w:val="en-US" w:eastAsia="zh-CN"/>
              </w:rPr>
              <w:t>地基及雨污</w:t>
            </w:r>
            <w:r>
              <w:rPr>
                <w:rFonts w:hint="default" w:ascii="Times New Roman" w:hAnsi="Times New Roman" w:eastAsia="宋体" w:cs="Times New Roman"/>
                <w:color w:val="auto"/>
                <w:sz w:val="24"/>
                <w:szCs w:val="24"/>
              </w:rPr>
              <w:t>沟渠的开挖</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rPr>
              <w:t>，其余均为地上建筑。</w:t>
            </w:r>
            <w:r>
              <w:rPr>
                <w:rFonts w:hint="default" w:ascii="Times New Roman" w:hAnsi="Times New Roman" w:eastAsia="宋体" w:cs="Times New Roman"/>
                <w:color w:val="auto"/>
                <w:sz w:val="24"/>
                <w:szCs w:val="24"/>
                <w:lang w:val="en-US" w:eastAsia="zh-CN"/>
              </w:rPr>
              <w:t>雨污分流系统、化粪池、污水处理设施等</w:t>
            </w:r>
            <w:r>
              <w:rPr>
                <w:rFonts w:hint="default" w:ascii="Times New Roman" w:hAnsi="Times New Roman" w:eastAsia="宋体" w:cs="Times New Roman"/>
                <w:color w:val="auto"/>
                <w:kern w:val="0"/>
                <w:sz w:val="24"/>
                <w:szCs w:val="24"/>
              </w:rPr>
              <w:t>开挖量</w:t>
            </w:r>
            <w:r>
              <w:rPr>
                <w:rFonts w:hint="default" w:ascii="Times New Roman" w:hAnsi="Times New Roman" w:eastAsia="宋体" w:cs="Times New Roman"/>
                <w:color w:val="auto"/>
                <w:kern w:val="0"/>
                <w:sz w:val="24"/>
                <w:szCs w:val="24"/>
                <w:lang w:eastAsia="zh-CN"/>
              </w:rPr>
              <w:t>也较小；</w:t>
            </w:r>
            <w:r>
              <w:rPr>
                <w:rFonts w:hint="default" w:ascii="Times New Roman" w:hAnsi="Times New Roman" w:eastAsia="宋体" w:cs="Times New Roman"/>
                <w:b w:val="0"/>
                <w:bCs/>
                <w:color w:val="auto"/>
                <w:sz w:val="24"/>
                <w:szCs w:val="24"/>
                <w:highlight w:val="none"/>
                <w:lang w:val="en-US" w:eastAsia="zh-CN"/>
              </w:rPr>
              <w:t>土石方用于</w:t>
            </w:r>
            <w:r>
              <w:rPr>
                <w:rFonts w:hint="default" w:ascii="Times New Roman" w:hAnsi="Times New Roman" w:eastAsia="宋体" w:cs="Times New Roman"/>
                <w:color w:val="auto"/>
                <w:sz w:val="24"/>
                <w:szCs w:val="24"/>
                <w:lang w:val="en-US" w:eastAsia="zh-CN"/>
              </w:rPr>
              <w:t>雨污管网</w:t>
            </w:r>
            <w:r>
              <w:rPr>
                <w:rFonts w:hint="default" w:ascii="Times New Roman" w:hAnsi="Times New Roman" w:eastAsia="宋体" w:cs="Times New Roman"/>
                <w:color w:val="auto"/>
                <w:sz w:val="24"/>
                <w:szCs w:val="24"/>
              </w:rPr>
              <w:t>自身回填</w:t>
            </w:r>
            <w:r>
              <w:rPr>
                <w:rFonts w:hint="default" w:ascii="Times New Roman" w:hAnsi="Times New Roman" w:eastAsia="宋体" w:cs="Times New Roman"/>
                <w:color w:val="auto"/>
                <w:sz w:val="24"/>
                <w:szCs w:val="24"/>
                <w:lang w:val="en-US" w:eastAsia="zh-CN"/>
              </w:rPr>
              <w:t>以及项目区域</w:t>
            </w:r>
            <w:r>
              <w:rPr>
                <w:rFonts w:hint="default" w:ascii="Times New Roman" w:hAnsi="Times New Roman" w:eastAsia="宋体" w:cs="Times New Roman"/>
                <w:color w:val="auto"/>
                <w:sz w:val="24"/>
                <w:szCs w:val="24"/>
              </w:rPr>
              <w:t>周边平整填垫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剩余部分由施工单位及时清运至合法的排土场处置。</w:t>
            </w:r>
            <w:bookmarkEnd w:id="23"/>
          </w:p>
          <w:p w14:paraId="73C51598">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）建筑垃圾</w:t>
            </w:r>
          </w:p>
          <w:p w14:paraId="6983E836">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项目产生的建筑垃圾进行分类集中堆存，能回收利用的部分，请回收商进行收购，重复利用；不能回收利用的运至政府部门指定的建筑垃圾堆放场处置，禁止与生活垃圾混合处置，禁止随意丢弃。</w:t>
            </w:r>
          </w:p>
          <w:p w14:paraId="709F42B5">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）施工人员生活垃圾</w:t>
            </w:r>
          </w:p>
          <w:p w14:paraId="387CB1F6">
            <w:pPr>
              <w:keepNext w:val="0"/>
              <w:keepLines w:val="0"/>
              <w:pageBreakBefore w:val="0"/>
              <w:widowControl w:val="0"/>
              <w:kinsoku/>
              <w:wordWrap/>
              <w:overflowPunct/>
              <w:topLinePunct w:val="0"/>
              <w:autoSpaceDE/>
              <w:autoSpaceDN/>
              <w:bidi w:val="0"/>
              <w:spacing w:line="356" w:lineRule="auto"/>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rPr>
              <w:t>施工期施工人员</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rPr>
              <w:t>不在项目区食</w:t>
            </w:r>
            <w:r>
              <w:rPr>
                <w:rFonts w:hint="default" w:ascii="Times New Roman" w:hAnsi="Times New Roman" w:eastAsia="宋体" w:cs="Times New Roman"/>
                <w:color w:val="auto"/>
                <w:sz w:val="24"/>
                <w:szCs w:val="24"/>
                <w:highlight w:val="none"/>
              </w:rPr>
              <w:t>宿，生活垃圾产生量较小。</w:t>
            </w:r>
            <w:r>
              <w:rPr>
                <w:rFonts w:hint="default" w:ascii="Times New Roman" w:hAnsi="Times New Roman" w:eastAsia="宋体" w:cs="Times New Roman"/>
                <w:color w:val="auto"/>
                <w:sz w:val="24"/>
              </w:rPr>
              <w:t>生活垃圾以每人每天0.</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kg计，</w:t>
            </w:r>
            <w:r>
              <w:rPr>
                <w:rFonts w:hint="default" w:ascii="Times New Roman" w:hAnsi="Times New Roman" w:eastAsia="宋体" w:cs="Times New Roman"/>
                <w:color w:val="auto"/>
                <w:sz w:val="24"/>
                <w:lang w:val="en-US" w:eastAsia="zh-CN"/>
              </w:rPr>
              <w:t>施工期最多人数为30人，</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lang w:val="en-US" w:eastAsia="zh-CN"/>
              </w:rPr>
              <w:t>6</w:t>
            </w:r>
            <w:r>
              <w:rPr>
                <w:rFonts w:hint="default" w:ascii="Times New Roman" w:hAnsi="Times New Roman" w:eastAsia="宋体" w:cs="Times New Roman"/>
                <w:snapToGrid w:val="0"/>
                <w:color w:val="auto"/>
                <w:spacing w:val="12"/>
                <w:sz w:val="24"/>
              </w:rPr>
              <w:t>kg/d</w:t>
            </w:r>
            <w:r>
              <w:rPr>
                <w:rFonts w:hint="default" w:ascii="Times New Roman" w:hAnsi="Times New Roman" w:eastAsia="宋体" w:cs="Times New Roman"/>
                <w:snapToGrid w:val="0"/>
                <w:color w:val="auto"/>
                <w:spacing w:val="12"/>
                <w:sz w:val="24"/>
                <w:lang w:eastAsia="zh-CN"/>
              </w:rPr>
              <w:t>、</w:t>
            </w:r>
            <w:r>
              <w:rPr>
                <w:rFonts w:hint="eastAsia" w:cs="Times New Roman"/>
                <w:snapToGrid w:val="0"/>
                <w:color w:val="auto"/>
                <w:spacing w:val="12"/>
                <w:sz w:val="24"/>
                <w:lang w:val="en-US" w:eastAsia="zh-CN"/>
              </w:rPr>
              <w:t>4.14</w:t>
            </w:r>
            <w:r>
              <w:rPr>
                <w:rFonts w:hint="default" w:ascii="Times New Roman" w:hAnsi="Times New Roman" w:eastAsia="宋体" w:cs="Times New Roman"/>
                <w:snapToGrid w:val="0"/>
                <w:color w:val="auto"/>
                <w:spacing w:val="12"/>
                <w:sz w:val="24"/>
                <w:lang w:val="en-US" w:eastAsia="zh-CN"/>
              </w:rPr>
              <w:t>t/</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14:paraId="579F2F99">
            <w:pPr>
              <w:pStyle w:val="25"/>
              <w:keepNext w:val="0"/>
              <w:keepLines w:val="0"/>
              <w:pageBreakBefore w:val="0"/>
              <w:widowControl w:val="0"/>
              <w:kinsoku/>
              <w:wordWrap/>
              <w:overflowPunct/>
              <w:topLinePunct w:val="0"/>
              <w:autoSpaceDE/>
              <w:autoSpaceDN/>
              <w:bidi w:val="0"/>
              <w:adjustRightInd w:val="0"/>
              <w:snapToGrid w:val="0"/>
              <w:spacing w:after="0" w:line="356" w:lineRule="auto"/>
              <w:ind w:left="0" w:leftChars="0"/>
              <w:jc w:val="both"/>
              <w:textAlignment w:val="auto"/>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综上，在各项环保措施得到切实实施的情况下，项目施工期产生的环境影响较小，且为暂时的，随着施工期的结束而消失，对周围环境产生的影响较小。</w:t>
            </w:r>
          </w:p>
        </w:tc>
      </w:tr>
      <w:tr w14:paraId="5D2AF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dxa"/>
            <w:tcMar>
              <w:left w:w="28" w:type="dxa"/>
              <w:right w:w="28" w:type="dxa"/>
            </w:tcMar>
            <w:vAlign w:val="center"/>
          </w:tcPr>
          <w:p w14:paraId="50F8251C">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5406FFF8">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00529B84">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3EF15CC3">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6A66855A">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088C79D8">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87" w:type="dxa"/>
            <w:vAlign w:val="top"/>
          </w:tcPr>
          <w:p w14:paraId="474FE10F">
            <w:pP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14:paraId="4D242798">
            <w:pPr>
              <w:pStyle w:val="36"/>
              <w:ind w:left="0" w:right="0" w:firstLine="480" w:firstLineChars="200"/>
              <w:jc w:val="both"/>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废气主</w:t>
            </w:r>
            <w:r>
              <w:rPr>
                <w:rFonts w:hint="default" w:ascii="Times New Roman" w:hAnsi="Times New Roman" w:eastAsia="宋体" w:cs="Times New Roman"/>
                <w:color w:val="auto"/>
                <w:sz w:val="24"/>
                <w:highlight w:val="none"/>
                <w:u w:val="none"/>
                <w:lang w:val="en-US" w:eastAsia="zh-CN"/>
              </w:rPr>
              <w:t>要为</w:t>
            </w:r>
            <w:r>
              <w:rPr>
                <w:rFonts w:hint="eastAsia" w:ascii="Times New Roman" w:hAnsi="Times New Roman" w:cs="Times New Roman"/>
                <w:color w:val="auto"/>
                <w:sz w:val="24"/>
                <w:szCs w:val="24"/>
                <w:lang w:eastAsia="zh-CN"/>
              </w:rPr>
              <w:t>生物质燃料燃烧</w:t>
            </w:r>
            <w:r>
              <w:rPr>
                <w:rFonts w:hint="default" w:ascii="Times New Roman" w:hAnsi="Times New Roman" w:eastAsia="宋体" w:cs="Times New Roman"/>
                <w:b w:val="0"/>
                <w:bCs w:val="0"/>
                <w:color w:val="auto"/>
                <w:sz w:val="24"/>
                <w:szCs w:val="24"/>
                <w:highlight w:val="none"/>
                <w:lang w:eastAsia="zh-CN"/>
              </w:rPr>
              <w:t>废气</w:t>
            </w:r>
            <w:r>
              <w:rPr>
                <w:rFonts w:hint="default" w:ascii="Times New Roman" w:hAnsi="Times New Roman" w:eastAsia="宋体" w:cs="Times New Roman"/>
                <w:color w:val="auto"/>
                <w:sz w:val="24"/>
                <w:highlight w:val="none"/>
                <w:u w:val="none"/>
                <w:lang w:val="en-US" w:eastAsia="zh-CN"/>
              </w:rPr>
              <w:t>、</w:t>
            </w:r>
            <w:r>
              <w:rPr>
                <w:rFonts w:hint="eastAsia" w:ascii="Times New Roman" w:hAnsi="Times New Roman" w:cs="Times New Roman"/>
                <w:color w:val="auto"/>
                <w:sz w:val="24"/>
                <w:highlight w:val="none"/>
                <w:u w:val="none"/>
                <w:lang w:val="en-US" w:eastAsia="zh-CN"/>
              </w:rPr>
              <w:t>熔炼废气</w:t>
            </w:r>
            <w:r>
              <w:rPr>
                <w:rFonts w:hint="eastAsia" w:cs="Times New Roman"/>
                <w:color w:val="auto"/>
                <w:sz w:val="24"/>
                <w:highlight w:val="none"/>
                <w:u w:val="none"/>
                <w:lang w:val="en-US" w:eastAsia="zh-CN"/>
              </w:rPr>
              <w:t>、</w:t>
            </w:r>
            <w:r>
              <w:rPr>
                <w:rFonts w:hint="eastAsia" w:hAnsi="Times New Roman"/>
                <w:color w:val="auto"/>
                <w:sz w:val="24"/>
              </w:rPr>
              <w:t>脱酸脱臭</w:t>
            </w:r>
            <w:r>
              <w:rPr>
                <w:rFonts w:hint="eastAsia" w:hAnsi="Times New Roman"/>
                <w:color w:val="auto"/>
                <w:sz w:val="24"/>
                <w:lang w:eastAsia="zh-CN"/>
              </w:rPr>
              <w:t>废气</w:t>
            </w:r>
            <w:r>
              <w:rPr>
                <w:rFonts w:hint="eastAsia" w:hAnsi="Times New Roman"/>
                <w:color w:val="auto"/>
                <w:sz w:val="24"/>
              </w:rPr>
              <w:t>、异味</w:t>
            </w:r>
            <w:r>
              <w:rPr>
                <w:rFonts w:hint="eastAsia"/>
                <w:color w:val="auto"/>
                <w:sz w:val="24"/>
              </w:rPr>
              <w:t>及食堂油烟</w:t>
            </w:r>
            <w:r>
              <w:rPr>
                <w:rFonts w:hint="default" w:ascii="Times New Roman" w:hAnsi="Times New Roman" w:eastAsia="宋体" w:cs="Times New Roman"/>
                <w:color w:val="auto"/>
                <w:sz w:val="24"/>
                <w:highlight w:val="none"/>
                <w:u w:val="none"/>
                <w:lang w:val="en-US" w:eastAsia="zh-CN"/>
              </w:rPr>
              <w:t>等。</w:t>
            </w:r>
          </w:p>
          <w:p w14:paraId="3F1149B6">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14:paraId="189C4B0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14:paraId="1542E1B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14:paraId="202F9977">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p>
          <w:p w14:paraId="0750AA03">
            <w:pPr>
              <w:pStyle w:val="1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7"/>
              <w:tblW w:w="8502"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099"/>
              <w:gridCol w:w="799"/>
              <w:gridCol w:w="755"/>
              <w:gridCol w:w="1017"/>
              <w:gridCol w:w="1054"/>
              <w:gridCol w:w="1022"/>
              <w:gridCol w:w="1157"/>
            </w:tblGrid>
            <w:tr w14:paraId="240E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8" w:type="dxa"/>
                  <w:gridSpan w:val="2"/>
                  <w:vAlign w:val="center"/>
                </w:tcPr>
                <w:p w14:paraId="54669CB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2571" w:type="dxa"/>
                  <w:gridSpan w:val="3"/>
                  <w:vAlign w:val="center"/>
                </w:tcPr>
                <w:p w14:paraId="57B7621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燃料燃烧</w:t>
                  </w:r>
                </w:p>
              </w:tc>
              <w:tc>
                <w:tcPr>
                  <w:tcW w:w="3233" w:type="dxa"/>
                  <w:gridSpan w:val="3"/>
                  <w:vAlign w:val="center"/>
                </w:tcPr>
                <w:p w14:paraId="5462F5E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生产车间、化粪池、污水处理设施</w:t>
                  </w:r>
                </w:p>
              </w:tc>
            </w:tr>
            <w:tr w14:paraId="7AAE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8" w:type="dxa"/>
                  <w:gridSpan w:val="2"/>
                  <w:vAlign w:val="center"/>
                </w:tcPr>
                <w:p w14:paraId="72688AD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799" w:type="dxa"/>
                  <w:vAlign w:val="center"/>
                </w:tcPr>
                <w:p w14:paraId="2535D43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755" w:type="dxa"/>
                  <w:vAlign w:val="center"/>
                </w:tcPr>
                <w:p w14:paraId="56C872D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017" w:type="dxa"/>
                  <w:vAlign w:val="center"/>
                </w:tcPr>
                <w:p w14:paraId="2C0FFD2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054" w:type="dxa"/>
                  <w:vAlign w:val="center"/>
                </w:tcPr>
                <w:p w14:paraId="242CFE1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1022" w:type="dxa"/>
                  <w:vAlign w:val="center"/>
                </w:tcPr>
                <w:p w14:paraId="744075C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1157" w:type="dxa"/>
                  <w:vAlign w:val="center"/>
                </w:tcPr>
                <w:p w14:paraId="604EBC3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臭气浓度</w:t>
                  </w:r>
                </w:p>
              </w:tc>
            </w:tr>
            <w:tr w14:paraId="72BC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8" w:type="dxa"/>
                  <w:gridSpan w:val="2"/>
                  <w:vAlign w:val="center"/>
                </w:tcPr>
                <w:p w14:paraId="0A3840A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799" w:type="dxa"/>
                  <w:vAlign w:val="center"/>
                </w:tcPr>
                <w:p w14:paraId="0B477F3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3.3558</w:t>
                  </w:r>
                </w:p>
              </w:tc>
              <w:tc>
                <w:tcPr>
                  <w:tcW w:w="755" w:type="dxa"/>
                  <w:vAlign w:val="center"/>
                </w:tcPr>
                <w:p w14:paraId="29C29ED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5.7049</w:t>
                  </w:r>
                </w:p>
              </w:tc>
              <w:tc>
                <w:tcPr>
                  <w:tcW w:w="1017" w:type="dxa"/>
                  <w:vAlign w:val="center"/>
                </w:tcPr>
                <w:p w14:paraId="07A25A2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6.8459</w:t>
                  </w:r>
                </w:p>
              </w:tc>
              <w:tc>
                <w:tcPr>
                  <w:tcW w:w="1054" w:type="dxa"/>
                  <w:vAlign w:val="center"/>
                </w:tcPr>
                <w:p w14:paraId="1484D3B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cs="Times New Roman"/>
                      <w:i w:val="0"/>
                      <w:iCs w:val="0"/>
                      <w:color w:val="auto"/>
                      <w:kern w:val="0"/>
                      <w:sz w:val="21"/>
                      <w:szCs w:val="21"/>
                      <w:highlight w:val="none"/>
                      <w:u w:val="none"/>
                      <w:lang w:val="en-US" w:eastAsia="zh-CN" w:bidi="ar"/>
                    </w:rPr>
                    <w:t>792</w:t>
                  </w:r>
                </w:p>
              </w:tc>
              <w:tc>
                <w:tcPr>
                  <w:tcW w:w="1022" w:type="dxa"/>
                  <w:vAlign w:val="center"/>
                </w:tcPr>
                <w:p w14:paraId="0A867BB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31</w:t>
                  </w:r>
                </w:p>
              </w:tc>
              <w:tc>
                <w:tcPr>
                  <w:tcW w:w="1157" w:type="dxa"/>
                  <w:vAlign w:val="center"/>
                </w:tcPr>
                <w:p w14:paraId="628CD72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14:paraId="47A4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14:paraId="3733201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99" w:type="dxa"/>
                  <w:vAlign w:val="center"/>
                </w:tcPr>
                <w:p w14:paraId="6306531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80.13</w:t>
                  </w:r>
                </w:p>
              </w:tc>
              <w:tc>
                <w:tcPr>
                  <w:tcW w:w="755" w:type="dxa"/>
                  <w:vAlign w:val="center"/>
                </w:tcPr>
                <w:p w14:paraId="3488AC4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w:t>
                  </w:r>
                  <w:r>
                    <w:rPr>
                      <w:rFonts w:hint="eastAsia" w:cs="Times New Roman"/>
                      <w:b w:val="0"/>
                      <w:bCs/>
                      <w:color w:val="auto"/>
                      <w:spacing w:val="-10"/>
                      <w:sz w:val="21"/>
                      <w:szCs w:val="21"/>
                      <w:highlight w:val="none"/>
                      <w:vertAlign w:val="baseline"/>
                      <w:lang w:val="en-US" w:eastAsia="zh-CN"/>
                    </w:rPr>
                    <w:t>2</w:t>
                  </w:r>
                </w:p>
              </w:tc>
              <w:tc>
                <w:tcPr>
                  <w:tcW w:w="1017" w:type="dxa"/>
                  <w:vAlign w:val="center"/>
                </w:tcPr>
                <w:p w14:paraId="78D2626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1054" w:type="dxa"/>
                  <w:vAlign w:val="center"/>
                </w:tcPr>
                <w:p w14:paraId="7B460A3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022" w:type="dxa"/>
                  <w:vAlign w:val="center"/>
                </w:tcPr>
                <w:p w14:paraId="37D8708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1157" w:type="dxa"/>
                  <w:vAlign w:val="center"/>
                </w:tcPr>
                <w:p w14:paraId="30DCD29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22D8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14:paraId="667A9F0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2571" w:type="dxa"/>
                  <w:gridSpan w:val="3"/>
                  <w:vAlign w:val="center"/>
                </w:tcPr>
                <w:p w14:paraId="26303C2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有组织</w:t>
                  </w:r>
                </w:p>
              </w:tc>
              <w:tc>
                <w:tcPr>
                  <w:tcW w:w="3233" w:type="dxa"/>
                  <w:gridSpan w:val="3"/>
                  <w:vAlign w:val="center"/>
                </w:tcPr>
                <w:p w14:paraId="5DF75BF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无组织</w:t>
                  </w:r>
                </w:p>
              </w:tc>
            </w:tr>
            <w:tr w14:paraId="7B20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14:paraId="5CFDA39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099" w:type="dxa"/>
                  <w:vAlign w:val="center"/>
                </w:tcPr>
                <w:p w14:paraId="116CBBC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2571" w:type="dxa"/>
                  <w:gridSpan w:val="3"/>
                  <w:vAlign w:val="center"/>
                </w:tcPr>
                <w:p w14:paraId="2392DBF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17450.3649</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p>
              </w:tc>
              <w:tc>
                <w:tcPr>
                  <w:tcW w:w="3233" w:type="dxa"/>
                  <w:gridSpan w:val="3"/>
                  <w:vAlign w:val="center"/>
                </w:tcPr>
                <w:p w14:paraId="2648C8B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67F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5C774B5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6276EDF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2571" w:type="dxa"/>
                  <w:gridSpan w:val="3"/>
                  <w:vAlign w:val="center"/>
                </w:tcPr>
                <w:p w14:paraId="2758ECB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3233" w:type="dxa"/>
                  <w:gridSpan w:val="3"/>
                  <w:vAlign w:val="center"/>
                </w:tcPr>
                <w:p w14:paraId="7A9031F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6C6D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3A9A885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660A0A0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2571" w:type="dxa"/>
                  <w:gridSpan w:val="3"/>
                  <w:vAlign w:val="center"/>
                </w:tcPr>
                <w:p w14:paraId="52B6940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1套“高温布袋除尘器”</w:t>
                  </w:r>
                </w:p>
              </w:tc>
              <w:tc>
                <w:tcPr>
                  <w:tcW w:w="3233" w:type="dxa"/>
                  <w:gridSpan w:val="3"/>
                  <w:vAlign w:val="center"/>
                </w:tcPr>
                <w:p w14:paraId="6AB00B21">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定期喷洒复合微生物除臭剂进行除臭、自然稀释扩散</w:t>
                  </w:r>
                </w:p>
              </w:tc>
            </w:tr>
            <w:tr w14:paraId="77F0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99" w:type="dxa"/>
                  <w:vMerge w:val="continue"/>
                  <w:vAlign w:val="center"/>
                </w:tcPr>
                <w:p w14:paraId="03A5A5B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044CE7B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799" w:type="dxa"/>
                  <w:vAlign w:val="center"/>
                </w:tcPr>
                <w:p w14:paraId="5284CCC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95%</w:t>
                  </w:r>
                </w:p>
              </w:tc>
              <w:tc>
                <w:tcPr>
                  <w:tcW w:w="755" w:type="dxa"/>
                  <w:vAlign w:val="center"/>
                </w:tcPr>
                <w:p w14:paraId="62BD249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1017" w:type="dxa"/>
                  <w:vAlign w:val="center"/>
                </w:tcPr>
                <w:p w14:paraId="4742C50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3233" w:type="dxa"/>
                  <w:gridSpan w:val="3"/>
                  <w:vAlign w:val="center"/>
                </w:tcPr>
                <w:p w14:paraId="4D0A153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w:t>
                  </w:r>
                </w:p>
              </w:tc>
            </w:tr>
            <w:tr w14:paraId="21D9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09F9BE0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1CD2C27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2571" w:type="dxa"/>
                  <w:gridSpan w:val="3"/>
                  <w:vAlign w:val="center"/>
                </w:tcPr>
                <w:p w14:paraId="50C5F59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c>
                <w:tcPr>
                  <w:tcW w:w="3233" w:type="dxa"/>
                  <w:gridSpan w:val="3"/>
                  <w:vAlign w:val="center"/>
                </w:tcPr>
                <w:p w14:paraId="38FB84D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5CE7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14:paraId="5EA492B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99" w:type="dxa"/>
                  <w:vAlign w:val="center"/>
                </w:tcPr>
                <w:p w14:paraId="3DD958C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4.01</w:t>
                  </w:r>
                </w:p>
              </w:tc>
              <w:tc>
                <w:tcPr>
                  <w:tcW w:w="755" w:type="dxa"/>
                  <w:vAlign w:val="center"/>
                </w:tcPr>
                <w:p w14:paraId="0E985CD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136.2</w:t>
                  </w:r>
                  <w:r>
                    <w:rPr>
                      <w:rFonts w:hint="eastAsia" w:cs="Times New Roman"/>
                      <w:b w:val="0"/>
                      <w:bCs/>
                      <w:color w:val="auto"/>
                      <w:spacing w:val="-10"/>
                      <w:sz w:val="21"/>
                      <w:szCs w:val="21"/>
                      <w:highlight w:val="none"/>
                      <w:vertAlign w:val="baseline"/>
                      <w:lang w:val="en-US" w:eastAsia="zh-CN"/>
                    </w:rPr>
                    <w:t>2</w:t>
                  </w:r>
                </w:p>
              </w:tc>
              <w:tc>
                <w:tcPr>
                  <w:tcW w:w="1017" w:type="dxa"/>
                  <w:vAlign w:val="center"/>
                </w:tcPr>
                <w:p w14:paraId="3BA8BE0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163.46</w:t>
                  </w:r>
                </w:p>
              </w:tc>
              <w:tc>
                <w:tcPr>
                  <w:tcW w:w="3233" w:type="dxa"/>
                  <w:gridSpan w:val="3"/>
                  <w:vAlign w:val="center"/>
                </w:tcPr>
                <w:p w14:paraId="753AEF7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6369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698" w:type="dxa"/>
                  <w:gridSpan w:val="2"/>
                  <w:vAlign w:val="center"/>
                </w:tcPr>
                <w:p w14:paraId="2D9DCB4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799" w:type="dxa"/>
                  <w:vAlign w:val="center"/>
                </w:tcPr>
                <w:p w14:paraId="45C02A9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0.0</w:t>
                  </w:r>
                  <w:r>
                    <w:rPr>
                      <w:rFonts w:hint="eastAsia" w:cs="Times New Roman"/>
                      <w:b w:val="0"/>
                      <w:bCs/>
                      <w:color w:val="auto"/>
                      <w:spacing w:val="-10"/>
                      <w:sz w:val="21"/>
                      <w:szCs w:val="21"/>
                      <w:highlight w:val="none"/>
                      <w:vertAlign w:val="baseline"/>
                      <w:lang w:val="en-US" w:eastAsia="zh-CN"/>
                    </w:rPr>
                    <w:t>699</w:t>
                  </w:r>
                </w:p>
              </w:tc>
              <w:tc>
                <w:tcPr>
                  <w:tcW w:w="755" w:type="dxa"/>
                  <w:vAlign w:val="center"/>
                </w:tcPr>
                <w:p w14:paraId="0BF50F25">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2.3771</w:t>
                  </w:r>
                </w:p>
              </w:tc>
              <w:tc>
                <w:tcPr>
                  <w:tcW w:w="1017" w:type="dxa"/>
                  <w:vAlign w:val="center"/>
                </w:tcPr>
                <w:p w14:paraId="340A574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2.8525</w:t>
                  </w:r>
                </w:p>
              </w:tc>
              <w:tc>
                <w:tcPr>
                  <w:tcW w:w="1054" w:type="dxa"/>
                  <w:vAlign w:val="center"/>
                </w:tcPr>
                <w:p w14:paraId="610E704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26</w:t>
                  </w:r>
                </w:p>
              </w:tc>
              <w:tc>
                <w:tcPr>
                  <w:tcW w:w="1022" w:type="dxa"/>
                  <w:vAlign w:val="center"/>
                </w:tcPr>
                <w:p w14:paraId="49059B5F">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1</w:t>
                  </w:r>
                </w:p>
              </w:tc>
              <w:tc>
                <w:tcPr>
                  <w:tcW w:w="1157" w:type="dxa"/>
                  <w:vAlign w:val="center"/>
                </w:tcPr>
                <w:p w14:paraId="5624935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480F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14:paraId="5E85EC8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799" w:type="dxa"/>
                  <w:vAlign w:val="center"/>
                </w:tcPr>
                <w:p w14:paraId="0FADBAA3">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1678</w:t>
                  </w:r>
                </w:p>
              </w:tc>
              <w:tc>
                <w:tcPr>
                  <w:tcW w:w="755" w:type="dxa"/>
                  <w:vAlign w:val="center"/>
                </w:tcPr>
                <w:p w14:paraId="3954EC4B">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5.7049</w:t>
                  </w:r>
                </w:p>
              </w:tc>
              <w:tc>
                <w:tcPr>
                  <w:tcW w:w="1017" w:type="dxa"/>
                  <w:vAlign w:val="center"/>
                </w:tcPr>
                <w:p w14:paraId="18980EC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6.8459</w:t>
                  </w:r>
                </w:p>
              </w:tc>
              <w:tc>
                <w:tcPr>
                  <w:tcW w:w="1054" w:type="dxa"/>
                  <w:vAlign w:val="center"/>
                </w:tcPr>
                <w:p w14:paraId="4498236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63</w:t>
                  </w:r>
                </w:p>
              </w:tc>
              <w:tc>
                <w:tcPr>
                  <w:tcW w:w="1022" w:type="dxa"/>
                  <w:vAlign w:val="center"/>
                </w:tcPr>
                <w:p w14:paraId="56DFD70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c>
                <w:tcPr>
                  <w:tcW w:w="1157" w:type="dxa"/>
                  <w:vAlign w:val="center"/>
                </w:tcPr>
                <w:p w14:paraId="7797B24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少量</w:t>
                  </w:r>
                </w:p>
              </w:tc>
            </w:tr>
            <w:tr w14:paraId="3C59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14:paraId="15FEA78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099" w:type="dxa"/>
                  <w:vAlign w:val="center"/>
                </w:tcPr>
                <w:p w14:paraId="171E494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2571" w:type="dxa"/>
                  <w:gridSpan w:val="3"/>
                  <w:vAlign w:val="center"/>
                </w:tcPr>
                <w:p w14:paraId="5DB5D16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35</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3233" w:type="dxa"/>
                  <w:gridSpan w:val="3"/>
                  <w:vAlign w:val="center"/>
                </w:tcPr>
                <w:p w14:paraId="62A133A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266D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37E7CCEF">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5E64368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2571" w:type="dxa"/>
                  <w:gridSpan w:val="3"/>
                  <w:vAlign w:val="center"/>
                </w:tcPr>
                <w:p w14:paraId="26E053C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r>
                    <w:rPr>
                      <w:rFonts w:hint="eastAsia" w:cs="Times New Roman"/>
                      <w:b w:val="0"/>
                      <w:bCs/>
                      <w:color w:val="auto"/>
                      <w:spacing w:val="-10"/>
                      <w:sz w:val="21"/>
                      <w:szCs w:val="21"/>
                      <w:highlight w:val="none"/>
                      <w:vertAlign w:val="baseline"/>
                      <w:lang w:val="en-US" w:eastAsia="zh-CN"/>
                    </w:rPr>
                    <w:t>6</w:t>
                  </w:r>
                  <w:r>
                    <w:rPr>
                      <w:rFonts w:hint="default" w:ascii="Times New Roman" w:hAnsi="Times New Roman" w:eastAsia="宋体" w:cs="Times New Roman"/>
                      <w:b w:val="0"/>
                      <w:bCs/>
                      <w:color w:val="auto"/>
                      <w:spacing w:val="-10"/>
                      <w:sz w:val="21"/>
                      <w:szCs w:val="21"/>
                      <w:highlight w:val="none"/>
                      <w:vertAlign w:val="baseline"/>
                      <w:lang w:val="en-US" w:eastAsia="zh-CN"/>
                    </w:rPr>
                    <w:t>m</w:t>
                  </w:r>
                </w:p>
              </w:tc>
              <w:tc>
                <w:tcPr>
                  <w:tcW w:w="3233" w:type="dxa"/>
                  <w:gridSpan w:val="3"/>
                  <w:vAlign w:val="center"/>
                </w:tcPr>
                <w:p w14:paraId="76983A1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16D9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00EA65EC">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00E41CB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2571" w:type="dxa"/>
                  <w:gridSpan w:val="3"/>
                  <w:vAlign w:val="center"/>
                </w:tcPr>
                <w:p w14:paraId="741A9B86">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0</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233" w:type="dxa"/>
                  <w:gridSpan w:val="3"/>
                  <w:vAlign w:val="center"/>
                </w:tcPr>
                <w:p w14:paraId="276830C4">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DD9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186222FE">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467B034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2571" w:type="dxa"/>
                  <w:gridSpan w:val="3"/>
                  <w:vAlign w:val="center"/>
                </w:tcPr>
                <w:p w14:paraId="57C53162">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DA001</w:t>
                  </w:r>
                </w:p>
              </w:tc>
              <w:tc>
                <w:tcPr>
                  <w:tcW w:w="3233" w:type="dxa"/>
                  <w:gridSpan w:val="3"/>
                  <w:vAlign w:val="center"/>
                </w:tcPr>
                <w:p w14:paraId="59A00FE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148F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47FACF5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5AAE347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2571" w:type="dxa"/>
                  <w:gridSpan w:val="3"/>
                  <w:vAlign w:val="center"/>
                </w:tcPr>
                <w:p w14:paraId="26811E38">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一般排放口</w:t>
                  </w:r>
                </w:p>
              </w:tc>
              <w:tc>
                <w:tcPr>
                  <w:tcW w:w="3233" w:type="dxa"/>
                  <w:gridSpan w:val="3"/>
                  <w:vAlign w:val="center"/>
                </w:tcPr>
                <w:p w14:paraId="27E8B2D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45DB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16D1B332">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48D2A3D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2571" w:type="dxa"/>
                  <w:gridSpan w:val="3"/>
                  <w:vAlign w:val="center"/>
                </w:tcPr>
                <w:p w14:paraId="568CA0B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E：103°</w:t>
                  </w:r>
                  <w:r>
                    <w:rPr>
                      <w:rFonts w:hint="eastAsia" w:cs="Times New Roman"/>
                      <w:b w:val="0"/>
                      <w:bCs/>
                      <w:color w:val="auto"/>
                      <w:spacing w:val="-10"/>
                      <w:sz w:val="21"/>
                      <w:szCs w:val="21"/>
                      <w:highlight w:val="none"/>
                      <w:vertAlign w:val="baseline"/>
                      <w:lang w:val="en-US" w:eastAsia="zh-CN"/>
                    </w:rPr>
                    <w:t>0</w:t>
                  </w:r>
                  <w:r>
                    <w:rPr>
                      <w:rFonts w:hint="default" w:ascii="Times New Roman" w:hAnsi="Times New Roman" w:eastAsia="宋体" w:cs="Times New Roman"/>
                      <w:b w:val="0"/>
                      <w:bCs/>
                      <w:color w:val="auto"/>
                      <w:spacing w:val="-10"/>
                      <w:sz w:val="21"/>
                      <w:szCs w:val="21"/>
                      <w:highlight w:val="none"/>
                      <w:vertAlign w:val="baseline"/>
                      <w:lang w:val="en-US" w:eastAsia="zh-CN"/>
                    </w:rPr>
                    <w:t>7′</w:t>
                  </w:r>
                  <w:r>
                    <w:rPr>
                      <w:rFonts w:hint="eastAsia" w:cs="Times New Roman"/>
                      <w:b w:val="0"/>
                      <w:bCs/>
                      <w:color w:val="auto"/>
                      <w:spacing w:val="-10"/>
                      <w:sz w:val="21"/>
                      <w:szCs w:val="21"/>
                      <w:highlight w:val="none"/>
                      <w:vertAlign w:val="baseline"/>
                      <w:lang w:val="en-US" w:eastAsia="zh-CN"/>
                    </w:rPr>
                    <w:t>49.624</w:t>
                  </w:r>
                  <w:r>
                    <w:rPr>
                      <w:rFonts w:hint="default" w:ascii="Times New Roman" w:hAnsi="Times New Roman" w:eastAsia="宋体" w:cs="Times New Roman"/>
                      <w:b w:val="0"/>
                      <w:bCs/>
                      <w:color w:val="auto"/>
                      <w:spacing w:val="-10"/>
                      <w:sz w:val="21"/>
                      <w:szCs w:val="21"/>
                      <w:highlight w:val="none"/>
                      <w:vertAlign w:val="baseline"/>
                      <w:lang w:val="en-US" w:eastAsia="zh-CN"/>
                    </w:rPr>
                    <w:t>″，N：25°26′</w:t>
                  </w:r>
                  <w:r>
                    <w:rPr>
                      <w:rFonts w:hint="eastAsia" w:cs="Times New Roman"/>
                      <w:b w:val="0"/>
                      <w:bCs/>
                      <w:color w:val="auto"/>
                      <w:spacing w:val="-10"/>
                      <w:sz w:val="21"/>
                      <w:szCs w:val="21"/>
                      <w:highlight w:val="none"/>
                      <w:vertAlign w:val="baseline"/>
                      <w:lang w:val="en-US" w:eastAsia="zh-CN"/>
                    </w:rPr>
                    <w:t>7.209</w:t>
                  </w: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233" w:type="dxa"/>
                  <w:gridSpan w:val="3"/>
                  <w:vAlign w:val="center"/>
                </w:tcPr>
                <w:p w14:paraId="1A9E780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0863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8" w:type="dxa"/>
                  <w:gridSpan w:val="2"/>
                  <w:vAlign w:val="center"/>
                </w:tcPr>
                <w:p w14:paraId="0C06CCAA">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2571" w:type="dxa"/>
                  <w:gridSpan w:val="3"/>
                  <w:vAlign w:val="center"/>
                </w:tcPr>
                <w:p w14:paraId="026FC7A9">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c>
                <w:tcPr>
                  <w:tcW w:w="3233" w:type="dxa"/>
                  <w:gridSpan w:val="3"/>
                  <w:vAlign w:val="center"/>
                </w:tcPr>
                <w:p w14:paraId="57D98C1E">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w:t>
                  </w:r>
                </w:p>
              </w:tc>
            </w:tr>
            <w:tr w14:paraId="01DF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vAlign w:val="center"/>
                </w:tcPr>
                <w:p w14:paraId="60EB94F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099" w:type="dxa"/>
                  <w:vAlign w:val="center"/>
                </w:tcPr>
                <w:p w14:paraId="43D3E57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2571" w:type="dxa"/>
                  <w:gridSpan w:val="3"/>
                  <w:vAlign w:val="center"/>
                </w:tcPr>
                <w:p w14:paraId="28C7D55D">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DA001排气筒出口</w:t>
                  </w:r>
                </w:p>
              </w:tc>
              <w:tc>
                <w:tcPr>
                  <w:tcW w:w="3233" w:type="dxa"/>
                  <w:gridSpan w:val="3"/>
                  <w:vAlign w:val="center"/>
                </w:tcPr>
                <w:p w14:paraId="4F579D23">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14:paraId="302F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525189A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7DA2BE37">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799" w:type="dxa"/>
                  <w:vAlign w:val="center"/>
                </w:tcPr>
                <w:p w14:paraId="7544D339">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755" w:type="dxa"/>
                  <w:vAlign w:val="center"/>
                </w:tcPr>
                <w:p w14:paraId="5ACF70F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017" w:type="dxa"/>
                  <w:vAlign w:val="center"/>
                </w:tcPr>
                <w:p w14:paraId="1FEA495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1054" w:type="dxa"/>
                  <w:vAlign w:val="center"/>
                </w:tcPr>
                <w:p w14:paraId="2608FDF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氨</w:t>
                  </w:r>
                </w:p>
              </w:tc>
              <w:tc>
                <w:tcPr>
                  <w:tcW w:w="1022" w:type="dxa"/>
                  <w:vAlign w:val="center"/>
                </w:tcPr>
                <w:p w14:paraId="489BF42D">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硫化氢</w:t>
                  </w:r>
                </w:p>
              </w:tc>
              <w:tc>
                <w:tcPr>
                  <w:tcW w:w="1157" w:type="dxa"/>
                  <w:vAlign w:val="center"/>
                </w:tcPr>
                <w:p w14:paraId="3643049A">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臭气浓度</w:t>
                  </w:r>
                </w:p>
              </w:tc>
            </w:tr>
            <w:tr w14:paraId="4C7B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vAlign w:val="center"/>
                </w:tcPr>
                <w:p w14:paraId="503B306B">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099" w:type="dxa"/>
                  <w:vAlign w:val="center"/>
                </w:tcPr>
                <w:p w14:paraId="53F65D81">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2571" w:type="dxa"/>
                  <w:gridSpan w:val="3"/>
                  <w:vAlign w:val="center"/>
                </w:tcPr>
                <w:p w14:paraId="2D470144">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c>
                <w:tcPr>
                  <w:tcW w:w="3233" w:type="dxa"/>
                  <w:gridSpan w:val="3"/>
                  <w:vAlign w:val="center"/>
                </w:tcPr>
                <w:p w14:paraId="6B047900">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14:paraId="6884B9A4">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w:t>
            </w:r>
            <w:r>
              <w:rPr>
                <w:rFonts w:hint="default" w:ascii="Times New Roman" w:hAnsi="Times New Roman" w:eastAsia="宋体" w:cs="Times New Roman"/>
                <w:b/>
                <w:bCs/>
                <w:color w:val="auto"/>
                <w:sz w:val="24"/>
                <w:szCs w:val="24"/>
              </w:rPr>
              <w:t>锅炉</w:t>
            </w:r>
            <w:r>
              <w:rPr>
                <w:rFonts w:hint="default" w:ascii="Times New Roman" w:hAnsi="Times New Roman" w:eastAsia="宋体" w:cs="Times New Roman"/>
                <w:b/>
                <w:bCs/>
                <w:color w:val="auto"/>
                <w:sz w:val="24"/>
                <w:szCs w:val="24"/>
                <w:lang w:val="en-US" w:eastAsia="zh-CN"/>
              </w:rPr>
              <w:t>燃料燃烧</w:t>
            </w:r>
            <w:r>
              <w:rPr>
                <w:rFonts w:hint="default" w:ascii="Times New Roman" w:hAnsi="Times New Roman" w:eastAsia="宋体" w:cs="Times New Roman"/>
                <w:b/>
                <w:bCs/>
                <w:color w:val="auto"/>
                <w:sz w:val="24"/>
                <w:szCs w:val="24"/>
              </w:rPr>
              <w:t>废气</w:t>
            </w:r>
          </w:p>
          <w:p w14:paraId="7BB5FA0A">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Cs/>
                <w:color w:val="auto"/>
                <w:spacing w:val="6"/>
                <w:sz w:val="24"/>
              </w:rPr>
              <w:t>本项目</w:t>
            </w:r>
            <w:r>
              <w:rPr>
                <w:rFonts w:hint="default" w:ascii="Times New Roman" w:hAnsi="Times New Roman" w:eastAsia="宋体" w:cs="Times New Roman"/>
                <w:bCs/>
                <w:color w:val="auto"/>
                <w:spacing w:val="6"/>
                <w:sz w:val="24"/>
                <w:lang w:eastAsia="zh-CN"/>
              </w:rPr>
              <w:t>共</w:t>
            </w:r>
            <w:r>
              <w:rPr>
                <w:rFonts w:hint="default" w:ascii="Times New Roman" w:hAnsi="Times New Roman" w:eastAsia="宋体" w:cs="Times New Roman"/>
                <w:bCs/>
                <w:color w:val="auto"/>
                <w:spacing w:val="6"/>
                <w:sz w:val="24"/>
              </w:rPr>
              <w:t>设置</w:t>
            </w:r>
            <w:r>
              <w:rPr>
                <w:color w:val="auto"/>
                <w:sz w:val="24"/>
              </w:rPr>
              <w:t>项目采用1台</w:t>
            </w:r>
            <w:r>
              <w:rPr>
                <w:rFonts w:hint="eastAsia"/>
                <w:color w:val="auto"/>
                <w:sz w:val="24"/>
                <w:lang w:val="en-US" w:eastAsia="zh-CN"/>
              </w:rPr>
              <w:t>3</w:t>
            </w:r>
            <w:r>
              <w:rPr>
                <w:color w:val="auto"/>
                <w:sz w:val="24"/>
              </w:rPr>
              <w:t>t/h蒸汽锅炉</w:t>
            </w:r>
            <w:r>
              <w:rPr>
                <w:rFonts w:hint="eastAsia"/>
                <w:color w:val="auto"/>
                <w:sz w:val="24"/>
                <w:lang w:eastAsia="zh-CN"/>
              </w:rPr>
              <w:t>提供蒸汽</w:t>
            </w:r>
            <w:r>
              <w:rPr>
                <w:rFonts w:hint="eastAsia"/>
                <w:color w:val="auto"/>
                <w:sz w:val="24"/>
              </w:rPr>
              <w:t>和</w:t>
            </w:r>
            <w:r>
              <w:rPr>
                <w:rFonts w:hint="eastAsia"/>
                <w:color w:val="auto"/>
                <w:sz w:val="24"/>
                <w:lang w:val="en-US" w:eastAsia="zh-CN"/>
              </w:rPr>
              <w:t>2</w:t>
            </w:r>
            <w:r>
              <w:rPr>
                <w:rFonts w:hint="eastAsia"/>
                <w:color w:val="auto"/>
                <w:sz w:val="24"/>
              </w:rPr>
              <w:t>台</w:t>
            </w:r>
            <w:r>
              <w:rPr>
                <w:rFonts w:hint="eastAsia" w:cs="Times New Roman"/>
                <w:color w:val="auto"/>
                <w:kern w:val="2"/>
                <w:sz w:val="24"/>
                <w:szCs w:val="24"/>
                <w:highlight w:val="none"/>
                <w:lang w:val="en-US" w:eastAsia="zh-CN" w:bidi="ar"/>
              </w:rPr>
              <w:t>3t/h</w:t>
            </w:r>
            <w:r>
              <w:rPr>
                <w:rFonts w:hint="eastAsia"/>
                <w:color w:val="auto"/>
                <w:sz w:val="24"/>
                <w:lang w:eastAsia="zh-CN"/>
              </w:rPr>
              <w:t>导热油炉提供热能</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pacing w:val="6"/>
                <w:sz w:val="24"/>
              </w:rPr>
              <w:t>使用燃料为生物质成型燃料</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锅炉每年运营</w:t>
            </w:r>
            <w:r>
              <w:rPr>
                <w:rFonts w:hint="eastAsia" w:cs="Times New Roman"/>
                <w:bCs/>
                <w:color w:val="auto"/>
                <w:spacing w:val="6"/>
                <w:sz w:val="24"/>
                <w:szCs w:val="24"/>
                <w:highlight w:val="none"/>
                <w:lang w:val="en-US" w:eastAsia="zh-CN"/>
              </w:rPr>
              <w:t>30</w:t>
            </w:r>
            <w:r>
              <w:rPr>
                <w:rFonts w:hint="default" w:ascii="Times New Roman" w:hAnsi="Times New Roman" w:eastAsia="宋体" w:cs="Times New Roman"/>
                <w:bCs/>
                <w:color w:val="auto"/>
                <w:spacing w:val="6"/>
                <w:sz w:val="24"/>
                <w:szCs w:val="24"/>
                <w:highlight w:val="none"/>
                <w:lang w:val="en-US" w:eastAsia="zh-CN"/>
              </w:rPr>
              <w:t>0</w:t>
            </w:r>
            <w:r>
              <w:rPr>
                <w:rFonts w:hint="default" w:ascii="Times New Roman" w:hAnsi="Times New Roman" w:eastAsia="宋体" w:cs="Times New Roman"/>
                <w:bCs/>
                <w:color w:val="auto"/>
                <w:spacing w:val="6"/>
                <w:sz w:val="24"/>
                <w:szCs w:val="24"/>
                <w:highlight w:val="none"/>
              </w:rPr>
              <w:t>天，</w:t>
            </w:r>
            <w:r>
              <w:rPr>
                <w:rFonts w:hint="default" w:ascii="Times New Roman" w:hAnsi="Times New Roman" w:eastAsia="宋体" w:cs="Times New Roman"/>
                <w:bCs/>
                <w:color w:val="auto"/>
                <w:spacing w:val="6"/>
                <w:sz w:val="24"/>
                <w:lang w:eastAsia="zh-CN"/>
              </w:rPr>
              <w:t>每天工作</w:t>
            </w:r>
            <w:r>
              <w:rPr>
                <w:rFonts w:hint="default" w:ascii="Times New Roman" w:hAnsi="Times New Roman" w:eastAsia="宋体" w:cs="Times New Roman"/>
                <w:bCs/>
                <w:color w:val="auto"/>
                <w:spacing w:val="6"/>
                <w:sz w:val="24"/>
                <w:lang w:val="en-US" w:eastAsia="zh-CN"/>
              </w:rPr>
              <w:t>8h，每年工作时间2</w:t>
            </w:r>
            <w:r>
              <w:rPr>
                <w:rFonts w:hint="eastAsia" w:cs="Times New Roman"/>
                <w:bCs/>
                <w:color w:val="auto"/>
                <w:spacing w:val="6"/>
                <w:sz w:val="24"/>
                <w:lang w:val="en-US" w:eastAsia="zh-CN"/>
              </w:rPr>
              <w:t>40</w:t>
            </w:r>
            <w:r>
              <w:rPr>
                <w:rFonts w:hint="default" w:ascii="Times New Roman" w:hAnsi="Times New Roman" w:eastAsia="宋体" w:cs="Times New Roman"/>
                <w:bCs/>
                <w:color w:val="auto"/>
                <w:spacing w:val="6"/>
                <w:sz w:val="24"/>
                <w:lang w:val="en-US" w:eastAsia="zh-CN"/>
              </w:rPr>
              <w:t>0h</w:t>
            </w:r>
            <w:r>
              <w:rPr>
                <w:rFonts w:hint="default" w:ascii="Times New Roman" w:hAnsi="Times New Roman" w:eastAsia="宋体" w:cs="Times New Roman"/>
                <w:bCs/>
                <w:color w:val="auto"/>
                <w:spacing w:val="6"/>
                <w:sz w:val="24"/>
                <w:lang w:eastAsia="zh-CN"/>
              </w:rPr>
              <w:t>。</w:t>
            </w:r>
            <w:r>
              <w:rPr>
                <w:rFonts w:hint="default" w:ascii="Times New Roman" w:hAnsi="Times New Roman" w:eastAsia="宋体" w:cs="Times New Roman"/>
                <w:bCs/>
                <w:color w:val="auto"/>
                <w:spacing w:val="6"/>
                <w:sz w:val="24"/>
                <w:szCs w:val="24"/>
                <w:highlight w:val="none"/>
              </w:rPr>
              <w:t>本项目</w:t>
            </w:r>
            <w:r>
              <w:rPr>
                <w:rFonts w:hint="default" w:ascii="Times New Roman" w:hAnsi="Times New Roman" w:eastAsia="宋体" w:cs="Times New Roman"/>
                <w:bCs/>
                <w:color w:val="auto"/>
                <w:spacing w:val="6"/>
                <w:sz w:val="24"/>
                <w:highlight w:val="none"/>
              </w:rPr>
              <w:t>使用的</w:t>
            </w:r>
            <w:r>
              <w:rPr>
                <w:rFonts w:hint="default" w:ascii="Times New Roman" w:hAnsi="Times New Roman" w:eastAsia="宋体" w:cs="Times New Roman"/>
                <w:bCs/>
                <w:color w:val="auto"/>
                <w:spacing w:val="6"/>
                <w:sz w:val="24"/>
              </w:rPr>
              <w:t>生物质燃料</w:t>
            </w:r>
            <w:r>
              <w:rPr>
                <w:rFonts w:hint="default" w:ascii="Times New Roman" w:hAnsi="Times New Roman" w:eastAsia="宋体" w:cs="Times New Roman"/>
                <w:bCs/>
                <w:color w:val="auto"/>
                <w:spacing w:val="6"/>
                <w:sz w:val="24"/>
                <w:highlight w:val="none"/>
                <w:lang w:val="en-US" w:eastAsia="zh-CN"/>
              </w:rPr>
              <w:t>为云南沿发新能源有限公司提供的燃料</w:t>
            </w:r>
            <w:r>
              <w:rPr>
                <w:rFonts w:hint="default" w:ascii="Times New Roman" w:hAnsi="Times New Roman" w:eastAsia="宋体" w:cs="Times New Roman"/>
                <w:b w:val="0"/>
                <w:bCs/>
                <w:color w:val="auto"/>
                <w:spacing w:val="6"/>
                <w:sz w:val="24"/>
                <w:szCs w:val="24"/>
                <w:highlight w:val="none"/>
                <w:lang w:val="en-US" w:eastAsia="zh-CN"/>
              </w:rPr>
              <w:t>，</w:t>
            </w:r>
            <w:r>
              <w:rPr>
                <w:rFonts w:hint="default" w:ascii="Times New Roman" w:hAnsi="Times New Roman" w:eastAsia="宋体" w:cs="Times New Roman"/>
                <w:bCs/>
                <w:color w:val="auto"/>
                <w:spacing w:val="6"/>
                <w:sz w:val="24"/>
                <w:szCs w:val="24"/>
              </w:rPr>
              <w:t>根据生产厂家</w:t>
            </w:r>
            <w:r>
              <w:rPr>
                <w:rFonts w:hint="default" w:ascii="Times New Roman" w:hAnsi="Times New Roman" w:eastAsia="宋体" w:cs="Times New Roman"/>
                <w:bCs/>
                <w:color w:val="auto"/>
                <w:spacing w:val="6"/>
                <w:sz w:val="24"/>
                <w:szCs w:val="24"/>
                <w:lang w:eastAsia="zh-CN"/>
              </w:rPr>
              <w:t>提供的</w:t>
            </w:r>
            <w:r>
              <w:rPr>
                <w:rFonts w:hint="default" w:ascii="Times New Roman" w:hAnsi="Times New Roman" w:eastAsia="宋体" w:cs="Times New Roman"/>
                <w:bCs/>
                <w:color w:val="auto"/>
                <w:spacing w:val="6"/>
                <w:sz w:val="24"/>
                <w:szCs w:val="24"/>
              </w:rPr>
              <w:t>生物质监测报告</w:t>
            </w:r>
            <w:r>
              <w:rPr>
                <w:rFonts w:hint="default" w:ascii="Times New Roman" w:hAnsi="Times New Roman" w:eastAsia="宋体" w:cs="Times New Roman"/>
                <w:bCs/>
                <w:color w:val="auto"/>
                <w:spacing w:val="6"/>
                <w:sz w:val="24"/>
                <w:szCs w:val="24"/>
                <w:lang w:eastAsia="zh-CN"/>
              </w:rPr>
              <w:t>可知</w:t>
            </w:r>
            <w:r>
              <w:rPr>
                <w:rFonts w:hint="default" w:ascii="Times New Roman" w:hAnsi="Times New Roman" w:eastAsia="宋体" w:cs="Times New Roman"/>
                <w:color w:val="auto"/>
                <w:sz w:val="24"/>
                <w:szCs w:val="24"/>
              </w:rPr>
              <w:t>生物质燃料成分见表</w:t>
            </w:r>
            <w:r>
              <w:rPr>
                <w:rFonts w:hint="default" w:ascii="Times New Roman" w:hAnsi="Times New Roman" w:eastAsia="宋体" w:cs="Times New Roman"/>
                <w:color w:val="auto"/>
                <w:sz w:val="24"/>
                <w:szCs w:val="24"/>
                <w:lang w:val="en-US" w:eastAsia="zh-CN"/>
              </w:rPr>
              <w:t>4-2所示</w:t>
            </w:r>
            <w:r>
              <w:rPr>
                <w:rFonts w:hint="default" w:ascii="Times New Roman" w:hAnsi="Times New Roman" w:eastAsia="宋体" w:cs="Times New Roman"/>
                <w:bCs/>
                <w:color w:val="auto"/>
                <w:spacing w:val="6"/>
                <w:sz w:val="24"/>
                <w:szCs w:val="24"/>
              </w:rPr>
              <w:t>。</w:t>
            </w:r>
          </w:p>
          <w:p w14:paraId="573490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416C22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51E409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2EF04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p>
          <w:p w14:paraId="23E50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4-2</w:t>
            </w:r>
            <w:r>
              <w:rPr>
                <w:rFonts w:hint="default" w:ascii="Times New Roman" w:hAnsi="Times New Roman" w:eastAsia="宋体" w:cs="Times New Roman"/>
                <w:b/>
                <w:color w:val="auto"/>
                <w:sz w:val="21"/>
                <w:szCs w:val="21"/>
                <w:highlight w:val="none"/>
              </w:rPr>
              <w:t xml:space="preserve">  生物质燃料成分一览表</w:t>
            </w:r>
          </w:p>
          <w:tbl>
            <w:tblPr>
              <w:tblStyle w:val="26"/>
              <w:tblW w:w="83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255"/>
              <w:gridCol w:w="1044"/>
              <w:gridCol w:w="1220"/>
              <w:gridCol w:w="1330"/>
              <w:gridCol w:w="850"/>
              <w:gridCol w:w="392"/>
              <w:gridCol w:w="1410"/>
            </w:tblGrid>
            <w:tr w14:paraId="3F3A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82" w:type="dxa"/>
                  <w:tcBorders>
                    <w:tl2br w:val="nil"/>
                    <w:tr2bl w:val="nil"/>
                  </w:tcBorders>
                  <w:noWrap w:val="0"/>
                  <w:vAlign w:val="center"/>
                </w:tcPr>
                <w:p w14:paraId="239B619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全水分（M</w:t>
                  </w:r>
                  <w:r>
                    <w:rPr>
                      <w:rFonts w:hint="default" w:ascii="Times New Roman" w:hAnsi="Times New Roman" w:eastAsia="宋体" w:cs="Times New Roman"/>
                      <w:b/>
                      <w:bCs/>
                      <w:color w:val="auto"/>
                      <w:sz w:val="21"/>
                      <w:szCs w:val="21"/>
                      <w:highlight w:val="none"/>
                      <w:vertAlign w:val="subscript"/>
                    </w:rPr>
                    <w:t>t</w:t>
                  </w:r>
                  <w:r>
                    <w:rPr>
                      <w:rFonts w:hint="default" w:ascii="Times New Roman" w:hAnsi="Times New Roman" w:eastAsia="宋体" w:cs="Times New Roman"/>
                      <w:b/>
                      <w:bCs/>
                      <w:color w:val="auto"/>
                      <w:sz w:val="21"/>
                      <w:szCs w:val="21"/>
                      <w:highlight w:val="none"/>
                    </w:rPr>
                    <w:t>）</w:t>
                  </w:r>
                </w:p>
              </w:tc>
              <w:tc>
                <w:tcPr>
                  <w:tcW w:w="1255" w:type="dxa"/>
                  <w:tcBorders>
                    <w:tl2br w:val="nil"/>
                    <w:tr2bl w:val="nil"/>
                  </w:tcBorders>
                  <w:noWrap w:val="0"/>
                  <w:vAlign w:val="center"/>
                </w:tcPr>
                <w:p w14:paraId="23A308C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空气干燥基水分（M</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1044" w:type="dxa"/>
                  <w:tcBorders>
                    <w:tl2br w:val="nil"/>
                    <w:tr2bl w:val="nil"/>
                  </w:tcBorders>
                  <w:noWrap w:val="0"/>
                  <w:vAlign w:val="center"/>
                </w:tcPr>
                <w:p w14:paraId="1C6FD7A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干燥基灰分（A</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20" w:type="dxa"/>
                  <w:tcBorders>
                    <w:tl2br w:val="nil"/>
                    <w:tr2bl w:val="nil"/>
                  </w:tcBorders>
                  <w:noWrap w:val="0"/>
                  <w:vAlign w:val="center"/>
                </w:tcPr>
                <w:p w14:paraId="64333F2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干燥无灰基挥发分（V</w:t>
                  </w:r>
                  <w:r>
                    <w:rPr>
                      <w:rFonts w:hint="default" w:ascii="Times New Roman" w:hAnsi="Times New Roman" w:eastAsia="宋体" w:cs="Times New Roman"/>
                      <w:b/>
                      <w:bCs/>
                      <w:color w:val="auto"/>
                      <w:sz w:val="21"/>
                      <w:szCs w:val="21"/>
                      <w:highlight w:val="none"/>
                      <w:vertAlign w:val="subscript"/>
                    </w:rPr>
                    <w:t>daf</w:t>
                  </w:r>
                  <w:r>
                    <w:rPr>
                      <w:rFonts w:hint="default" w:ascii="Times New Roman" w:hAnsi="Times New Roman" w:eastAsia="宋体" w:cs="Times New Roman"/>
                      <w:b/>
                      <w:bCs/>
                      <w:color w:val="auto"/>
                      <w:sz w:val="21"/>
                      <w:szCs w:val="21"/>
                      <w:highlight w:val="none"/>
                    </w:rPr>
                    <w:t>）</w:t>
                  </w:r>
                </w:p>
              </w:tc>
              <w:tc>
                <w:tcPr>
                  <w:tcW w:w="1330" w:type="dxa"/>
                  <w:tcBorders>
                    <w:tl2br w:val="nil"/>
                    <w:tr2bl w:val="nil"/>
                  </w:tcBorders>
                  <w:noWrap w:val="0"/>
                  <w:vAlign w:val="center"/>
                </w:tcPr>
                <w:p w14:paraId="112433A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干燥基固定碳（FC</w:t>
                  </w:r>
                  <w:r>
                    <w:rPr>
                      <w:rFonts w:hint="default" w:ascii="Times New Roman" w:hAnsi="Times New Roman" w:eastAsia="宋体" w:cs="Times New Roman"/>
                      <w:b/>
                      <w:bCs/>
                      <w:color w:val="auto"/>
                      <w:sz w:val="21"/>
                      <w:szCs w:val="21"/>
                      <w:highlight w:val="none"/>
                      <w:vertAlign w:val="subscript"/>
                    </w:rPr>
                    <w:t>d</w:t>
                  </w:r>
                  <w:r>
                    <w:rPr>
                      <w:rFonts w:hint="default" w:ascii="Times New Roman" w:hAnsi="Times New Roman" w:eastAsia="宋体" w:cs="Times New Roman"/>
                      <w:b/>
                      <w:bCs/>
                      <w:color w:val="auto"/>
                      <w:sz w:val="21"/>
                      <w:szCs w:val="21"/>
                      <w:highlight w:val="none"/>
                    </w:rPr>
                    <w:t>）</w:t>
                  </w:r>
                </w:p>
              </w:tc>
              <w:tc>
                <w:tcPr>
                  <w:tcW w:w="1242" w:type="dxa"/>
                  <w:gridSpan w:val="2"/>
                  <w:tcBorders>
                    <w:tl2br w:val="nil"/>
                    <w:tr2bl w:val="nil"/>
                  </w:tcBorders>
                  <w:noWrap w:val="0"/>
                  <w:vAlign w:val="center"/>
                </w:tcPr>
                <w:p w14:paraId="6C525DD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空气干燥基全硫（S</w:t>
                  </w:r>
                  <w:r>
                    <w:rPr>
                      <w:rFonts w:hint="default" w:ascii="Times New Roman" w:hAnsi="Times New Roman" w:eastAsia="宋体" w:cs="Times New Roman"/>
                      <w:b/>
                      <w:bCs/>
                      <w:color w:val="auto"/>
                      <w:sz w:val="21"/>
                      <w:szCs w:val="21"/>
                      <w:highlight w:val="none"/>
                      <w:vertAlign w:val="subscript"/>
                    </w:rPr>
                    <w:t>t,ad</w:t>
                  </w:r>
                  <w:r>
                    <w:rPr>
                      <w:rFonts w:hint="default" w:ascii="Times New Roman" w:hAnsi="Times New Roman" w:eastAsia="宋体" w:cs="Times New Roman"/>
                      <w:b/>
                      <w:bCs/>
                      <w:color w:val="auto"/>
                      <w:sz w:val="21"/>
                      <w:szCs w:val="21"/>
                      <w:highlight w:val="none"/>
                    </w:rPr>
                    <w:t>）</w:t>
                  </w:r>
                </w:p>
              </w:tc>
              <w:tc>
                <w:tcPr>
                  <w:tcW w:w="1410" w:type="dxa"/>
                  <w:tcBorders>
                    <w:tl2br w:val="nil"/>
                    <w:tr2bl w:val="nil"/>
                  </w:tcBorders>
                  <w:noWrap w:val="0"/>
                  <w:vAlign w:val="center"/>
                </w:tcPr>
                <w:p w14:paraId="6195B58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空气干燥基氢元素（H</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r>
            <w:tr w14:paraId="3AD1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2" w:type="dxa"/>
                  <w:tcBorders>
                    <w:tl2br w:val="nil"/>
                    <w:tr2bl w:val="nil"/>
                  </w:tcBorders>
                  <w:noWrap w:val="0"/>
                  <w:vAlign w:val="center"/>
                </w:tcPr>
                <w:p w14:paraId="5D7517F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5.0%</w:t>
                  </w:r>
                </w:p>
              </w:tc>
              <w:tc>
                <w:tcPr>
                  <w:tcW w:w="1255" w:type="dxa"/>
                  <w:tcBorders>
                    <w:tl2br w:val="nil"/>
                    <w:tr2bl w:val="nil"/>
                  </w:tcBorders>
                  <w:noWrap w:val="0"/>
                  <w:vAlign w:val="center"/>
                </w:tcPr>
                <w:p w14:paraId="31F5A35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1.96%</w:t>
                  </w:r>
                </w:p>
              </w:tc>
              <w:tc>
                <w:tcPr>
                  <w:tcW w:w="1044" w:type="dxa"/>
                  <w:tcBorders>
                    <w:tl2br w:val="nil"/>
                    <w:tr2bl w:val="nil"/>
                  </w:tcBorders>
                  <w:noWrap w:val="0"/>
                  <w:vAlign w:val="center"/>
                </w:tcPr>
                <w:p w14:paraId="1B9CBD4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2.94%</w:t>
                  </w:r>
                </w:p>
              </w:tc>
              <w:tc>
                <w:tcPr>
                  <w:tcW w:w="1220" w:type="dxa"/>
                  <w:tcBorders>
                    <w:tl2br w:val="nil"/>
                    <w:tr2bl w:val="nil"/>
                  </w:tcBorders>
                  <w:noWrap w:val="0"/>
                  <w:vAlign w:val="center"/>
                </w:tcPr>
                <w:p w14:paraId="3DE69D9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83.33%</w:t>
                  </w:r>
                </w:p>
              </w:tc>
              <w:tc>
                <w:tcPr>
                  <w:tcW w:w="1330" w:type="dxa"/>
                  <w:tcBorders>
                    <w:tl2br w:val="nil"/>
                    <w:tr2bl w:val="nil"/>
                  </w:tcBorders>
                  <w:noWrap w:val="0"/>
                  <w:vAlign w:val="center"/>
                </w:tcPr>
                <w:p w14:paraId="02E0715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16.32%</w:t>
                  </w:r>
                </w:p>
              </w:tc>
              <w:tc>
                <w:tcPr>
                  <w:tcW w:w="1242" w:type="dxa"/>
                  <w:gridSpan w:val="2"/>
                  <w:tcBorders>
                    <w:tl2br w:val="nil"/>
                    <w:tr2bl w:val="nil"/>
                  </w:tcBorders>
                  <w:noWrap w:val="0"/>
                  <w:vAlign w:val="center"/>
                </w:tcPr>
                <w:p w14:paraId="0238F43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5%</w:t>
                  </w:r>
                </w:p>
              </w:tc>
              <w:tc>
                <w:tcPr>
                  <w:tcW w:w="1410" w:type="dxa"/>
                  <w:tcBorders>
                    <w:tl2br w:val="nil"/>
                    <w:tr2bl w:val="nil"/>
                  </w:tcBorders>
                  <w:noWrap w:val="0"/>
                  <w:vAlign w:val="center"/>
                </w:tcPr>
                <w:p w14:paraId="389418E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5.87</w:t>
                  </w:r>
                </w:p>
              </w:tc>
            </w:tr>
            <w:tr w14:paraId="39D3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37" w:type="dxa"/>
                  <w:gridSpan w:val="2"/>
                  <w:tcBorders>
                    <w:tl2br w:val="nil"/>
                    <w:tr2bl w:val="nil"/>
                  </w:tcBorders>
                  <w:noWrap w:val="0"/>
                  <w:vAlign w:val="center"/>
                </w:tcPr>
                <w:p w14:paraId="7D19FC0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空气干燥基弹筒发热量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b</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p w14:paraId="37EAC30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MJ/kg</w:t>
                  </w:r>
                  <w:r>
                    <w:rPr>
                      <w:rFonts w:hint="default" w:ascii="Times New Roman" w:hAnsi="Times New Roman" w:eastAsia="宋体" w:cs="Times New Roman"/>
                      <w:b/>
                      <w:bCs/>
                      <w:color w:val="auto"/>
                      <w:sz w:val="21"/>
                      <w:szCs w:val="21"/>
                      <w:highlight w:val="none"/>
                      <w:lang w:eastAsia="zh-CN"/>
                    </w:rPr>
                    <w:t>）</w:t>
                  </w:r>
                </w:p>
              </w:tc>
              <w:tc>
                <w:tcPr>
                  <w:tcW w:w="2264" w:type="dxa"/>
                  <w:gridSpan w:val="2"/>
                  <w:tcBorders>
                    <w:tl2br w:val="nil"/>
                    <w:tr2bl w:val="nil"/>
                  </w:tcBorders>
                  <w:noWrap w:val="0"/>
                  <w:vAlign w:val="center"/>
                </w:tcPr>
                <w:p w14:paraId="1C7299E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空气干燥基高位发热量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gr</w:t>
                  </w:r>
                  <w:r>
                    <w:rPr>
                      <w:rFonts w:hint="default" w:ascii="Times New Roman" w:hAnsi="Times New Roman" w:eastAsia="宋体" w:cs="Times New Roman"/>
                      <w:b/>
                      <w:bCs/>
                      <w:color w:val="auto"/>
                      <w:sz w:val="21"/>
                      <w:szCs w:val="21"/>
                      <w:highlight w:val="none"/>
                      <w:vertAlign w:val="subscript"/>
                    </w:rPr>
                    <w:t>,ad</w:t>
                  </w:r>
                  <w:r>
                    <w:rPr>
                      <w:rFonts w:hint="default" w:ascii="Times New Roman" w:hAnsi="Times New Roman" w:eastAsia="宋体" w:cs="Times New Roman"/>
                      <w:b/>
                      <w:bCs/>
                      <w:color w:val="auto"/>
                      <w:sz w:val="21"/>
                      <w:szCs w:val="21"/>
                      <w:highlight w:val="none"/>
                    </w:rPr>
                    <w:t>）</w:t>
                  </w:r>
                </w:p>
              </w:tc>
              <w:tc>
                <w:tcPr>
                  <w:tcW w:w="2180" w:type="dxa"/>
                  <w:gridSpan w:val="2"/>
                  <w:tcBorders>
                    <w:tl2br w:val="nil"/>
                    <w:tr2bl w:val="nil"/>
                  </w:tcBorders>
                  <w:noWrap w:val="0"/>
                  <w:vAlign w:val="center"/>
                </w:tcPr>
                <w:p w14:paraId="6E2293A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收到基恒容低位发热量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Q</w:t>
                  </w:r>
                  <w:r>
                    <w:rPr>
                      <w:rFonts w:hint="default" w:ascii="Times New Roman" w:hAnsi="Times New Roman" w:eastAsia="宋体" w:cs="Times New Roman"/>
                      <w:b/>
                      <w:bCs/>
                      <w:color w:val="auto"/>
                      <w:sz w:val="21"/>
                      <w:szCs w:val="21"/>
                      <w:highlight w:val="none"/>
                      <w:vertAlign w:val="subscript"/>
                      <w:lang w:val="en-US" w:eastAsia="zh-CN"/>
                    </w:rPr>
                    <w:t>net</w:t>
                  </w:r>
                  <w:r>
                    <w:rPr>
                      <w:rFonts w:hint="default" w:ascii="Times New Roman" w:hAnsi="Times New Roman" w:eastAsia="宋体" w:cs="Times New Roman"/>
                      <w:b/>
                      <w:bCs/>
                      <w:color w:val="auto"/>
                      <w:sz w:val="21"/>
                      <w:szCs w:val="21"/>
                      <w:highlight w:val="none"/>
                      <w:vertAlign w:val="subscript"/>
                    </w:rPr>
                    <w:t>,</w:t>
                  </w:r>
                  <w:r>
                    <w:rPr>
                      <w:rFonts w:hint="default" w:ascii="Times New Roman" w:hAnsi="Times New Roman" w:eastAsia="宋体" w:cs="Times New Roman"/>
                      <w:b/>
                      <w:bCs/>
                      <w:color w:val="auto"/>
                      <w:sz w:val="21"/>
                      <w:szCs w:val="21"/>
                      <w:highlight w:val="none"/>
                      <w:vertAlign w:val="subscript"/>
                      <w:lang w:val="en-US" w:eastAsia="zh-CN"/>
                    </w:rPr>
                    <w:t>v</w:t>
                  </w:r>
                  <w:r>
                    <w:rPr>
                      <w:rFonts w:hint="default" w:ascii="Times New Roman" w:hAnsi="Times New Roman" w:eastAsia="宋体" w:cs="Times New Roman"/>
                      <w:b/>
                      <w:bCs/>
                      <w:color w:val="auto"/>
                      <w:sz w:val="21"/>
                      <w:szCs w:val="21"/>
                      <w:highlight w:val="none"/>
                      <w:vertAlign w:val="subscript"/>
                    </w:rPr>
                    <w:t>,a</w:t>
                  </w:r>
                  <w:r>
                    <w:rPr>
                      <w:rFonts w:hint="default" w:ascii="Times New Roman" w:hAnsi="Times New Roman" w:eastAsia="宋体" w:cs="Times New Roman"/>
                      <w:b/>
                      <w:bCs/>
                      <w:color w:val="auto"/>
                      <w:sz w:val="21"/>
                      <w:szCs w:val="21"/>
                      <w:highlight w:val="none"/>
                      <w:vertAlign w:val="subscript"/>
                      <w:lang w:val="en-US" w:eastAsia="zh-CN"/>
                    </w:rPr>
                    <w:t>r</w:t>
                  </w:r>
                  <w:r>
                    <w:rPr>
                      <w:rFonts w:hint="default" w:ascii="Times New Roman" w:hAnsi="Times New Roman" w:eastAsia="宋体" w:cs="Times New Roman"/>
                      <w:b/>
                      <w:bCs/>
                      <w:color w:val="auto"/>
                      <w:sz w:val="21"/>
                      <w:szCs w:val="21"/>
                      <w:highlight w:val="none"/>
                    </w:rPr>
                    <w:t>）</w:t>
                  </w:r>
                </w:p>
              </w:tc>
              <w:tc>
                <w:tcPr>
                  <w:tcW w:w="1802" w:type="dxa"/>
                  <w:gridSpan w:val="2"/>
                  <w:tcBorders>
                    <w:tl2br w:val="nil"/>
                    <w:tr2bl w:val="nil"/>
                  </w:tcBorders>
                  <w:noWrap w:val="0"/>
                  <w:vAlign w:val="center"/>
                </w:tcPr>
                <w:p w14:paraId="2E3DF88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粉末状燃料含量</w:t>
                  </w:r>
                </w:p>
              </w:tc>
            </w:tr>
            <w:tr w14:paraId="31A4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37" w:type="dxa"/>
                  <w:gridSpan w:val="2"/>
                  <w:tcBorders>
                    <w:tl2br w:val="nil"/>
                    <w:tr2bl w:val="nil"/>
                  </w:tcBorders>
                  <w:noWrap w:val="0"/>
                  <w:vAlign w:val="center"/>
                </w:tcPr>
                <w:p w14:paraId="536888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18.42MJ/kg</w:t>
                  </w:r>
                </w:p>
              </w:tc>
              <w:tc>
                <w:tcPr>
                  <w:tcW w:w="2264" w:type="dxa"/>
                  <w:gridSpan w:val="2"/>
                  <w:tcBorders>
                    <w:tl2br w:val="nil"/>
                    <w:tr2bl w:val="nil"/>
                  </w:tcBorders>
                  <w:noWrap w:val="0"/>
                  <w:vAlign w:val="center"/>
                </w:tcPr>
                <w:p w14:paraId="02B08FC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18.39MJ/kg</w:t>
                  </w:r>
                </w:p>
              </w:tc>
              <w:tc>
                <w:tcPr>
                  <w:tcW w:w="2180" w:type="dxa"/>
                  <w:gridSpan w:val="2"/>
                  <w:tcBorders>
                    <w:tl2br w:val="nil"/>
                    <w:tr2bl w:val="nil"/>
                  </w:tcBorders>
                  <w:noWrap w:val="0"/>
                  <w:vAlign w:val="center"/>
                </w:tcPr>
                <w:p w14:paraId="2B3ABC0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17.93MJ/kg</w:t>
                  </w:r>
                </w:p>
              </w:tc>
              <w:tc>
                <w:tcPr>
                  <w:tcW w:w="1802" w:type="dxa"/>
                  <w:gridSpan w:val="2"/>
                  <w:tcBorders>
                    <w:tl2br w:val="nil"/>
                    <w:tr2bl w:val="nil"/>
                  </w:tcBorders>
                  <w:noWrap w:val="0"/>
                  <w:vAlign w:val="center"/>
                </w:tcPr>
                <w:p w14:paraId="34D6B50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w:t>
                  </w:r>
                </w:p>
              </w:tc>
            </w:tr>
          </w:tbl>
          <w:p w14:paraId="690624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生物质燃料用量根据《环境统计手册》进行计算，其计算方法如下：</w:t>
            </w:r>
          </w:p>
          <w:p w14:paraId="38B4D2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position w:val="-30"/>
                <w:sz w:val="24"/>
                <w:lang w:eastAsia="zh-CN"/>
              </w:rPr>
              <w:object>
                <v:shape id="_x0000_i1035" o:spt="75" type="#_x0000_t75" style="height:36pt;width:75pt;" o:ole="t" filled="f" o:preferrelative="t" stroked="f" coordsize="21600,21600">
                  <v:path/>
                  <v:fill on="f" focussize="0,0"/>
                  <v:stroke on="f"/>
                  <v:imagedata r:id="rId34" o:title=""/>
                  <o:lock v:ext="edit" aspectratio="t"/>
                  <w10:wrap type="none"/>
                  <w10:anchorlock/>
                </v:shape>
                <o:OLEObject Type="Embed" ProgID="Equation.KSEE3" ShapeID="_x0000_i1035" DrawAspect="Content" ObjectID="_1468075736" r:id="rId33">
                  <o:LockedField>false</o:LockedField>
                </o:OLEObject>
              </w:object>
            </w:r>
            <w:r>
              <w:rPr>
                <w:rFonts w:hint="default" w:ascii="Times New Roman" w:hAnsi="Times New Roman" w:eastAsia="宋体" w:cs="Times New Roman"/>
                <w:color w:val="auto"/>
                <w:position w:val="-30"/>
                <w:sz w:val="24"/>
                <w:lang w:val="en-US" w:eastAsia="zh-CN"/>
              </w:rPr>
              <w:t xml:space="preserve">     （1）</w:t>
            </w:r>
          </w:p>
          <w:p w14:paraId="274279B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B</w:t>
            </w:r>
            <w:r>
              <w:rPr>
                <w:rFonts w:hint="default" w:ascii="Times New Roman" w:hAnsi="Times New Roman" w:eastAsia="宋体" w:cs="Times New Roman"/>
                <w:color w:val="auto"/>
                <w:sz w:val="24"/>
              </w:rPr>
              <w:t>——锅炉燃料耗量（单位kg/h）；</w:t>
            </w:r>
          </w:p>
          <w:p w14:paraId="04F53963">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rPr>
              <w:t>——锅炉产气量（单位kg/h），本项目锅炉为</w:t>
            </w:r>
            <w:r>
              <w:rPr>
                <w:rFonts w:hint="eastAsia" w:cs="Times New Roman"/>
                <w:color w:val="auto"/>
                <w:sz w:val="24"/>
                <w:lang w:val="en-US" w:eastAsia="zh-CN"/>
              </w:rPr>
              <w:t>30</w:t>
            </w:r>
            <w:r>
              <w:rPr>
                <w:rFonts w:hint="default" w:ascii="Times New Roman" w:hAnsi="Times New Roman" w:eastAsia="宋体" w:cs="Times New Roman"/>
                <w:color w:val="auto"/>
                <w:sz w:val="24"/>
                <w:lang w:val="en-US" w:eastAsia="zh-CN"/>
              </w:rPr>
              <w:t>00</w:t>
            </w:r>
            <w:r>
              <w:rPr>
                <w:rFonts w:hint="default" w:ascii="Times New Roman" w:hAnsi="Times New Roman" w:eastAsia="宋体" w:cs="Times New Roman"/>
                <w:color w:val="auto"/>
                <w:sz w:val="24"/>
              </w:rPr>
              <w:t>kg/h；</w:t>
            </w:r>
          </w:p>
          <w:p w14:paraId="1569FAAA">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厂家提供的生物质检验报告可知</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w:t>
            </w:r>
            <w:r>
              <w:rPr>
                <w:rFonts w:hint="default" w:ascii="Times New Roman" w:hAnsi="Times New Roman" w:eastAsia="宋体" w:cs="Times New Roman"/>
                <w:color w:val="auto"/>
                <w:sz w:val="24"/>
                <w:highlight w:val="none"/>
                <w:lang w:eastAsia="zh-CN"/>
              </w:rPr>
              <w:t>成型颗粒</w:t>
            </w:r>
            <w:r>
              <w:rPr>
                <w:rFonts w:hint="default" w:ascii="Times New Roman" w:hAnsi="Times New Roman" w:eastAsia="宋体" w:cs="Times New Roman"/>
                <w:color w:val="auto"/>
                <w:sz w:val="24"/>
                <w:highlight w:val="none"/>
              </w:rPr>
              <w:t>燃料低位发热值为</w:t>
            </w:r>
            <w:r>
              <w:rPr>
                <w:rFonts w:hint="default" w:ascii="Times New Roman" w:hAnsi="Times New Roman" w:eastAsia="宋体" w:cs="Times New Roman"/>
                <w:color w:val="auto"/>
                <w:sz w:val="24"/>
                <w:highlight w:val="none"/>
                <w:lang w:val="en-US" w:eastAsia="zh-CN"/>
              </w:rPr>
              <w:t>17930k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14:paraId="436764C4">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lang w:val="en-US" w:eastAsia="zh-CN"/>
              </w:rPr>
              <w:t>n</w:t>
            </w:r>
            <w:r>
              <w:rPr>
                <w:rFonts w:hint="default" w:ascii="Times New Roman" w:hAnsi="Times New Roman" w:eastAsia="宋体" w:cs="Times New Roman"/>
                <w:color w:val="auto"/>
                <w:sz w:val="24"/>
              </w:rPr>
              <w:t>——锅炉的热效率，项目锅</w:t>
            </w:r>
            <w:r>
              <w:rPr>
                <w:rFonts w:hint="default" w:ascii="Times New Roman" w:hAnsi="Times New Roman" w:eastAsia="宋体" w:cs="Times New Roman"/>
                <w:color w:val="auto"/>
                <w:sz w:val="24"/>
                <w:highlight w:val="none"/>
              </w:rPr>
              <w:t>炉热效率为</w:t>
            </w:r>
            <w:r>
              <w:rPr>
                <w:rFonts w:hint="default" w:ascii="Times New Roman" w:hAnsi="Times New Roman" w:eastAsia="宋体" w:cs="Times New Roman"/>
                <w:color w:val="auto"/>
                <w:sz w:val="24"/>
                <w:highlight w:val="none"/>
                <w:lang w:val="en-US" w:eastAsia="zh-CN"/>
              </w:rPr>
              <w:t>86.8</w:t>
            </w:r>
            <w:r>
              <w:rPr>
                <w:rFonts w:hint="default" w:ascii="Times New Roman" w:hAnsi="Times New Roman" w:eastAsia="宋体" w:cs="Times New Roman"/>
                <w:color w:val="auto"/>
                <w:sz w:val="24"/>
                <w:highlight w:val="none"/>
              </w:rPr>
              <w:t>%；</w:t>
            </w:r>
          </w:p>
          <w:p w14:paraId="13D60928">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——锅炉在绝对工作压力下的饱和蒸汽热焓值（单位kJ/kg），项目锅炉额定蒸汽压力为1.25MPa，经查询蒸汽热焓值为2785.14kJ/kg；</w:t>
            </w:r>
          </w:p>
          <w:p w14:paraId="717C457B">
            <w:pPr>
              <w:widowControl w:val="0"/>
              <w:spacing w:line="360" w:lineRule="auto"/>
              <w:ind w:firstLine="1200" w:firstLineChars="5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4"/>
                <w:sz w:val="24"/>
                <w:lang w:val="en-US" w:eastAsia="zh-CN"/>
              </w:rPr>
              <w:t>i’</w:t>
            </w:r>
            <w:r>
              <w:rPr>
                <w:rFonts w:hint="default" w:ascii="Times New Roman" w:hAnsi="Times New Roman" w:eastAsia="宋体" w:cs="Times New Roman"/>
                <w:color w:val="auto"/>
                <w:sz w:val="24"/>
              </w:rPr>
              <w:t>——锅炉给水热焓值（单位kJ/kg），</w:t>
            </w: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锅炉给水温度为20℃，给水热焓值为83.71kJ/kg；</w:t>
            </w:r>
          </w:p>
          <w:p w14:paraId="47CC7A19">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经</w:t>
            </w:r>
            <w:r>
              <w:rPr>
                <w:rFonts w:hint="default" w:ascii="Times New Roman" w:hAnsi="Times New Roman" w:eastAsia="宋体" w:cs="Times New Roman"/>
                <w:color w:val="auto"/>
                <w:sz w:val="24"/>
                <w:lang w:eastAsia="zh-CN"/>
              </w:rPr>
              <w:t>以上公式及锅炉参数</w:t>
            </w:r>
            <w:r>
              <w:rPr>
                <w:rFonts w:hint="default" w:ascii="Times New Roman" w:hAnsi="Times New Roman" w:eastAsia="宋体" w:cs="Times New Roman"/>
                <w:color w:val="auto"/>
                <w:sz w:val="24"/>
              </w:rPr>
              <w:t>计算</w:t>
            </w:r>
            <w:r>
              <w:rPr>
                <w:rFonts w:hint="default" w:ascii="Times New Roman" w:hAnsi="Times New Roman" w:eastAsia="宋体" w:cs="Times New Roman"/>
                <w:color w:val="auto"/>
                <w:sz w:val="24"/>
                <w:lang w:eastAsia="zh-CN"/>
              </w:rPr>
              <w:t>得出，本</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en-US" w:eastAsia="zh-CN"/>
              </w:rPr>
              <w:t>共设置</w:t>
            </w:r>
            <w:r>
              <w:rPr>
                <w:rFonts w:hint="eastAsia" w:cs="Times New Roman"/>
                <w:color w:val="auto"/>
                <w:sz w:val="24"/>
                <w:lang w:val="en-US" w:eastAsia="zh-CN"/>
              </w:rPr>
              <w:t>1</w:t>
            </w:r>
            <w:r>
              <w:rPr>
                <w:rFonts w:hint="default" w:ascii="Times New Roman" w:hAnsi="Times New Roman" w:eastAsia="宋体" w:cs="Times New Roman"/>
                <w:color w:val="auto"/>
                <w:sz w:val="24"/>
                <w:lang w:val="en-US" w:eastAsia="zh-CN"/>
              </w:rPr>
              <w:t>台</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t/h的生物质蒸汽锅炉</w:t>
            </w:r>
            <w:r>
              <w:rPr>
                <w:rFonts w:hint="default" w:ascii="Times New Roman" w:hAnsi="Times New Roman" w:eastAsia="宋体" w:cs="Times New Roman"/>
                <w:color w:val="auto"/>
                <w:sz w:val="24"/>
              </w:rPr>
              <w:t>满负荷运行时生物质燃料用量为</w:t>
            </w:r>
            <w:r>
              <w:rPr>
                <w:rFonts w:hint="eastAsia" w:cs="Times New Roman"/>
                <w:color w:val="auto"/>
                <w:sz w:val="24"/>
                <w:lang w:val="en-US" w:eastAsia="zh-CN"/>
              </w:rPr>
              <w:t>520.7328</w:t>
            </w:r>
            <w:r>
              <w:rPr>
                <w:rFonts w:hint="default" w:ascii="Times New Roman" w:hAnsi="Times New Roman" w:eastAsia="宋体" w:cs="Times New Roman"/>
                <w:color w:val="auto"/>
                <w:sz w:val="24"/>
                <w:lang w:val="en-US" w:eastAsia="zh-CN"/>
              </w:rPr>
              <w:t>kg</w:t>
            </w:r>
            <w:r>
              <w:rPr>
                <w:rFonts w:hint="default" w:ascii="Times New Roman" w:hAnsi="Times New Roman" w:eastAsia="宋体" w:cs="Times New Roman"/>
                <w:color w:val="auto"/>
                <w:sz w:val="24"/>
              </w:rPr>
              <w:t>/h，</w:t>
            </w:r>
            <w:r>
              <w:rPr>
                <w:rFonts w:hint="eastAsia" w:cs="Times New Roman"/>
                <w:color w:val="auto"/>
                <w:sz w:val="24"/>
                <w:lang w:val="en-US" w:eastAsia="zh-CN"/>
              </w:rPr>
              <w:t>4165.8626</w:t>
            </w:r>
            <w:r>
              <w:rPr>
                <w:rFonts w:hint="default" w:ascii="Times New Roman" w:hAnsi="Times New Roman" w:eastAsia="宋体" w:cs="Times New Roman"/>
                <w:color w:val="auto"/>
                <w:sz w:val="24"/>
                <w:lang w:val="en-US" w:eastAsia="zh-CN"/>
              </w:rPr>
              <w:t>kg</w:t>
            </w:r>
            <w:r>
              <w:rPr>
                <w:rFonts w:hint="default" w:ascii="Times New Roman" w:hAnsi="Times New Roman" w:eastAsia="宋体" w:cs="Times New Roman"/>
                <w:color w:val="auto"/>
                <w:sz w:val="24"/>
              </w:rPr>
              <w:t>/d，</w:t>
            </w:r>
            <w:r>
              <w:rPr>
                <w:rFonts w:hint="eastAsia" w:cs="Times New Roman"/>
                <w:color w:val="auto"/>
                <w:sz w:val="24"/>
                <w:lang w:val="en-US" w:eastAsia="zh-CN"/>
              </w:rPr>
              <w:t>1249.7588</w:t>
            </w:r>
            <w:r>
              <w:rPr>
                <w:rFonts w:hint="default" w:ascii="Times New Roman" w:hAnsi="Times New Roman" w:eastAsia="宋体" w:cs="Times New Roman"/>
                <w:color w:val="auto"/>
                <w:sz w:val="24"/>
              </w:rPr>
              <w:t>t/a。</w:t>
            </w:r>
          </w:p>
          <w:p w14:paraId="70B0A9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color w:val="auto"/>
                <w:sz w:val="24"/>
                <w:lang w:eastAsia="zh-CN"/>
              </w:rPr>
              <w:t>根据导热油炉厂家提供的数据及相关</w:t>
            </w:r>
            <w:r>
              <w:rPr>
                <w:rFonts w:hint="eastAsia"/>
                <w:color w:val="auto"/>
                <w:sz w:val="24"/>
                <w:lang w:val="en-US" w:eastAsia="zh-CN"/>
              </w:rPr>
              <w:t>资料，</w:t>
            </w:r>
            <w:r>
              <w:rPr>
                <w:rFonts w:hint="eastAsia" w:cs="Times New Roman"/>
                <w:color w:val="auto"/>
                <w:kern w:val="2"/>
                <w:sz w:val="24"/>
                <w:szCs w:val="24"/>
                <w:highlight w:val="none"/>
                <w:lang w:val="en-US" w:eastAsia="zh-CN" w:bidi="ar"/>
              </w:rPr>
              <w:t>项目1台导热油炉</w:t>
            </w:r>
            <w:r>
              <w:rPr>
                <w:rFonts w:hint="eastAsia" w:ascii="Times New Roman" w:hAnsi="Times New Roman" w:eastAsia="宋体" w:cs="宋体"/>
                <w:color w:val="auto"/>
                <w:kern w:val="2"/>
                <w:sz w:val="24"/>
                <w:szCs w:val="24"/>
                <w:highlight w:val="none"/>
                <w:lang w:val="en-US" w:eastAsia="zh-CN" w:bidi="ar"/>
              </w:rPr>
              <w:t>满负荷运行时生</w:t>
            </w:r>
            <w:r>
              <w:rPr>
                <w:rFonts w:hint="eastAsia" w:ascii="Times New Roman" w:hAnsi="Times New Roman" w:eastAsia="宋体" w:cs="宋体"/>
                <w:bCs/>
                <w:color w:val="auto"/>
                <w:spacing w:val="6"/>
                <w:kern w:val="2"/>
                <w:sz w:val="24"/>
                <w:szCs w:val="24"/>
                <w:highlight w:val="none"/>
                <w:lang w:val="en-US" w:eastAsia="zh-CN" w:bidi="ar"/>
              </w:rPr>
              <w:t>物质成型燃料</w:t>
            </w:r>
            <w:r>
              <w:rPr>
                <w:rFonts w:hint="eastAsia" w:ascii="Times New Roman" w:hAnsi="Times New Roman" w:eastAsia="宋体" w:cs="宋体"/>
                <w:color w:val="auto"/>
                <w:kern w:val="2"/>
                <w:sz w:val="24"/>
                <w:szCs w:val="24"/>
                <w:highlight w:val="none"/>
                <w:lang w:val="en-US" w:eastAsia="zh-CN" w:bidi="ar"/>
              </w:rPr>
              <w:t>用量为：</w:t>
            </w:r>
            <w:r>
              <w:rPr>
                <w:rFonts w:hint="eastAsia" w:cs="Times New Roman"/>
                <w:color w:val="auto"/>
                <w:kern w:val="2"/>
                <w:sz w:val="24"/>
                <w:szCs w:val="24"/>
                <w:highlight w:val="none"/>
                <w:lang w:val="en-US" w:eastAsia="zh-CN" w:bidi="ar"/>
              </w:rPr>
              <w:t>1.1379</w:t>
            </w:r>
            <w:r>
              <w:rPr>
                <w:rFonts w:hint="default" w:ascii="Times New Roman" w:hAnsi="Times New Roman" w:eastAsia="宋体" w:cs="Times New Roman"/>
                <w:color w:val="auto"/>
                <w:kern w:val="2"/>
                <w:sz w:val="24"/>
                <w:szCs w:val="24"/>
                <w:highlight w:val="none"/>
                <w:lang w:val="en-US" w:eastAsia="zh-CN" w:bidi="ar"/>
              </w:rPr>
              <w:t>t/h</w:t>
            </w:r>
            <w:r>
              <w:rPr>
                <w:rFonts w:hint="eastAsia" w:ascii="Times New Roman" w:hAnsi="Times New Roman" w:eastAsia="宋体" w:cs="宋体"/>
                <w:color w:val="auto"/>
                <w:kern w:val="2"/>
                <w:sz w:val="24"/>
                <w:szCs w:val="24"/>
                <w:highlight w:val="none"/>
                <w:lang w:val="en-US" w:eastAsia="zh-CN" w:bidi="ar"/>
              </w:rPr>
              <w:t>，</w:t>
            </w:r>
            <w:r>
              <w:rPr>
                <w:rFonts w:hint="eastAsia" w:cs="Times New Roman"/>
                <w:color w:val="auto"/>
                <w:kern w:val="2"/>
                <w:sz w:val="24"/>
                <w:szCs w:val="24"/>
                <w:highlight w:val="none"/>
                <w:lang w:val="en-US" w:eastAsia="zh-CN" w:bidi="ar"/>
              </w:rPr>
              <w:t>9.1032</w:t>
            </w:r>
            <w:r>
              <w:rPr>
                <w:rFonts w:hint="default" w:ascii="Times New Roman" w:hAnsi="Times New Roman" w:eastAsia="宋体" w:cs="Times New Roman"/>
                <w:color w:val="auto"/>
                <w:kern w:val="2"/>
                <w:sz w:val="24"/>
                <w:szCs w:val="24"/>
                <w:highlight w:val="none"/>
                <w:lang w:val="en-US" w:eastAsia="zh-CN" w:bidi="ar"/>
              </w:rPr>
              <w:t>t/d</w:t>
            </w:r>
            <w:r>
              <w:rPr>
                <w:rFonts w:hint="eastAsia" w:ascii="Times New Roman" w:hAnsi="Times New Roman" w:eastAsia="宋体" w:cs="宋体"/>
                <w:color w:val="auto"/>
                <w:kern w:val="2"/>
                <w:sz w:val="24"/>
                <w:szCs w:val="24"/>
                <w:highlight w:val="none"/>
                <w:lang w:val="en-US" w:eastAsia="zh-CN" w:bidi="ar"/>
              </w:rPr>
              <w:t>，</w:t>
            </w:r>
            <w:r>
              <w:rPr>
                <w:rFonts w:hint="eastAsia" w:cs="宋体"/>
                <w:color w:val="auto"/>
                <w:kern w:val="2"/>
                <w:sz w:val="24"/>
                <w:szCs w:val="24"/>
                <w:highlight w:val="none"/>
                <w:lang w:val="en-US" w:eastAsia="zh-CN" w:bidi="ar"/>
              </w:rPr>
              <w:t>2730.96</w:t>
            </w:r>
            <w:r>
              <w:rPr>
                <w:rFonts w:hint="default" w:ascii="Times New Roman" w:hAnsi="Times New Roman" w:eastAsia="宋体" w:cs="Times New Roman"/>
                <w:color w:val="auto"/>
                <w:kern w:val="2"/>
                <w:sz w:val="24"/>
                <w:szCs w:val="24"/>
                <w:highlight w:val="none"/>
                <w:lang w:val="en-US" w:eastAsia="zh-CN" w:bidi="ar"/>
              </w:rPr>
              <w:t>t/a</w:t>
            </w:r>
            <w:r>
              <w:rPr>
                <w:rFonts w:hint="eastAsia" w:cs="Times New Roman"/>
                <w:color w:val="auto"/>
                <w:kern w:val="2"/>
                <w:sz w:val="24"/>
                <w:szCs w:val="24"/>
                <w:highlight w:val="none"/>
                <w:lang w:val="en-US" w:eastAsia="zh-CN" w:bidi="ar"/>
              </w:rPr>
              <w:t>，则2台导热油炉满负荷运行时</w:t>
            </w:r>
            <w:r>
              <w:rPr>
                <w:rFonts w:hint="eastAsia" w:ascii="Times New Roman" w:hAnsi="Times New Roman" w:eastAsia="宋体" w:cs="宋体"/>
                <w:color w:val="auto"/>
                <w:kern w:val="2"/>
                <w:sz w:val="24"/>
                <w:szCs w:val="24"/>
                <w:highlight w:val="none"/>
                <w:lang w:val="en-US" w:eastAsia="zh-CN" w:bidi="ar"/>
              </w:rPr>
              <w:t>生</w:t>
            </w:r>
            <w:r>
              <w:rPr>
                <w:rFonts w:hint="eastAsia" w:ascii="Times New Roman" w:hAnsi="Times New Roman" w:eastAsia="宋体" w:cs="宋体"/>
                <w:bCs/>
                <w:color w:val="auto"/>
                <w:spacing w:val="6"/>
                <w:kern w:val="2"/>
                <w:sz w:val="24"/>
                <w:szCs w:val="24"/>
                <w:highlight w:val="none"/>
                <w:lang w:val="en-US" w:eastAsia="zh-CN" w:bidi="ar"/>
              </w:rPr>
              <w:t>物质成型燃料</w:t>
            </w:r>
            <w:r>
              <w:rPr>
                <w:rFonts w:hint="eastAsia" w:ascii="Times New Roman" w:hAnsi="Times New Roman" w:eastAsia="宋体" w:cs="宋体"/>
                <w:color w:val="auto"/>
                <w:kern w:val="2"/>
                <w:sz w:val="24"/>
                <w:szCs w:val="24"/>
                <w:highlight w:val="none"/>
                <w:lang w:val="en-US" w:eastAsia="zh-CN" w:bidi="ar"/>
              </w:rPr>
              <w:t>用量为：</w:t>
            </w:r>
            <w:r>
              <w:rPr>
                <w:rFonts w:hint="eastAsia" w:cs="Times New Roman"/>
                <w:color w:val="auto"/>
                <w:kern w:val="2"/>
                <w:sz w:val="24"/>
                <w:szCs w:val="24"/>
                <w:highlight w:val="none"/>
                <w:lang w:val="en-US" w:eastAsia="zh-CN" w:bidi="ar"/>
              </w:rPr>
              <w:t>2.2758</w:t>
            </w:r>
            <w:r>
              <w:rPr>
                <w:rFonts w:hint="default" w:ascii="Times New Roman" w:hAnsi="Times New Roman" w:eastAsia="宋体" w:cs="Times New Roman"/>
                <w:color w:val="auto"/>
                <w:kern w:val="2"/>
                <w:sz w:val="24"/>
                <w:szCs w:val="24"/>
                <w:highlight w:val="none"/>
                <w:lang w:val="en-US" w:eastAsia="zh-CN" w:bidi="ar"/>
              </w:rPr>
              <w:t>t/h</w:t>
            </w:r>
            <w:r>
              <w:rPr>
                <w:rFonts w:hint="eastAsia" w:ascii="Times New Roman" w:hAnsi="Times New Roman" w:eastAsia="宋体" w:cs="宋体"/>
                <w:color w:val="auto"/>
                <w:kern w:val="2"/>
                <w:sz w:val="24"/>
                <w:szCs w:val="24"/>
                <w:highlight w:val="none"/>
                <w:lang w:val="en-US" w:eastAsia="zh-CN" w:bidi="ar"/>
              </w:rPr>
              <w:t>，</w:t>
            </w:r>
            <w:r>
              <w:rPr>
                <w:rFonts w:hint="eastAsia" w:cs="Times New Roman"/>
                <w:color w:val="auto"/>
                <w:kern w:val="2"/>
                <w:sz w:val="24"/>
                <w:szCs w:val="24"/>
                <w:highlight w:val="none"/>
                <w:lang w:val="en-US" w:eastAsia="zh-CN" w:bidi="ar"/>
              </w:rPr>
              <w:t>18.2064</w:t>
            </w:r>
            <w:r>
              <w:rPr>
                <w:rFonts w:hint="default" w:ascii="Times New Roman" w:hAnsi="Times New Roman" w:eastAsia="宋体" w:cs="Times New Roman"/>
                <w:color w:val="auto"/>
                <w:kern w:val="2"/>
                <w:sz w:val="24"/>
                <w:szCs w:val="24"/>
                <w:highlight w:val="none"/>
                <w:lang w:val="en-US" w:eastAsia="zh-CN" w:bidi="ar"/>
              </w:rPr>
              <w:t>t/d</w:t>
            </w:r>
            <w:r>
              <w:rPr>
                <w:rFonts w:hint="eastAsia" w:ascii="Times New Roman" w:hAnsi="Times New Roman" w:eastAsia="宋体" w:cs="宋体"/>
                <w:color w:val="auto"/>
                <w:kern w:val="2"/>
                <w:sz w:val="24"/>
                <w:szCs w:val="24"/>
                <w:highlight w:val="none"/>
                <w:lang w:val="en-US" w:eastAsia="zh-CN" w:bidi="ar"/>
              </w:rPr>
              <w:t>，</w:t>
            </w:r>
            <w:r>
              <w:rPr>
                <w:rFonts w:hint="eastAsia" w:cs="宋体"/>
                <w:color w:val="auto"/>
                <w:kern w:val="2"/>
                <w:sz w:val="24"/>
                <w:szCs w:val="24"/>
                <w:highlight w:val="none"/>
                <w:lang w:val="en-US" w:eastAsia="zh-CN" w:bidi="ar"/>
              </w:rPr>
              <w:t>5461.92</w:t>
            </w:r>
            <w:r>
              <w:rPr>
                <w:rFonts w:hint="default" w:ascii="Times New Roman" w:hAnsi="Times New Roman" w:eastAsia="宋体" w:cs="Times New Roman"/>
                <w:color w:val="auto"/>
                <w:kern w:val="2"/>
                <w:sz w:val="24"/>
                <w:szCs w:val="24"/>
                <w:highlight w:val="none"/>
                <w:lang w:val="en-US" w:eastAsia="zh-CN" w:bidi="ar"/>
              </w:rPr>
              <w:t>t/a</w:t>
            </w:r>
            <w:r>
              <w:rPr>
                <w:rFonts w:hint="eastAsia" w:ascii="Times New Roman" w:hAnsi="Times New Roman" w:eastAsia="宋体" w:cs="宋体"/>
                <w:color w:val="auto"/>
                <w:kern w:val="2"/>
                <w:sz w:val="24"/>
                <w:szCs w:val="24"/>
                <w:highlight w:val="none"/>
                <w:lang w:val="en-US" w:eastAsia="zh-CN" w:bidi="ar"/>
              </w:rPr>
              <w:t>。</w:t>
            </w:r>
          </w:p>
          <w:p w14:paraId="5A427730">
            <w:pPr>
              <w:pStyle w:val="25"/>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生物质</w:t>
            </w:r>
            <w:r>
              <w:rPr>
                <w:rFonts w:hint="default" w:ascii="Times New Roman" w:hAnsi="Times New Roman" w:eastAsia="宋体" w:cs="Times New Roman"/>
                <w:color w:val="auto"/>
                <w:sz w:val="24"/>
                <w:szCs w:val="24"/>
              </w:rPr>
              <w:t>燃料燃烧废气参</w:t>
            </w:r>
            <w:r>
              <w:rPr>
                <w:rFonts w:hint="default" w:ascii="Times New Roman" w:hAnsi="Times New Roman" w:eastAsia="宋体" w:cs="Times New Roman"/>
                <w:color w:val="auto"/>
                <w:sz w:val="24"/>
                <w:szCs w:val="24"/>
                <w:highlight w:val="none"/>
              </w:rPr>
              <w:t>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4-3</w:t>
            </w:r>
            <w:r>
              <w:rPr>
                <w:rFonts w:hint="default" w:ascii="Times New Roman" w:hAnsi="Times New Roman" w:eastAsia="宋体" w:cs="Times New Roman"/>
                <w:color w:val="auto"/>
                <w:sz w:val="24"/>
                <w:szCs w:val="24"/>
                <w:highlight w:val="none"/>
              </w:rPr>
              <w:t>。</w:t>
            </w:r>
          </w:p>
          <w:p w14:paraId="1769B6E7">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p w14:paraId="313D7606">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p w14:paraId="4A3972C9">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p w14:paraId="11FA5A31">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表4-3  工业锅炉（热力生产和供应行业）产排污系数表-生物质工业锅炉（摘录）</w:t>
            </w:r>
          </w:p>
          <w:tbl>
            <w:tblPr>
              <w:tblStyle w:val="26"/>
              <w:tblW w:w="8434"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661"/>
              <w:gridCol w:w="770"/>
              <w:gridCol w:w="1019"/>
              <w:gridCol w:w="1513"/>
              <w:gridCol w:w="1046"/>
              <w:gridCol w:w="1572"/>
              <w:gridCol w:w="1129"/>
            </w:tblGrid>
            <w:tr w14:paraId="41CA594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tcBorders>
                    <w:tl2br w:val="nil"/>
                    <w:tr2bl w:val="nil"/>
                  </w:tcBorders>
                  <w:noWrap w:val="0"/>
                  <w:vAlign w:val="center"/>
                </w:tcPr>
                <w:p w14:paraId="3EDF82D5">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61" w:type="dxa"/>
                  <w:tcBorders>
                    <w:tl2br w:val="nil"/>
                    <w:tr2bl w:val="nil"/>
                  </w:tcBorders>
                  <w:noWrap w:val="0"/>
                  <w:vAlign w:val="center"/>
                </w:tcPr>
                <w:p w14:paraId="1168E5AB">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770" w:type="dxa"/>
                  <w:tcBorders>
                    <w:tl2br w:val="nil"/>
                    <w:tr2bl w:val="nil"/>
                  </w:tcBorders>
                  <w:noWrap w:val="0"/>
                  <w:vAlign w:val="center"/>
                </w:tcPr>
                <w:p w14:paraId="7437BEE6">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1019" w:type="dxa"/>
                  <w:tcBorders>
                    <w:tl2br w:val="nil"/>
                    <w:tr2bl w:val="nil"/>
                  </w:tcBorders>
                  <w:noWrap w:val="0"/>
                  <w:vAlign w:val="center"/>
                </w:tcPr>
                <w:p w14:paraId="25CCF050">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513" w:type="dxa"/>
                  <w:tcBorders>
                    <w:tl2br w:val="nil"/>
                    <w:tr2bl w:val="nil"/>
                  </w:tcBorders>
                  <w:noWrap w:val="0"/>
                  <w:vAlign w:val="center"/>
                </w:tcPr>
                <w:p w14:paraId="271ED2B4">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1046" w:type="dxa"/>
                  <w:tcBorders>
                    <w:tl2br w:val="nil"/>
                    <w:tr2bl w:val="nil"/>
                  </w:tcBorders>
                  <w:noWrap w:val="0"/>
                  <w:vAlign w:val="center"/>
                </w:tcPr>
                <w:p w14:paraId="5A6E948C">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c>
                <w:tcPr>
                  <w:tcW w:w="1572" w:type="dxa"/>
                  <w:tcBorders>
                    <w:tl2br w:val="nil"/>
                    <w:tr2bl w:val="nil"/>
                  </w:tcBorders>
                  <w:noWrap w:val="0"/>
                  <w:vAlign w:val="center"/>
                </w:tcPr>
                <w:p w14:paraId="57D33DAB">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末端治理技术名称</w:t>
                  </w:r>
                </w:p>
              </w:tc>
              <w:tc>
                <w:tcPr>
                  <w:tcW w:w="1129" w:type="dxa"/>
                  <w:tcBorders>
                    <w:tl2br w:val="nil"/>
                    <w:tr2bl w:val="nil"/>
                  </w:tcBorders>
                  <w:noWrap w:val="0"/>
                  <w:vAlign w:val="center"/>
                </w:tcPr>
                <w:p w14:paraId="1CC55CA7">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排污系数</w:t>
                  </w:r>
                </w:p>
              </w:tc>
            </w:tr>
            <w:tr w14:paraId="35AFDA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restart"/>
                  <w:tcBorders>
                    <w:tl2br w:val="nil"/>
                    <w:tr2bl w:val="nil"/>
                  </w:tcBorders>
                  <w:noWrap w:val="0"/>
                  <w:vAlign w:val="center"/>
                </w:tcPr>
                <w:p w14:paraId="70677313">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61" w:type="dxa"/>
                  <w:vMerge w:val="restart"/>
                  <w:tcBorders>
                    <w:tl2br w:val="nil"/>
                    <w:tr2bl w:val="nil"/>
                  </w:tcBorders>
                  <w:noWrap w:val="0"/>
                  <w:vAlign w:val="center"/>
                </w:tcPr>
                <w:p w14:paraId="15A28307">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eastAsia="zh-CN"/>
                    </w:rPr>
                    <w:t>生物质</w:t>
                  </w:r>
                  <w:r>
                    <w:rPr>
                      <w:rFonts w:hint="default" w:ascii="Times New Roman" w:hAnsi="Times New Roman" w:eastAsia="宋体" w:cs="Times New Roman"/>
                      <w:iCs/>
                      <w:color w:val="auto"/>
                      <w:sz w:val="21"/>
                      <w:szCs w:val="21"/>
                      <w:highlight w:val="none"/>
                      <w:lang w:val="en-US" w:eastAsia="zh-CN"/>
                    </w:rPr>
                    <w:t>燃料</w:t>
                  </w:r>
                </w:p>
              </w:tc>
              <w:tc>
                <w:tcPr>
                  <w:tcW w:w="770" w:type="dxa"/>
                  <w:vMerge w:val="restart"/>
                  <w:tcBorders>
                    <w:tl2br w:val="nil"/>
                    <w:tr2bl w:val="nil"/>
                  </w:tcBorders>
                  <w:noWrap w:val="0"/>
                  <w:vAlign w:val="center"/>
                </w:tcPr>
                <w:p w14:paraId="12CD34A3">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层燃炉</w:t>
                  </w:r>
                </w:p>
              </w:tc>
              <w:tc>
                <w:tcPr>
                  <w:tcW w:w="1019" w:type="dxa"/>
                  <w:tcBorders>
                    <w:tl2br w:val="nil"/>
                    <w:tr2bl w:val="nil"/>
                  </w:tcBorders>
                  <w:noWrap w:val="0"/>
                  <w:vAlign w:val="center"/>
                </w:tcPr>
                <w:p w14:paraId="62ACDE8C">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工业废气量</w:t>
                  </w:r>
                </w:p>
              </w:tc>
              <w:tc>
                <w:tcPr>
                  <w:tcW w:w="1513" w:type="dxa"/>
                  <w:tcBorders>
                    <w:tl2br w:val="nil"/>
                    <w:tr2bl w:val="nil"/>
                  </w:tcBorders>
                  <w:noWrap w:val="0"/>
                  <w:vAlign w:val="top"/>
                </w:tcPr>
                <w:p w14:paraId="0655B033">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标立方米/</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14:paraId="069E66F6">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c>
                <w:tcPr>
                  <w:tcW w:w="1572" w:type="dxa"/>
                  <w:tcBorders>
                    <w:tl2br w:val="nil"/>
                    <w:tr2bl w:val="nil"/>
                  </w:tcBorders>
                  <w:noWrap w:val="0"/>
                  <w:vAlign w:val="center"/>
                </w:tcPr>
                <w:p w14:paraId="415358CB">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14:paraId="2848E943">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6240</w:t>
                  </w:r>
                </w:p>
              </w:tc>
            </w:tr>
            <w:tr w14:paraId="2668C9F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14:paraId="4F659558">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14:paraId="065EDC01">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14:paraId="17BBD533">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14:paraId="4CA22A3B">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513" w:type="dxa"/>
                  <w:tcBorders>
                    <w:tl2br w:val="nil"/>
                    <w:tr2bl w:val="nil"/>
                  </w:tcBorders>
                  <w:noWrap w:val="0"/>
                  <w:vAlign w:val="top"/>
                </w:tcPr>
                <w:p w14:paraId="299470D1">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14:paraId="423321CF">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c>
                <w:tcPr>
                  <w:tcW w:w="1572" w:type="dxa"/>
                  <w:tcBorders>
                    <w:tl2br w:val="nil"/>
                    <w:tr2bl w:val="nil"/>
                  </w:tcBorders>
                  <w:noWrap w:val="0"/>
                  <w:vAlign w:val="center"/>
                </w:tcPr>
                <w:p w14:paraId="0E2B5E07">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14:paraId="215EC403">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vertAlign w:val="superscript"/>
                    </w:rPr>
                    <w:t>①</w:t>
                  </w:r>
                </w:p>
              </w:tc>
            </w:tr>
            <w:tr w14:paraId="7940B3E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724" w:type="dxa"/>
                  <w:vMerge w:val="continue"/>
                  <w:tcBorders>
                    <w:tl2br w:val="nil"/>
                    <w:tr2bl w:val="nil"/>
                  </w:tcBorders>
                  <w:noWrap w:val="0"/>
                  <w:vAlign w:val="center"/>
                </w:tcPr>
                <w:p w14:paraId="13EBFA82">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14:paraId="06D85A6D">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14:paraId="77DABDB7">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14:paraId="3688CB84">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颗粒物</w:t>
                  </w:r>
                </w:p>
              </w:tc>
              <w:tc>
                <w:tcPr>
                  <w:tcW w:w="1513" w:type="dxa"/>
                  <w:tcBorders>
                    <w:tl2br w:val="nil"/>
                    <w:tr2bl w:val="nil"/>
                  </w:tcBorders>
                  <w:noWrap w:val="0"/>
                  <w:vAlign w:val="top"/>
                </w:tcPr>
                <w:p w14:paraId="4E2E6260">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14:paraId="2E3C5A78">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572" w:type="dxa"/>
                  <w:tcBorders>
                    <w:tl2br w:val="nil"/>
                    <w:tr2bl w:val="nil"/>
                  </w:tcBorders>
                  <w:noWrap w:val="0"/>
                  <w:vAlign w:val="center"/>
                </w:tcPr>
                <w:p w14:paraId="3282129C">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高温布袋除尘器95%</w:t>
                  </w:r>
                </w:p>
              </w:tc>
              <w:tc>
                <w:tcPr>
                  <w:tcW w:w="1129" w:type="dxa"/>
                  <w:tcBorders>
                    <w:tl2br w:val="nil"/>
                    <w:tr2bl w:val="nil"/>
                  </w:tcBorders>
                  <w:noWrap w:val="0"/>
                  <w:vAlign w:val="center"/>
                </w:tcPr>
                <w:p w14:paraId="51A0FF3F">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0.025</w:t>
                  </w:r>
                </w:p>
              </w:tc>
            </w:tr>
            <w:tr w14:paraId="722F5DF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dxa"/>
                  <w:vMerge w:val="continue"/>
                  <w:tcBorders>
                    <w:tl2br w:val="nil"/>
                    <w:tr2bl w:val="nil"/>
                  </w:tcBorders>
                  <w:noWrap w:val="0"/>
                  <w:vAlign w:val="center"/>
                </w:tcPr>
                <w:p w14:paraId="216798EA">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661" w:type="dxa"/>
                  <w:vMerge w:val="continue"/>
                  <w:tcBorders>
                    <w:tl2br w:val="nil"/>
                    <w:tr2bl w:val="nil"/>
                  </w:tcBorders>
                  <w:noWrap w:val="0"/>
                  <w:vAlign w:val="center"/>
                </w:tcPr>
                <w:p w14:paraId="2A6B3C99">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770" w:type="dxa"/>
                  <w:vMerge w:val="continue"/>
                  <w:tcBorders>
                    <w:tl2br w:val="nil"/>
                    <w:tr2bl w:val="nil"/>
                  </w:tcBorders>
                  <w:noWrap w:val="0"/>
                  <w:vAlign w:val="center"/>
                </w:tcPr>
                <w:p w14:paraId="7B8BC3A2">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p>
              </w:tc>
              <w:tc>
                <w:tcPr>
                  <w:tcW w:w="1019" w:type="dxa"/>
                  <w:tcBorders>
                    <w:tl2br w:val="nil"/>
                    <w:tr2bl w:val="nil"/>
                  </w:tcBorders>
                  <w:noWrap w:val="0"/>
                  <w:vAlign w:val="center"/>
                </w:tcPr>
                <w:p w14:paraId="34300B77">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rPr>
                    <w:t>NO</w:t>
                  </w:r>
                  <w:r>
                    <w:rPr>
                      <w:rFonts w:hint="default" w:ascii="Times New Roman" w:hAnsi="Times New Roman" w:eastAsia="宋体" w:cs="Times New Roman"/>
                      <w:iCs/>
                      <w:color w:val="auto"/>
                      <w:sz w:val="21"/>
                      <w:szCs w:val="21"/>
                      <w:highlight w:val="none"/>
                      <w:vertAlign w:val="subscript"/>
                      <w:lang w:val="en-US"/>
                    </w:rPr>
                    <w:t>x</w:t>
                  </w:r>
                </w:p>
              </w:tc>
              <w:tc>
                <w:tcPr>
                  <w:tcW w:w="1513" w:type="dxa"/>
                  <w:tcBorders>
                    <w:tl2br w:val="nil"/>
                    <w:tr2bl w:val="nil"/>
                  </w:tcBorders>
                  <w:noWrap w:val="0"/>
                  <w:vAlign w:val="top"/>
                </w:tcPr>
                <w:p w14:paraId="782E3046">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千克/</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1046" w:type="dxa"/>
                  <w:tcBorders>
                    <w:tl2br w:val="nil"/>
                    <w:tr2bl w:val="nil"/>
                  </w:tcBorders>
                  <w:noWrap w:val="0"/>
                  <w:vAlign w:val="center"/>
                </w:tcPr>
                <w:p w14:paraId="2D589B3E">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color w:val="auto"/>
                      <w:szCs w:val="21"/>
                      <w:highlight w:val="none"/>
                      <w:lang w:val="en-US" w:eastAsia="zh-CN"/>
                    </w:rPr>
                    <w:t>1.02</w:t>
                  </w:r>
                </w:p>
              </w:tc>
              <w:tc>
                <w:tcPr>
                  <w:tcW w:w="1572" w:type="dxa"/>
                  <w:tcBorders>
                    <w:tl2br w:val="nil"/>
                    <w:tr2bl w:val="nil"/>
                  </w:tcBorders>
                  <w:noWrap w:val="0"/>
                  <w:vAlign w:val="center"/>
                </w:tcPr>
                <w:p w14:paraId="0AFC18B1">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直排</w:t>
                  </w:r>
                </w:p>
              </w:tc>
              <w:tc>
                <w:tcPr>
                  <w:tcW w:w="1129" w:type="dxa"/>
                  <w:tcBorders>
                    <w:tl2br w:val="nil"/>
                    <w:tr2bl w:val="nil"/>
                  </w:tcBorders>
                  <w:noWrap w:val="0"/>
                  <w:vAlign w:val="center"/>
                </w:tcPr>
                <w:p w14:paraId="3B35B2BD">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1.02</w:t>
                  </w:r>
                </w:p>
              </w:tc>
            </w:tr>
            <w:tr w14:paraId="42264A9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434" w:type="dxa"/>
                  <w:gridSpan w:val="8"/>
                  <w:tcBorders>
                    <w:tl2br w:val="nil"/>
                    <w:tr2bl w:val="nil"/>
                  </w:tcBorders>
                  <w:noWrap w:val="0"/>
                  <w:vAlign w:val="center"/>
                </w:tcPr>
                <w:p w14:paraId="3A09A671">
                  <w:pPr>
                    <w:shd w:val="clear" w:color="auto" w:fill="auto"/>
                    <w:autoSpaceDE w:val="0"/>
                    <w:autoSpaceDN w:val="0"/>
                    <w:jc w:val="left"/>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二氧化硫的产污系数是以含硫量（S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）的形式表示的，其中含硫量（S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）是指</w:t>
                  </w:r>
                  <w:r>
                    <w:rPr>
                      <w:rFonts w:hint="default" w:ascii="Times New Roman" w:hAnsi="Times New Roman" w:eastAsia="宋体" w:cs="Times New Roman"/>
                      <w:color w:val="auto"/>
                      <w:szCs w:val="21"/>
                      <w:highlight w:val="none"/>
                      <w:lang w:val="en-US" w:eastAsia="zh-CN"/>
                    </w:rPr>
                    <w:t>生物质收到基</w:t>
                  </w:r>
                  <w:r>
                    <w:rPr>
                      <w:rFonts w:hint="default" w:ascii="Times New Roman" w:hAnsi="Times New Roman" w:eastAsia="宋体" w:cs="Times New Roman"/>
                      <w:color w:val="auto"/>
                      <w:szCs w:val="21"/>
                      <w:highlight w:val="none"/>
                    </w:rPr>
                    <w:t>硫</w:t>
                  </w:r>
                  <w:r>
                    <w:rPr>
                      <w:rFonts w:hint="default" w:ascii="Times New Roman" w:hAnsi="Times New Roman" w:eastAsia="宋体" w:cs="Times New Roman"/>
                      <w:color w:val="auto"/>
                      <w:szCs w:val="21"/>
                      <w:highlight w:val="none"/>
                      <w:lang w:val="en-US" w:eastAsia="zh-CN"/>
                    </w:rPr>
                    <w:t>分</w:t>
                  </w:r>
                  <w:r>
                    <w:rPr>
                      <w:rFonts w:hint="default" w:ascii="Times New Roman" w:hAnsi="Times New Roman" w:eastAsia="宋体" w:cs="Times New Roman"/>
                      <w:color w:val="auto"/>
                      <w:szCs w:val="21"/>
                      <w:highlight w:val="none"/>
                    </w:rPr>
                    <w:t>含量，</w:t>
                  </w:r>
                  <w:r>
                    <w:rPr>
                      <w:rFonts w:hint="default" w:ascii="Times New Roman" w:hAnsi="Times New Roman" w:eastAsia="宋体" w:cs="Times New Roman"/>
                      <w:color w:val="auto"/>
                      <w:szCs w:val="21"/>
                      <w:highlight w:val="none"/>
                      <w:lang w:val="en-US" w:eastAsia="zh-CN"/>
                    </w:rPr>
                    <w:t>以质量百分数的形式表示</w:t>
                  </w:r>
                  <w:r>
                    <w:rPr>
                      <w:rFonts w:hint="default" w:ascii="Times New Roman" w:hAnsi="Times New Roman" w:eastAsia="宋体" w:cs="Times New Roman"/>
                      <w:color w:val="auto"/>
                      <w:szCs w:val="21"/>
                      <w:highlight w:val="none"/>
                    </w:rPr>
                    <w:t>。例如</w:t>
                  </w:r>
                  <w:r>
                    <w:rPr>
                      <w:rFonts w:hint="default" w:ascii="Times New Roman" w:hAnsi="Times New Roman" w:eastAsia="宋体" w:cs="Times New Roman"/>
                      <w:color w:val="auto"/>
                      <w:szCs w:val="21"/>
                      <w:highlight w:val="none"/>
                      <w:lang w:val="en-US" w:eastAsia="zh-CN"/>
                    </w:rPr>
                    <w:t>生物质</w:t>
                  </w:r>
                  <w:r>
                    <w:rPr>
                      <w:rFonts w:hint="default" w:ascii="Times New Roman" w:hAnsi="Times New Roman" w:eastAsia="宋体" w:cs="Times New Roman"/>
                      <w:color w:val="auto"/>
                      <w:szCs w:val="21"/>
                      <w:highlight w:val="none"/>
                    </w:rPr>
                    <w:t>中含硫量（S</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）为</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，则S=</w:t>
                  </w:r>
                  <w:r>
                    <w:rPr>
                      <w:rFonts w:hint="default" w:ascii="Times New Roman" w:hAnsi="Times New Roman" w:eastAsia="宋体" w:cs="Times New Roman"/>
                      <w:color w:val="auto"/>
                      <w:szCs w:val="21"/>
                      <w:highlight w:val="none"/>
                      <w:lang w:eastAsia="zh-CN"/>
                    </w:rPr>
                    <w:t>0</w:t>
                  </w:r>
                  <w:r>
                    <w:rPr>
                      <w:rFonts w:hint="default" w:ascii="Times New Roman" w:hAnsi="Times New Roman"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rPr>
                    <w:t>。</w:t>
                  </w:r>
                </w:p>
              </w:tc>
            </w:tr>
          </w:tbl>
          <w:p w14:paraId="7F80D7EC">
            <w:pPr>
              <w:widowControl w:val="0"/>
              <w:spacing w:line="360" w:lineRule="auto"/>
              <w:ind w:firstLine="480" w:firstLineChars="200"/>
              <w:jc w:val="left"/>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color w:val="auto"/>
                <w:sz w:val="24"/>
                <w:szCs w:val="24"/>
                <w:lang w:val="en-US" w:eastAsia="zh-CN"/>
              </w:rPr>
              <w:t>环评提出</w:t>
            </w:r>
            <w:r>
              <w:rPr>
                <w:rFonts w:hint="default" w:ascii="Times New Roman" w:hAnsi="Times New Roman" w:eastAsia="宋体" w:cs="Times New Roman"/>
                <w:color w:val="auto"/>
                <w:sz w:val="24"/>
                <w:szCs w:val="24"/>
                <w:lang w:eastAsia="zh-CN"/>
              </w:rPr>
              <w:t>本项目生物质</w:t>
            </w:r>
            <w:r>
              <w:rPr>
                <w:rFonts w:hint="eastAsia" w:cs="Times New Roman"/>
                <w:color w:val="auto"/>
                <w:sz w:val="24"/>
                <w:szCs w:val="24"/>
                <w:lang w:eastAsia="zh-CN"/>
              </w:rPr>
              <w:t>燃料</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lang w:val="en-US" w:eastAsia="zh-CN"/>
              </w:rPr>
              <w:t>分别由管道收集进入</w:t>
            </w:r>
            <w:r>
              <w:rPr>
                <w:rFonts w:hint="default" w:ascii="Times New Roman" w:hAnsi="Times New Roman" w:eastAsia="宋体" w:cs="Times New Roman"/>
                <w:color w:val="auto"/>
                <w:sz w:val="24"/>
                <w:szCs w:val="24"/>
                <w:highlight w:val="none"/>
                <w:lang w:val="en-US" w:eastAsia="zh-CN"/>
              </w:rPr>
              <w:t>1套</w:t>
            </w:r>
            <w:r>
              <w:rPr>
                <w:rFonts w:hint="default" w:ascii="Times New Roman" w:hAnsi="Times New Roman" w:eastAsia="宋体" w:cs="Times New Roman"/>
                <w:color w:val="auto"/>
                <w:sz w:val="24"/>
                <w:szCs w:val="24"/>
                <w:lang w:val="en-US" w:eastAsia="zh-CN"/>
              </w:rPr>
              <w:t>“高温布袋除尘器”处理达标后共同由1根</w:t>
            </w:r>
            <w:r>
              <w:rPr>
                <w:rFonts w:hint="eastAsia" w:cs="Times New Roman"/>
                <w:color w:val="auto"/>
                <w:sz w:val="24"/>
                <w:szCs w:val="24"/>
                <w:lang w:val="en-US" w:eastAsia="zh-CN"/>
              </w:rPr>
              <w:t>35</w:t>
            </w:r>
            <w:r>
              <w:rPr>
                <w:rFonts w:hint="default" w:ascii="Times New Roman" w:hAnsi="Times New Roman" w:eastAsia="宋体" w:cs="Times New Roman"/>
                <w:color w:val="auto"/>
                <w:sz w:val="24"/>
                <w:szCs w:val="24"/>
                <w:lang w:val="en-US" w:eastAsia="zh-CN"/>
              </w:rPr>
              <w:t>m高的排气筒（DA001）排放。</w:t>
            </w: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中5.3.5排气筒的出口直径应根据出口流速确定，流速宜取15m/s左右。本项目DA001排气筒废气量为</w:t>
            </w:r>
            <w:r>
              <w:rPr>
                <w:rFonts w:hint="eastAsia" w:cs="Times New Roman"/>
                <w:color w:val="auto"/>
                <w:sz w:val="24"/>
                <w:szCs w:val="24"/>
                <w:highlight w:val="none"/>
                <w:lang w:val="en-US" w:eastAsia="zh-CN"/>
              </w:rPr>
              <w:t>17450.3649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m，此时对应的烟气流速为</w:t>
            </w:r>
            <w:r>
              <w:rPr>
                <w:rFonts w:hint="eastAsia" w:cs="Times New Roman"/>
                <w:color w:val="auto"/>
                <w:sz w:val="24"/>
                <w:szCs w:val="24"/>
                <w:highlight w:val="none"/>
                <w:lang w:val="en-US" w:eastAsia="zh-CN"/>
              </w:rPr>
              <w:t>17.14</w:t>
            </w:r>
            <w:r>
              <w:rPr>
                <w:rFonts w:hint="default" w:ascii="Times New Roman" w:hAnsi="Times New Roman" w:eastAsia="宋体" w:cs="Times New Roman"/>
                <w:color w:val="auto"/>
                <w:sz w:val="24"/>
                <w:szCs w:val="24"/>
                <w:highlight w:val="none"/>
                <w:lang w:val="en-US" w:eastAsia="zh-CN"/>
              </w:rPr>
              <w:t>m/s，能够符合导则要求。</w:t>
            </w:r>
          </w:p>
          <w:p w14:paraId="5459E32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lang w:eastAsia="zh-CN"/>
              </w:rPr>
              <w:t>可计算出</w:t>
            </w:r>
            <w:r>
              <w:rPr>
                <w:rFonts w:hint="default" w:ascii="Times New Roman" w:hAnsi="Times New Roman" w:eastAsia="宋体" w:cs="Times New Roman"/>
                <w:color w:val="auto"/>
                <w:sz w:val="24"/>
                <w:szCs w:val="24"/>
                <w:lang w:eastAsia="zh-CN"/>
              </w:rPr>
              <w:t>生物质</w:t>
            </w:r>
            <w:r>
              <w:rPr>
                <w:rFonts w:hint="eastAsia" w:cs="Times New Roman"/>
                <w:color w:val="auto"/>
                <w:sz w:val="24"/>
                <w:szCs w:val="24"/>
                <w:lang w:eastAsia="zh-CN"/>
              </w:rPr>
              <w:t>燃料</w:t>
            </w:r>
            <w:r>
              <w:rPr>
                <w:rFonts w:hint="default" w:ascii="Times New Roman" w:hAnsi="Times New Roman" w:eastAsia="宋体" w:cs="Times New Roman"/>
                <w:color w:val="auto"/>
                <w:sz w:val="24"/>
                <w:szCs w:val="24"/>
                <w:lang w:eastAsia="zh-CN"/>
              </w:rPr>
              <w:t>燃烧后各污染物的源强见表</w:t>
            </w:r>
            <w:r>
              <w:rPr>
                <w:rFonts w:hint="default" w:ascii="Times New Roman" w:hAnsi="Times New Roman" w:eastAsia="宋体" w:cs="Times New Roman"/>
                <w:color w:val="auto"/>
                <w:sz w:val="24"/>
                <w:szCs w:val="24"/>
                <w:lang w:val="en-US" w:eastAsia="zh-CN"/>
              </w:rPr>
              <w:t>4-4。</w:t>
            </w:r>
          </w:p>
          <w:p w14:paraId="7AA2AF30">
            <w:pPr>
              <w:widowControl w:val="0"/>
              <w:jc w:val="center"/>
              <w:rPr>
                <w:rFonts w:hint="default" w:ascii="Times New Roman" w:hAnsi="Times New Roman" w:eastAsia="宋体" w:cs="Times New Roman"/>
                <w:b/>
                <w:bCs/>
                <w:color w:val="auto"/>
                <w:spacing w:val="6"/>
                <w:sz w:val="21"/>
                <w:szCs w:val="21"/>
                <w:lang w:val="en-US" w:eastAsia="zh-CN"/>
              </w:rPr>
            </w:pPr>
            <w:r>
              <w:rPr>
                <w:rFonts w:hint="default" w:ascii="Times New Roman" w:hAnsi="Times New Roman" w:eastAsia="宋体" w:cs="Times New Roman"/>
                <w:b/>
                <w:bCs/>
                <w:color w:val="auto"/>
                <w:spacing w:val="6"/>
                <w:sz w:val="21"/>
                <w:szCs w:val="21"/>
              </w:rPr>
              <w:t>表</w:t>
            </w:r>
            <w:r>
              <w:rPr>
                <w:rFonts w:hint="default" w:ascii="Times New Roman" w:hAnsi="Times New Roman" w:eastAsia="宋体" w:cs="Times New Roman"/>
                <w:b/>
                <w:bCs/>
                <w:color w:val="auto"/>
                <w:spacing w:val="6"/>
                <w:sz w:val="21"/>
                <w:szCs w:val="21"/>
                <w:lang w:val="en-US" w:eastAsia="zh-CN"/>
              </w:rPr>
              <w:t>4-4</w:t>
            </w:r>
            <w:r>
              <w:rPr>
                <w:rFonts w:hint="default" w:ascii="Times New Roman" w:hAnsi="Times New Roman" w:eastAsia="宋体" w:cs="Times New Roman"/>
                <w:b/>
                <w:bCs/>
                <w:color w:val="auto"/>
                <w:spacing w:val="6"/>
                <w:sz w:val="21"/>
                <w:szCs w:val="21"/>
              </w:rPr>
              <w:t xml:space="preserve"> </w:t>
            </w:r>
            <w:r>
              <w:rPr>
                <w:rFonts w:hint="default" w:ascii="Times New Roman" w:hAnsi="Times New Roman" w:eastAsia="宋体" w:cs="Times New Roman"/>
                <w:b/>
                <w:bCs/>
                <w:color w:val="auto"/>
                <w:spacing w:val="6"/>
                <w:sz w:val="21"/>
                <w:szCs w:val="21"/>
                <w:lang w:val="en-US" w:eastAsia="zh-CN"/>
              </w:rPr>
              <w:t xml:space="preserve"> 生物质燃料燃烧</w:t>
            </w:r>
            <w:r>
              <w:rPr>
                <w:rFonts w:hint="default" w:ascii="Times New Roman" w:hAnsi="Times New Roman" w:eastAsia="宋体" w:cs="Times New Roman"/>
                <w:b/>
                <w:bCs/>
                <w:color w:val="auto"/>
                <w:spacing w:val="6"/>
                <w:sz w:val="21"/>
                <w:szCs w:val="21"/>
              </w:rPr>
              <w:t>废气</w:t>
            </w:r>
            <w:r>
              <w:rPr>
                <w:rFonts w:hint="default" w:ascii="Times New Roman" w:hAnsi="Times New Roman" w:eastAsia="宋体" w:cs="Times New Roman"/>
                <w:b/>
                <w:bCs/>
                <w:color w:val="auto"/>
                <w:spacing w:val="6"/>
                <w:sz w:val="21"/>
                <w:szCs w:val="21"/>
                <w:lang w:val="en-US" w:eastAsia="zh-CN"/>
              </w:rPr>
              <w:t>产排一览表</w:t>
            </w:r>
          </w:p>
          <w:tbl>
            <w:tblPr>
              <w:tblStyle w:val="26"/>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311"/>
              <w:gridCol w:w="788"/>
              <w:gridCol w:w="879"/>
              <w:gridCol w:w="941"/>
              <w:gridCol w:w="1061"/>
              <w:gridCol w:w="891"/>
              <w:gridCol w:w="881"/>
              <w:gridCol w:w="1047"/>
            </w:tblGrid>
            <w:tr w14:paraId="21F4BE2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23" w:type="dxa"/>
                  <w:vMerge w:val="restart"/>
                  <w:tcBorders>
                    <w:tl2br w:val="nil"/>
                    <w:tr2bl w:val="nil"/>
                  </w:tcBorders>
                  <w:noWrap w:val="0"/>
                  <w:vAlign w:val="center"/>
                </w:tcPr>
                <w:p w14:paraId="15256C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1311" w:type="dxa"/>
                  <w:vMerge w:val="restart"/>
                  <w:tcBorders>
                    <w:tl2br w:val="nil"/>
                    <w:tr2bl w:val="nil"/>
                  </w:tcBorders>
                  <w:noWrap w:val="0"/>
                  <w:vAlign w:val="center"/>
                </w:tcPr>
                <w:p w14:paraId="0ED4C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788" w:type="dxa"/>
                  <w:vMerge w:val="restart"/>
                  <w:tcBorders>
                    <w:tl2br w:val="nil"/>
                    <w:tr2bl w:val="nil"/>
                  </w:tcBorders>
                  <w:noWrap w:val="0"/>
                  <w:vAlign w:val="center"/>
                </w:tcPr>
                <w:p w14:paraId="26A31C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881" w:type="dxa"/>
                  <w:gridSpan w:val="3"/>
                  <w:tcBorders>
                    <w:tl2br w:val="nil"/>
                    <w:tr2bl w:val="nil"/>
                  </w:tcBorders>
                  <w:noWrap w:val="0"/>
                  <w:vAlign w:val="center"/>
                </w:tcPr>
                <w:p w14:paraId="0A5F22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819" w:type="dxa"/>
                  <w:gridSpan w:val="3"/>
                  <w:tcBorders>
                    <w:tl2br w:val="nil"/>
                    <w:tr2bl w:val="nil"/>
                  </w:tcBorders>
                  <w:noWrap w:val="0"/>
                  <w:vAlign w:val="center"/>
                </w:tcPr>
                <w:p w14:paraId="0A8A2E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14:paraId="5263A7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23" w:type="dxa"/>
                  <w:vMerge w:val="continue"/>
                  <w:tcBorders>
                    <w:tl2br w:val="nil"/>
                    <w:tr2bl w:val="nil"/>
                  </w:tcBorders>
                  <w:noWrap w:val="0"/>
                  <w:vAlign w:val="center"/>
                </w:tcPr>
                <w:p w14:paraId="5AE01E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1311" w:type="dxa"/>
                  <w:vMerge w:val="continue"/>
                  <w:tcBorders>
                    <w:tl2br w:val="nil"/>
                    <w:tr2bl w:val="nil"/>
                  </w:tcBorders>
                  <w:noWrap w:val="0"/>
                  <w:vAlign w:val="center"/>
                </w:tcPr>
                <w:p w14:paraId="32546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788" w:type="dxa"/>
                  <w:vMerge w:val="continue"/>
                  <w:tcBorders>
                    <w:tl2br w:val="nil"/>
                    <w:tr2bl w:val="nil"/>
                  </w:tcBorders>
                  <w:noWrap w:val="0"/>
                  <w:vAlign w:val="center"/>
                </w:tcPr>
                <w:p w14:paraId="3C75E1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879" w:type="dxa"/>
                  <w:tcBorders>
                    <w:tl2br w:val="nil"/>
                    <w:tr2bl w:val="nil"/>
                  </w:tcBorders>
                  <w:noWrap w:val="0"/>
                  <w:vAlign w:val="center"/>
                </w:tcPr>
                <w:p w14:paraId="023058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941" w:type="dxa"/>
                  <w:tcBorders>
                    <w:tl2br w:val="nil"/>
                    <w:tr2bl w:val="nil"/>
                  </w:tcBorders>
                  <w:noWrap w:val="0"/>
                  <w:vAlign w:val="center"/>
                </w:tcPr>
                <w:p w14:paraId="48A63E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061" w:type="dxa"/>
                  <w:tcBorders>
                    <w:tl2br w:val="nil"/>
                    <w:tr2bl w:val="nil"/>
                  </w:tcBorders>
                  <w:noWrap w:val="0"/>
                  <w:vAlign w:val="center"/>
                </w:tcPr>
                <w:p w14:paraId="63A4BA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891" w:type="dxa"/>
                  <w:tcBorders>
                    <w:tl2br w:val="nil"/>
                    <w:tr2bl w:val="nil"/>
                  </w:tcBorders>
                  <w:noWrap w:val="0"/>
                  <w:vAlign w:val="center"/>
                </w:tcPr>
                <w:p w14:paraId="0D3043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881" w:type="dxa"/>
                  <w:tcBorders>
                    <w:tl2br w:val="nil"/>
                    <w:tr2bl w:val="nil"/>
                  </w:tcBorders>
                  <w:noWrap w:val="0"/>
                  <w:vAlign w:val="center"/>
                </w:tcPr>
                <w:p w14:paraId="412028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1047" w:type="dxa"/>
                  <w:tcBorders>
                    <w:tl2br w:val="nil"/>
                    <w:tr2bl w:val="nil"/>
                  </w:tcBorders>
                  <w:noWrap w:val="0"/>
                  <w:vAlign w:val="center"/>
                </w:tcPr>
                <w:p w14:paraId="1190CD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14:paraId="31ED2C9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dxa"/>
                  <w:vMerge w:val="restart"/>
                  <w:tcBorders>
                    <w:tl2br w:val="nil"/>
                    <w:tr2bl w:val="nil"/>
                  </w:tcBorders>
                  <w:noWrap w:val="0"/>
                  <w:vAlign w:val="center"/>
                </w:tcPr>
                <w:p w14:paraId="350347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锅炉</w:t>
                  </w:r>
                  <w:r>
                    <w:rPr>
                      <w:rFonts w:hint="default" w:ascii="Times New Roman" w:hAnsi="Times New Roman" w:eastAsia="宋体" w:cs="Times New Roman"/>
                      <w:color w:val="auto"/>
                      <w:sz w:val="21"/>
                      <w:szCs w:val="21"/>
                      <w:highlight w:val="none"/>
                    </w:rPr>
                    <w:t>燃料燃烧废气</w:t>
                  </w:r>
                </w:p>
              </w:tc>
              <w:tc>
                <w:tcPr>
                  <w:tcW w:w="1311" w:type="dxa"/>
                  <w:vMerge w:val="restart"/>
                  <w:tcBorders>
                    <w:tl2br w:val="nil"/>
                    <w:tr2bl w:val="nil"/>
                  </w:tcBorders>
                  <w:noWrap w:val="0"/>
                  <w:vAlign w:val="center"/>
                </w:tcPr>
                <w:p w14:paraId="59FD95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6711.6788</w:t>
                  </w:r>
                  <w:r>
                    <w:rPr>
                      <w:rFonts w:hint="default" w:ascii="Times New Roman" w:hAnsi="Times New Roman" w:eastAsia="宋体" w:cs="Times New Roman"/>
                      <w:color w:val="auto"/>
                      <w:sz w:val="21"/>
                      <w:szCs w:val="21"/>
                      <w:highlight w:val="none"/>
                    </w:rPr>
                    <w:t>t/a</w:t>
                  </w:r>
                </w:p>
              </w:tc>
              <w:tc>
                <w:tcPr>
                  <w:tcW w:w="788" w:type="dxa"/>
                  <w:tcBorders>
                    <w:tl2br w:val="nil"/>
                    <w:tr2bl w:val="nil"/>
                  </w:tcBorders>
                  <w:noWrap w:val="0"/>
                  <w:vAlign w:val="center"/>
                </w:tcPr>
                <w:p w14:paraId="66EC5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5700" w:type="dxa"/>
                  <w:gridSpan w:val="6"/>
                  <w:tcBorders>
                    <w:tl2br w:val="nil"/>
                    <w:tr2bl w:val="nil"/>
                  </w:tcBorders>
                  <w:noWrap w:val="0"/>
                  <w:vAlign w:val="center"/>
                </w:tcPr>
                <w:p w14:paraId="639EBD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17450.3649</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eastAsia" w:cs="Times New Roman"/>
                      <w:color w:val="auto"/>
                      <w:sz w:val="21"/>
                      <w:szCs w:val="21"/>
                      <w:highlight w:val="none"/>
                      <w:lang w:val="en-US" w:eastAsia="zh-CN"/>
                    </w:rPr>
                    <w:t>4188.0876</w:t>
                  </w:r>
                  <w:r>
                    <w:rPr>
                      <w:rFonts w:hint="default" w:ascii="Times New Roman" w:hAnsi="Times New Roman" w:eastAsia="宋体" w:cs="Times New Roman"/>
                      <w:color w:val="auto"/>
                      <w:sz w:val="21"/>
                      <w:szCs w:val="21"/>
                      <w:highlight w:val="none"/>
                      <w:lang w:val="en-US" w:eastAsia="zh-CN"/>
                    </w:rPr>
                    <w:t>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14:paraId="1704FBE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dxa"/>
                  <w:vMerge w:val="continue"/>
                  <w:tcBorders>
                    <w:tl2br w:val="nil"/>
                    <w:tr2bl w:val="nil"/>
                  </w:tcBorders>
                  <w:noWrap w:val="0"/>
                  <w:vAlign w:val="center"/>
                </w:tcPr>
                <w:p w14:paraId="6EACCC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705AA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88" w:type="dxa"/>
                  <w:tcBorders>
                    <w:tl2br w:val="nil"/>
                    <w:tr2bl w:val="nil"/>
                  </w:tcBorders>
                  <w:noWrap w:val="0"/>
                  <w:vAlign w:val="center"/>
                </w:tcPr>
                <w:p w14:paraId="5F0140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879" w:type="dxa"/>
                  <w:tcBorders>
                    <w:tl2br w:val="nil"/>
                    <w:tr2bl w:val="nil"/>
                  </w:tcBorders>
                  <w:noWrap w:val="0"/>
                  <w:vAlign w:val="center"/>
                </w:tcPr>
                <w:p w14:paraId="467F684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3.3558</w:t>
                  </w:r>
                </w:p>
              </w:tc>
              <w:tc>
                <w:tcPr>
                  <w:tcW w:w="941" w:type="dxa"/>
                  <w:tcBorders>
                    <w:tl2br w:val="nil"/>
                    <w:tr2bl w:val="nil"/>
                  </w:tcBorders>
                  <w:noWrap w:val="0"/>
                  <w:vAlign w:val="center"/>
                </w:tcPr>
                <w:p w14:paraId="569346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1.3983</w:t>
                  </w:r>
                </w:p>
              </w:tc>
              <w:tc>
                <w:tcPr>
                  <w:tcW w:w="1061" w:type="dxa"/>
                  <w:tcBorders>
                    <w:tl2br w:val="nil"/>
                    <w:tr2bl w:val="nil"/>
                  </w:tcBorders>
                  <w:noWrap w:val="0"/>
                  <w:vAlign w:val="center"/>
                </w:tcPr>
                <w:p w14:paraId="0C555D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80.13</w:t>
                  </w:r>
                </w:p>
              </w:tc>
              <w:tc>
                <w:tcPr>
                  <w:tcW w:w="891" w:type="dxa"/>
                  <w:tcBorders>
                    <w:tl2br w:val="nil"/>
                    <w:tr2bl w:val="nil"/>
                  </w:tcBorders>
                  <w:noWrap w:val="0"/>
                  <w:vAlign w:val="center"/>
                </w:tcPr>
                <w:p w14:paraId="14DE7E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1678</w:t>
                  </w:r>
                </w:p>
              </w:tc>
              <w:tc>
                <w:tcPr>
                  <w:tcW w:w="881" w:type="dxa"/>
                  <w:tcBorders>
                    <w:tl2br w:val="nil"/>
                    <w:tr2bl w:val="nil"/>
                  </w:tcBorders>
                  <w:noWrap w:val="0"/>
                  <w:vAlign w:val="center"/>
                </w:tcPr>
                <w:p w14:paraId="74F89BD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699</w:t>
                  </w:r>
                </w:p>
              </w:tc>
              <w:tc>
                <w:tcPr>
                  <w:tcW w:w="1047" w:type="dxa"/>
                  <w:tcBorders>
                    <w:tl2br w:val="nil"/>
                    <w:tr2bl w:val="nil"/>
                  </w:tcBorders>
                  <w:noWrap w:val="0"/>
                  <w:vAlign w:val="center"/>
                </w:tcPr>
                <w:p w14:paraId="0A8D46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4.01</w:t>
                  </w:r>
                </w:p>
              </w:tc>
            </w:tr>
            <w:tr w14:paraId="77F58B7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23" w:type="dxa"/>
                  <w:vMerge w:val="continue"/>
                  <w:tcBorders>
                    <w:tl2br w:val="nil"/>
                    <w:tr2bl w:val="nil"/>
                  </w:tcBorders>
                  <w:noWrap w:val="0"/>
                  <w:vAlign w:val="center"/>
                </w:tcPr>
                <w:p w14:paraId="39DDB1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33335E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88" w:type="dxa"/>
                  <w:tcBorders>
                    <w:tl2br w:val="nil"/>
                    <w:tr2bl w:val="nil"/>
                  </w:tcBorders>
                  <w:noWrap w:val="0"/>
                  <w:vAlign w:val="center"/>
                </w:tcPr>
                <w:p w14:paraId="22792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879" w:type="dxa"/>
                  <w:tcBorders>
                    <w:tl2br w:val="nil"/>
                    <w:tr2bl w:val="nil"/>
                  </w:tcBorders>
                  <w:noWrap w:val="0"/>
                  <w:vAlign w:val="center"/>
                </w:tcPr>
                <w:p w14:paraId="13BE60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5.7049</w:t>
                  </w:r>
                </w:p>
              </w:tc>
              <w:tc>
                <w:tcPr>
                  <w:tcW w:w="941" w:type="dxa"/>
                  <w:tcBorders>
                    <w:tl2br w:val="nil"/>
                    <w:tr2bl w:val="nil"/>
                  </w:tcBorders>
                  <w:noWrap w:val="0"/>
                  <w:vAlign w:val="center"/>
                </w:tcPr>
                <w:p w14:paraId="2E7915B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2.3771</w:t>
                  </w:r>
                </w:p>
              </w:tc>
              <w:tc>
                <w:tcPr>
                  <w:tcW w:w="1061" w:type="dxa"/>
                  <w:tcBorders>
                    <w:tl2br w:val="nil"/>
                    <w:tr2bl w:val="nil"/>
                  </w:tcBorders>
                  <w:noWrap w:val="0"/>
                  <w:vAlign w:val="center"/>
                </w:tcPr>
                <w:p w14:paraId="38244A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136.2</w:t>
                  </w:r>
                  <w:r>
                    <w:rPr>
                      <w:rFonts w:hint="eastAsia" w:cs="Times New Roman"/>
                      <w:i w:val="0"/>
                      <w:iCs w:val="0"/>
                      <w:color w:val="auto"/>
                      <w:kern w:val="0"/>
                      <w:sz w:val="21"/>
                      <w:szCs w:val="21"/>
                      <w:u w:val="none"/>
                      <w:lang w:val="en-US" w:eastAsia="zh-CN" w:bidi="ar"/>
                    </w:rPr>
                    <w:t>2</w:t>
                  </w:r>
                </w:p>
              </w:tc>
              <w:tc>
                <w:tcPr>
                  <w:tcW w:w="891" w:type="dxa"/>
                  <w:tcBorders>
                    <w:tl2br w:val="nil"/>
                    <w:tr2bl w:val="nil"/>
                  </w:tcBorders>
                  <w:noWrap w:val="0"/>
                  <w:vAlign w:val="center"/>
                </w:tcPr>
                <w:p w14:paraId="6A0F56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5.7049</w:t>
                  </w:r>
                </w:p>
              </w:tc>
              <w:tc>
                <w:tcPr>
                  <w:tcW w:w="881" w:type="dxa"/>
                  <w:tcBorders>
                    <w:tl2br w:val="nil"/>
                    <w:tr2bl w:val="nil"/>
                  </w:tcBorders>
                  <w:noWrap w:val="0"/>
                  <w:vAlign w:val="center"/>
                </w:tcPr>
                <w:p w14:paraId="4A487B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2.3771</w:t>
                  </w:r>
                </w:p>
              </w:tc>
              <w:tc>
                <w:tcPr>
                  <w:tcW w:w="1047" w:type="dxa"/>
                  <w:tcBorders>
                    <w:tl2br w:val="nil"/>
                    <w:tr2bl w:val="nil"/>
                  </w:tcBorders>
                  <w:noWrap w:val="0"/>
                  <w:vAlign w:val="center"/>
                </w:tcPr>
                <w:p w14:paraId="43AF5C0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136.2</w:t>
                  </w:r>
                  <w:r>
                    <w:rPr>
                      <w:rFonts w:hint="eastAsia" w:cs="Times New Roman"/>
                      <w:i w:val="0"/>
                      <w:iCs w:val="0"/>
                      <w:color w:val="auto"/>
                      <w:kern w:val="0"/>
                      <w:sz w:val="21"/>
                      <w:szCs w:val="21"/>
                      <w:u w:val="none"/>
                      <w:lang w:val="en-US" w:eastAsia="zh-CN" w:bidi="ar"/>
                    </w:rPr>
                    <w:t>2</w:t>
                  </w:r>
                </w:p>
              </w:tc>
            </w:tr>
            <w:tr w14:paraId="5702E3E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3" w:type="dxa"/>
                  <w:vMerge w:val="continue"/>
                  <w:tcBorders>
                    <w:tl2br w:val="nil"/>
                    <w:tr2bl w:val="nil"/>
                  </w:tcBorders>
                  <w:noWrap w:val="0"/>
                  <w:vAlign w:val="center"/>
                </w:tcPr>
                <w:p w14:paraId="070B34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11" w:type="dxa"/>
                  <w:vMerge w:val="continue"/>
                  <w:tcBorders>
                    <w:tl2br w:val="nil"/>
                    <w:tr2bl w:val="nil"/>
                  </w:tcBorders>
                  <w:noWrap w:val="0"/>
                  <w:vAlign w:val="center"/>
                </w:tcPr>
                <w:p w14:paraId="034E48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88" w:type="dxa"/>
                  <w:tcBorders>
                    <w:tl2br w:val="nil"/>
                    <w:tr2bl w:val="nil"/>
                  </w:tcBorders>
                  <w:noWrap w:val="0"/>
                  <w:vAlign w:val="center"/>
                </w:tcPr>
                <w:p w14:paraId="45BB40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879" w:type="dxa"/>
                  <w:tcBorders>
                    <w:tl2br w:val="nil"/>
                    <w:tr2bl w:val="nil"/>
                  </w:tcBorders>
                  <w:noWrap w:val="0"/>
                  <w:vAlign w:val="center"/>
                </w:tcPr>
                <w:p w14:paraId="538DF3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6.8459</w:t>
                  </w:r>
                </w:p>
              </w:tc>
              <w:tc>
                <w:tcPr>
                  <w:tcW w:w="941" w:type="dxa"/>
                  <w:tcBorders>
                    <w:tl2br w:val="nil"/>
                    <w:tr2bl w:val="nil"/>
                  </w:tcBorders>
                  <w:noWrap w:val="0"/>
                  <w:vAlign w:val="center"/>
                </w:tcPr>
                <w:p w14:paraId="2ECC94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2.8525</w:t>
                  </w:r>
                </w:p>
              </w:tc>
              <w:tc>
                <w:tcPr>
                  <w:tcW w:w="1061" w:type="dxa"/>
                  <w:tcBorders>
                    <w:tl2br w:val="nil"/>
                    <w:tr2bl w:val="nil"/>
                  </w:tcBorders>
                  <w:noWrap w:val="0"/>
                  <w:vAlign w:val="center"/>
                </w:tcPr>
                <w:p w14:paraId="4D7D93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163.46</w:t>
                  </w:r>
                </w:p>
              </w:tc>
              <w:tc>
                <w:tcPr>
                  <w:tcW w:w="891" w:type="dxa"/>
                  <w:tcBorders>
                    <w:tl2br w:val="nil"/>
                    <w:tr2bl w:val="nil"/>
                  </w:tcBorders>
                  <w:noWrap w:val="0"/>
                  <w:vAlign w:val="center"/>
                </w:tcPr>
                <w:p w14:paraId="7DA6DD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6.8459</w:t>
                  </w:r>
                </w:p>
              </w:tc>
              <w:tc>
                <w:tcPr>
                  <w:tcW w:w="881" w:type="dxa"/>
                  <w:tcBorders>
                    <w:tl2br w:val="nil"/>
                    <w:tr2bl w:val="nil"/>
                  </w:tcBorders>
                  <w:noWrap w:val="0"/>
                  <w:vAlign w:val="center"/>
                </w:tcPr>
                <w:p w14:paraId="72A0B78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2.8525</w:t>
                  </w:r>
                </w:p>
              </w:tc>
              <w:tc>
                <w:tcPr>
                  <w:tcW w:w="1047" w:type="dxa"/>
                  <w:tcBorders>
                    <w:tl2br w:val="nil"/>
                    <w:tr2bl w:val="nil"/>
                  </w:tcBorders>
                  <w:noWrap w:val="0"/>
                  <w:vAlign w:val="center"/>
                </w:tcPr>
                <w:p w14:paraId="6E61626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163.46</w:t>
                  </w:r>
                </w:p>
              </w:tc>
            </w:tr>
            <w:tr w14:paraId="2A840A2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9"/>
                  <w:tcBorders>
                    <w:tl2br w:val="nil"/>
                    <w:tr2bl w:val="nil"/>
                  </w:tcBorders>
                  <w:noWrap w:val="0"/>
                  <w:vAlign w:val="center"/>
                </w:tcPr>
                <w:p w14:paraId="52FC7E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tc>
            </w:tr>
          </w:tbl>
          <w:p w14:paraId="31B3301D">
            <w:pPr>
              <w:pStyle w:val="15"/>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en-US" w:eastAsia="zh-CN"/>
              </w:rPr>
              <w:t>由上表可见，</w:t>
            </w:r>
            <w:r>
              <w:rPr>
                <w:rFonts w:hint="default" w:ascii="Times New Roman" w:hAnsi="Times New Roman" w:eastAsia="宋体" w:cs="Times New Roman"/>
                <w:color w:val="auto"/>
                <w:sz w:val="24"/>
                <w:szCs w:val="24"/>
                <w:lang w:eastAsia="zh-CN"/>
              </w:rPr>
              <w:t>本项目生物质</w:t>
            </w:r>
            <w:r>
              <w:rPr>
                <w:rFonts w:hint="eastAsia" w:ascii="Times New Roman" w:hAnsi="Times New Roman" w:cs="Times New Roman"/>
                <w:color w:val="auto"/>
                <w:sz w:val="24"/>
                <w:szCs w:val="24"/>
                <w:lang w:val="en-US" w:eastAsia="zh-CN"/>
              </w:rPr>
              <w:t>燃料</w:t>
            </w:r>
            <w:r>
              <w:rPr>
                <w:rFonts w:hint="default" w:ascii="Times New Roman" w:hAnsi="Times New Roman" w:eastAsia="宋体" w:cs="Times New Roman"/>
                <w:color w:val="auto"/>
                <w:sz w:val="24"/>
                <w:szCs w:val="24"/>
                <w:lang w:eastAsia="zh-CN"/>
              </w:rPr>
              <w:t>燃烧废气</w:t>
            </w:r>
            <w:r>
              <w:rPr>
                <w:rFonts w:hint="default" w:ascii="Times New Roman" w:hAnsi="Times New Roman" w:eastAsia="宋体" w:cs="Times New Roman"/>
                <w:color w:val="auto"/>
                <w:sz w:val="24"/>
                <w:szCs w:val="24"/>
                <w:highlight w:val="none"/>
                <w:lang w:val="en-US" w:eastAsia="zh-CN"/>
              </w:rPr>
              <w:t>共同经1套</w:t>
            </w:r>
            <w:r>
              <w:rPr>
                <w:rFonts w:hint="default" w:ascii="Times New Roman" w:hAnsi="Times New Roman" w:eastAsia="宋体" w:cs="Times New Roman"/>
                <w:color w:val="auto"/>
                <w:sz w:val="24"/>
                <w:szCs w:val="24"/>
                <w:lang w:val="en-US" w:eastAsia="zh-CN"/>
              </w:rPr>
              <w:t>“高温布袋除尘器”处理后</w:t>
            </w:r>
            <w:r>
              <w:rPr>
                <w:rFonts w:hint="default" w:ascii="Times New Roman" w:hAnsi="Times New Roman" w:eastAsia="宋体" w:cs="Times New Roman"/>
                <w:color w:val="auto"/>
                <w:sz w:val="24"/>
                <w:szCs w:val="24"/>
                <w:lang w:eastAsia="zh-CN"/>
              </w:rPr>
              <w:t>各污染物排放浓度</w:t>
            </w:r>
            <w:r>
              <w:rPr>
                <w:rFonts w:hint="default" w:ascii="Times New Roman" w:hAnsi="Times New Roman" w:eastAsia="宋体" w:cs="Times New Roman"/>
                <w:color w:val="auto"/>
                <w:sz w:val="24"/>
                <w:szCs w:val="24"/>
                <w:lang w:val="en-US" w:eastAsia="zh-CN"/>
              </w:rPr>
              <w:t>均能满足</w:t>
            </w:r>
            <w:r>
              <w:rPr>
                <w:rFonts w:hint="default" w:ascii="Times New Roman" w:hAnsi="Times New Roman" w:eastAsia="宋体" w:cs="Times New Roman"/>
                <w:color w:val="auto"/>
                <w:sz w:val="24"/>
              </w:rPr>
              <w:t>《锅炉大气污染物排放标准》（GB13271-2014）表2新建锅炉大气污染物排放浓度限值中</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锅炉排放控制要求</w:t>
            </w:r>
            <w:r>
              <w:rPr>
                <w:rFonts w:hint="default" w:ascii="Times New Roman" w:hAnsi="Times New Roman" w:eastAsia="宋体" w:cs="Times New Roman"/>
                <w:color w:val="auto"/>
                <w:spacing w:val="-6"/>
                <w:sz w:val="24"/>
                <w:szCs w:val="24"/>
                <w:lang w:eastAsia="zh-CN"/>
              </w:rPr>
              <w:t>，能够达标排放。</w:t>
            </w:r>
          </w:p>
          <w:p w14:paraId="21C9A23D">
            <w:pPr>
              <w:pStyle w:val="25"/>
              <w:adjustRightInd w:val="0"/>
              <w:snapToGrid w:val="0"/>
              <w:spacing w:after="0" w:line="360" w:lineRule="auto"/>
              <w:ind w:left="0" w:leftChars="0" w:firstLine="482"/>
              <w:rPr>
                <w:rFonts w:hint="eastAsia" w:eastAsia="宋体"/>
                <w:b/>
                <w:bCs/>
                <w:color w:val="auto"/>
                <w:sz w:val="24"/>
                <w:szCs w:val="24"/>
                <w:lang w:eastAsia="zh-CN"/>
              </w:rPr>
            </w:pPr>
            <w:r>
              <w:rPr>
                <w:rFonts w:hint="default" w:ascii="Times New Roman" w:hAnsi="Times New Roman" w:eastAsia="宋体" w:cs="Times New Roman"/>
                <w:b/>
                <w:bCs/>
                <w:color w:val="auto"/>
                <w:sz w:val="24"/>
                <w:szCs w:val="24"/>
                <w:highlight w:val="none"/>
                <w:lang w:val="en-US" w:eastAsia="zh-CN"/>
              </w:rPr>
              <w:t>②</w:t>
            </w:r>
            <w:r>
              <w:rPr>
                <w:rFonts w:hint="eastAsia"/>
                <w:b/>
                <w:bCs/>
                <w:color w:val="auto"/>
                <w:sz w:val="24"/>
                <w:szCs w:val="24"/>
              </w:rPr>
              <w:t>熔炼废气</w:t>
            </w:r>
          </w:p>
          <w:p w14:paraId="110DE73B">
            <w:pPr>
              <w:pStyle w:val="25"/>
              <w:adjustRightInd w:val="0"/>
              <w:snapToGrid w:val="0"/>
              <w:spacing w:after="0" w:line="360" w:lineRule="auto"/>
              <w:ind w:left="0" w:leftChars="0" w:firstLine="482"/>
              <w:rPr>
                <w:rFonts w:hint="eastAsia"/>
                <w:color w:val="auto"/>
                <w:sz w:val="24"/>
              </w:rPr>
            </w:pPr>
            <w:r>
              <w:rPr>
                <w:rFonts w:hint="eastAsia"/>
                <w:b/>
                <w:bCs/>
                <w:color w:val="auto"/>
                <w:sz w:val="24"/>
                <w:szCs w:val="24"/>
                <w:lang w:val="en-US" w:eastAsia="zh-CN"/>
              </w:rPr>
              <w:t>A：</w:t>
            </w:r>
            <w:r>
              <w:rPr>
                <w:rFonts w:hint="eastAsia"/>
                <w:b/>
                <w:bCs/>
                <w:color w:val="auto"/>
                <w:sz w:val="24"/>
                <w:szCs w:val="24"/>
                <w:lang w:eastAsia="zh-CN"/>
              </w:rPr>
              <w:t>精炼牛油</w:t>
            </w:r>
          </w:p>
          <w:p w14:paraId="0467F197">
            <w:pPr>
              <w:spacing w:line="360" w:lineRule="auto"/>
              <w:ind w:firstLine="480" w:firstLineChars="200"/>
              <w:rPr>
                <w:rFonts w:hint="eastAsia"/>
                <w:color w:val="auto"/>
                <w:sz w:val="24"/>
              </w:rPr>
            </w:pPr>
            <w:r>
              <w:rPr>
                <w:rFonts w:hint="eastAsia"/>
                <w:color w:val="auto"/>
                <w:sz w:val="24"/>
              </w:rPr>
              <w:t>熬制温度控制在100~120℃，由于牛油的发烟点为190~220℃，因此，本项目熬制过程油脂不会分解，此过程产生的污染物主要为</w:t>
            </w:r>
            <w:r>
              <w:rPr>
                <w:rFonts w:hint="eastAsia"/>
                <w:color w:val="auto"/>
                <w:sz w:val="24"/>
                <w:lang w:eastAsia="zh-CN"/>
              </w:rPr>
              <w:t>油烟、非甲烷总烃</w:t>
            </w:r>
            <w:r>
              <w:rPr>
                <w:rFonts w:hint="eastAsia"/>
                <w:color w:val="auto"/>
                <w:sz w:val="24"/>
              </w:rPr>
              <w:t>、</w:t>
            </w:r>
            <w:r>
              <w:rPr>
                <w:rFonts w:hint="eastAsia"/>
                <w:color w:val="auto"/>
                <w:sz w:val="24"/>
                <w:lang w:eastAsia="zh-CN"/>
              </w:rPr>
              <w:t>水蒸气</w:t>
            </w:r>
            <w:r>
              <w:rPr>
                <w:rFonts w:hint="eastAsia"/>
                <w:color w:val="auto"/>
                <w:sz w:val="24"/>
              </w:rPr>
              <w:t>及脂肪酸异味。本项目</w:t>
            </w:r>
            <w:r>
              <w:rPr>
                <w:rFonts w:hint="eastAsia"/>
                <w:color w:val="auto"/>
                <w:sz w:val="24"/>
                <w:lang w:eastAsia="zh-CN"/>
              </w:rPr>
              <w:t>年产量</w:t>
            </w:r>
            <w:r>
              <w:rPr>
                <w:rFonts w:hint="eastAsia"/>
                <w:color w:val="auto"/>
                <w:sz w:val="24"/>
              </w:rPr>
              <w:t>为</w:t>
            </w:r>
            <w:r>
              <w:rPr>
                <w:rFonts w:hint="eastAsia"/>
                <w:color w:val="auto"/>
                <w:sz w:val="24"/>
                <w:lang w:val="en-US" w:eastAsia="zh-CN"/>
              </w:rPr>
              <w:t>4</w:t>
            </w:r>
            <w:r>
              <w:rPr>
                <w:rFonts w:hint="eastAsia"/>
                <w:color w:val="auto"/>
                <w:sz w:val="24"/>
              </w:rPr>
              <w:t>000t，类比同类企业《</w:t>
            </w:r>
            <w:r>
              <w:rPr>
                <w:rFonts w:hint="eastAsia"/>
                <w:color w:val="auto"/>
                <w:sz w:val="24"/>
                <w:szCs w:val="24"/>
              </w:rPr>
              <w:t>云南清正农业发展有限公司年加工精炼牛油80吨项目</w:t>
            </w:r>
            <w:r>
              <w:rPr>
                <w:rFonts w:hint="eastAsia"/>
                <w:color w:val="auto"/>
                <w:sz w:val="24"/>
              </w:rPr>
              <w:t>竣工环境保护验收监测表》</w:t>
            </w:r>
            <w:r>
              <w:rPr>
                <w:rFonts w:hint="eastAsia"/>
                <w:color w:val="auto"/>
                <w:sz w:val="24"/>
                <w:lang w:eastAsia="zh-CN"/>
              </w:rPr>
              <w:t>油烟</w:t>
            </w:r>
            <w:r>
              <w:rPr>
                <w:rFonts w:hint="eastAsia"/>
                <w:color w:val="auto"/>
                <w:sz w:val="24"/>
              </w:rPr>
              <w:t>产生量约为产品总量的0.3%，则本项目</w:t>
            </w:r>
            <w:r>
              <w:rPr>
                <w:rFonts w:hint="eastAsia"/>
                <w:color w:val="auto"/>
                <w:sz w:val="24"/>
                <w:lang w:eastAsia="zh-CN"/>
              </w:rPr>
              <w:t>油烟</w:t>
            </w:r>
            <w:r>
              <w:rPr>
                <w:rFonts w:hint="eastAsia"/>
                <w:color w:val="auto"/>
                <w:sz w:val="24"/>
              </w:rPr>
              <w:t>产生总量为1</w:t>
            </w:r>
            <w:r>
              <w:rPr>
                <w:rFonts w:hint="eastAsia"/>
                <w:color w:val="auto"/>
                <w:sz w:val="24"/>
                <w:lang w:val="en-US" w:eastAsia="zh-CN"/>
              </w:rPr>
              <w:t>2</w:t>
            </w:r>
            <w:r>
              <w:rPr>
                <w:rFonts w:hint="eastAsia"/>
                <w:color w:val="auto"/>
                <w:sz w:val="24"/>
              </w:rPr>
              <w:t>t/a。</w:t>
            </w:r>
          </w:p>
          <w:p w14:paraId="17B603E6">
            <w:pPr>
              <w:spacing w:line="360" w:lineRule="auto"/>
              <w:ind w:firstLine="480" w:firstLineChars="200"/>
              <w:rPr>
                <w:rFonts w:hint="eastAsia"/>
                <w:color w:val="auto"/>
                <w:sz w:val="24"/>
              </w:rPr>
            </w:pPr>
            <w:r>
              <w:rPr>
                <w:rFonts w:hint="eastAsia" w:ascii="Times New Roman" w:hAnsi="Times New Roman" w:eastAsia="宋体" w:cs="Times New Roman"/>
                <w:color w:val="auto"/>
                <w:sz w:val="24"/>
                <w:szCs w:val="24"/>
                <w:lang w:val="en-US" w:eastAsia="zh-CN"/>
              </w:rPr>
              <w:t>参考《排放源统计调查产排污核算方法和系数手册》（生态环境部公告</w:t>
            </w:r>
            <w:r>
              <w:rPr>
                <w:rFonts w:hint="default" w:ascii="Times New Roman" w:hAnsi="Times New Roman" w:eastAsia="宋体" w:cs="Times New Roman"/>
                <w:color w:val="auto"/>
                <w:sz w:val="24"/>
                <w:szCs w:val="24"/>
                <w:lang w:val="en-US" w:eastAsia="zh-CN"/>
              </w:rPr>
              <w:t>2021</w:t>
            </w:r>
            <w:r>
              <w:rPr>
                <w:rFonts w:hint="eastAsia" w:ascii="Times New Roman" w:hAnsi="Times New Roman" w:eastAsia="宋体" w:cs="Times New Roman"/>
                <w:color w:val="auto"/>
                <w:sz w:val="24"/>
                <w:szCs w:val="24"/>
                <w:lang w:val="en-US" w:eastAsia="zh-CN"/>
              </w:rPr>
              <w:t>年第</w:t>
            </w:r>
            <w:r>
              <w:rPr>
                <w:rFonts w:hint="default" w:ascii="Times New Roman" w:hAnsi="Times New Roman" w:eastAsia="宋体" w:cs="Times New Roman"/>
                <w:color w:val="auto"/>
                <w:sz w:val="24"/>
                <w:szCs w:val="24"/>
                <w:lang w:val="en-US" w:eastAsia="zh-CN"/>
              </w:rPr>
              <w:t>24</w:t>
            </w:r>
            <w:r>
              <w:rPr>
                <w:rFonts w:hint="eastAsia" w:ascii="Times New Roman" w:hAnsi="Times New Roman" w:eastAsia="宋体" w:cs="Times New Roman"/>
                <w:color w:val="auto"/>
                <w:sz w:val="24"/>
                <w:szCs w:val="24"/>
                <w:lang w:val="en-US" w:eastAsia="zh-CN"/>
              </w:rPr>
              <w:t>号）中</w:t>
            </w:r>
            <w:r>
              <w:rPr>
                <w:rFonts w:hint="default" w:ascii="Times New Roman" w:hAnsi="Times New Roman" w:eastAsia="宋体" w:cs="Times New Roman"/>
                <w:color w:val="auto"/>
                <w:sz w:val="24"/>
                <w:szCs w:val="24"/>
                <w:lang w:val="en-US" w:eastAsia="zh-CN"/>
              </w:rPr>
              <w:t>135</w:t>
            </w:r>
            <w:r>
              <w:rPr>
                <w:rFonts w:hint="eastAsia" w:ascii="Times New Roman" w:hAnsi="Times New Roman" w:eastAsia="宋体" w:cs="Times New Roman"/>
                <w:color w:val="auto"/>
                <w:sz w:val="24"/>
                <w:szCs w:val="24"/>
                <w:lang w:val="en-US" w:eastAsia="zh-CN"/>
              </w:rPr>
              <w:t>屠宰及肉类加工行业系数手册</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干炸肉制品产污系数，挥发性有机物产生系数为</w:t>
            </w:r>
            <w:r>
              <w:rPr>
                <w:rFonts w:hint="default" w:ascii="Times New Roman" w:hAnsi="Times New Roman" w:eastAsia="宋体"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克</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吨</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产品，项目年产精炼牛油4</w:t>
            </w:r>
            <w:r>
              <w:rPr>
                <w:rFonts w:hint="default" w:ascii="Times New Roman" w:hAnsi="Times New Roman" w:eastAsia="宋体" w:cs="Times New Roman"/>
                <w:color w:val="auto"/>
                <w:sz w:val="24"/>
                <w:szCs w:val="24"/>
                <w:lang w:val="en-US" w:eastAsia="zh-CN"/>
              </w:rPr>
              <w:t>000t</w:t>
            </w:r>
            <w:r>
              <w:rPr>
                <w:rFonts w:hint="eastAsia" w:ascii="Times New Roman" w:hAnsi="Times New Roman" w:eastAsia="宋体" w:cs="Times New Roman"/>
                <w:color w:val="auto"/>
                <w:sz w:val="24"/>
                <w:szCs w:val="24"/>
                <w:lang w:val="en-US" w:eastAsia="zh-CN"/>
              </w:rPr>
              <w:t>，则本项目</w:t>
            </w:r>
            <w:r>
              <w:rPr>
                <w:color w:val="auto"/>
                <w:sz w:val="24"/>
              </w:rPr>
              <w:t>VOC</w:t>
            </w:r>
            <w:r>
              <w:rPr>
                <w:color w:val="auto"/>
                <w:sz w:val="24"/>
                <w:vertAlign w:val="subscript"/>
              </w:rPr>
              <w:t>S</w:t>
            </w:r>
            <w:r>
              <w:rPr>
                <w:rFonts w:hint="eastAsia"/>
                <w:color w:val="auto"/>
                <w:sz w:val="24"/>
              </w:rPr>
              <w:t>（以非甲烷总烃计）</w:t>
            </w:r>
            <w:r>
              <w:rPr>
                <w:rFonts w:hint="eastAsia" w:ascii="Times New Roman" w:hAnsi="Times New Roman" w:eastAsia="宋体" w:cs="Times New Roman"/>
                <w:color w:val="auto"/>
                <w:sz w:val="24"/>
                <w:szCs w:val="24"/>
                <w:lang w:val="en-US" w:eastAsia="zh-CN"/>
              </w:rPr>
              <w:t>产生量为0.8t/a。</w:t>
            </w:r>
          </w:p>
          <w:p w14:paraId="07D498C8">
            <w:pPr>
              <w:spacing w:line="360" w:lineRule="auto"/>
              <w:ind w:firstLine="480" w:firstLineChars="200"/>
              <w:rPr>
                <w:rFonts w:hint="default" w:eastAsia="宋体"/>
                <w:color w:val="auto"/>
                <w:lang w:val="en-US" w:eastAsia="zh-CN"/>
              </w:rPr>
            </w:pPr>
            <w:r>
              <w:rPr>
                <w:rFonts w:hint="eastAsia"/>
                <w:color w:val="auto"/>
                <w:sz w:val="24"/>
              </w:rPr>
              <w:t>本项目熔炼锅为全封闭式。项目采用水喷射式真空喷射泵提供真空，使系统产生负压，熬制过程产生的</w:t>
            </w:r>
            <w:r>
              <w:rPr>
                <w:rFonts w:hint="eastAsia"/>
                <w:color w:val="auto"/>
                <w:sz w:val="24"/>
                <w:lang w:eastAsia="zh-CN"/>
              </w:rPr>
              <w:t>油烟及水蒸气</w:t>
            </w:r>
            <w:r>
              <w:rPr>
                <w:rFonts w:hint="eastAsia"/>
                <w:color w:val="auto"/>
                <w:sz w:val="24"/>
              </w:rPr>
              <w:t>经</w:t>
            </w:r>
            <w:r>
              <w:rPr>
                <w:rFonts w:hint="eastAsia"/>
                <w:color w:val="auto"/>
                <w:sz w:val="24"/>
                <w:lang w:eastAsia="zh-CN"/>
              </w:rPr>
              <w:t>油气</w:t>
            </w:r>
            <w:r>
              <w:rPr>
                <w:rFonts w:hint="eastAsia"/>
                <w:color w:val="auto"/>
                <w:sz w:val="24"/>
              </w:rPr>
              <w:t>分离器快速进行油气分离，90%的油脂被回收至生产线中，含油</w:t>
            </w:r>
            <w:r>
              <w:rPr>
                <w:rFonts w:hint="eastAsia"/>
                <w:color w:val="auto"/>
                <w:sz w:val="24"/>
                <w:lang w:eastAsia="zh-CN"/>
              </w:rPr>
              <w:t>水蒸气</w:t>
            </w:r>
            <w:r>
              <w:rPr>
                <w:rFonts w:hint="eastAsia"/>
                <w:color w:val="auto"/>
                <w:sz w:val="24"/>
              </w:rPr>
              <w:t>继续经冷凝系统处理，该系统配套冷凝器，</w:t>
            </w:r>
            <w:r>
              <w:rPr>
                <w:rFonts w:hint="eastAsia"/>
                <w:color w:val="auto"/>
                <w:sz w:val="24"/>
                <w:lang w:eastAsia="zh-CN"/>
              </w:rPr>
              <w:t>含油水蒸气</w:t>
            </w:r>
            <w:r>
              <w:rPr>
                <w:rFonts w:hint="eastAsia"/>
                <w:color w:val="auto"/>
                <w:sz w:val="24"/>
              </w:rPr>
              <w:t>在冷却水的间接冷却下冷凝成射水式真空系统废水（此部分废水已列入真空泵机组用水项目计算，</w:t>
            </w:r>
            <w:r>
              <w:rPr>
                <w:rFonts w:hint="eastAsia"/>
                <w:color w:val="auto"/>
                <w:sz w:val="24"/>
                <w:lang w:eastAsia="zh-CN"/>
              </w:rPr>
              <w:t>不再</w:t>
            </w:r>
            <w:r>
              <w:rPr>
                <w:rFonts w:hint="eastAsia"/>
                <w:color w:val="auto"/>
                <w:sz w:val="24"/>
              </w:rPr>
              <w:t>单独计算），最终排入项目废水处理系统进行处理。</w:t>
            </w:r>
            <w:r>
              <w:rPr>
                <w:rFonts w:hint="eastAsia" w:ascii="Times New Roman" w:hAnsi="Times New Roman" w:eastAsia="宋体" w:cs="Times New Roman"/>
                <w:color w:val="auto"/>
                <w:sz w:val="24"/>
                <w:lang w:eastAsia="zh-CN"/>
              </w:rPr>
              <w:t>冷凝系统处理后的油烟</w:t>
            </w:r>
            <w:r>
              <w:rPr>
                <w:rFonts w:hint="eastAsia" w:ascii="Times New Roman" w:hAnsi="Times New Roman" w:eastAsia="宋体" w:cs="Times New Roman"/>
                <w:color w:val="auto"/>
                <w:sz w:val="24"/>
              </w:rPr>
              <w:t>进入油烟</w:t>
            </w:r>
            <w:r>
              <w:rPr>
                <w:rFonts w:hint="eastAsia" w:ascii="Times New Roman" w:hAnsi="Times New Roman" w:eastAsia="宋体" w:cs="Times New Roman"/>
                <w:color w:val="auto"/>
                <w:sz w:val="24"/>
                <w:lang w:eastAsia="zh-CN"/>
              </w:rPr>
              <w:t>处理设施</w:t>
            </w:r>
            <w:r>
              <w:rPr>
                <w:rFonts w:hint="eastAsia" w:ascii="Times New Roman" w:hAnsi="Times New Roman" w:eastAsia="宋体" w:cs="Times New Roman"/>
                <w:color w:val="auto"/>
                <w:sz w:val="24"/>
              </w:rPr>
              <w:t>进一步去除，</w:t>
            </w:r>
            <w:r>
              <w:rPr>
                <w:rFonts w:hint="eastAsia" w:ascii="Times New Roman" w:hAnsi="Times New Roman" w:eastAsia="宋体" w:cs="Times New Roman"/>
                <w:color w:val="auto"/>
                <w:sz w:val="24"/>
                <w:lang w:val="zh-CN"/>
              </w:rPr>
              <w:t>冷凝系统</w:t>
            </w:r>
            <w:r>
              <w:rPr>
                <w:rFonts w:hint="eastAsia" w:ascii="Times New Roman" w:hAnsi="Times New Roman" w:eastAsia="宋体" w:cs="Times New Roman"/>
                <w:color w:val="auto"/>
                <w:sz w:val="24"/>
                <w:lang w:eastAsia="zh-CN"/>
              </w:rPr>
              <w:t>及</w:t>
            </w:r>
            <w:r>
              <w:rPr>
                <w:rFonts w:hint="eastAsia" w:ascii="Times New Roman" w:hAnsi="Times New Roman" w:eastAsia="宋体" w:cs="Times New Roman"/>
                <w:color w:val="auto"/>
                <w:sz w:val="24"/>
              </w:rPr>
              <w:t>油烟</w:t>
            </w:r>
            <w:r>
              <w:rPr>
                <w:rFonts w:hint="eastAsia" w:ascii="Times New Roman" w:hAnsi="Times New Roman" w:eastAsia="宋体" w:cs="Times New Roman"/>
                <w:color w:val="auto"/>
                <w:sz w:val="24"/>
                <w:lang w:eastAsia="zh-CN"/>
              </w:rPr>
              <w:t>处理设施合并去除效率约为</w:t>
            </w:r>
            <w:r>
              <w:rPr>
                <w:rFonts w:hint="eastAsia" w:ascii="Times New Roman" w:hAnsi="Times New Roman" w:eastAsia="宋体" w:cs="Times New Roman"/>
                <w:color w:val="auto"/>
                <w:sz w:val="24"/>
                <w:lang w:val="en-US" w:eastAsia="zh-CN"/>
              </w:rPr>
              <w:t>90%</w:t>
            </w:r>
            <w:r>
              <w:rPr>
                <w:rFonts w:hint="eastAsia" w:ascii="Times New Roman" w:hAnsi="Times New Roman" w:eastAsia="宋体" w:cs="Times New Roman"/>
                <w:color w:val="auto"/>
                <w:sz w:val="24"/>
              </w:rPr>
              <w:t>，</w:t>
            </w:r>
            <w:r>
              <w:rPr>
                <w:color w:val="auto"/>
                <w:sz w:val="24"/>
              </w:rPr>
              <w:t>VOC</w:t>
            </w:r>
            <w:r>
              <w:rPr>
                <w:color w:val="auto"/>
                <w:sz w:val="24"/>
                <w:vertAlign w:val="subscript"/>
              </w:rPr>
              <w:t>S</w:t>
            </w:r>
            <w:r>
              <w:rPr>
                <w:rFonts w:hint="eastAsia"/>
                <w:color w:val="auto"/>
                <w:sz w:val="24"/>
              </w:rPr>
              <w:t>（以非甲烷总烃计）</w:t>
            </w:r>
            <w:r>
              <w:rPr>
                <w:rFonts w:hint="eastAsia"/>
                <w:color w:val="auto"/>
                <w:sz w:val="24"/>
                <w:lang w:eastAsia="zh-CN"/>
              </w:rPr>
              <w:t>进入活性炭装置处理，去除效率为</w:t>
            </w:r>
            <w:r>
              <w:rPr>
                <w:rFonts w:hint="eastAsia"/>
                <w:color w:val="auto"/>
                <w:sz w:val="24"/>
                <w:lang w:val="en-US" w:eastAsia="zh-CN"/>
              </w:rPr>
              <w:t>80%，</w:t>
            </w:r>
            <w:r>
              <w:rPr>
                <w:rFonts w:hint="eastAsia"/>
                <w:color w:val="auto"/>
                <w:sz w:val="24"/>
              </w:rPr>
              <w:t>剩余废气经排气筒（DA00</w:t>
            </w:r>
            <w:r>
              <w:rPr>
                <w:rFonts w:hint="eastAsia"/>
                <w:color w:val="auto"/>
                <w:sz w:val="24"/>
                <w:lang w:val="en-US" w:eastAsia="zh-CN"/>
              </w:rPr>
              <w:t>2</w:t>
            </w:r>
            <w:r>
              <w:rPr>
                <w:rFonts w:hint="eastAsia"/>
                <w:color w:val="auto"/>
                <w:sz w:val="24"/>
              </w:rPr>
              <w:t>）排放</w:t>
            </w:r>
            <w:r>
              <w:rPr>
                <w:rFonts w:hint="eastAsia"/>
                <w:color w:val="auto"/>
                <w:sz w:val="24"/>
                <w:lang w:eastAsia="zh-CN"/>
              </w:rPr>
              <w:t>，</w:t>
            </w:r>
            <w:r>
              <w:rPr>
                <w:rFonts w:hint="eastAsia"/>
                <w:color w:val="auto"/>
                <w:sz w:val="24"/>
              </w:rPr>
              <w:t>风机风量为</w:t>
            </w:r>
            <w:r>
              <w:rPr>
                <w:rFonts w:hint="eastAsia"/>
                <w:color w:val="auto"/>
                <w:sz w:val="24"/>
                <w:lang w:val="en-US" w:eastAsia="zh-CN"/>
              </w:rPr>
              <w:t>30</w:t>
            </w:r>
            <w:r>
              <w:rPr>
                <w:rFonts w:hint="eastAsia"/>
                <w:color w:val="auto"/>
                <w:sz w:val="24"/>
              </w:rPr>
              <w:t>000m</w:t>
            </w:r>
            <w:r>
              <w:rPr>
                <w:rFonts w:hint="eastAsia"/>
                <w:color w:val="auto"/>
                <w:sz w:val="24"/>
                <w:vertAlign w:val="superscript"/>
              </w:rPr>
              <w:t>3</w:t>
            </w:r>
            <w:r>
              <w:rPr>
                <w:rFonts w:hint="eastAsia"/>
                <w:color w:val="auto"/>
                <w:sz w:val="24"/>
              </w:rPr>
              <w:t>/h。故本项目</w:t>
            </w:r>
            <w:r>
              <w:rPr>
                <w:rFonts w:hint="eastAsia"/>
                <w:color w:val="auto"/>
                <w:sz w:val="24"/>
                <w:lang w:eastAsia="zh-CN"/>
              </w:rPr>
              <w:t>油烟</w:t>
            </w:r>
            <w:r>
              <w:rPr>
                <w:rFonts w:hint="eastAsia"/>
                <w:color w:val="auto"/>
                <w:sz w:val="24"/>
              </w:rPr>
              <w:t>排放量为</w:t>
            </w:r>
            <w:r>
              <w:rPr>
                <w:rFonts w:hint="eastAsia"/>
                <w:color w:val="auto"/>
                <w:sz w:val="24"/>
                <w:lang w:val="en-US" w:eastAsia="zh-CN"/>
              </w:rPr>
              <w:t>0.12</w:t>
            </w:r>
            <w:r>
              <w:rPr>
                <w:rFonts w:hint="eastAsia"/>
                <w:color w:val="auto"/>
                <w:sz w:val="24"/>
              </w:rPr>
              <w:t>t/a，排放速率为0.</w:t>
            </w:r>
            <w:r>
              <w:rPr>
                <w:rFonts w:hint="eastAsia"/>
                <w:color w:val="auto"/>
                <w:sz w:val="24"/>
                <w:lang w:val="en-US" w:eastAsia="zh-CN"/>
              </w:rPr>
              <w:t>05</w:t>
            </w:r>
            <w:r>
              <w:rPr>
                <w:rFonts w:hint="eastAsia"/>
                <w:color w:val="auto"/>
                <w:sz w:val="24"/>
              </w:rPr>
              <w:t>kg/h，排放浓度为1.</w:t>
            </w:r>
            <w:r>
              <w:rPr>
                <w:rFonts w:hint="eastAsia"/>
                <w:color w:val="auto"/>
                <w:sz w:val="24"/>
                <w:lang w:val="en-US" w:eastAsia="zh-CN"/>
              </w:rPr>
              <w:t>67</w:t>
            </w:r>
            <w:r>
              <w:rPr>
                <w:bCs/>
                <w:color w:val="auto"/>
                <w:spacing w:val="-10"/>
                <w:szCs w:val="21"/>
              </w:rPr>
              <w:t>mg/m</w:t>
            </w:r>
            <w:r>
              <w:rPr>
                <w:bCs/>
                <w:color w:val="auto"/>
                <w:spacing w:val="-10"/>
                <w:szCs w:val="21"/>
                <w:vertAlign w:val="superscript"/>
              </w:rPr>
              <w:t>3</w:t>
            </w:r>
            <w:r>
              <w:rPr>
                <w:rFonts w:hint="eastAsia"/>
                <w:bCs/>
                <w:color w:val="auto"/>
                <w:spacing w:val="-10"/>
                <w:szCs w:val="21"/>
                <w:lang w:eastAsia="zh-CN"/>
              </w:rPr>
              <w:t>；</w:t>
            </w:r>
            <w:r>
              <w:rPr>
                <w:color w:val="auto"/>
                <w:sz w:val="24"/>
              </w:rPr>
              <w:t>VOC</w:t>
            </w:r>
            <w:r>
              <w:rPr>
                <w:color w:val="auto"/>
                <w:sz w:val="24"/>
                <w:vertAlign w:val="subscript"/>
              </w:rPr>
              <w:t>S</w:t>
            </w:r>
            <w:r>
              <w:rPr>
                <w:rFonts w:hint="eastAsia"/>
                <w:color w:val="auto"/>
                <w:sz w:val="24"/>
              </w:rPr>
              <w:t>（以非甲烷总烃计）</w:t>
            </w:r>
            <w:r>
              <w:rPr>
                <w:rFonts w:hint="eastAsia" w:ascii="Times New Roman" w:hAnsi="Times New Roman" w:eastAsia="宋体" w:cs="Times New Roman"/>
                <w:color w:val="auto"/>
                <w:sz w:val="24"/>
                <w:lang w:eastAsia="zh-CN"/>
              </w:rPr>
              <w:t>排</w:t>
            </w:r>
            <w:r>
              <w:rPr>
                <w:rFonts w:hint="eastAsia"/>
                <w:color w:val="auto"/>
                <w:sz w:val="24"/>
              </w:rPr>
              <w:t>放量为0.</w:t>
            </w:r>
            <w:r>
              <w:rPr>
                <w:rFonts w:hint="eastAsia"/>
                <w:color w:val="auto"/>
                <w:sz w:val="24"/>
                <w:lang w:val="en-US" w:eastAsia="zh-CN"/>
              </w:rPr>
              <w:t>16</w:t>
            </w:r>
            <w:r>
              <w:rPr>
                <w:rFonts w:hint="eastAsia"/>
                <w:color w:val="auto"/>
                <w:sz w:val="24"/>
              </w:rPr>
              <w:t>t/a，排放速率为0.</w:t>
            </w:r>
            <w:r>
              <w:rPr>
                <w:rFonts w:hint="eastAsia"/>
                <w:color w:val="auto"/>
                <w:sz w:val="24"/>
                <w:lang w:val="en-US" w:eastAsia="zh-CN"/>
              </w:rPr>
              <w:t>0667</w:t>
            </w:r>
            <w:r>
              <w:rPr>
                <w:rFonts w:hint="eastAsia"/>
                <w:color w:val="auto"/>
                <w:sz w:val="24"/>
              </w:rPr>
              <w:t>kg/h，排放浓度为</w:t>
            </w:r>
            <w:r>
              <w:rPr>
                <w:rFonts w:hint="eastAsia"/>
                <w:color w:val="auto"/>
                <w:sz w:val="24"/>
                <w:lang w:val="en-US" w:eastAsia="zh-CN"/>
              </w:rPr>
              <w:t>2.22</w:t>
            </w:r>
            <w:r>
              <w:rPr>
                <w:bCs/>
                <w:color w:val="auto"/>
                <w:spacing w:val="-10"/>
                <w:szCs w:val="21"/>
              </w:rPr>
              <w:t>mg/m</w:t>
            </w:r>
            <w:r>
              <w:rPr>
                <w:bCs/>
                <w:color w:val="auto"/>
                <w:spacing w:val="-10"/>
                <w:szCs w:val="21"/>
                <w:vertAlign w:val="superscript"/>
              </w:rPr>
              <w:t>3</w:t>
            </w:r>
            <w:r>
              <w:rPr>
                <w:rFonts w:hint="eastAsia"/>
                <w:bCs/>
                <w:color w:val="auto"/>
                <w:spacing w:val="-10"/>
                <w:szCs w:val="21"/>
              </w:rPr>
              <w:t>。</w:t>
            </w:r>
          </w:p>
          <w:p w14:paraId="3C9885D8">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5</w:t>
            </w:r>
            <w:r>
              <w:rPr>
                <w:rFonts w:hint="eastAsia"/>
                <w:b/>
                <w:bCs/>
                <w:color w:val="auto"/>
                <w:szCs w:val="21"/>
              </w:rPr>
              <w:t xml:space="preserve"> </w:t>
            </w:r>
            <w:r>
              <w:rPr>
                <w:rFonts w:hint="eastAsia"/>
                <w:b/>
                <w:bCs/>
                <w:color w:val="auto"/>
                <w:szCs w:val="21"/>
                <w:lang w:val="en-US" w:eastAsia="zh-CN"/>
              </w:rPr>
              <w:t xml:space="preserve"> 精炼牛油</w:t>
            </w:r>
            <w:r>
              <w:rPr>
                <w:rFonts w:hint="eastAsia"/>
                <w:b/>
                <w:bCs/>
                <w:color w:val="auto"/>
                <w:szCs w:val="21"/>
              </w:rPr>
              <w:t>熔炼废气分析表</w:t>
            </w:r>
          </w:p>
          <w:tbl>
            <w:tblPr>
              <w:tblStyle w:val="27"/>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094"/>
              <w:gridCol w:w="3308"/>
              <w:gridCol w:w="3309"/>
            </w:tblGrid>
            <w:tr w14:paraId="34E2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1" w:type="dxa"/>
                  <w:gridSpan w:val="4"/>
                  <w:vAlign w:val="center"/>
                </w:tcPr>
                <w:p w14:paraId="476B9727">
                  <w:pPr>
                    <w:adjustRightInd w:val="0"/>
                    <w:snapToGrid w:val="0"/>
                    <w:jc w:val="center"/>
                    <w:rPr>
                      <w:b/>
                      <w:bCs/>
                      <w:color w:val="auto"/>
                      <w:szCs w:val="21"/>
                    </w:rPr>
                  </w:pPr>
                  <w:r>
                    <w:rPr>
                      <w:rFonts w:hint="eastAsia"/>
                      <w:b/>
                      <w:bCs/>
                      <w:color w:val="auto"/>
                      <w:szCs w:val="21"/>
                      <w:lang w:eastAsia="zh-CN"/>
                    </w:rPr>
                    <w:t>精炼牛油</w:t>
                  </w:r>
                  <w:r>
                    <w:rPr>
                      <w:rFonts w:hint="eastAsia"/>
                      <w:b/>
                      <w:bCs/>
                      <w:color w:val="auto"/>
                      <w:szCs w:val="21"/>
                    </w:rPr>
                    <w:t>熔炼废气排放情况</w:t>
                  </w:r>
                </w:p>
              </w:tc>
            </w:tr>
            <w:tr w14:paraId="3E7D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4" w:type="dxa"/>
                  <w:gridSpan w:val="2"/>
                  <w:vAlign w:val="center"/>
                </w:tcPr>
                <w:p w14:paraId="7DDC165A">
                  <w:pPr>
                    <w:adjustRightInd w:val="0"/>
                    <w:snapToGrid w:val="0"/>
                    <w:jc w:val="center"/>
                    <w:rPr>
                      <w:b/>
                      <w:color w:val="auto"/>
                      <w:spacing w:val="-10"/>
                      <w:szCs w:val="21"/>
                    </w:rPr>
                  </w:pPr>
                  <w:r>
                    <w:rPr>
                      <w:b/>
                      <w:color w:val="auto"/>
                      <w:spacing w:val="-10"/>
                      <w:szCs w:val="21"/>
                    </w:rPr>
                    <w:t>产污排污环节</w:t>
                  </w:r>
                </w:p>
              </w:tc>
              <w:tc>
                <w:tcPr>
                  <w:tcW w:w="6617" w:type="dxa"/>
                  <w:gridSpan w:val="2"/>
                  <w:vAlign w:val="center"/>
                </w:tcPr>
                <w:p w14:paraId="59DF1578">
                  <w:pPr>
                    <w:adjustRightInd w:val="0"/>
                    <w:snapToGrid w:val="0"/>
                    <w:jc w:val="center"/>
                    <w:rPr>
                      <w:rFonts w:hint="eastAsia" w:eastAsia="宋体"/>
                      <w:bCs/>
                      <w:color w:val="auto"/>
                      <w:spacing w:val="-10"/>
                      <w:szCs w:val="21"/>
                      <w:lang w:eastAsia="zh-CN"/>
                    </w:rPr>
                  </w:pPr>
                  <w:r>
                    <w:rPr>
                      <w:rFonts w:hint="eastAsia"/>
                      <w:color w:val="auto"/>
                      <w:szCs w:val="21"/>
                    </w:rPr>
                    <w:t>熔炼废气</w:t>
                  </w:r>
                  <w:r>
                    <w:rPr>
                      <w:rFonts w:hint="eastAsia"/>
                      <w:color w:val="auto"/>
                      <w:szCs w:val="21"/>
                      <w:lang w:eastAsia="zh-CN"/>
                    </w:rPr>
                    <w:t>（精炼牛油）</w:t>
                  </w:r>
                </w:p>
              </w:tc>
            </w:tr>
            <w:tr w14:paraId="6F4E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5B072BA3">
                  <w:pPr>
                    <w:adjustRightInd w:val="0"/>
                    <w:snapToGrid w:val="0"/>
                    <w:jc w:val="center"/>
                    <w:rPr>
                      <w:b/>
                      <w:color w:val="auto"/>
                      <w:spacing w:val="-10"/>
                      <w:szCs w:val="21"/>
                    </w:rPr>
                  </w:pPr>
                  <w:r>
                    <w:rPr>
                      <w:b/>
                      <w:color w:val="auto"/>
                      <w:spacing w:val="-10"/>
                      <w:szCs w:val="21"/>
                    </w:rPr>
                    <w:t>污染物种类</w:t>
                  </w:r>
                </w:p>
              </w:tc>
              <w:tc>
                <w:tcPr>
                  <w:tcW w:w="3308" w:type="dxa"/>
                  <w:vAlign w:val="center"/>
                </w:tcPr>
                <w:p w14:paraId="4136593B">
                  <w:pPr>
                    <w:adjustRightInd w:val="0"/>
                    <w:snapToGrid w:val="0"/>
                    <w:jc w:val="center"/>
                    <w:rPr>
                      <w:rFonts w:hint="eastAsia" w:eastAsia="宋体"/>
                      <w:bCs/>
                      <w:color w:val="auto"/>
                      <w:spacing w:val="-10"/>
                      <w:szCs w:val="21"/>
                      <w:lang w:eastAsia="zh-CN"/>
                    </w:rPr>
                  </w:pPr>
                  <w:r>
                    <w:rPr>
                      <w:rFonts w:hint="eastAsia"/>
                      <w:bCs/>
                      <w:color w:val="auto"/>
                      <w:spacing w:val="-10"/>
                      <w:szCs w:val="21"/>
                      <w:lang w:eastAsia="zh-CN"/>
                    </w:rPr>
                    <w:t>油烟</w:t>
                  </w:r>
                </w:p>
              </w:tc>
              <w:tc>
                <w:tcPr>
                  <w:tcW w:w="3309" w:type="dxa"/>
                  <w:vAlign w:val="center"/>
                </w:tcPr>
                <w:p w14:paraId="73A0EAA0">
                  <w:pPr>
                    <w:adjustRightInd w:val="0"/>
                    <w:snapToGrid w:val="0"/>
                    <w:jc w:val="center"/>
                    <w:rPr>
                      <w:rFonts w:hint="eastAsia" w:eastAsia="宋体"/>
                      <w:bCs/>
                      <w:color w:val="auto"/>
                      <w:spacing w:val="-10"/>
                      <w:szCs w:val="21"/>
                      <w:lang w:eastAsia="zh-CN"/>
                    </w:rPr>
                  </w:pPr>
                  <w:r>
                    <w:rPr>
                      <w:rFonts w:hint="eastAsia"/>
                      <w:bCs/>
                      <w:color w:val="auto"/>
                      <w:spacing w:val="-10"/>
                      <w:szCs w:val="21"/>
                      <w:lang w:eastAsia="zh-CN"/>
                    </w:rPr>
                    <w:t>非甲烷总烃</w:t>
                  </w:r>
                </w:p>
              </w:tc>
            </w:tr>
            <w:tr w14:paraId="0E59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5A4C4AB7">
                  <w:pPr>
                    <w:adjustRightInd w:val="0"/>
                    <w:snapToGrid w:val="0"/>
                    <w:jc w:val="center"/>
                    <w:rPr>
                      <w:b/>
                      <w:color w:val="auto"/>
                      <w:spacing w:val="-10"/>
                      <w:szCs w:val="21"/>
                    </w:rPr>
                  </w:pPr>
                  <w:r>
                    <w:rPr>
                      <w:b/>
                      <w:color w:val="auto"/>
                      <w:spacing w:val="-10"/>
                      <w:szCs w:val="21"/>
                    </w:rPr>
                    <w:t>污染物产生量</w:t>
                  </w:r>
                </w:p>
              </w:tc>
              <w:tc>
                <w:tcPr>
                  <w:tcW w:w="3308" w:type="dxa"/>
                  <w:vAlign w:val="center"/>
                </w:tcPr>
                <w:p w14:paraId="4A7534C4">
                  <w:pPr>
                    <w:adjustRightInd w:val="0"/>
                    <w:snapToGrid w:val="0"/>
                    <w:jc w:val="center"/>
                    <w:rPr>
                      <w:bCs/>
                      <w:color w:val="auto"/>
                      <w:spacing w:val="-10"/>
                      <w:szCs w:val="21"/>
                    </w:rPr>
                  </w:pPr>
                  <w:r>
                    <w:rPr>
                      <w:rFonts w:hint="eastAsia"/>
                      <w:color w:val="auto"/>
                      <w:szCs w:val="21"/>
                      <w:lang w:val="en-US" w:eastAsia="zh-CN"/>
                    </w:rPr>
                    <w:t>12</w:t>
                  </w:r>
                  <w:r>
                    <w:rPr>
                      <w:rFonts w:hint="eastAsia"/>
                      <w:color w:val="auto"/>
                      <w:szCs w:val="21"/>
                    </w:rPr>
                    <w:t>t</w:t>
                  </w:r>
                  <w:r>
                    <w:rPr>
                      <w:color w:val="auto"/>
                      <w:szCs w:val="21"/>
                    </w:rPr>
                    <w:t>/a</w:t>
                  </w:r>
                </w:p>
              </w:tc>
              <w:tc>
                <w:tcPr>
                  <w:tcW w:w="3309" w:type="dxa"/>
                  <w:vAlign w:val="center"/>
                </w:tcPr>
                <w:p w14:paraId="0539D480">
                  <w:pPr>
                    <w:adjustRightInd w:val="0"/>
                    <w:snapToGrid w:val="0"/>
                    <w:jc w:val="center"/>
                    <w:rPr>
                      <w:rFonts w:hint="default"/>
                      <w:color w:val="auto"/>
                      <w:szCs w:val="21"/>
                      <w:lang w:val="en-US"/>
                    </w:rPr>
                  </w:pPr>
                  <w:r>
                    <w:rPr>
                      <w:rFonts w:hint="eastAsia" w:cs="Times New Roman"/>
                      <w:color w:val="auto"/>
                      <w:szCs w:val="21"/>
                      <w:lang w:val="en-US" w:eastAsia="zh-CN"/>
                    </w:rPr>
                    <w:t>0.8</w:t>
                  </w:r>
                  <w:r>
                    <w:rPr>
                      <w:rFonts w:hint="eastAsia" w:ascii="Times New Roman" w:hAnsi="Times New Roman" w:eastAsia="宋体" w:cs="Times New Roman"/>
                      <w:color w:val="auto"/>
                      <w:szCs w:val="21"/>
                      <w:lang w:val="en-US" w:eastAsia="zh-CN"/>
                    </w:rPr>
                    <w:t>t/a</w:t>
                  </w:r>
                </w:p>
              </w:tc>
            </w:tr>
            <w:tr w14:paraId="3DAD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6E44B480">
                  <w:pPr>
                    <w:adjustRightInd w:val="0"/>
                    <w:snapToGrid w:val="0"/>
                    <w:jc w:val="center"/>
                    <w:rPr>
                      <w:b/>
                      <w:color w:val="auto"/>
                      <w:spacing w:val="-10"/>
                      <w:szCs w:val="21"/>
                    </w:rPr>
                  </w:pPr>
                  <w:r>
                    <w:rPr>
                      <w:b/>
                      <w:color w:val="auto"/>
                      <w:spacing w:val="-10"/>
                      <w:szCs w:val="21"/>
                    </w:rPr>
                    <w:t>污染物产生浓度</w:t>
                  </w:r>
                </w:p>
              </w:tc>
              <w:tc>
                <w:tcPr>
                  <w:tcW w:w="3308" w:type="dxa"/>
                  <w:vAlign w:val="center"/>
                </w:tcPr>
                <w:p w14:paraId="295D8B18">
                  <w:pPr>
                    <w:widowControl/>
                    <w:jc w:val="center"/>
                    <w:textAlignment w:val="center"/>
                    <w:rPr>
                      <w:rFonts w:ascii="宋体" w:hAnsi="宋体" w:cs="宋体"/>
                      <w:color w:val="auto"/>
                      <w:sz w:val="24"/>
                    </w:rPr>
                  </w:pPr>
                  <w:r>
                    <w:rPr>
                      <w:rFonts w:hint="eastAsia"/>
                      <w:color w:val="auto"/>
                      <w:szCs w:val="21"/>
                      <w:lang w:val="en-US" w:eastAsia="zh-CN"/>
                    </w:rPr>
                    <w:t>166.67</w:t>
                  </w:r>
                  <w:r>
                    <w:rPr>
                      <w:bCs/>
                      <w:color w:val="auto"/>
                      <w:spacing w:val="-10"/>
                      <w:szCs w:val="21"/>
                    </w:rPr>
                    <w:t>mg/m</w:t>
                  </w:r>
                  <w:r>
                    <w:rPr>
                      <w:bCs/>
                      <w:color w:val="auto"/>
                      <w:spacing w:val="-10"/>
                      <w:szCs w:val="21"/>
                      <w:vertAlign w:val="superscript"/>
                    </w:rPr>
                    <w:t>3</w:t>
                  </w:r>
                </w:p>
              </w:tc>
              <w:tc>
                <w:tcPr>
                  <w:tcW w:w="3309" w:type="dxa"/>
                  <w:vAlign w:val="center"/>
                </w:tcPr>
                <w:p w14:paraId="6C51670F">
                  <w:pPr>
                    <w:widowControl/>
                    <w:jc w:val="center"/>
                    <w:textAlignment w:val="center"/>
                    <w:rPr>
                      <w:rFonts w:hint="eastAsia"/>
                      <w:color w:val="auto"/>
                      <w:szCs w:val="21"/>
                    </w:rPr>
                  </w:pPr>
                  <w:r>
                    <w:rPr>
                      <w:rFonts w:hint="eastAsia"/>
                      <w:bCs/>
                      <w:color w:val="auto"/>
                      <w:spacing w:val="-10"/>
                      <w:szCs w:val="21"/>
                      <w:lang w:val="en-US" w:eastAsia="zh-CN"/>
                    </w:rPr>
                    <w:t>11.11</w:t>
                  </w:r>
                  <w:r>
                    <w:rPr>
                      <w:bCs/>
                      <w:color w:val="auto"/>
                      <w:spacing w:val="-10"/>
                      <w:szCs w:val="21"/>
                    </w:rPr>
                    <w:t>mg/m</w:t>
                  </w:r>
                  <w:r>
                    <w:rPr>
                      <w:bCs/>
                      <w:color w:val="auto"/>
                      <w:spacing w:val="-10"/>
                      <w:szCs w:val="21"/>
                      <w:vertAlign w:val="superscript"/>
                    </w:rPr>
                    <w:t>3</w:t>
                  </w:r>
                </w:p>
              </w:tc>
            </w:tr>
            <w:tr w14:paraId="38AB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4F420A91">
                  <w:pPr>
                    <w:adjustRightInd w:val="0"/>
                    <w:snapToGrid w:val="0"/>
                    <w:jc w:val="center"/>
                    <w:rPr>
                      <w:b/>
                      <w:color w:val="auto"/>
                      <w:spacing w:val="-10"/>
                      <w:szCs w:val="21"/>
                    </w:rPr>
                  </w:pPr>
                  <w:r>
                    <w:rPr>
                      <w:b/>
                      <w:color w:val="auto"/>
                      <w:spacing w:val="-10"/>
                      <w:szCs w:val="21"/>
                    </w:rPr>
                    <w:t>排放形式</w:t>
                  </w:r>
                </w:p>
              </w:tc>
              <w:tc>
                <w:tcPr>
                  <w:tcW w:w="3308" w:type="dxa"/>
                  <w:vAlign w:val="center"/>
                </w:tcPr>
                <w:p w14:paraId="42713F89">
                  <w:pPr>
                    <w:adjustRightInd w:val="0"/>
                    <w:snapToGrid w:val="0"/>
                    <w:jc w:val="center"/>
                    <w:rPr>
                      <w:bCs/>
                      <w:color w:val="auto"/>
                      <w:spacing w:val="-10"/>
                      <w:szCs w:val="21"/>
                    </w:rPr>
                  </w:pPr>
                  <w:r>
                    <w:rPr>
                      <w:rFonts w:hint="eastAsia"/>
                      <w:bCs/>
                      <w:color w:val="auto"/>
                      <w:spacing w:val="-10"/>
                      <w:szCs w:val="21"/>
                    </w:rPr>
                    <w:t>有</w:t>
                  </w:r>
                  <w:r>
                    <w:rPr>
                      <w:bCs/>
                      <w:color w:val="auto"/>
                      <w:spacing w:val="-10"/>
                      <w:szCs w:val="21"/>
                    </w:rPr>
                    <w:t>组织</w:t>
                  </w:r>
                </w:p>
              </w:tc>
              <w:tc>
                <w:tcPr>
                  <w:tcW w:w="3309" w:type="dxa"/>
                  <w:vAlign w:val="center"/>
                </w:tcPr>
                <w:p w14:paraId="099387DC">
                  <w:pPr>
                    <w:adjustRightInd w:val="0"/>
                    <w:snapToGrid w:val="0"/>
                    <w:jc w:val="center"/>
                    <w:rPr>
                      <w:rFonts w:hint="eastAsia" w:eastAsia="宋体"/>
                      <w:bCs/>
                      <w:color w:val="auto"/>
                      <w:spacing w:val="-10"/>
                      <w:szCs w:val="21"/>
                      <w:lang w:eastAsia="zh-CN"/>
                    </w:rPr>
                  </w:pPr>
                  <w:r>
                    <w:rPr>
                      <w:rFonts w:hint="eastAsia"/>
                      <w:bCs/>
                      <w:color w:val="auto"/>
                      <w:spacing w:val="-10"/>
                      <w:szCs w:val="21"/>
                      <w:lang w:eastAsia="zh-CN"/>
                    </w:rPr>
                    <w:t>有组织</w:t>
                  </w:r>
                </w:p>
              </w:tc>
            </w:tr>
            <w:tr w14:paraId="4855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14:paraId="518D054F">
                  <w:pPr>
                    <w:adjustRightInd w:val="0"/>
                    <w:snapToGrid w:val="0"/>
                    <w:jc w:val="center"/>
                    <w:rPr>
                      <w:b/>
                      <w:color w:val="auto"/>
                      <w:spacing w:val="-10"/>
                      <w:szCs w:val="21"/>
                    </w:rPr>
                  </w:pPr>
                  <w:r>
                    <w:rPr>
                      <w:b/>
                      <w:color w:val="auto"/>
                      <w:spacing w:val="-10"/>
                      <w:szCs w:val="21"/>
                    </w:rPr>
                    <w:t>治理设施</w:t>
                  </w:r>
                </w:p>
              </w:tc>
              <w:tc>
                <w:tcPr>
                  <w:tcW w:w="1094" w:type="dxa"/>
                  <w:vAlign w:val="center"/>
                </w:tcPr>
                <w:p w14:paraId="1B859081">
                  <w:pPr>
                    <w:adjustRightInd w:val="0"/>
                    <w:snapToGrid w:val="0"/>
                    <w:jc w:val="center"/>
                    <w:rPr>
                      <w:b/>
                      <w:color w:val="auto"/>
                      <w:spacing w:val="-10"/>
                      <w:szCs w:val="21"/>
                    </w:rPr>
                  </w:pPr>
                  <w:r>
                    <w:rPr>
                      <w:b/>
                      <w:color w:val="auto"/>
                      <w:spacing w:val="-10"/>
                      <w:szCs w:val="21"/>
                    </w:rPr>
                    <w:t>处理能力</w:t>
                  </w:r>
                </w:p>
              </w:tc>
              <w:tc>
                <w:tcPr>
                  <w:tcW w:w="3308" w:type="dxa"/>
                  <w:vAlign w:val="center"/>
                </w:tcPr>
                <w:p w14:paraId="4D302BA3">
                  <w:pPr>
                    <w:adjustRightInd w:val="0"/>
                    <w:snapToGrid w:val="0"/>
                    <w:jc w:val="center"/>
                    <w:rPr>
                      <w:color w:val="auto"/>
                    </w:rPr>
                  </w:pPr>
                  <w:r>
                    <w:rPr>
                      <w:color w:val="auto"/>
                    </w:rPr>
                    <w:t>/</w:t>
                  </w:r>
                </w:p>
              </w:tc>
              <w:tc>
                <w:tcPr>
                  <w:tcW w:w="3309" w:type="dxa"/>
                  <w:vAlign w:val="center"/>
                </w:tcPr>
                <w:p w14:paraId="564E7A0E">
                  <w:pPr>
                    <w:adjustRightInd w:val="0"/>
                    <w:snapToGrid w:val="0"/>
                    <w:jc w:val="center"/>
                    <w:rPr>
                      <w:rFonts w:hint="eastAsia" w:eastAsia="宋体"/>
                      <w:color w:val="auto"/>
                      <w:lang w:val="en-US" w:eastAsia="zh-CN"/>
                    </w:rPr>
                  </w:pPr>
                  <w:r>
                    <w:rPr>
                      <w:rFonts w:hint="eastAsia"/>
                      <w:color w:val="auto"/>
                      <w:lang w:val="en-US" w:eastAsia="zh-CN"/>
                    </w:rPr>
                    <w:t>/</w:t>
                  </w:r>
                </w:p>
              </w:tc>
            </w:tr>
            <w:tr w14:paraId="71BA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14:paraId="11EDBE2A">
                  <w:pPr>
                    <w:adjustRightInd w:val="0"/>
                    <w:snapToGrid w:val="0"/>
                    <w:jc w:val="center"/>
                    <w:rPr>
                      <w:b/>
                      <w:color w:val="auto"/>
                      <w:spacing w:val="-10"/>
                      <w:szCs w:val="21"/>
                    </w:rPr>
                  </w:pPr>
                </w:p>
              </w:tc>
              <w:tc>
                <w:tcPr>
                  <w:tcW w:w="1094" w:type="dxa"/>
                  <w:vAlign w:val="center"/>
                </w:tcPr>
                <w:p w14:paraId="100F678A">
                  <w:pPr>
                    <w:adjustRightInd w:val="0"/>
                    <w:snapToGrid w:val="0"/>
                    <w:jc w:val="center"/>
                    <w:rPr>
                      <w:b/>
                      <w:color w:val="auto"/>
                      <w:spacing w:val="-10"/>
                      <w:szCs w:val="21"/>
                    </w:rPr>
                  </w:pPr>
                  <w:r>
                    <w:rPr>
                      <w:b/>
                      <w:color w:val="auto"/>
                      <w:spacing w:val="-10"/>
                      <w:szCs w:val="21"/>
                    </w:rPr>
                    <w:t>收集效率</w:t>
                  </w:r>
                </w:p>
              </w:tc>
              <w:tc>
                <w:tcPr>
                  <w:tcW w:w="3308" w:type="dxa"/>
                  <w:vAlign w:val="center"/>
                </w:tcPr>
                <w:p w14:paraId="4AE5D842">
                  <w:pPr>
                    <w:adjustRightInd w:val="0"/>
                    <w:snapToGrid w:val="0"/>
                    <w:jc w:val="center"/>
                    <w:rPr>
                      <w:color w:val="auto"/>
                    </w:rPr>
                  </w:pPr>
                  <w:r>
                    <w:rPr>
                      <w:rFonts w:hint="eastAsia"/>
                      <w:color w:val="auto"/>
                    </w:rPr>
                    <w:t>100%</w:t>
                  </w:r>
                </w:p>
              </w:tc>
              <w:tc>
                <w:tcPr>
                  <w:tcW w:w="3309" w:type="dxa"/>
                  <w:vAlign w:val="center"/>
                </w:tcPr>
                <w:p w14:paraId="64DE3E11">
                  <w:pPr>
                    <w:adjustRightInd w:val="0"/>
                    <w:snapToGrid w:val="0"/>
                    <w:jc w:val="center"/>
                    <w:rPr>
                      <w:rFonts w:hint="default" w:eastAsia="宋体"/>
                      <w:color w:val="auto"/>
                      <w:lang w:val="en-US" w:eastAsia="zh-CN"/>
                    </w:rPr>
                  </w:pPr>
                  <w:r>
                    <w:rPr>
                      <w:rFonts w:hint="eastAsia"/>
                      <w:color w:val="auto"/>
                      <w:lang w:val="en-US" w:eastAsia="zh-CN"/>
                    </w:rPr>
                    <w:t>100%</w:t>
                  </w:r>
                </w:p>
              </w:tc>
            </w:tr>
            <w:tr w14:paraId="392B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14:paraId="2FAAD886">
                  <w:pPr>
                    <w:adjustRightInd w:val="0"/>
                    <w:snapToGrid w:val="0"/>
                    <w:jc w:val="center"/>
                    <w:rPr>
                      <w:b/>
                      <w:color w:val="auto"/>
                      <w:spacing w:val="-10"/>
                      <w:szCs w:val="21"/>
                    </w:rPr>
                  </w:pPr>
                </w:p>
              </w:tc>
              <w:tc>
                <w:tcPr>
                  <w:tcW w:w="1094" w:type="dxa"/>
                  <w:vAlign w:val="center"/>
                </w:tcPr>
                <w:p w14:paraId="7B21A960">
                  <w:pPr>
                    <w:adjustRightInd w:val="0"/>
                    <w:snapToGrid w:val="0"/>
                    <w:jc w:val="center"/>
                    <w:rPr>
                      <w:b/>
                      <w:color w:val="auto"/>
                      <w:spacing w:val="-10"/>
                      <w:szCs w:val="21"/>
                    </w:rPr>
                  </w:pPr>
                  <w:r>
                    <w:rPr>
                      <w:b/>
                      <w:color w:val="auto"/>
                      <w:spacing w:val="-10"/>
                      <w:szCs w:val="21"/>
                    </w:rPr>
                    <w:t>治理工艺</w:t>
                  </w:r>
                </w:p>
              </w:tc>
              <w:tc>
                <w:tcPr>
                  <w:tcW w:w="3308" w:type="dxa"/>
                  <w:vAlign w:val="center"/>
                </w:tcPr>
                <w:p w14:paraId="44EBD0D8">
                  <w:pPr>
                    <w:adjustRightInd w:val="0"/>
                    <w:snapToGrid w:val="0"/>
                    <w:jc w:val="center"/>
                    <w:rPr>
                      <w:color w:val="auto"/>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+油烟净化器</w:t>
                  </w:r>
                </w:p>
              </w:tc>
              <w:tc>
                <w:tcPr>
                  <w:tcW w:w="3309" w:type="dxa"/>
                  <w:vAlign w:val="center"/>
                </w:tcPr>
                <w:p w14:paraId="5A9908B3">
                  <w:pPr>
                    <w:adjustRightInd w:val="0"/>
                    <w:snapToGrid w:val="0"/>
                    <w:jc w:val="center"/>
                    <w:rPr>
                      <w:rFonts w:hint="eastAsia" w:eastAsia="Times New Roman"/>
                      <w:color w:val="auto"/>
                      <w:szCs w:val="21"/>
                      <w:lang w:val="zh-CN"/>
                    </w:rPr>
                  </w:pPr>
                  <w:r>
                    <w:rPr>
                      <w:rFonts w:hint="eastAsia" w:eastAsia="Times New Roman"/>
                      <w:color w:val="auto"/>
                      <w:szCs w:val="21"/>
                      <w:lang w:val="zh-CN"/>
                    </w:rPr>
                    <w:t>活性炭装置</w:t>
                  </w:r>
                </w:p>
              </w:tc>
            </w:tr>
            <w:tr w14:paraId="3571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14:paraId="63C0BB8B">
                  <w:pPr>
                    <w:adjustRightInd w:val="0"/>
                    <w:snapToGrid w:val="0"/>
                    <w:jc w:val="center"/>
                    <w:rPr>
                      <w:b/>
                      <w:color w:val="auto"/>
                      <w:spacing w:val="-10"/>
                      <w:szCs w:val="21"/>
                    </w:rPr>
                  </w:pPr>
                </w:p>
              </w:tc>
              <w:tc>
                <w:tcPr>
                  <w:tcW w:w="1094" w:type="dxa"/>
                  <w:vAlign w:val="center"/>
                </w:tcPr>
                <w:p w14:paraId="112BAD7A">
                  <w:pPr>
                    <w:adjustRightInd w:val="0"/>
                    <w:snapToGrid w:val="0"/>
                    <w:jc w:val="center"/>
                    <w:rPr>
                      <w:b/>
                      <w:color w:val="auto"/>
                      <w:spacing w:val="-10"/>
                      <w:szCs w:val="21"/>
                    </w:rPr>
                  </w:pPr>
                  <w:r>
                    <w:rPr>
                      <w:b/>
                      <w:color w:val="auto"/>
                      <w:spacing w:val="-10"/>
                      <w:szCs w:val="21"/>
                    </w:rPr>
                    <w:t>治理工艺去除率</w:t>
                  </w:r>
                </w:p>
              </w:tc>
              <w:tc>
                <w:tcPr>
                  <w:tcW w:w="3308" w:type="dxa"/>
                  <w:vAlign w:val="center"/>
                </w:tcPr>
                <w:p w14:paraId="719666BD">
                  <w:pPr>
                    <w:adjustRightInd w:val="0"/>
                    <w:snapToGrid w:val="0"/>
                    <w:jc w:val="center"/>
                    <w:rPr>
                      <w:color w:val="auto"/>
                    </w:rPr>
                  </w:pPr>
                  <w:r>
                    <w:rPr>
                      <w:rFonts w:hint="eastAsia"/>
                      <w:color w:val="auto"/>
                      <w:lang w:val="en-US" w:eastAsia="zh-CN"/>
                    </w:rPr>
                    <w:t>90</w:t>
                  </w:r>
                  <w:r>
                    <w:rPr>
                      <w:rFonts w:hint="eastAsia"/>
                      <w:color w:val="auto"/>
                    </w:rPr>
                    <w:t>%</w:t>
                  </w:r>
                </w:p>
              </w:tc>
              <w:tc>
                <w:tcPr>
                  <w:tcW w:w="3309" w:type="dxa"/>
                  <w:vAlign w:val="center"/>
                </w:tcPr>
                <w:p w14:paraId="349C68CA">
                  <w:pPr>
                    <w:adjustRightInd w:val="0"/>
                    <w:snapToGrid w:val="0"/>
                    <w:jc w:val="center"/>
                    <w:rPr>
                      <w:rFonts w:hint="default" w:eastAsia="宋体"/>
                      <w:color w:val="auto"/>
                      <w:lang w:val="en-US" w:eastAsia="zh-CN"/>
                    </w:rPr>
                  </w:pPr>
                  <w:r>
                    <w:rPr>
                      <w:rFonts w:hint="eastAsia"/>
                      <w:color w:val="auto"/>
                      <w:lang w:val="en-US" w:eastAsia="zh-CN"/>
                    </w:rPr>
                    <w:t>80%</w:t>
                  </w:r>
                </w:p>
              </w:tc>
            </w:tr>
            <w:tr w14:paraId="316B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50" w:type="dxa"/>
                  <w:vMerge w:val="continue"/>
                  <w:vAlign w:val="center"/>
                </w:tcPr>
                <w:p w14:paraId="1BFAF1C0">
                  <w:pPr>
                    <w:adjustRightInd w:val="0"/>
                    <w:snapToGrid w:val="0"/>
                    <w:jc w:val="center"/>
                    <w:rPr>
                      <w:b/>
                      <w:color w:val="auto"/>
                      <w:spacing w:val="-10"/>
                      <w:szCs w:val="21"/>
                    </w:rPr>
                  </w:pPr>
                </w:p>
              </w:tc>
              <w:tc>
                <w:tcPr>
                  <w:tcW w:w="1094" w:type="dxa"/>
                  <w:vAlign w:val="center"/>
                </w:tcPr>
                <w:p w14:paraId="5DC4F534">
                  <w:pPr>
                    <w:adjustRightInd w:val="0"/>
                    <w:snapToGrid w:val="0"/>
                    <w:jc w:val="center"/>
                    <w:rPr>
                      <w:b/>
                      <w:color w:val="auto"/>
                      <w:spacing w:val="-10"/>
                      <w:szCs w:val="21"/>
                    </w:rPr>
                  </w:pPr>
                  <w:r>
                    <w:rPr>
                      <w:b/>
                      <w:color w:val="auto"/>
                      <w:spacing w:val="-10"/>
                      <w:szCs w:val="21"/>
                    </w:rPr>
                    <w:t>是否为可行技术</w:t>
                  </w:r>
                </w:p>
              </w:tc>
              <w:tc>
                <w:tcPr>
                  <w:tcW w:w="3308" w:type="dxa"/>
                  <w:vAlign w:val="center"/>
                </w:tcPr>
                <w:p w14:paraId="0AA082CC">
                  <w:pPr>
                    <w:adjustRightInd w:val="0"/>
                    <w:snapToGrid w:val="0"/>
                    <w:jc w:val="center"/>
                    <w:rPr>
                      <w:color w:val="auto"/>
                    </w:rPr>
                  </w:pPr>
                  <w:r>
                    <w:rPr>
                      <w:rFonts w:hint="eastAsia"/>
                      <w:bCs/>
                      <w:color w:val="auto"/>
                      <w:spacing w:val="-10"/>
                      <w:szCs w:val="21"/>
                    </w:rPr>
                    <w:t>是</w:t>
                  </w:r>
                </w:p>
              </w:tc>
              <w:tc>
                <w:tcPr>
                  <w:tcW w:w="3309" w:type="dxa"/>
                  <w:vAlign w:val="center"/>
                </w:tcPr>
                <w:p w14:paraId="2AB3822E">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是</w:t>
                  </w:r>
                </w:p>
              </w:tc>
            </w:tr>
            <w:tr w14:paraId="240C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44" w:type="dxa"/>
                  <w:gridSpan w:val="2"/>
                  <w:vAlign w:val="center"/>
                </w:tcPr>
                <w:p w14:paraId="038CB435">
                  <w:pPr>
                    <w:adjustRightInd w:val="0"/>
                    <w:snapToGrid w:val="0"/>
                    <w:jc w:val="center"/>
                    <w:rPr>
                      <w:b/>
                      <w:color w:val="auto"/>
                      <w:spacing w:val="-10"/>
                      <w:szCs w:val="21"/>
                    </w:rPr>
                  </w:pPr>
                  <w:r>
                    <w:rPr>
                      <w:b/>
                      <w:color w:val="auto"/>
                      <w:spacing w:val="-10"/>
                      <w:szCs w:val="21"/>
                    </w:rPr>
                    <w:t>污染物排放浓度</w:t>
                  </w:r>
                </w:p>
              </w:tc>
              <w:tc>
                <w:tcPr>
                  <w:tcW w:w="3308" w:type="dxa"/>
                  <w:vAlign w:val="center"/>
                </w:tcPr>
                <w:p w14:paraId="49B97CAD">
                  <w:pPr>
                    <w:adjustRightInd w:val="0"/>
                    <w:snapToGrid w:val="0"/>
                    <w:jc w:val="center"/>
                    <w:rPr>
                      <w:bCs/>
                      <w:color w:val="auto"/>
                      <w:spacing w:val="-10"/>
                      <w:szCs w:val="21"/>
                    </w:rPr>
                  </w:pPr>
                  <w:r>
                    <w:rPr>
                      <w:rFonts w:hint="eastAsia"/>
                      <w:color w:val="auto"/>
                      <w:szCs w:val="21"/>
                    </w:rPr>
                    <w:t>1.</w:t>
                  </w:r>
                  <w:r>
                    <w:rPr>
                      <w:rFonts w:hint="eastAsia"/>
                      <w:color w:val="auto"/>
                      <w:szCs w:val="21"/>
                      <w:lang w:val="en-US" w:eastAsia="zh-CN"/>
                    </w:rPr>
                    <w:t>67</w:t>
                  </w:r>
                  <w:r>
                    <w:rPr>
                      <w:bCs/>
                      <w:color w:val="auto"/>
                      <w:spacing w:val="-10"/>
                      <w:szCs w:val="21"/>
                    </w:rPr>
                    <w:t>mg/m</w:t>
                  </w:r>
                  <w:r>
                    <w:rPr>
                      <w:bCs/>
                      <w:color w:val="auto"/>
                      <w:spacing w:val="-10"/>
                      <w:szCs w:val="21"/>
                      <w:vertAlign w:val="superscript"/>
                    </w:rPr>
                    <w:t>3</w:t>
                  </w:r>
                </w:p>
              </w:tc>
              <w:tc>
                <w:tcPr>
                  <w:tcW w:w="3309" w:type="dxa"/>
                  <w:vAlign w:val="center"/>
                </w:tcPr>
                <w:p w14:paraId="475C5766">
                  <w:pPr>
                    <w:adjustRightInd w:val="0"/>
                    <w:snapToGrid w:val="0"/>
                    <w:jc w:val="center"/>
                    <w:rPr>
                      <w:rFonts w:hint="eastAsia"/>
                      <w:color w:val="auto"/>
                      <w:szCs w:val="21"/>
                    </w:rPr>
                  </w:pPr>
                  <w:r>
                    <w:rPr>
                      <w:rFonts w:hint="eastAsia"/>
                      <w:color w:val="auto"/>
                      <w:szCs w:val="21"/>
                      <w:lang w:val="en-US" w:eastAsia="zh-CN"/>
                    </w:rPr>
                    <w:t>2.22</w:t>
                  </w:r>
                  <w:r>
                    <w:rPr>
                      <w:bCs/>
                      <w:color w:val="auto"/>
                      <w:spacing w:val="-10"/>
                      <w:szCs w:val="21"/>
                    </w:rPr>
                    <w:t>mg/m</w:t>
                  </w:r>
                  <w:r>
                    <w:rPr>
                      <w:bCs/>
                      <w:color w:val="auto"/>
                      <w:spacing w:val="-10"/>
                      <w:szCs w:val="21"/>
                      <w:vertAlign w:val="superscript"/>
                    </w:rPr>
                    <w:t>3</w:t>
                  </w:r>
                </w:p>
              </w:tc>
            </w:tr>
            <w:tr w14:paraId="1656D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27F64835">
                  <w:pPr>
                    <w:adjustRightInd w:val="0"/>
                    <w:snapToGrid w:val="0"/>
                    <w:jc w:val="center"/>
                    <w:rPr>
                      <w:b/>
                      <w:color w:val="auto"/>
                      <w:spacing w:val="-10"/>
                      <w:szCs w:val="21"/>
                    </w:rPr>
                  </w:pPr>
                  <w:r>
                    <w:rPr>
                      <w:b/>
                      <w:color w:val="auto"/>
                      <w:spacing w:val="-10"/>
                      <w:szCs w:val="21"/>
                    </w:rPr>
                    <w:t>污染物排放速率</w:t>
                  </w:r>
                </w:p>
              </w:tc>
              <w:tc>
                <w:tcPr>
                  <w:tcW w:w="3308" w:type="dxa"/>
                  <w:vAlign w:val="center"/>
                </w:tcPr>
                <w:p w14:paraId="7241BA4A">
                  <w:pPr>
                    <w:adjustRightInd w:val="0"/>
                    <w:snapToGrid w:val="0"/>
                    <w:jc w:val="center"/>
                    <w:rPr>
                      <w:color w:val="auto"/>
                      <w:szCs w:val="21"/>
                    </w:rPr>
                  </w:pPr>
                  <w:r>
                    <w:rPr>
                      <w:rFonts w:hint="eastAsia"/>
                      <w:color w:val="auto"/>
                      <w:szCs w:val="21"/>
                    </w:rPr>
                    <w:t>0.0</w:t>
                  </w:r>
                  <w:r>
                    <w:rPr>
                      <w:rFonts w:hint="eastAsia"/>
                      <w:color w:val="auto"/>
                      <w:szCs w:val="21"/>
                      <w:lang w:val="en-US" w:eastAsia="zh-CN"/>
                    </w:rPr>
                    <w:t>5</w:t>
                  </w:r>
                  <w:r>
                    <w:rPr>
                      <w:rFonts w:hint="eastAsia"/>
                      <w:color w:val="auto"/>
                      <w:szCs w:val="21"/>
                    </w:rPr>
                    <w:t>kg/h</w:t>
                  </w:r>
                </w:p>
              </w:tc>
              <w:tc>
                <w:tcPr>
                  <w:tcW w:w="3309" w:type="dxa"/>
                  <w:vAlign w:val="center"/>
                </w:tcPr>
                <w:p w14:paraId="4B89E2DE">
                  <w:pPr>
                    <w:adjustRightInd w:val="0"/>
                    <w:snapToGrid w:val="0"/>
                    <w:jc w:val="center"/>
                    <w:rPr>
                      <w:rFonts w:hint="eastAsia"/>
                      <w:color w:val="auto"/>
                      <w:szCs w:val="21"/>
                    </w:rPr>
                  </w:pPr>
                  <w:r>
                    <w:rPr>
                      <w:rFonts w:hint="eastAsia"/>
                      <w:color w:val="auto"/>
                      <w:szCs w:val="21"/>
                      <w:lang w:val="en-US" w:eastAsia="zh-CN"/>
                    </w:rPr>
                    <w:t>0.0667</w:t>
                  </w:r>
                  <w:r>
                    <w:rPr>
                      <w:rFonts w:hint="eastAsia"/>
                      <w:color w:val="auto"/>
                      <w:szCs w:val="21"/>
                    </w:rPr>
                    <w:t>kg/h</w:t>
                  </w:r>
                </w:p>
              </w:tc>
            </w:tr>
            <w:tr w14:paraId="19C7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59756165">
                  <w:pPr>
                    <w:adjustRightInd w:val="0"/>
                    <w:snapToGrid w:val="0"/>
                    <w:jc w:val="center"/>
                    <w:rPr>
                      <w:b/>
                      <w:color w:val="auto"/>
                      <w:spacing w:val="-10"/>
                      <w:szCs w:val="21"/>
                    </w:rPr>
                  </w:pPr>
                  <w:r>
                    <w:rPr>
                      <w:b/>
                      <w:color w:val="auto"/>
                      <w:spacing w:val="-10"/>
                      <w:szCs w:val="21"/>
                    </w:rPr>
                    <w:t>污染物排放量</w:t>
                  </w:r>
                </w:p>
              </w:tc>
              <w:tc>
                <w:tcPr>
                  <w:tcW w:w="3308" w:type="dxa"/>
                  <w:vAlign w:val="center"/>
                </w:tcPr>
                <w:p w14:paraId="083F5160">
                  <w:pPr>
                    <w:adjustRightInd w:val="0"/>
                    <w:snapToGrid w:val="0"/>
                    <w:jc w:val="center"/>
                    <w:rPr>
                      <w:color w:val="auto"/>
                      <w:szCs w:val="21"/>
                    </w:rPr>
                  </w:pPr>
                  <w:r>
                    <w:rPr>
                      <w:rFonts w:hint="eastAsia"/>
                      <w:color w:val="auto"/>
                      <w:szCs w:val="21"/>
                    </w:rPr>
                    <w:t>0.</w:t>
                  </w:r>
                  <w:r>
                    <w:rPr>
                      <w:rFonts w:hint="eastAsia"/>
                      <w:color w:val="auto"/>
                      <w:szCs w:val="21"/>
                      <w:lang w:val="en-US" w:eastAsia="zh-CN"/>
                    </w:rPr>
                    <w:t>12</w:t>
                  </w:r>
                  <w:r>
                    <w:rPr>
                      <w:rFonts w:hint="eastAsia"/>
                      <w:color w:val="auto"/>
                      <w:szCs w:val="21"/>
                    </w:rPr>
                    <w:t>t/a</w:t>
                  </w:r>
                </w:p>
              </w:tc>
              <w:tc>
                <w:tcPr>
                  <w:tcW w:w="3309" w:type="dxa"/>
                  <w:vAlign w:val="center"/>
                </w:tcPr>
                <w:p w14:paraId="613D0C23">
                  <w:pPr>
                    <w:adjustRightInd w:val="0"/>
                    <w:snapToGrid w:val="0"/>
                    <w:jc w:val="center"/>
                    <w:rPr>
                      <w:rFonts w:hint="eastAsia"/>
                      <w:color w:val="auto"/>
                      <w:szCs w:val="21"/>
                    </w:rPr>
                  </w:pPr>
                  <w:r>
                    <w:rPr>
                      <w:rFonts w:hint="eastAsia"/>
                      <w:color w:val="auto"/>
                      <w:szCs w:val="21"/>
                    </w:rPr>
                    <w:t>0.</w:t>
                  </w:r>
                  <w:r>
                    <w:rPr>
                      <w:rFonts w:hint="eastAsia"/>
                      <w:color w:val="auto"/>
                      <w:szCs w:val="21"/>
                      <w:lang w:val="en-US" w:eastAsia="zh-CN"/>
                    </w:rPr>
                    <w:t>16</w:t>
                  </w:r>
                  <w:r>
                    <w:rPr>
                      <w:rFonts w:hint="eastAsia"/>
                      <w:color w:val="auto"/>
                      <w:szCs w:val="21"/>
                    </w:rPr>
                    <w:t>t/a</w:t>
                  </w:r>
                </w:p>
              </w:tc>
            </w:tr>
            <w:tr w14:paraId="51B6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1" w:type="dxa"/>
                  <w:gridSpan w:val="4"/>
                  <w:vAlign w:val="center"/>
                </w:tcPr>
                <w:p w14:paraId="16AD6759">
                  <w:pPr>
                    <w:adjustRightInd w:val="0"/>
                    <w:snapToGrid w:val="0"/>
                    <w:jc w:val="center"/>
                    <w:rPr>
                      <w:b/>
                      <w:color w:val="auto"/>
                      <w:spacing w:val="-10"/>
                      <w:szCs w:val="21"/>
                    </w:rPr>
                  </w:pPr>
                  <w:r>
                    <w:rPr>
                      <w:b/>
                      <w:color w:val="auto"/>
                      <w:spacing w:val="-10"/>
                      <w:szCs w:val="21"/>
                    </w:rPr>
                    <w:t>排放口基本情况</w:t>
                  </w:r>
                </w:p>
              </w:tc>
            </w:tr>
            <w:tr w14:paraId="1E9E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79D8C292">
                  <w:pPr>
                    <w:adjustRightInd w:val="0"/>
                    <w:snapToGrid w:val="0"/>
                    <w:jc w:val="center"/>
                    <w:rPr>
                      <w:b/>
                      <w:color w:val="auto"/>
                      <w:spacing w:val="-10"/>
                      <w:szCs w:val="21"/>
                    </w:rPr>
                  </w:pPr>
                  <w:r>
                    <w:rPr>
                      <w:b/>
                      <w:color w:val="auto"/>
                      <w:spacing w:val="-10"/>
                      <w:szCs w:val="21"/>
                    </w:rPr>
                    <w:t>排气筒高度</w:t>
                  </w:r>
                </w:p>
              </w:tc>
              <w:tc>
                <w:tcPr>
                  <w:tcW w:w="6617" w:type="dxa"/>
                  <w:gridSpan w:val="2"/>
                  <w:vAlign w:val="center"/>
                </w:tcPr>
                <w:p w14:paraId="4C51D5AE">
                  <w:pPr>
                    <w:adjustRightInd w:val="0"/>
                    <w:snapToGrid w:val="0"/>
                    <w:jc w:val="center"/>
                    <w:rPr>
                      <w:bCs/>
                      <w:color w:val="auto"/>
                      <w:spacing w:val="-10"/>
                      <w:szCs w:val="21"/>
                    </w:rPr>
                  </w:pPr>
                  <w:r>
                    <w:rPr>
                      <w:rFonts w:hint="eastAsia"/>
                      <w:bCs/>
                      <w:color w:val="auto"/>
                      <w:spacing w:val="-10"/>
                      <w:szCs w:val="21"/>
                    </w:rPr>
                    <w:t>15</w:t>
                  </w:r>
                </w:p>
              </w:tc>
            </w:tr>
            <w:tr w14:paraId="66BD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844" w:type="dxa"/>
                  <w:gridSpan w:val="2"/>
                  <w:vAlign w:val="center"/>
                </w:tcPr>
                <w:p w14:paraId="473A7C25">
                  <w:pPr>
                    <w:adjustRightInd w:val="0"/>
                    <w:snapToGrid w:val="0"/>
                    <w:jc w:val="center"/>
                    <w:rPr>
                      <w:b/>
                      <w:color w:val="auto"/>
                      <w:spacing w:val="-10"/>
                      <w:szCs w:val="21"/>
                    </w:rPr>
                  </w:pPr>
                  <w:r>
                    <w:rPr>
                      <w:b/>
                      <w:color w:val="auto"/>
                      <w:spacing w:val="-10"/>
                      <w:szCs w:val="21"/>
                    </w:rPr>
                    <w:t>排气筒内径</w:t>
                  </w:r>
                </w:p>
              </w:tc>
              <w:tc>
                <w:tcPr>
                  <w:tcW w:w="6617" w:type="dxa"/>
                  <w:gridSpan w:val="2"/>
                  <w:vAlign w:val="center"/>
                </w:tcPr>
                <w:p w14:paraId="5788F367">
                  <w:pPr>
                    <w:adjustRightInd w:val="0"/>
                    <w:snapToGrid w:val="0"/>
                    <w:jc w:val="center"/>
                    <w:rPr>
                      <w:rFonts w:hint="eastAsia" w:eastAsia="宋体"/>
                      <w:bCs/>
                      <w:color w:val="auto"/>
                      <w:spacing w:val="-10"/>
                      <w:szCs w:val="21"/>
                      <w:lang w:eastAsia="zh-CN"/>
                    </w:rPr>
                  </w:pPr>
                  <w:r>
                    <w:rPr>
                      <w:rFonts w:hint="eastAsia"/>
                      <w:bCs/>
                      <w:color w:val="auto"/>
                      <w:spacing w:val="-10"/>
                      <w:szCs w:val="21"/>
                    </w:rPr>
                    <w:t>0.</w:t>
                  </w:r>
                  <w:r>
                    <w:rPr>
                      <w:rFonts w:hint="eastAsia"/>
                      <w:bCs/>
                      <w:color w:val="auto"/>
                      <w:spacing w:val="-10"/>
                      <w:szCs w:val="21"/>
                      <w:lang w:val="en-US" w:eastAsia="zh-CN"/>
                    </w:rPr>
                    <w:t>8</w:t>
                  </w:r>
                </w:p>
              </w:tc>
            </w:tr>
            <w:tr w14:paraId="2B78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844" w:type="dxa"/>
                  <w:gridSpan w:val="2"/>
                  <w:vAlign w:val="center"/>
                </w:tcPr>
                <w:p w14:paraId="6F5A9BD6">
                  <w:pPr>
                    <w:adjustRightInd w:val="0"/>
                    <w:snapToGrid w:val="0"/>
                    <w:jc w:val="center"/>
                    <w:rPr>
                      <w:b/>
                      <w:color w:val="auto"/>
                      <w:spacing w:val="-10"/>
                      <w:szCs w:val="21"/>
                    </w:rPr>
                  </w:pPr>
                  <w:r>
                    <w:rPr>
                      <w:b/>
                      <w:color w:val="auto"/>
                      <w:spacing w:val="-10"/>
                      <w:szCs w:val="21"/>
                    </w:rPr>
                    <w:t>温度</w:t>
                  </w:r>
                </w:p>
              </w:tc>
              <w:tc>
                <w:tcPr>
                  <w:tcW w:w="6617" w:type="dxa"/>
                  <w:gridSpan w:val="2"/>
                  <w:vAlign w:val="center"/>
                </w:tcPr>
                <w:p w14:paraId="1A352D30">
                  <w:pPr>
                    <w:adjustRightInd w:val="0"/>
                    <w:snapToGrid w:val="0"/>
                    <w:jc w:val="center"/>
                    <w:rPr>
                      <w:bCs/>
                      <w:color w:val="auto"/>
                      <w:spacing w:val="-10"/>
                      <w:szCs w:val="21"/>
                    </w:rPr>
                  </w:pPr>
                  <w:r>
                    <w:rPr>
                      <w:rFonts w:hint="eastAsia"/>
                      <w:bCs/>
                      <w:color w:val="auto"/>
                      <w:spacing w:val="-10"/>
                      <w:szCs w:val="21"/>
                    </w:rPr>
                    <w:t>30</w:t>
                  </w:r>
                  <w:r>
                    <w:rPr>
                      <w:bCs/>
                      <w:color w:val="auto"/>
                      <w:spacing w:val="-10"/>
                      <w:szCs w:val="21"/>
                    </w:rPr>
                    <w:t>℃</w:t>
                  </w:r>
                </w:p>
              </w:tc>
            </w:tr>
            <w:tr w14:paraId="41C7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5B03BE52">
                  <w:pPr>
                    <w:adjustRightInd w:val="0"/>
                    <w:snapToGrid w:val="0"/>
                    <w:jc w:val="center"/>
                    <w:rPr>
                      <w:b/>
                      <w:color w:val="auto"/>
                      <w:spacing w:val="-10"/>
                      <w:szCs w:val="21"/>
                    </w:rPr>
                  </w:pPr>
                  <w:r>
                    <w:rPr>
                      <w:b/>
                      <w:color w:val="auto"/>
                      <w:spacing w:val="-10"/>
                      <w:szCs w:val="21"/>
                    </w:rPr>
                    <w:t>编号</w:t>
                  </w:r>
                </w:p>
              </w:tc>
              <w:tc>
                <w:tcPr>
                  <w:tcW w:w="6617" w:type="dxa"/>
                  <w:gridSpan w:val="2"/>
                  <w:vAlign w:val="center"/>
                </w:tcPr>
                <w:p w14:paraId="376C5370">
                  <w:pPr>
                    <w:adjustRightInd w:val="0"/>
                    <w:snapToGrid w:val="0"/>
                    <w:jc w:val="center"/>
                    <w:rPr>
                      <w:rFonts w:hint="eastAsia" w:eastAsia="宋体"/>
                      <w:bCs/>
                      <w:color w:val="auto"/>
                      <w:spacing w:val="-10"/>
                      <w:szCs w:val="21"/>
                      <w:lang w:eastAsia="zh-CN"/>
                    </w:rPr>
                  </w:pPr>
                  <w:r>
                    <w:rPr>
                      <w:rFonts w:hint="eastAsia"/>
                      <w:bCs/>
                      <w:color w:val="auto"/>
                      <w:spacing w:val="-10"/>
                      <w:szCs w:val="21"/>
                    </w:rPr>
                    <w:t>DA00</w:t>
                  </w:r>
                  <w:r>
                    <w:rPr>
                      <w:rFonts w:hint="eastAsia"/>
                      <w:bCs/>
                      <w:color w:val="auto"/>
                      <w:spacing w:val="-10"/>
                      <w:szCs w:val="21"/>
                      <w:lang w:val="en-US" w:eastAsia="zh-CN"/>
                    </w:rPr>
                    <w:t>2</w:t>
                  </w:r>
                </w:p>
              </w:tc>
            </w:tr>
            <w:tr w14:paraId="2516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12299231">
                  <w:pPr>
                    <w:adjustRightInd w:val="0"/>
                    <w:snapToGrid w:val="0"/>
                    <w:jc w:val="center"/>
                    <w:rPr>
                      <w:b/>
                      <w:color w:val="auto"/>
                      <w:spacing w:val="-10"/>
                      <w:szCs w:val="21"/>
                    </w:rPr>
                  </w:pPr>
                  <w:r>
                    <w:rPr>
                      <w:b/>
                      <w:color w:val="auto"/>
                      <w:spacing w:val="-10"/>
                      <w:szCs w:val="21"/>
                    </w:rPr>
                    <w:t>类型</w:t>
                  </w:r>
                </w:p>
              </w:tc>
              <w:tc>
                <w:tcPr>
                  <w:tcW w:w="6617" w:type="dxa"/>
                  <w:gridSpan w:val="2"/>
                  <w:vAlign w:val="center"/>
                </w:tcPr>
                <w:p w14:paraId="0E83462D">
                  <w:pPr>
                    <w:adjustRightInd w:val="0"/>
                    <w:snapToGrid w:val="0"/>
                    <w:jc w:val="center"/>
                    <w:rPr>
                      <w:bCs/>
                      <w:color w:val="auto"/>
                      <w:spacing w:val="-10"/>
                      <w:szCs w:val="21"/>
                    </w:rPr>
                  </w:pPr>
                  <w:r>
                    <w:rPr>
                      <w:rFonts w:hint="eastAsia"/>
                      <w:bCs/>
                      <w:color w:val="auto"/>
                      <w:spacing w:val="-10"/>
                      <w:szCs w:val="21"/>
                    </w:rPr>
                    <w:t>一般排放口</w:t>
                  </w:r>
                </w:p>
              </w:tc>
            </w:tr>
            <w:tr w14:paraId="1517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1AC784A6">
                  <w:pPr>
                    <w:adjustRightInd w:val="0"/>
                    <w:snapToGrid w:val="0"/>
                    <w:jc w:val="center"/>
                    <w:rPr>
                      <w:b/>
                      <w:color w:val="auto"/>
                      <w:spacing w:val="-10"/>
                      <w:szCs w:val="21"/>
                    </w:rPr>
                  </w:pPr>
                  <w:r>
                    <w:rPr>
                      <w:b/>
                      <w:color w:val="auto"/>
                      <w:spacing w:val="-10"/>
                      <w:szCs w:val="21"/>
                    </w:rPr>
                    <w:t>地理坐标</w:t>
                  </w:r>
                </w:p>
              </w:tc>
              <w:tc>
                <w:tcPr>
                  <w:tcW w:w="6617" w:type="dxa"/>
                  <w:gridSpan w:val="2"/>
                  <w:vAlign w:val="center"/>
                </w:tcPr>
                <w:p w14:paraId="611D474B">
                  <w:pPr>
                    <w:adjustRightInd w:val="0"/>
                    <w:snapToGrid w:val="0"/>
                    <w:jc w:val="center"/>
                    <w:rPr>
                      <w:bCs/>
                      <w:color w:val="auto"/>
                      <w:spacing w:val="-10"/>
                      <w:szCs w:val="21"/>
                    </w:rPr>
                  </w:pPr>
                  <w:r>
                    <w:rPr>
                      <w:rFonts w:hint="eastAsia"/>
                      <w:color w:val="auto"/>
                      <w:szCs w:val="21"/>
                    </w:rPr>
                    <w:t>东</w:t>
                  </w:r>
                  <w:r>
                    <w:rPr>
                      <w:color w:val="auto"/>
                      <w:szCs w:val="21"/>
                    </w:rPr>
                    <w:t>经103°</w:t>
                  </w:r>
                  <w:r>
                    <w:rPr>
                      <w:rFonts w:hint="eastAsia"/>
                      <w:color w:val="auto"/>
                      <w:szCs w:val="21"/>
                      <w:lang w:val="en-US" w:eastAsia="zh-CN"/>
                    </w:rPr>
                    <w:t>0</w:t>
                  </w:r>
                  <w:r>
                    <w:rPr>
                      <w:rFonts w:hint="eastAsia"/>
                      <w:color w:val="auto"/>
                      <w:szCs w:val="21"/>
                    </w:rPr>
                    <w:t>7</w:t>
                  </w:r>
                  <w:r>
                    <w:rPr>
                      <w:color w:val="auto"/>
                      <w:szCs w:val="21"/>
                    </w:rPr>
                    <w:t>′</w:t>
                  </w:r>
                  <w:r>
                    <w:rPr>
                      <w:rFonts w:hint="eastAsia"/>
                      <w:color w:val="auto"/>
                      <w:szCs w:val="21"/>
                      <w:lang w:val="en-US" w:eastAsia="zh-CN"/>
                    </w:rPr>
                    <w:t>48.727</w:t>
                  </w:r>
                  <w:r>
                    <w:rPr>
                      <w:color w:val="auto"/>
                      <w:szCs w:val="21"/>
                    </w:rPr>
                    <w:t>″，北纬25°</w:t>
                  </w:r>
                  <w:r>
                    <w:rPr>
                      <w:rFonts w:hint="eastAsia"/>
                      <w:color w:val="auto"/>
                      <w:szCs w:val="21"/>
                    </w:rPr>
                    <w:t>26</w:t>
                  </w:r>
                  <w:r>
                    <w:rPr>
                      <w:color w:val="auto"/>
                      <w:szCs w:val="21"/>
                    </w:rPr>
                    <w:t>′</w:t>
                  </w:r>
                  <w:r>
                    <w:rPr>
                      <w:rFonts w:hint="eastAsia"/>
                      <w:color w:val="auto"/>
                      <w:szCs w:val="21"/>
                      <w:lang w:val="en-US" w:eastAsia="zh-CN"/>
                    </w:rPr>
                    <w:t>7.325</w:t>
                  </w:r>
                  <w:r>
                    <w:rPr>
                      <w:color w:val="auto"/>
                      <w:szCs w:val="21"/>
                    </w:rPr>
                    <w:t>″</w:t>
                  </w:r>
                </w:p>
              </w:tc>
            </w:tr>
            <w:tr w14:paraId="501C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1" w:type="dxa"/>
                  <w:gridSpan w:val="4"/>
                  <w:vAlign w:val="center"/>
                </w:tcPr>
                <w:p w14:paraId="0457AF03">
                  <w:pPr>
                    <w:adjustRightInd w:val="0"/>
                    <w:snapToGrid w:val="0"/>
                    <w:jc w:val="center"/>
                    <w:rPr>
                      <w:b/>
                      <w:color w:val="auto"/>
                      <w:spacing w:val="-10"/>
                      <w:szCs w:val="21"/>
                    </w:rPr>
                  </w:pPr>
                  <w:r>
                    <w:rPr>
                      <w:b/>
                      <w:color w:val="auto"/>
                      <w:spacing w:val="-10"/>
                      <w:szCs w:val="21"/>
                    </w:rPr>
                    <w:t>监测要求</w:t>
                  </w:r>
                </w:p>
              </w:tc>
            </w:tr>
            <w:tr w14:paraId="5568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04334DD5">
                  <w:pPr>
                    <w:adjustRightInd w:val="0"/>
                    <w:snapToGrid w:val="0"/>
                    <w:jc w:val="center"/>
                    <w:rPr>
                      <w:b/>
                      <w:color w:val="auto"/>
                      <w:spacing w:val="-10"/>
                      <w:szCs w:val="21"/>
                    </w:rPr>
                  </w:pPr>
                  <w:r>
                    <w:rPr>
                      <w:b/>
                      <w:color w:val="auto"/>
                      <w:spacing w:val="-10"/>
                      <w:szCs w:val="21"/>
                    </w:rPr>
                    <w:t>监测点位</w:t>
                  </w:r>
                </w:p>
              </w:tc>
              <w:tc>
                <w:tcPr>
                  <w:tcW w:w="6617" w:type="dxa"/>
                  <w:gridSpan w:val="2"/>
                  <w:vAlign w:val="center"/>
                </w:tcPr>
                <w:p w14:paraId="66667D52">
                  <w:pPr>
                    <w:adjustRightInd w:val="0"/>
                    <w:snapToGrid w:val="0"/>
                    <w:jc w:val="center"/>
                    <w:rPr>
                      <w:bCs/>
                      <w:color w:val="auto"/>
                      <w:spacing w:val="-10"/>
                      <w:szCs w:val="21"/>
                    </w:rPr>
                  </w:pPr>
                  <w:r>
                    <w:rPr>
                      <w:bCs/>
                      <w:color w:val="auto"/>
                      <w:spacing w:val="-10"/>
                      <w:szCs w:val="21"/>
                    </w:rPr>
                    <w:t>排气筒出口</w:t>
                  </w:r>
                </w:p>
              </w:tc>
            </w:tr>
            <w:tr w14:paraId="3D03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4" w:type="dxa"/>
                  <w:gridSpan w:val="2"/>
                  <w:vAlign w:val="center"/>
                </w:tcPr>
                <w:p w14:paraId="74BE64D4">
                  <w:pPr>
                    <w:adjustRightInd w:val="0"/>
                    <w:snapToGrid w:val="0"/>
                    <w:jc w:val="center"/>
                    <w:rPr>
                      <w:b/>
                      <w:color w:val="auto"/>
                      <w:spacing w:val="-10"/>
                      <w:szCs w:val="21"/>
                    </w:rPr>
                  </w:pPr>
                  <w:r>
                    <w:rPr>
                      <w:b/>
                      <w:color w:val="auto"/>
                      <w:spacing w:val="-10"/>
                      <w:szCs w:val="21"/>
                    </w:rPr>
                    <w:t>监测因子</w:t>
                  </w:r>
                </w:p>
              </w:tc>
              <w:tc>
                <w:tcPr>
                  <w:tcW w:w="3308" w:type="dxa"/>
                  <w:vAlign w:val="center"/>
                </w:tcPr>
                <w:p w14:paraId="60D8E115">
                  <w:pPr>
                    <w:jc w:val="center"/>
                    <w:rPr>
                      <w:bCs/>
                      <w:color w:val="auto"/>
                      <w:spacing w:val="-10"/>
                      <w:szCs w:val="21"/>
                    </w:rPr>
                  </w:pPr>
                  <w:r>
                    <w:rPr>
                      <w:rFonts w:hint="eastAsia"/>
                      <w:bCs/>
                      <w:color w:val="auto"/>
                      <w:spacing w:val="-10"/>
                      <w:szCs w:val="21"/>
                    </w:rPr>
                    <w:t>油烟</w:t>
                  </w:r>
                </w:p>
              </w:tc>
              <w:tc>
                <w:tcPr>
                  <w:tcW w:w="3309" w:type="dxa"/>
                  <w:vAlign w:val="center"/>
                </w:tcPr>
                <w:p w14:paraId="5B44D83E">
                  <w:pPr>
                    <w:jc w:val="center"/>
                    <w:rPr>
                      <w:rFonts w:hint="eastAsia"/>
                      <w:bCs/>
                      <w:color w:val="auto"/>
                      <w:spacing w:val="-10"/>
                      <w:szCs w:val="21"/>
                    </w:rPr>
                  </w:pPr>
                  <w:r>
                    <w:rPr>
                      <w:rFonts w:hint="eastAsia"/>
                      <w:bCs/>
                      <w:color w:val="auto"/>
                      <w:spacing w:val="-10"/>
                      <w:szCs w:val="21"/>
                      <w:lang w:eastAsia="zh-CN"/>
                    </w:rPr>
                    <w:t>非甲烷总烃</w:t>
                  </w:r>
                </w:p>
              </w:tc>
            </w:tr>
            <w:tr w14:paraId="15B8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190379C5">
                  <w:pPr>
                    <w:adjustRightInd w:val="0"/>
                    <w:snapToGrid w:val="0"/>
                    <w:jc w:val="center"/>
                    <w:rPr>
                      <w:b/>
                      <w:color w:val="auto"/>
                      <w:spacing w:val="-10"/>
                      <w:szCs w:val="21"/>
                    </w:rPr>
                  </w:pPr>
                  <w:r>
                    <w:rPr>
                      <w:b/>
                      <w:color w:val="auto"/>
                      <w:spacing w:val="-10"/>
                      <w:szCs w:val="21"/>
                    </w:rPr>
                    <w:t>监测频次</w:t>
                  </w:r>
                </w:p>
              </w:tc>
              <w:tc>
                <w:tcPr>
                  <w:tcW w:w="3308" w:type="dxa"/>
                  <w:vAlign w:val="center"/>
                </w:tcPr>
                <w:p w14:paraId="4E9B919E">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1次/半年</w:t>
                  </w:r>
                </w:p>
              </w:tc>
              <w:tc>
                <w:tcPr>
                  <w:tcW w:w="3309" w:type="dxa"/>
                  <w:vAlign w:val="center"/>
                </w:tcPr>
                <w:p w14:paraId="250CEE48">
                  <w:pPr>
                    <w:adjustRightInd w:val="0"/>
                    <w:snapToGrid w:val="0"/>
                    <w:jc w:val="center"/>
                    <w:rPr>
                      <w:rFonts w:hint="eastAsia"/>
                      <w:bCs/>
                      <w:color w:val="auto"/>
                      <w:spacing w:val="-10"/>
                      <w:szCs w:val="21"/>
                    </w:rPr>
                  </w:pPr>
                  <w:r>
                    <w:rPr>
                      <w:rFonts w:hint="eastAsia"/>
                      <w:bCs/>
                      <w:color w:val="auto"/>
                      <w:spacing w:val="-10"/>
                      <w:szCs w:val="21"/>
                      <w:lang w:val="en-US" w:eastAsia="zh-CN"/>
                    </w:rPr>
                    <w:t>1次/季度</w:t>
                  </w:r>
                </w:p>
              </w:tc>
            </w:tr>
            <w:tr w14:paraId="0926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62314150">
                  <w:pPr>
                    <w:adjustRightInd w:val="0"/>
                    <w:snapToGrid w:val="0"/>
                    <w:jc w:val="center"/>
                    <w:rPr>
                      <w:b/>
                      <w:color w:val="auto"/>
                      <w:spacing w:val="-10"/>
                      <w:szCs w:val="21"/>
                    </w:rPr>
                  </w:pPr>
                  <w:r>
                    <w:rPr>
                      <w:rFonts w:hint="eastAsia"/>
                      <w:b/>
                      <w:color w:val="auto"/>
                      <w:spacing w:val="-10"/>
                      <w:szCs w:val="21"/>
                    </w:rPr>
                    <w:t>执行</w:t>
                  </w:r>
                  <w:r>
                    <w:rPr>
                      <w:b/>
                      <w:color w:val="auto"/>
                      <w:spacing w:val="-10"/>
                      <w:szCs w:val="21"/>
                    </w:rPr>
                    <w:t>标准</w:t>
                  </w:r>
                </w:p>
              </w:tc>
              <w:tc>
                <w:tcPr>
                  <w:tcW w:w="3308" w:type="dxa"/>
                  <w:vAlign w:val="center"/>
                </w:tcPr>
                <w:p w14:paraId="3FEBA012">
                  <w:pPr>
                    <w:adjustRightInd w:val="0"/>
                    <w:snapToGrid w:val="0"/>
                    <w:jc w:val="center"/>
                    <w:rPr>
                      <w:bCs/>
                      <w:color w:val="auto"/>
                      <w:spacing w:val="-10"/>
                      <w:szCs w:val="21"/>
                    </w:rPr>
                  </w:pPr>
                  <w:r>
                    <w:rPr>
                      <w:color w:val="auto"/>
                      <w:szCs w:val="21"/>
                    </w:rPr>
                    <w:t>《饮食业油烟排放标准》（GB18438-2001）</w:t>
                  </w:r>
                  <w:r>
                    <w:rPr>
                      <w:rFonts w:hint="eastAsia"/>
                      <w:color w:val="auto"/>
                      <w:szCs w:val="21"/>
                    </w:rPr>
                    <w:t>标准，</w:t>
                  </w:r>
                  <w:r>
                    <w:rPr>
                      <w:color w:val="auto"/>
                      <w:szCs w:val="21"/>
                    </w:rPr>
                    <w:t>执行油烟最高允许排放浓度≤2mg/m</w:t>
                  </w:r>
                  <w:r>
                    <w:rPr>
                      <w:color w:val="auto"/>
                      <w:szCs w:val="21"/>
                      <w:vertAlign w:val="superscript"/>
                    </w:rPr>
                    <w:t>3</w:t>
                  </w:r>
                </w:p>
              </w:tc>
              <w:tc>
                <w:tcPr>
                  <w:tcW w:w="3309" w:type="dxa"/>
                  <w:vAlign w:val="center"/>
                </w:tcPr>
                <w:p w14:paraId="2D4EDE76">
                  <w:pPr>
                    <w:adjustRightInd w:val="0"/>
                    <w:snapToGrid w:val="0"/>
                    <w:jc w:val="center"/>
                    <w:rPr>
                      <w:color w:val="auto"/>
                      <w:szCs w:val="21"/>
                    </w:rPr>
                  </w:pPr>
                  <w:r>
                    <w:rPr>
                      <w:rFonts w:ascii="Times New Roman" w:hAnsi="Times New Roman" w:eastAsia="宋体" w:cs="Times New Roman"/>
                      <w:color w:val="auto"/>
                      <w:szCs w:val="21"/>
                    </w:rPr>
                    <w:t>《大气污染物综合排放标准》（GB16297-1996）</w:t>
                  </w:r>
                  <w:r>
                    <w:rPr>
                      <w:rFonts w:hint="eastAsia" w:ascii="Times New Roman" w:hAnsi="Times New Roman" w:eastAsia="宋体" w:cs="Times New Roman"/>
                      <w:color w:val="auto"/>
                      <w:szCs w:val="21"/>
                    </w:rPr>
                    <w:t>表2</w:t>
                  </w:r>
                  <w:r>
                    <w:rPr>
                      <w:rFonts w:ascii="Times New Roman" w:hAnsi="Times New Roman" w:eastAsia="宋体" w:cs="Times New Roman"/>
                      <w:color w:val="auto"/>
                      <w:szCs w:val="21"/>
                    </w:rPr>
                    <w:t>中</w:t>
                  </w:r>
                  <w:r>
                    <w:rPr>
                      <w:rFonts w:hint="eastAsia" w:ascii="Times New Roman" w:hAnsi="Times New Roman" w:eastAsia="宋体" w:cs="Times New Roman"/>
                      <w:color w:val="auto"/>
                      <w:szCs w:val="21"/>
                      <w:lang w:eastAsia="zh-CN"/>
                    </w:rPr>
                    <w:t>二级标准</w:t>
                  </w:r>
                </w:p>
              </w:tc>
            </w:tr>
          </w:tbl>
          <w:p w14:paraId="6B7DA8F3">
            <w:pPr>
              <w:pStyle w:val="25"/>
              <w:adjustRightInd w:val="0"/>
              <w:snapToGrid w:val="0"/>
              <w:spacing w:after="0" w:line="360" w:lineRule="auto"/>
              <w:ind w:left="0" w:leftChars="0" w:firstLine="482"/>
              <w:rPr>
                <w:rFonts w:hint="eastAsia"/>
                <w:color w:val="auto"/>
                <w:sz w:val="24"/>
              </w:rPr>
            </w:pPr>
            <w:r>
              <w:rPr>
                <w:rFonts w:hint="eastAsia"/>
                <w:b/>
                <w:bCs/>
                <w:color w:val="auto"/>
                <w:sz w:val="24"/>
                <w:szCs w:val="24"/>
                <w:lang w:val="en-US" w:eastAsia="zh-CN"/>
              </w:rPr>
              <w:t>B：</w:t>
            </w:r>
            <w:r>
              <w:rPr>
                <w:rFonts w:hint="eastAsia" w:ascii="Times New Roman" w:hAnsi="Times New Roman" w:eastAsia="宋体" w:cs="Times New Roman"/>
                <w:b/>
                <w:bCs/>
                <w:color w:val="auto"/>
                <w:sz w:val="24"/>
                <w:szCs w:val="24"/>
                <w:lang w:val="en-US" w:eastAsia="zh-CN"/>
              </w:rPr>
              <w:t>动物饲料油脂</w:t>
            </w:r>
          </w:p>
          <w:p w14:paraId="4125D6BC">
            <w:pPr>
              <w:spacing w:line="360" w:lineRule="auto"/>
              <w:ind w:firstLine="480" w:firstLineChars="200"/>
              <w:rPr>
                <w:rFonts w:hint="eastAsia"/>
                <w:color w:val="auto"/>
                <w:sz w:val="24"/>
              </w:rPr>
            </w:pPr>
            <w:r>
              <w:rPr>
                <w:rFonts w:hint="eastAsia"/>
                <w:color w:val="auto"/>
                <w:sz w:val="24"/>
              </w:rPr>
              <w:t>熬制温度控制在100~120℃，因此，本项目熬制过程油脂不会分解，此过程产生的污染物主要为</w:t>
            </w:r>
            <w:r>
              <w:rPr>
                <w:rFonts w:hint="eastAsia"/>
                <w:color w:val="auto"/>
                <w:sz w:val="24"/>
                <w:lang w:eastAsia="zh-CN"/>
              </w:rPr>
              <w:t>油烟、非甲烷总烃</w:t>
            </w:r>
            <w:r>
              <w:rPr>
                <w:rFonts w:hint="eastAsia"/>
                <w:color w:val="auto"/>
                <w:sz w:val="24"/>
              </w:rPr>
              <w:t>、</w:t>
            </w:r>
            <w:r>
              <w:rPr>
                <w:rFonts w:hint="eastAsia"/>
                <w:color w:val="auto"/>
                <w:sz w:val="24"/>
                <w:lang w:eastAsia="zh-CN"/>
              </w:rPr>
              <w:t>水蒸气</w:t>
            </w:r>
            <w:r>
              <w:rPr>
                <w:rFonts w:hint="eastAsia"/>
                <w:color w:val="auto"/>
                <w:sz w:val="24"/>
              </w:rPr>
              <w:t>及脂肪酸异味。本项目</w:t>
            </w:r>
            <w:r>
              <w:rPr>
                <w:rFonts w:hint="eastAsia"/>
                <w:color w:val="auto"/>
                <w:sz w:val="24"/>
                <w:lang w:eastAsia="zh-CN"/>
              </w:rPr>
              <w:t>年产量</w:t>
            </w:r>
            <w:r>
              <w:rPr>
                <w:rFonts w:hint="eastAsia"/>
                <w:color w:val="auto"/>
                <w:sz w:val="24"/>
              </w:rPr>
              <w:t>为</w:t>
            </w:r>
            <w:r>
              <w:rPr>
                <w:rFonts w:hint="eastAsia"/>
                <w:color w:val="auto"/>
                <w:sz w:val="24"/>
                <w:lang w:val="en-US" w:eastAsia="zh-CN"/>
              </w:rPr>
              <w:t>3</w:t>
            </w:r>
            <w:r>
              <w:rPr>
                <w:rFonts w:hint="eastAsia"/>
                <w:color w:val="auto"/>
                <w:sz w:val="24"/>
              </w:rPr>
              <w:t>000t，类比同类企业《</w:t>
            </w:r>
            <w:r>
              <w:rPr>
                <w:rFonts w:hint="eastAsia"/>
                <w:color w:val="auto"/>
                <w:sz w:val="24"/>
                <w:szCs w:val="24"/>
              </w:rPr>
              <w:t>云南清正农业发展有限公司年加工精炼牛油80吨项目</w:t>
            </w:r>
            <w:r>
              <w:rPr>
                <w:rFonts w:hint="eastAsia"/>
                <w:color w:val="auto"/>
                <w:sz w:val="24"/>
              </w:rPr>
              <w:t>竣工环境保护验收监测表》</w:t>
            </w:r>
            <w:r>
              <w:rPr>
                <w:rFonts w:hint="eastAsia"/>
                <w:color w:val="auto"/>
                <w:sz w:val="24"/>
                <w:lang w:eastAsia="zh-CN"/>
              </w:rPr>
              <w:t>油烟</w:t>
            </w:r>
            <w:r>
              <w:rPr>
                <w:rFonts w:hint="eastAsia"/>
                <w:color w:val="auto"/>
                <w:sz w:val="24"/>
              </w:rPr>
              <w:t>产生量约为产品总量的0.3%，则本项目</w:t>
            </w:r>
            <w:r>
              <w:rPr>
                <w:rFonts w:hint="eastAsia"/>
                <w:color w:val="auto"/>
                <w:sz w:val="24"/>
                <w:lang w:eastAsia="zh-CN"/>
              </w:rPr>
              <w:t>油烟</w:t>
            </w:r>
            <w:r>
              <w:rPr>
                <w:rFonts w:hint="eastAsia"/>
                <w:color w:val="auto"/>
                <w:sz w:val="24"/>
              </w:rPr>
              <w:t>产生总量为</w:t>
            </w:r>
            <w:r>
              <w:rPr>
                <w:rFonts w:hint="eastAsia"/>
                <w:color w:val="auto"/>
                <w:sz w:val="24"/>
                <w:lang w:val="en-US" w:eastAsia="zh-CN"/>
              </w:rPr>
              <w:t>9</w:t>
            </w:r>
            <w:r>
              <w:rPr>
                <w:rFonts w:hint="eastAsia"/>
                <w:color w:val="auto"/>
                <w:sz w:val="24"/>
              </w:rPr>
              <w:t>t/a。</w:t>
            </w:r>
          </w:p>
          <w:p w14:paraId="7EE8DAA3">
            <w:pPr>
              <w:spacing w:line="360" w:lineRule="auto"/>
              <w:ind w:firstLine="480" w:firstLineChars="200"/>
              <w:rPr>
                <w:rFonts w:hint="eastAsia"/>
                <w:color w:val="auto"/>
                <w:sz w:val="24"/>
              </w:rPr>
            </w:pPr>
            <w:r>
              <w:rPr>
                <w:rFonts w:hint="eastAsia" w:ascii="Times New Roman" w:hAnsi="Times New Roman" w:eastAsia="宋体" w:cs="Times New Roman"/>
                <w:color w:val="auto"/>
                <w:sz w:val="24"/>
                <w:szCs w:val="24"/>
                <w:lang w:val="en-US" w:eastAsia="zh-CN"/>
              </w:rPr>
              <w:t>参考《排放源统计调查产排污核算方法和系数手册》（生态环境部公告</w:t>
            </w:r>
            <w:r>
              <w:rPr>
                <w:rFonts w:hint="default" w:ascii="Times New Roman" w:hAnsi="Times New Roman" w:eastAsia="宋体" w:cs="Times New Roman"/>
                <w:color w:val="auto"/>
                <w:sz w:val="24"/>
                <w:szCs w:val="24"/>
                <w:lang w:val="en-US" w:eastAsia="zh-CN"/>
              </w:rPr>
              <w:t>2021</w:t>
            </w:r>
            <w:r>
              <w:rPr>
                <w:rFonts w:hint="eastAsia" w:ascii="Times New Roman" w:hAnsi="Times New Roman" w:eastAsia="宋体" w:cs="Times New Roman"/>
                <w:color w:val="auto"/>
                <w:sz w:val="24"/>
                <w:szCs w:val="24"/>
                <w:lang w:val="en-US" w:eastAsia="zh-CN"/>
              </w:rPr>
              <w:t>年第</w:t>
            </w:r>
            <w:r>
              <w:rPr>
                <w:rFonts w:hint="default" w:ascii="Times New Roman" w:hAnsi="Times New Roman" w:eastAsia="宋体" w:cs="Times New Roman"/>
                <w:color w:val="auto"/>
                <w:sz w:val="24"/>
                <w:szCs w:val="24"/>
                <w:lang w:val="en-US" w:eastAsia="zh-CN"/>
              </w:rPr>
              <w:t>24</w:t>
            </w:r>
            <w:r>
              <w:rPr>
                <w:rFonts w:hint="eastAsia" w:ascii="Times New Roman" w:hAnsi="Times New Roman" w:eastAsia="宋体" w:cs="Times New Roman"/>
                <w:color w:val="auto"/>
                <w:sz w:val="24"/>
                <w:szCs w:val="24"/>
                <w:lang w:val="en-US" w:eastAsia="zh-CN"/>
              </w:rPr>
              <w:t>号）中</w:t>
            </w:r>
            <w:r>
              <w:rPr>
                <w:rFonts w:hint="default" w:ascii="Times New Roman" w:hAnsi="Times New Roman" w:eastAsia="宋体" w:cs="Times New Roman"/>
                <w:color w:val="auto"/>
                <w:sz w:val="24"/>
                <w:szCs w:val="24"/>
                <w:lang w:val="en-US" w:eastAsia="zh-CN"/>
              </w:rPr>
              <w:t>135</w:t>
            </w:r>
            <w:r>
              <w:rPr>
                <w:rFonts w:hint="eastAsia" w:ascii="Times New Roman" w:hAnsi="Times New Roman" w:eastAsia="宋体" w:cs="Times New Roman"/>
                <w:color w:val="auto"/>
                <w:sz w:val="24"/>
                <w:szCs w:val="24"/>
                <w:lang w:val="en-US" w:eastAsia="zh-CN"/>
              </w:rPr>
              <w:t>屠宰及肉类加工行业系数手册</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干炸肉制品产污系数，挥发性有机物产生系数为</w:t>
            </w:r>
            <w:r>
              <w:rPr>
                <w:rFonts w:hint="default" w:ascii="Times New Roman" w:hAnsi="Times New Roman" w:eastAsia="宋体"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克</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吨</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产品，项目年产动物饲料油脂3</w:t>
            </w:r>
            <w:r>
              <w:rPr>
                <w:rFonts w:hint="default" w:ascii="Times New Roman" w:hAnsi="Times New Roman" w:eastAsia="宋体" w:cs="Times New Roman"/>
                <w:color w:val="auto"/>
                <w:sz w:val="24"/>
                <w:szCs w:val="24"/>
                <w:lang w:val="en-US" w:eastAsia="zh-CN"/>
              </w:rPr>
              <w:t>000t</w:t>
            </w:r>
            <w:r>
              <w:rPr>
                <w:rFonts w:hint="eastAsia" w:ascii="Times New Roman" w:hAnsi="Times New Roman" w:eastAsia="宋体" w:cs="Times New Roman"/>
                <w:color w:val="auto"/>
                <w:sz w:val="24"/>
                <w:szCs w:val="24"/>
                <w:lang w:val="en-US" w:eastAsia="zh-CN"/>
              </w:rPr>
              <w:t>，则本项目</w:t>
            </w:r>
            <w:r>
              <w:rPr>
                <w:color w:val="auto"/>
                <w:sz w:val="24"/>
              </w:rPr>
              <w:t>VOC</w:t>
            </w:r>
            <w:r>
              <w:rPr>
                <w:color w:val="auto"/>
                <w:sz w:val="24"/>
                <w:vertAlign w:val="subscript"/>
              </w:rPr>
              <w:t>S</w:t>
            </w:r>
            <w:r>
              <w:rPr>
                <w:rFonts w:hint="eastAsia"/>
                <w:color w:val="auto"/>
                <w:sz w:val="24"/>
              </w:rPr>
              <w:t>（以非甲烷总烃计）</w:t>
            </w:r>
            <w:r>
              <w:rPr>
                <w:rFonts w:hint="eastAsia" w:ascii="Times New Roman" w:hAnsi="Times New Roman" w:eastAsia="宋体" w:cs="Times New Roman"/>
                <w:color w:val="auto"/>
                <w:sz w:val="24"/>
                <w:szCs w:val="24"/>
                <w:lang w:val="en-US" w:eastAsia="zh-CN"/>
              </w:rPr>
              <w:t>产生量为0.6t/a。</w:t>
            </w:r>
          </w:p>
          <w:p w14:paraId="07579995">
            <w:pPr>
              <w:spacing w:line="360" w:lineRule="auto"/>
              <w:ind w:firstLine="480" w:firstLineChars="200"/>
              <w:rPr>
                <w:rFonts w:hint="default" w:eastAsia="宋体"/>
                <w:color w:val="auto"/>
                <w:lang w:val="en-US" w:eastAsia="zh-CN"/>
              </w:rPr>
            </w:pPr>
            <w:r>
              <w:rPr>
                <w:rFonts w:hint="eastAsia"/>
                <w:color w:val="auto"/>
                <w:sz w:val="24"/>
              </w:rPr>
              <w:t>本项目熔炼锅为全封闭式。项目采用水喷射式真空喷射泵提供真空，使系统产生负压，熬制过程产生的</w:t>
            </w:r>
            <w:r>
              <w:rPr>
                <w:rFonts w:hint="eastAsia"/>
                <w:color w:val="auto"/>
                <w:sz w:val="24"/>
                <w:lang w:eastAsia="zh-CN"/>
              </w:rPr>
              <w:t>油烟及水蒸气</w:t>
            </w:r>
            <w:r>
              <w:rPr>
                <w:rFonts w:hint="eastAsia"/>
                <w:color w:val="auto"/>
                <w:sz w:val="24"/>
              </w:rPr>
              <w:t>经</w:t>
            </w:r>
            <w:r>
              <w:rPr>
                <w:rFonts w:hint="eastAsia"/>
                <w:color w:val="auto"/>
                <w:sz w:val="24"/>
                <w:lang w:eastAsia="zh-CN"/>
              </w:rPr>
              <w:t>油气</w:t>
            </w:r>
            <w:r>
              <w:rPr>
                <w:rFonts w:hint="eastAsia"/>
                <w:color w:val="auto"/>
                <w:sz w:val="24"/>
              </w:rPr>
              <w:t>分离器快速进行油气分离，90%的油脂被回收至生产线中，含油</w:t>
            </w:r>
            <w:r>
              <w:rPr>
                <w:rFonts w:hint="eastAsia"/>
                <w:color w:val="auto"/>
                <w:sz w:val="24"/>
                <w:lang w:eastAsia="zh-CN"/>
              </w:rPr>
              <w:t>水蒸气</w:t>
            </w:r>
            <w:r>
              <w:rPr>
                <w:rFonts w:hint="eastAsia"/>
                <w:color w:val="auto"/>
                <w:sz w:val="24"/>
              </w:rPr>
              <w:t>继续经冷凝系统处理，该系统配套冷凝器，</w:t>
            </w:r>
            <w:r>
              <w:rPr>
                <w:rFonts w:hint="eastAsia"/>
                <w:color w:val="auto"/>
                <w:sz w:val="24"/>
                <w:lang w:eastAsia="zh-CN"/>
              </w:rPr>
              <w:t>含油水蒸气</w:t>
            </w:r>
            <w:r>
              <w:rPr>
                <w:rFonts w:hint="eastAsia"/>
                <w:color w:val="auto"/>
                <w:sz w:val="24"/>
              </w:rPr>
              <w:t>在冷却水的间接冷却下冷凝成射水式真空系统废水（此部分废水已列入真空泵机组用水项目计算，</w:t>
            </w:r>
            <w:r>
              <w:rPr>
                <w:rFonts w:hint="eastAsia"/>
                <w:color w:val="auto"/>
                <w:sz w:val="24"/>
                <w:lang w:eastAsia="zh-CN"/>
              </w:rPr>
              <w:t>不再</w:t>
            </w:r>
            <w:r>
              <w:rPr>
                <w:rFonts w:hint="eastAsia"/>
                <w:color w:val="auto"/>
                <w:sz w:val="24"/>
              </w:rPr>
              <w:t>单独计算），最终排入项目废水处理系统进行处理。</w:t>
            </w:r>
            <w:r>
              <w:rPr>
                <w:rFonts w:hint="eastAsia" w:ascii="Times New Roman" w:hAnsi="Times New Roman" w:eastAsia="宋体" w:cs="Times New Roman"/>
                <w:color w:val="auto"/>
                <w:sz w:val="24"/>
                <w:lang w:eastAsia="zh-CN"/>
              </w:rPr>
              <w:t>冷凝系统处理后的油烟</w:t>
            </w:r>
            <w:r>
              <w:rPr>
                <w:rFonts w:hint="eastAsia" w:ascii="Times New Roman" w:hAnsi="Times New Roman" w:eastAsia="宋体" w:cs="Times New Roman"/>
                <w:color w:val="auto"/>
                <w:sz w:val="24"/>
              </w:rPr>
              <w:t>进入油烟</w:t>
            </w:r>
            <w:r>
              <w:rPr>
                <w:rFonts w:hint="eastAsia" w:ascii="Times New Roman" w:hAnsi="Times New Roman" w:eastAsia="宋体" w:cs="Times New Roman"/>
                <w:color w:val="auto"/>
                <w:sz w:val="24"/>
                <w:lang w:eastAsia="zh-CN"/>
              </w:rPr>
              <w:t>处理设施</w:t>
            </w:r>
            <w:r>
              <w:rPr>
                <w:rFonts w:hint="eastAsia" w:ascii="Times New Roman" w:hAnsi="Times New Roman" w:eastAsia="宋体" w:cs="Times New Roman"/>
                <w:color w:val="auto"/>
                <w:sz w:val="24"/>
              </w:rPr>
              <w:t>进一步去除，</w:t>
            </w:r>
            <w:r>
              <w:rPr>
                <w:rFonts w:hint="eastAsia" w:ascii="Times New Roman" w:hAnsi="Times New Roman" w:eastAsia="宋体" w:cs="Times New Roman"/>
                <w:color w:val="auto"/>
                <w:sz w:val="24"/>
                <w:lang w:val="zh-CN"/>
              </w:rPr>
              <w:t>冷凝系统</w:t>
            </w:r>
            <w:r>
              <w:rPr>
                <w:rFonts w:hint="eastAsia" w:ascii="Times New Roman" w:hAnsi="Times New Roman" w:eastAsia="宋体" w:cs="Times New Roman"/>
                <w:color w:val="auto"/>
                <w:sz w:val="24"/>
                <w:lang w:eastAsia="zh-CN"/>
              </w:rPr>
              <w:t>及</w:t>
            </w:r>
            <w:r>
              <w:rPr>
                <w:rFonts w:hint="eastAsia" w:ascii="Times New Roman" w:hAnsi="Times New Roman" w:eastAsia="宋体" w:cs="Times New Roman"/>
                <w:color w:val="auto"/>
                <w:sz w:val="24"/>
              </w:rPr>
              <w:t>油烟</w:t>
            </w:r>
            <w:r>
              <w:rPr>
                <w:rFonts w:hint="eastAsia" w:ascii="Times New Roman" w:hAnsi="Times New Roman" w:eastAsia="宋体" w:cs="Times New Roman"/>
                <w:color w:val="auto"/>
                <w:sz w:val="24"/>
                <w:lang w:eastAsia="zh-CN"/>
              </w:rPr>
              <w:t>处理设施合并去除效率约为</w:t>
            </w:r>
            <w:r>
              <w:rPr>
                <w:rFonts w:hint="eastAsia" w:ascii="Times New Roman" w:hAnsi="Times New Roman" w:eastAsia="宋体" w:cs="Times New Roman"/>
                <w:color w:val="auto"/>
                <w:sz w:val="24"/>
                <w:lang w:val="en-US" w:eastAsia="zh-CN"/>
              </w:rPr>
              <w:t>90%</w:t>
            </w:r>
            <w:r>
              <w:rPr>
                <w:rFonts w:hint="eastAsia" w:ascii="Times New Roman" w:hAnsi="Times New Roman" w:eastAsia="宋体" w:cs="Times New Roman"/>
                <w:color w:val="auto"/>
                <w:sz w:val="24"/>
              </w:rPr>
              <w:t>，</w:t>
            </w:r>
            <w:r>
              <w:rPr>
                <w:color w:val="auto"/>
                <w:sz w:val="24"/>
              </w:rPr>
              <w:t>VOC</w:t>
            </w:r>
            <w:r>
              <w:rPr>
                <w:color w:val="auto"/>
                <w:sz w:val="24"/>
                <w:vertAlign w:val="subscript"/>
              </w:rPr>
              <w:t>S</w:t>
            </w:r>
            <w:r>
              <w:rPr>
                <w:rFonts w:hint="eastAsia"/>
                <w:color w:val="auto"/>
                <w:sz w:val="24"/>
              </w:rPr>
              <w:t>（以非甲烷总烃计）</w:t>
            </w:r>
            <w:r>
              <w:rPr>
                <w:rFonts w:hint="eastAsia"/>
                <w:color w:val="auto"/>
                <w:sz w:val="24"/>
                <w:lang w:eastAsia="zh-CN"/>
              </w:rPr>
              <w:t>进入活性炭装置处理，去除效率为</w:t>
            </w:r>
            <w:r>
              <w:rPr>
                <w:rFonts w:hint="eastAsia"/>
                <w:color w:val="auto"/>
                <w:sz w:val="24"/>
                <w:lang w:val="en-US" w:eastAsia="zh-CN"/>
              </w:rPr>
              <w:t>80%，</w:t>
            </w:r>
            <w:r>
              <w:rPr>
                <w:rFonts w:hint="eastAsia"/>
                <w:color w:val="auto"/>
                <w:sz w:val="24"/>
              </w:rPr>
              <w:t>剩余废气经排气筒（DA00</w:t>
            </w:r>
            <w:r>
              <w:rPr>
                <w:rFonts w:hint="eastAsia"/>
                <w:color w:val="auto"/>
                <w:sz w:val="24"/>
                <w:lang w:val="en-US" w:eastAsia="zh-CN"/>
              </w:rPr>
              <w:t>3</w:t>
            </w:r>
            <w:r>
              <w:rPr>
                <w:rFonts w:hint="eastAsia"/>
                <w:color w:val="auto"/>
                <w:sz w:val="24"/>
              </w:rPr>
              <w:t>）排放</w:t>
            </w:r>
            <w:r>
              <w:rPr>
                <w:rFonts w:hint="eastAsia"/>
                <w:color w:val="auto"/>
                <w:sz w:val="24"/>
                <w:lang w:eastAsia="zh-CN"/>
              </w:rPr>
              <w:t>，</w:t>
            </w:r>
            <w:r>
              <w:rPr>
                <w:rFonts w:hint="eastAsia"/>
                <w:color w:val="auto"/>
                <w:sz w:val="24"/>
              </w:rPr>
              <w:t>风机风量为</w:t>
            </w:r>
            <w:r>
              <w:rPr>
                <w:rFonts w:hint="eastAsia"/>
                <w:color w:val="auto"/>
                <w:sz w:val="24"/>
                <w:lang w:val="en-US" w:eastAsia="zh-CN"/>
              </w:rPr>
              <w:t>20</w:t>
            </w:r>
            <w:r>
              <w:rPr>
                <w:rFonts w:hint="eastAsia"/>
                <w:color w:val="auto"/>
                <w:sz w:val="24"/>
              </w:rPr>
              <w:t>000m</w:t>
            </w:r>
            <w:r>
              <w:rPr>
                <w:rFonts w:hint="eastAsia"/>
                <w:color w:val="auto"/>
                <w:sz w:val="24"/>
                <w:vertAlign w:val="superscript"/>
              </w:rPr>
              <w:t>3</w:t>
            </w:r>
            <w:r>
              <w:rPr>
                <w:rFonts w:hint="eastAsia"/>
                <w:color w:val="auto"/>
                <w:sz w:val="24"/>
              </w:rPr>
              <w:t>/h。故本项目</w:t>
            </w:r>
            <w:r>
              <w:rPr>
                <w:rFonts w:hint="eastAsia"/>
                <w:color w:val="auto"/>
                <w:sz w:val="24"/>
                <w:lang w:eastAsia="zh-CN"/>
              </w:rPr>
              <w:t>油烟</w:t>
            </w:r>
            <w:r>
              <w:rPr>
                <w:rFonts w:hint="eastAsia"/>
                <w:color w:val="auto"/>
                <w:sz w:val="24"/>
              </w:rPr>
              <w:t>排放量为</w:t>
            </w:r>
            <w:r>
              <w:rPr>
                <w:rFonts w:hint="eastAsia"/>
                <w:color w:val="auto"/>
                <w:sz w:val="24"/>
                <w:lang w:val="en-US" w:eastAsia="zh-CN"/>
              </w:rPr>
              <w:t>0.09</w:t>
            </w:r>
            <w:r>
              <w:rPr>
                <w:rFonts w:hint="eastAsia"/>
                <w:color w:val="auto"/>
                <w:sz w:val="24"/>
              </w:rPr>
              <w:t>t/a，排放速率为0.</w:t>
            </w:r>
            <w:r>
              <w:rPr>
                <w:rFonts w:hint="eastAsia"/>
                <w:color w:val="auto"/>
                <w:sz w:val="24"/>
                <w:lang w:val="en-US" w:eastAsia="zh-CN"/>
              </w:rPr>
              <w:t>0375</w:t>
            </w:r>
            <w:r>
              <w:rPr>
                <w:rFonts w:hint="eastAsia"/>
                <w:color w:val="auto"/>
                <w:sz w:val="24"/>
              </w:rPr>
              <w:t>kg/h，排放浓度为1.</w:t>
            </w:r>
            <w:r>
              <w:rPr>
                <w:rFonts w:hint="eastAsia"/>
                <w:color w:val="auto"/>
                <w:sz w:val="24"/>
                <w:lang w:val="en-US" w:eastAsia="zh-CN"/>
              </w:rPr>
              <w:t>88</w:t>
            </w:r>
            <w:r>
              <w:rPr>
                <w:bCs/>
                <w:color w:val="auto"/>
                <w:spacing w:val="-10"/>
                <w:szCs w:val="21"/>
              </w:rPr>
              <w:t>mg/m</w:t>
            </w:r>
            <w:r>
              <w:rPr>
                <w:bCs/>
                <w:color w:val="auto"/>
                <w:spacing w:val="-10"/>
                <w:szCs w:val="21"/>
                <w:vertAlign w:val="superscript"/>
              </w:rPr>
              <w:t>3</w:t>
            </w:r>
            <w:r>
              <w:rPr>
                <w:rFonts w:hint="eastAsia"/>
                <w:bCs/>
                <w:color w:val="auto"/>
                <w:spacing w:val="-10"/>
                <w:szCs w:val="21"/>
                <w:lang w:eastAsia="zh-CN"/>
              </w:rPr>
              <w:t>；</w:t>
            </w:r>
            <w:r>
              <w:rPr>
                <w:color w:val="auto"/>
                <w:sz w:val="24"/>
              </w:rPr>
              <w:t>VOC</w:t>
            </w:r>
            <w:r>
              <w:rPr>
                <w:color w:val="auto"/>
                <w:sz w:val="24"/>
                <w:vertAlign w:val="subscript"/>
              </w:rPr>
              <w:t>S</w:t>
            </w:r>
            <w:r>
              <w:rPr>
                <w:rFonts w:hint="eastAsia"/>
                <w:color w:val="auto"/>
                <w:sz w:val="24"/>
              </w:rPr>
              <w:t>（以非甲烷总烃计）</w:t>
            </w:r>
            <w:r>
              <w:rPr>
                <w:rFonts w:hint="eastAsia" w:ascii="Times New Roman" w:hAnsi="Times New Roman" w:eastAsia="宋体" w:cs="Times New Roman"/>
                <w:color w:val="auto"/>
                <w:sz w:val="24"/>
                <w:lang w:eastAsia="zh-CN"/>
              </w:rPr>
              <w:t>排</w:t>
            </w:r>
            <w:r>
              <w:rPr>
                <w:rFonts w:hint="eastAsia"/>
                <w:color w:val="auto"/>
                <w:sz w:val="24"/>
              </w:rPr>
              <w:t>放量为0.</w:t>
            </w:r>
            <w:r>
              <w:rPr>
                <w:rFonts w:hint="eastAsia"/>
                <w:color w:val="auto"/>
                <w:sz w:val="24"/>
                <w:lang w:val="en-US" w:eastAsia="zh-CN"/>
              </w:rPr>
              <w:t>12</w:t>
            </w:r>
            <w:r>
              <w:rPr>
                <w:rFonts w:hint="eastAsia"/>
                <w:color w:val="auto"/>
                <w:sz w:val="24"/>
              </w:rPr>
              <w:t>t/a，排放速率为0.</w:t>
            </w:r>
            <w:r>
              <w:rPr>
                <w:rFonts w:hint="eastAsia"/>
                <w:color w:val="auto"/>
                <w:sz w:val="24"/>
                <w:lang w:val="en-US" w:eastAsia="zh-CN"/>
              </w:rPr>
              <w:t>057</w:t>
            </w:r>
            <w:r>
              <w:rPr>
                <w:rFonts w:hint="eastAsia"/>
                <w:color w:val="auto"/>
                <w:sz w:val="24"/>
              </w:rPr>
              <w:t>kg/h，排放浓度为</w:t>
            </w:r>
            <w:r>
              <w:rPr>
                <w:rFonts w:hint="eastAsia"/>
                <w:color w:val="auto"/>
                <w:sz w:val="24"/>
                <w:lang w:val="en-US" w:eastAsia="zh-CN"/>
              </w:rPr>
              <w:t>2.85</w:t>
            </w:r>
            <w:r>
              <w:rPr>
                <w:bCs/>
                <w:color w:val="auto"/>
                <w:spacing w:val="-10"/>
                <w:szCs w:val="21"/>
              </w:rPr>
              <w:t>mg/m</w:t>
            </w:r>
            <w:r>
              <w:rPr>
                <w:bCs/>
                <w:color w:val="auto"/>
                <w:spacing w:val="-10"/>
                <w:szCs w:val="21"/>
                <w:vertAlign w:val="superscript"/>
              </w:rPr>
              <w:t>3</w:t>
            </w:r>
            <w:r>
              <w:rPr>
                <w:rFonts w:hint="eastAsia"/>
                <w:bCs/>
                <w:color w:val="auto"/>
                <w:spacing w:val="-10"/>
                <w:szCs w:val="21"/>
              </w:rPr>
              <w:t>。</w:t>
            </w:r>
          </w:p>
          <w:p w14:paraId="66CE4449">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6  动物饲料油脂</w:t>
            </w:r>
            <w:r>
              <w:rPr>
                <w:rFonts w:hint="eastAsia"/>
                <w:b/>
                <w:bCs/>
                <w:color w:val="auto"/>
                <w:szCs w:val="21"/>
              </w:rPr>
              <w:t>熔炼废气分析表</w:t>
            </w:r>
          </w:p>
          <w:tbl>
            <w:tblPr>
              <w:tblStyle w:val="27"/>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094"/>
              <w:gridCol w:w="3308"/>
              <w:gridCol w:w="3309"/>
            </w:tblGrid>
            <w:tr w14:paraId="1CFA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61" w:type="dxa"/>
                  <w:gridSpan w:val="4"/>
                  <w:vAlign w:val="center"/>
                </w:tcPr>
                <w:p w14:paraId="5F49CCC0">
                  <w:pPr>
                    <w:adjustRightInd w:val="0"/>
                    <w:snapToGrid w:val="0"/>
                    <w:jc w:val="center"/>
                    <w:rPr>
                      <w:b/>
                      <w:bCs/>
                      <w:color w:val="auto"/>
                      <w:szCs w:val="21"/>
                    </w:rPr>
                  </w:pPr>
                  <w:r>
                    <w:rPr>
                      <w:rFonts w:hint="eastAsia"/>
                      <w:b/>
                      <w:bCs/>
                      <w:color w:val="auto"/>
                      <w:szCs w:val="21"/>
                      <w:lang w:eastAsia="zh-CN"/>
                    </w:rPr>
                    <w:t>动物饲料油脂</w:t>
                  </w:r>
                  <w:r>
                    <w:rPr>
                      <w:rFonts w:hint="eastAsia"/>
                      <w:b/>
                      <w:bCs/>
                      <w:color w:val="auto"/>
                      <w:szCs w:val="21"/>
                    </w:rPr>
                    <w:t>熔炼废气排放情况</w:t>
                  </w:r>
                </w:p>
              </w:tc>
            </w:tr>
            <w:tr w14:paraId="558F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4" w:type="dxa"/>
                  <w:gridSpan w:val="2"/>
                  <w:vAlign w:val="center"/>
                </w:tcPr>
                <w:p w14:paraId="15A6E9B3">
                  <w:pPr>
                    <w:adjustRightInd w:val="0"/>
                    <w:snapToGrid w:val="0"/>
                    <w:jc w:val="center"/>
                    <w:rPr>
                      <w:b/>
                      <w:color w:val="auto"/>
                      <w:spacing w:val="-10"/>
                      <w:szCs w:val="21"/>
                    </w:rPr>
                  </w:pPr>
                  <w:r>
                    <w:rPr>
                      <w:b/>
                      <w:color w:val="auto"/>
                      <w:spacing w:val="-10"/>
                      <w:szCs w:val="21"/>
                    </w:rPr>
                    <w:t>产污排污环节</w:t>
                  </w:r>
                </w:p>
              </w:tc>
              <w:tc>
                <w:tcPr>
                  <w:tcW w:w="6617" w:type="dxa"/>
                  <w:gridSpan w:val="2"/>
                  <w:vAlign w:val="center"/>
                </w:tcPr>
                <w:p w14:paraId="379BB4CF">
                  <w:pPr>
                    <w:adjustRightInd w:val="0"/>
                    <w:snapToGrid w:val="0"/>
                    <w:jc w:val="center"/>
                    <w:rPr>
                      <w:rFonts w:hint="eastAsia" w:eastAsia="宋体"/>
                      <w:bCs/>
                      <w:color w:val="auto"/>
                      <w:spacing w:val="-10"/>
                      <w:szCs w:val="21"/>
                      <w:lang w:eastAsia="zh-CN"/>
                    </w:rPr>
                  </w:pPr>
                  <w:r>
                    <w:rPr>
                      <w:rFonts w:hint="eastAsia"/>
                      <w:color w:val="auto"/>
                      <w:szCs w:val="21"/>
                    </w:rPr>
                    <w:t>熔炼废气</w:t>
                  </w:r>
                  <w:r>
                    <w:rPr>
                      <w:rFonts w:hint="eastAsia"/>
                      <w:color w:val="auto"/>
                      <w:szCs w:val="21"/>
                      <w:lang w:eastAsia="zh-CN"/>
                    </w:rPr>
                    <w:t>（动物饲料油脂）</w:t>
                  </w:r>
                </w:p>
              </w:tc>
            </w:tr>
            <w:tr w14:paraId="36B3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76C006A4">
                  <w:pPr>
                    <w:adjustRightInd w:val="0"/>
                    <w:snapToGrid w:val="0"/>
                    <w:jc w:val="center"/>
                    <w:rPr>
                      <w:b/>
                      <w:color w:val="auto"/>
                      <w:spacing w:val="-10"/>
                      <w:szCs w:val="21"/>
                    </w:rPr>
                  </w:pPr>
                  <w:r>
                    <w:rPr>
                      <w:b/>
                      <w:color w:val="auto"/>
                      <w:spacing w:val="-10"/>
                      <w:szCs w:val="21"/>
                    </w:rPr>
                    <w:t>污染物种类</w:t>
                  </w:r>
                </w:p>
              </w:tc>
              <w:tc>
                <w:tcPr>
                  <w:tcW w:w="3308" w:type="dxa"/>
                  <w:vAlign w:val="center"/>
                </w:tcPr>
                <w:p w14:paraId="07020BDB">
                  <w:pPr>
                    <w:adjustRightInd w:val="0"/>
                    <w:snapToGrid w:val="0"/>
                    <w:jc w:val="center"/>
                    <w:rPr>
                      <w:rFonts w:hint="eastAsia" w:eastAsia="宋体"/>
                      <w:bCs/>
                      <w:color w:val="auto"/>
                      <w:spacing w:val="-10"/>
                      <w:szCs w:val="21"/>
                      <w:lang w:eastAsia="zh-CN"/>
                    </w:rPr>
                  </w:pPr>
                  <w:r>
                    <w:rPr>
                      <w:rFonts w:hint="eastAsia"/>
                      <w:bCs/>
                      <w:color w:val="auto"/>
                      <w:spacing w:val="-10"/>
                      <w:szCs w:val="21"/>
                      <w:lang w:eastAsia="zh-CN"/>
                    </w:rPr>
                    <w:t>油烟</w:t>
                  </w:r>
                </w:p>
              </w:tc>
              <w:tc>
                <w:tcPr>
                  <w:tcW w:w="3309" w:type="dxa"/>
                  <w:vAlign w:val="center"/>
                </w:tcPr>
                <w:p w14:paraId="1E272A45">
                  <w:pPr>
                    <w:adjustRightInd w:val="0"/>
                    <w:snapToGrid w:val="0"/>
                    <w:jc w:val="center"/>
                    <w:rPr>
                      <w:rFonts w:hint="eastAsia" w:eastAsia="宋体"/>
                      <w:bCs/>
                      <w:color w:val="auto"/>
                      <w:spacing w:val="-10"/>
                      <w:szCs w:val="21"/>
                      <w:lang w:eastAsia="zh-CN"/>
                    </w:rPr>
                  </w:pPr>
                  <w:r>
                    <w:rPr>
                      <w:rFonts w:hint="eastAsia"/>
                      <w:bCs/>
                      <w:color w:val="auto"/>
                      <w:spacing w:val="-10"/>
                      <w:szCs w:val="21"/>
                      <w:lang w:eastAsia="zh-CN"/>
                    </w:rPr>
                    <w:t>非甲烷总烃</w:t>
                  </w:r>
                </w:p>
              </w:tc>
            </w:tr>
            <w:tr w14:paraId="40A1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1CCD7931">
                  <w:pPr>
                    <w:adjustRightInd w:val="0"/>
                    <w:snapToGrid w:val="0"/>
                    <w:jc w:val="center"/>
                    <w:rPr>
                      <w:b/>
                      <w:color w:val="auto"/>
                      <w:spacing w:val="-10"/>
                      <w:szCs w:val="21"/>
                    </w:rPr>
                  </w:pPr>
                  <w:r>
                    <w:rPr>
                      <w:b/>
                      <w:color w:val="auto"/>
                      <w:spacing w:val="-10"/>
                      <w:szCs w:val="21"/>
                    </w:rPr>
                    <w:t>污染物产生量</w:t>
                  </w:r>
                </w:p>
              </w:tc>
              <w:tc>
                <w:tcPr>
                  <w:tcW w:w="3308" w:type="dxa"/>
                  <w:vAlign w:val="center"/>
                </w:tcPr>
                <w:p w14:paraId="3A8CC135">
                  <w:pPr>
                    <w:adjustRightInd w:val="0"/>
                    <w:snapToGrid w:val="0"/>
                    <w:jc w:val="center"/>
                    <w:rPr>
                      <w:bCs/>
                      <w:color w:val="auto"/>
                      <w:spacing w:val="-10"/>
                      <w:szCs w:val="21"/>
                    </w:rPr>
                  </w:pPr>
                  <w:r>
                    <w:rPr>
                      <w:rFonts w:hint="eastAsia"/>
                      <w:color w:val="auto"/>
                      <w:szCs w:val="21"/>
                      <w:lang w:val="en-US" w:eastAsia="zh-CN"/>
                    </w:rPr>
                    <w:t>9</w:t>
                  </w:r>
                  <w:r>
                    <w:rPr>
                      <w:rFonts w:hint="eastAsia"/>
                      <w:color w:val="auto"/>
                      <w:szCs w:val="21"/>
                    </w:rPr>
                    <w:t>t</w:t>
                  </w:r>
                  <w:r>
                    <w:rPr>
                      <w:color w:val="auto"/>
                      <w:szCs w:val="21"/>
                    </w:rPr>
                    <w:t>/a</w:t>
                  </w:r>
                </w:p>
              </w:tc>
              <w:tc>
                <w:tcPr>
                  <w:tcW w:w="3309" w:type="dxa"/>
                  <w:vAlign w:val="center"/>
                </w:tcPr>
                <w:p w14:paraId="37B595E5">
                  <w:pPr>
                    <w:adjustRightInd w:val="0"/>
                    <w:snapToGrid w:val="0"/>
                    <w:jc w:val="center"/>
                    <w:rPr>
                      <w:rFonts w:hint="default"/>
                      <w:color w:val="auto"/>
                      <w:szCs w:val="21"/>
                      <w:lang w:val="en-US"/>
                    </w:rPr>
                  </w:pPr>
                  <w:r>
                    <w:rPr>
                      <w:rFonts w:hint="eastAsia" w:cs="Times New Roman"/>
                      <w:color w:val="auto"/>
                      <w:szCs w:val="21"/>
                      <w:lang w:val="en-US" w:eastAsia="zh-CN"/>
                    </w:rPr>
                    <w:t>0.6</w:t>
                  </w:r>
                  <w:r>
                    <w:rPr>
                      <w:rFonts w:hint="eastAsia" w:ascii="Times New Roman" w:hAnsi="Times New Roman" w:eastAsia="宋体" w:cs="Times New Roman"/>
                      <w:color w:val="auto"/>
                      <w:szCs w:val="21"/>
                      <w:lang w:val="en-US" w:eastAsia="zh-CN"/>
                    </w:rPr>
                    <w:t>t/a</w:t>
                  </w:r>
                </w:p>
              </w:tc>
            </w:tr>
            <w:tr w14:paraId="58CD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4B3DDED0">
                  <w:pPr>
                    <w:adjustRightInd w:val="0"/>
                    <w:snapToGrid w:val="0"/>
                    <w:jc w:val="center"/>
                    <w:rPr>
                      <w:b/>
                      <w:color w:val="auto"/>
                      <w:spacing w:val="-10"/>
                      <w:szCs w:val="21"/>
                    </w:rPr>
                  </w:pPr>
                  <w:r>
                    <w:rPr>
                      <w:b/>
                      <w:color w:val="auto"/>
                      <w:spacing w:val="-10"/>
                      <w:szCs w:val="21"/>
                    </w:rPr>
                    <w:t>污染物产生浓度</w:t>
                  </w:r>
                </w:p>
              </w:tc>
              <w:tc>
                <w:tcPr>
                  <w:tcW w:w="3308" w:type="dxa"/>
                  <w:vAlign w:val="center"/>
                </w:tcPr>
                <w:p w14:paraId="0260A86E">
                  <w:pPr>
                    <w:widowControl/>
                    <w:jc w:val="center"/>
                    <w:textAlignment w:val="center"/>
                    <w:rPr>
                      <w:rFonts w:ascii="宋体" w:hAnsi="宋体" w:cs="宋体"/>
                      <w:color w:val="auto"/>
                      <w:sz w:val="24"/>
                    </w:rPr>
                  </w:pPr>
                  <w:r>
                    <w:rPr>
                      <w:rFonts w:hint="eastAsia"/>
                      <w:color w:val="auto"/>
                      <w:szCs w:val="21"/>
                      <w:lang w:val="en-US" w:eastAsia="zh-CN"/>
                    </w:rPr>
                    <w:t>187.5</w:t>
                  </w:r>
                  <w:r>
                    <w:rPr>
                      <w:bCs/>
                      <w:color w:val="auto"/>
                      <w:spacing w:val="-10"/>
                      <w:szCs w:val="21"/>
                    </w:rPr>
                    <w:t>mg/m</w:t>
                  </w:r>
                  <w:r>
                    <w:rPr>
                      <w:bCs/>
                      <w:color w:val="auto"/>
                      <w:spacing w:val="-10"/>
                      <w:szCs w:val="21"/>
                      <w:vertAlign w:val="superscript"/>
                    </w:rPr>
                    <w:t>3</w:t>
                  </w:r>
                </w:p>
              </w:tc>
              <w:tc>
                <w:tcPr>
                  <w:tcW w:w="3309" w:type="dxa"/>
                  <w:vAlign w:val="center"/>
                </w:tcPr>
                <w:p w14:paraId="001E9B4B">
                  <w:pPr>
                    <w:widowControl/>
                    <w:jc w:val="center"/>
                    <w:textAlignment w:val="center"/>
                    <w:rPr>
                      <w:rFonts w:hint="eastAsia"/>
                      <w:color w:val="auto"/>
                      <w:szCs w:val="21"/>
                    </w:rPr>
                  </w:pPr>
                  <w:r>
                    <w:rPr>
                      <w:rFonts w:hint="eastAsia"/>
                      <w:bCs/>
                      <w:color w:val="auto"/>
                      <w:spacing w:val="-10"/>
                      <w:szCs w:val="21"/>
                      <w:lang w:val="en-US" w:eastAsia="zh-CN"/>
                    </w:rPr>
                    <w:t>12.5</w:t>
                  </w:r>
                  <w:r>
                    <w:rPr>
                      <w:bCs/>
                      <w:color w:val="auto"/>
                      <w:spacing w:val="-10"/>
                      <w:szCs w:val="21"/>
                    </w:rPr>
                    <w:t>mg/m</w:t>
                  </w:r>
                  <w:r>
                    <w:rPr>
                      <w:bCs/>
                      <w:color w:val="auto"/>
                      <w:spacing w:val="-10"/>
                      <w:szCs w:val="21"/>
                      <w:vertAlign w:val="superscript"/>
                    </w:rPr>
                    <w:t>3</w:t>
                  </w:r>
                </w:p>
              </w:tc>
            </w:tr>
            <w:tr w14:paraId="18CE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0EE48C5F">
                  <w:pPr>
                    <w:adjustRightInd w:val="0"/>
                    <w:snapToGrid w:val="0"/>
                    <w:jc w:val="center"/>
                    <w:rPr>
                      <w:b/>
                      <w:color w:val="auto"/>
                      <w:spacing w:val="-10"/>
                      <w:szCs w:val="21"/>
                    </w:rPr>
                  </w:pPr>
                  <w:r>
                    <w:rPr>
                      <w:b/>
                      <w:color w:val="auto"/>
                      <w:spacing w:val="-10"/>
                      <w:szCs w:val="21"/>
                    </w:rPr>
                    <w:t>排放形式</w:t>
                  </w:r>
                </w:p>
              </w:tc>
              <w:tc>
                <w:tcPr>
                  <w:tcW w:w="3308" w:type="dxa"/>
                  <w:vAlign w:val="center"/>
                </w:tcPr>
                <w:p w14:paraId="75A3953B">
                  <w:pPr>
                    <w:adjustRightInd w:val="0"/>
                    <w:snapToGrid w:val="0"/>
                    <w:jc w:val="center"/>
                    <w:rPr>
                      <w:bCs/>
                      <w:color w:val="auto"/>
                      <w:spacing w:val="-10"/>
                      <w:szCs w:val="21"/>
                    </w:rPr>
                  </w:pPr>
                  <w:r>
                    <w:rPr>
                      <w:rFonts w:hint="eastAsia"/>
                      <w:bCs/>
                      <w:color w:val="auto"/>
                      <w:spacing w:val="-10"/>
                      <w:szCs w:val="21"/>
                    </w:rPr>
                    <w:t>有</w:t>
                  </w:r>
                  <w:r>
                    <w:rPr>
                      <w:bCs/>
                      <w:color w:val="auto"/>
                      <w:spacing w:val="-10"/>
                      <w:szCs w:val="21"/>
                    </w:rPr>
                    <w:t>组织</w:t>
                  </w:r>
                </w:p>
              </w:tc>
              <w:tc>
                <w:tcPr>
                  <w:tcW w:w="3309" w:type="dxa"/>
                  <w:vAlign w:val="center"/>
                </w:tcPr>
                <w:p w14:paraId="0620DE96">
                  <w:pPr>
                    <w:adjustRightInd w:val="0"/>
                    <w:snapToGrid w:val="0"/>
                    <w:jc w:val="center"/>
                    <w:rPr>
                      <w:rFonts w:hint="eastAsia" w:eastAsia="宋体"/>
                      <w:bCs/>
                      <w:color w:val="auto"/>
                      <w:spacing w:val="-10"/>
                      <w:szCs w:val="21"/>
                      <w:lang w:eastAsia="zh-CN"/>
                    </w:rPr>
                  </w:pPr>
                  <w:r>
                    <w:rPr>
                      <w:rFonts w:hint="eastAsia"/>
                      <w:bCs/>
                      <w:color w:val="auto"/>
                      <w:spacing w:val="-10"/>
                      <w:szCs w:val="21"/>
                      <w:lang w:eastAsia="zh-CN"/>
                    </w:rPr>
                    <w:t>有组织</w:t>
                  </w:r>
                </w:p>
              </w:tc>
            </w:tr>
            <w:tr w14:paraId="77D8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14:paraId="72FCBF13">
                  <w:pPr>
                    <w:adjustRightInd w:val="0"/>
                    <w:snapToGrid w:val="0"/>
                    <w:jc w:val="center"/>
                    <w:rPr>
                      <w:b/>
                      <w:color w:val="auto"/>
                      <w:spacing w:val="-10"/>
                      <w:szCs w:val="21"/>
                    </w:rPr>
                  </w:pPr>
                  <w:r>
                    <w:rPr>
                      <w:b/>
                      <w:color w:val="auto"/>
                      <w:spacing w:val="-10"/>
                      <w:szCs w:val="21"/>
                    </w:rPr>
                    <w:t>治理设施</w:t>
                  </w:r>
                </w:p>
              </w:tc>
              <w:tc>
                <w:tcPr>
                  <w:tcW w:w="1094" w:type="dxa"/>
                  <w:vAlign w:val="center"/>
                </w:tcPr>
                <w:p w14:paraId="578161FE">
                  <w:pPr>
                    <w:adjustRightInd w:val="0"/>
                    <w:snapToGrid w:val="0"/>
                    <w:jc w:val="center"/>
                    <w:rPr>
                      <w:b/>
                      <w:color w:val="auto"/>
                      <w:spacing w:val="-10"/>
                      <w:szCs w:val="21"/>
                    </w:rPr>
                  </w:pPr>
                  <w:r>
                    <w:rPr>
                      <w:b/>
                      <w:color w:val="auto"/>
                      <w:spacing w:val="-10"/>
                      <w:szCs w:val="21"/>
                    </w:rPr>
                    <w:t>处理能力</w:t>
                  </w:r>
                </w:p>
              </w:tc>
              <w:tc>
                <w:tcPr>
                  <w:tcW w:w="3308" w:type="dxa"/>
                  <w:vAlign w:val="center"/>
                </w:tcPr>
                <w:p w14:paraId="04E6C8C3">
                  <w:pPr>
                    <w:adjustRightInd w:val="0"/>
                    <w:snapToGrid w:val="0"/>
                    <w:jc w:val="center"/>
                    <w:rPr>
                      <w:color w:val="auto"/>
                    </w:rPr>
                  </w:pPr>
                  <w:r>
                    <w:rPr>
                      <w:color w:val="auto"/>
                    </w:rPr>
                    <w:t>/</w:t>
                  </w:r>
                </w:p>
              </w:tc>
              <w:tc>
                <w:tcPr>
                  <w:tcW w:w="3309" w:type="dxa"/>
                  <w:vAlign w:val="center"/>
                </w:tcPr>
                <w:p w14:paraId="400781F9">
                  <w:pPr>
                    <w:adjustRightInd w:val="0"/>
                    <w:snapToGrid w:val="0"/>
                    <w:jc w:val="center"/>
                    <w:rPr>
                      <w:rFonts w:hint="eastAsia" w:eastAsia="宋体"/>
                      <w:color w:val="auto"/>
                      <w:lang w:val="en-US" w:eastAsia="zh-CN"/>
                    </w:rPr>
                  </w:pPr>
                  <w:r>
                    <w:rPr>
                      <w:rFonts w:hint="eastAsia"/>
                      <w:color w:val="auto"/>
                      <w:lang w:val="en-US" w:eastAsia="zh-CN"/>
                    </w:rPr>
                    <w:t>/</w:t>
                  </w:r>
                </w:p>
              </w:tc>
            </w:tr>
            <w:tr w14:paraId="47FC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14:paraId="1C8B238E">
                  <w:pPr>
                    <w:adjustRightInd w:val="0"/>
                    <w:snapToGrid w:val="0"/>
                    <w:jc w:val="center"/>
                    <w:rPr>
                      <w:b/>
                      <w:color w:val="auto"/>
                      <w:spacing w:val="-10"/>
                      <w:szCs w:val="21"/>
                    </w:rPr>
                  </w:pPr>
                </w:p>
              </w:tc>
              <w:tc>
                <w:tcPr>
                  <w:tcW w:w="1094" w:type="dxa"/>
                  <w:vAlign w:val="center"/>
                </w:tcPr>
                <w:p w14:paraId="1DBEC9D3">
                  <w:pPr>
                    <w:adjustRightInd w:val="0"/>
                    <w:snapToGrid w:val="0"/>
                    <w:jc w:val="center"/>
                    <w:rPr>
                      <w:b/>
                      <w:color w:val="auto"/>
                      <w:spacing w:val="-10"/>
                      <w:szCs w:val="21"/>
                    </w:rPr>
                  </w:pPr>
                  <w:r>
                    <w:rPr>
                      <w:b/>
                      <w:color w:val="auto"/>
                      <w:spacing w:val="-10"/>
                      <w:szCs w:val="21"/>
                    </w:rPr>
                    <w:t>收集效率</w:t>
                  </w:r>
                </w:p>
              </w:tc>
              <w:tc>
                <w:tcPr>
                  <w:tcW w:w="3308" w:type="dxa"/>
                  <w:vAlign w:val="center"/>
                </w:tcPr>
                <w:p w14:paraId="2E671D66">
                  <w:pPr>
                    <w:adjustRightInd w:val="0"/>
                    <w:snapToGrid w:val="0"/>
                    <w:jc w:val="center"/>
                    <w:rPr>
                      <w:color w:val="auto"/>
                    </w:rPr>
                  </w:pPr>
                  <w:r>
                    <w:rPr>
                      <w:rFonts w:hint="eastAsia"/>
                      <w:color w:val="auto"/>
                    </w:rPr>
                    <w:t>100%</w:t>
                  </w:r>
                </w:p>
              </w:tc>
              <w:tc>
                <w:tcPr>
                  <w:tcW w:w="3309" w:type="dxa"/>
                  <w:vAlign w:val="center"/>
                </w:tcPr>
                <w:p w14:paraId="0EB5F201">
                  <w:pPr>
                    <w:adjustRightInd w:val="0"/>
                    <w:snapToGrid w:val="0"/>
                    <w:jc w:val="center"/>
                    <w:rPr>
                      <w:rFonts w:hint="default" w:eastAsia="宋体"/>
                      <w:color w:val="auto"/>
                      <w:lang w:val="en-US" w:eastAsia="zh-CN"/>
                    </w:rPr>
                  </w:pPr>
                  <w:r>
                    <w:rPr>
                      <w:rFonts w:hint="eastAsia"/>
                      <w:color w:val="auto"/>
                      <w:lang w:val="en-US" w:eastAsia="zh-CN"/>
                    </w:rPr>
                    <w:t>100%</w:t>
                  </w:r>
                </w:p>
              </w:tc>
            </w:tr>
            <w:tr w14:paraId="79C3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14:paraId="1AEDE440">
                  <w:pPr>
                    <w:adjustRightInd w:val="0"/>
                    <w:snapToGrid w:val="0"/>
                    <w:jc w:val="center"/>
                    <w:rPr>
                      <w:b/>
                      <w:color w:val="auto"/>
                      <w:spacing w:val="-10"/>
                      <w:szCs w:val="21"/>
                    </w:rPr>
                  </w:pPr>
                </w:p>
              </w:tc>
              <w:tc>
                <w:tcPr>
                  <w:tcW w:w="1094" w:type="dxa"/>
                  <w:vAlign w:val="center"/>
                </w:tcPr>
                <w:p w14:paraId="0B8F2DEF">
                  <w:pPr>
                    <w:adjustRightInd w:val="0"/>
                    <w:snapToGrid w:val="0"/>
                    <w:jc w:val="center"/>
                    <w:rPr>
                      <w:b/>
                      <w:color w:val="auto"/>
                      <w:spacing w:val="-10"/>
                      <w:szCs w:val="21"/>
                    </w:rPr>
                  </w:pPr>
                  <w:r>
                    <w:rPr>
                      <w:b/>
                      <w:color w:val="auto"/>
                      <w:spacing w:val="-10"/>
                      <w:szCs w:val="21"/>
                    </w:rPr>
                    <w:t>治理工艺</w:t>
                  </w:r>
                </w:p>
              </w:tc>
              <w:tc>
                <w:tcPr>
                  <w:tcW w:w="3308" w:type="dxa"/>
                  <w:vAlign w:val="center"/>
                </w:tcPr>
                <w:p w14:paraId="0D4520C7">
                  <w:pPr>
                    <w:adjustRightInd w:val="0"/>
                    <w:snapToGrid w:val="0"/>
                    <w:jc w:val="center"/>
                    <w:rPr>
                      <w:color w:val="auto"/>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+油烟净化器</w:t>
                  </w:r>
                </w:p>
              </w:tc>
              <w:tc>
                <w:tcPr>
                  <w:tcW w:w="3309" w:type="dxa"/>
                  <w:vAlign w:val="center"/>
                </w:tcPr>
                <w:p w14:paraId="17972795">
                  <w:pPr>
                    <w:adjustRightInd w:val="0"/>
                    <w:snapToGrid w:val="0"/>
                    <w:jc w:val="center"/>
                    <w:rPr>
                      <w:rFonts w:hint="eastAsia" w:eastAsia="Times New Roman"/>
                      <w:color w:val="auto"/>
                      <w:szCs w:val="21"/>
                      <w:lang w:val="zh-CN"/>
                    </w:rPr>
                  </w:pPr>
                  <w:r>
                    <w:rPr>
                      <w:rFonts w:hint="eastAsia" w:eastAsia="Times New Roman"/>
                      <w:color w:val="auto"/>
                      <w:szCs w:val="21"/>
                      <w:lang w:val="zh-CN"/>
                    </w:rPr>
                    <w:t>活性炭装置</w:t>
                  </w:r>
                </w:p>
              </w:tc>
            </w:tr>
            <w:tr w14:paraId="286A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14:paraId="0DE4F5F4">
                  <w:pPr>
                    <w:adjustRightInd w:val="0"/>
                    <w:snapToGrid w:val="0"/>
                    <w:jc w:val="center"/>
                    <w:rPr>
                      <w:b/>
                      <w:color w:val="auto"/>
                      <w:spacing w:val="-10"/>
                      <w:szCs w:val="21"/>
                    </w:rPr>
                  </w:pPr>
                </w:p>
              </w:tc>
              <w:tc>
                <w:tcPr>
                  <w:tcW w:w="1094" w:type="dxa"/>
                  <w:vAlign w:val="center"/>
                </w:tcPr>
                <w:p w14:paraId="2F86E5B3">
                  <w:pPr>
                    <w:adjustRightInd w:val="0"/>
                    <w:snapToGrid w:val="0"/>
                    <w:jc w:val="center"/>
                    <w:rPr>
                      <w:b/>
                      <w:color w:val="auto"/>
                      <w:spacing w:val="-10"/>
                      <w:szCs w:val="21"/>
                    </w:rPr>
                  </w:pPr>
                  <w:r>
                    <w:rPr>
                      <w:b/>
                      <w:color w:val="auto"/>
                      <w:spacing w:val="-10"/>
                      <w:szCs w:val="21"/>
                    </w:rPr>
                    <w:t>治理工艺去除率</w:t>
                  </w:r>
                </w:p>
              </w:tc>
              <w:tc>
                <w:tcPr>
                  <w:tcW w:w="3308" w:type="dxa"/>
                  <w:vAlign w:val="center"/>
                </w:tcPr>
                <w:p w14:paraId="082B9E78">
                  <w:pPr>
                    <w:adjustRightInd w:val="0"/>
                    <w:snapToGrid w:val="0"/>
                    <w:jc w:val="center"/>
                    <w:rPr>
                      <w:color w:val="auto"/>
                    </w:rPr>
                  </w:pPr>
                  <w:r>
                    <w:rPr>
                      <w:rFonts w:hint="eastAsia"/>
                      <w:color w:val="auto"/>
                      <w:lang w:val="en-US" w:eastAsia="zh-CN"/>
                    </w:rPr>
                    <w:t>90</w:t>
                  </w:r>
                  <w:r>
                    <w:rPr>
                      <w:rFonts w:hint="eastAsia"/>
                      <w:color w:val="auto"/>
                    </w:rPr>
                    <w:t>%</w:t>
                  </w:r>
                </w:p>
              </w:tc>
              <w:tc>
                <w:tcPr>
                  <w:tcW w:w="3309" w:type="dxa"/>
                  <w:vAlign w:val="center"/>
                </w:tcPr>
                <w:p w14:paraId="7543E4A4">
                  <w:pPr>
                    <w:adjustRightInd w:val="0"/>
                    <w:snapToGrid w:val="0"/>
                    <w:jc w:val="center"/>
                    <w:rPr>
                      <w:rFonts w:hint="default" w:eastAsia="宋体"/>
                      <w:color w:val="auto"/>
                      <w:lang w:val="en-US" w:eastAsia="zh-CN"/>
                    </w:rPr>
                  </w:pPr>
                  <w:r>
                    <w:rPr>
                      <w:rFonts w:hint="eastAsia"/>
                      <w:color w:val="auto"/>
                      <w:lang w:val="en-US" w:eastAsia="zh-CN"/>
                    </w:rPr>
                    <w:t>80%</w:t>
                  </w:r>
                </w:p>
              </w:tc>
            </w:tr>
            <w:tr w14:paraId="1F62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50" w:type="dxa"/>
                  <w:vMerge w:val="continue"/>
                  <w:vAlign w:val="center"/>
                </w:tcPr>
                <w:p w14:paraId="25DAF82A">
                  <w:pPr>
                    <w:adjustRightInd w:val="0"/>
                    <w:snapToGrid w:val="0"/>
                    <w:jc w:val="center"/>
                    <w:rPr>
                      <w:b/>
                      <w:color w:val="auto"/>
                      <w:spacing w:val="-10"/>
                      <w:szCs w:val="21"/>
                    </w:rPr>
                  </w:pPr>
                </w:p>
              </w:tc>
              <w:tc>
                <w:tcPr>
                  <w:tcW w:w="1094" w:type="dxa"/>
                  <w:vAlign w:val="center"/>
                </w:tcPr>
                <w:p w14:paraId="17DCC470">
                  <w:pPr>
                    <w:adjustRightInd w:val="0"/>
                    <w:snapToGrid w:val="0"/>
                    <w:jc w:val="center"/>
                    <w:rPr>
                      <w:b/>
                      <w:color w:val="auto"/>
                      <w:spacing w:val="-10"/>
                      <w:szCs w:val="21"/>
                    </w:rPr>
                  </w:pPr>
                  <w:r>
                    <w:rPr>
                      <w:b/>
                      <w:color w:val="auto"/>
                      <w:spacing w:val="-10"/>
                      <w:szCs w:val="21"/>
                    </w:rPr>
                    <w:t>是否为可行技术</w:t>
                  </w:r>
                </w:p>
              </w:tc>
              <w:tc>
                <w:tcPr>
                  <w:tcW w:w="3308" w:type="dxa"/>
                  <w:vAlign w:val="center"/>
                </w:tcPr>
                <w:p w14:paraId="1AD8A225">
                  <w:pPr>
                    <w:adjustRightInd w:val="0"/>
                    <w:snapToGrid w:val="0"/>
                    <w:jc w:val="center"/>
                    <w:rPr>
                      <w:color w:val="auto"/>
                    </w:rPr>
                  </w:pPr>
                  <w:r>
                    <w:rPr>
                      <w:rFonts w:hint="eastAsia"/>
                      <w:bCs/>
                      <w:color w:val="auto"/>
                      <w:spacing w:val="-10"/>
                      <w:szCs w:val="21"/>
                    </w:rPr>
                    <w:t>是</w:t>
                  </w:r>
                </w:p>
              </w:tc>
              <w:tc>
                <w:tcPr>
                  <w:tcW w:w="3309" w:type="dxa"/>
                  <w:vAlign w:val="center"/>
                </w:tcPr>
                <w:p w14:paraId="5333EB7C">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是</w:t>
                  </w:r>
                </w:p>
              </w:tc>
            </w:tr>
            <w:tr w14:paraId="01A7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44" w:type="dxa"/>
                  <w:gridSpan w:val="2"/>
                  <w:vAlign w:val="center"/>
                </w:tcPr>
                <w:p w14:paraId="24FBFCF4">
                  <w:pPr>
                    <w:adjustRightInd w:val="0"/>
                    <w:snapToGrid w:val="0"/>
                    <w:jc w:val="center"/>
                    <w:rPr>
                      <w:b/>
                      <w:color w:val="auto"/>
                      <w:spacing w:val="-10"/>
                      <w:szCs w:val="21"/>
                    </w:rPr>
                  </w:pPr>
                  <w:r>
                    <w:rPr>
                      <w:b/>
                      <w:color w:val="auto"/>
                      <w:spacing w:val="-10"/>
                      <w:szCs w:val="21"/>
                    </w:rPr>
                    <w:t>污染物排放浓度</w:t>
                  </w:r>
                </w:p>
              </w:tc>
              <w:tc>
                <w:tcPr>
                  <w:tcW w:w="3308" w:type="dxa"/>
                  <w:vAlign w:val="center"/>
                </w:tcPr>
                <w:p w14:paraId="718D7AF9">
                  <w:pPr>
                    <w:adjustRightInd w:val="0"/>
                    <w:snapToGrid w:val="0"/>
                    <w:jc w:val="center"/>
                    <w:rPr>
                      <w:bCs/>
                      <w:color w:val="auto"/>
                      <w:spacing w:val="-10"/>
                      <w:szCs w:val="21"/>
                    </w:rPr>
                  </w:pPr>
                  <w:r>
                    <w:rPr>
                      <w:rFonts w:hint="eastAsia"/>
                      <w:color w:val="auto"/>
                      <w:szCs w:val="21"/>
                    </w:rPr>
                    <w:t>1.</w:t>
                  </w:r>
                  <w:r>
                    <w:rPr>
                      <w:rFonts w:hint="eastAsia"/>
                      <w:color w:val="auto"/>
                      <w:szCs w:val="21"/>
                      <w:lang w:val="en-US" w:eastAsia="zh-CN"/>
                    </w:rPr>
                    <w:t>88</w:t>
                  </w:r>
                  <w:r>
                    <w:rPr>
                      <w:bCs/>
                      <w:color w:val="auto"/>
                      <w:spacing w:val="-10"/>
                      <w:szCs w:val="21"/>
                    </w:rPr>
                    <w:t>mg/m</w:t>
                  </w:r>
                  <w:r>
                    <w:rPr>
                      <w:bCs/>
                      <w:color w:val="auto"/>
                      <w:spacing w:val="-10"/>
                      <w:szCs w:val="21"/>
                      <w:vertAlign w:val="superscript"/>
                    </w:rPr>
                    <w:t>3</w:t>
                  </w:r>
                </w:p>
              </w:tc>
              <w:tc>
                <w:tcPr>
                  <w:tcW w:w="3309" w:type="dxa"/>
                  <w:vAlign w:val="center"/>
                </w:tcPr>
                <w:p w14:paraId="4D1FFF21">
                  <w:pPr>
                    <w:adjustRightInd w:val="0"/>
                    <w:snapToGrid w:val="0"/>
                    <w:jc w:val="center"/>
                    <w:rPr>
                      <w:rFonts w:hint="eastAsia"/>
                      <w:color w:val="auto"/>
                      <w:szCs w:val="21"/>
                    </w:rPr>
                  </w:pPr>
                  <w:r>
                    <w:rPr>
                      <w:rFonts w:hint="eastAsia"/>
                      <w:color w:val="auto"/>
                      <w:szCs w:val="21"/>
                      <w:lang w:val="en-US" w:eastAsia="zh-CN"/>
                    </w:rPr>
                    <w:t>2.85</w:t>
                  </w:r>
                  <w:r>
                    <w:rPr>
                      <w:bCs/>
                      <w:color w:val="auto"/>
                      <w:spacing w:val="-10"/>
                      <w:szCs w:val="21"/>
                    </w:rPr>
                    <w:t>mg/m</w:t>
                  </w:r>
                  <w:r>
                    <w:rPr>
                      <w:bCs/>
                      <w:color w:val="auto"/>
                      <w:spacing w:val="-10"/>
                      <w:szCs w:val="21"/>
                      <w:vertAlign w:val="superscript"/>
                    </w:rPr>
                    <w:t>3</w:t>
                  </w:r>
                </w:p>
              </w:tc>
            </w:tr>
            <w:tr w14:paraId="2A5A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26660479">
                  <w:pPr>
                    <w:adjustRightInd w:val="0"/>
                    <w:snapToGrid w:val="0"/>
                    <w:jc w:val="center"/>
                    <w:rPr>
                      <w:b/>
                      <w:color w:val="auto"/>
                      <w:spacing w:val="-10"/>
                      <w:szCs w:val="21"/>
                    </w:rPr>
                  </w:pPr>
                  <w:r>
                    <w:rPr>
                      <w:b/>
                      <w:color w:val="auto"/>
                      <w:spacing w:val="-10"/>
                      <w:szCs w:val="21"/>
                    </w:rPr>
                    <w:t>污染物排放速率</w:t>
                  </w:r>
                </w:p>
              </w:tc>
              <w:tc>
                <w:tcPr>
                  <w:tcW w:w="3308" w:type="dxa"/>
                  <w:vAlign w:val="center"/>
                </w:tcPr>
                <w:p w14:paraId="31E87BA5">
                  <w:pPr>
                    <w:adjustRightInd w:val="0"/>
                    <w:snapToGrid w:val="0"/>
                    <w:jc w:val="center"/>
                    <w:rPr>
                      <w:color w:val="auto"/>
                      <w:szCs w:val="21"/>
                    </w:rPr>
                  </w:pPr>
                  <w:r>
                    <w:rPr>
                      <w:rFonts w:hint="eastAsia"/>
                      <w:color w:val="auto"/>
                      <w:szCs w:val="21"/>
                    </w:rPr>
                    <w:t>0.0</w:t>
                  </w:r>
                  <w:r>
                    <w:rPr>
                      <w:rFonts w:hint="eastAsia"/>
                      <w:color w:val="auto"/>
                      <w:szCs w:val="21"/>
                      <w:lang w:val="en-US" w:eastAsia="zh-CN"/>
                    </w:rPr>
                    <w:t>375</w:t>
                  </w:r>
                  <w:r>
                    <w:rPr>
                      <w:rFonts w:hint="eastAsia"/>
                      <w:color w:val="auto"/>
                      <w:szCs w:val="21"/>
                    </w:rPr>
                    <w:t>kg/h</w:t>
                  </w:r>
                </w:p>
              </w:tc>
              <w:tc>
                <w:tcPr>
                  <w:tcW w:w="3309" w:type="dxa"/>
                  <w:vAlign w:val="center"/>
                </w:tcPr>
                <w:p w14:paraId="48C33C95">
                  <w:pPr>
                    <w:adjustRightInd w:val="0"/>
                    <w:snapToGrid w:val="0"/>
                    <w:jc w:val="center"/>
                    <w:rPr>
                      <w:rFonts w:hint="eastAsia"/>
                      <w:color w:val="auto"/>
                      <w:szCs w:val="21"/>
                    </w:rPr>
                  </w:pPr>
                  <w:r>
                    <w:rPr>
                      <w:rFonts w:hint="eastAsia"/>
                      <w:color w:val="auto"/>
                      <w:szCs w:val="21"/>
                      <w:lang w:val="en-US" w:eastAsia="zh-CN"/>
                    </w:rPr>
                    <w:t>0.057</w:t>
                  </w:r>
                  <w:r>
                    <w:rPr>
                      <w:rFonts w:hint="eastAsia"/>
                      <w:color w:val="auto"/>
                      <w:szCs w:val="21"/>
                    </w:rPr>
                    <w:t>kg/h</w:t>
                  </w:r>
                </w:p>
              </w:tc>
            </w:tr>
            <w:tr w14:paraId="7680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6DA5D1EF">
                  <w:pPr>
                    <w:adjustRightInd w:val="0"/>
                    <w:snapToGrid w:val="0"/>
                    <w:jc w:val="center"/>
                    <w:rPr>
                      <w:b/>
                      <w:color w:val="auto"/>
                      <w:spacing w:val="-10"/>
                      <w:szCs w:val="21"/>
                    </w:rPr>
                  </w:pPr>
                  <w:r>
                    <w:rPr>
                      <w:b/>
                      <w:color w:val="auto"/>
                      <w:spacing w:val="-10"/>
                      <w:szCs w:val="21"/>
                    </w:rPr>
                    <w:t>污染物排放量</w:t>
                  </w:r>
                </w:p>
              </w:tc>
              <w:tc>
                <w:tcPr>
                  <w:tcW w:w="3308" w:type="dxa"/>
                  <w:vAlign w:val="center"/>
                </w:tcPr>
                <w:p w14:paraId="4789C73C">
                  <w:pPr>
                    <w:adjustRightInd w:val="0"/>
                    <w:snapToGrid w:val="0"/>
                    <w:jc w:val="center"/>
                    <w:rPr>
                      <w:color w:val="auto"/>
                      <w:szCs w:val="21"/>
                    </w:rPr>
                  </w:pPr>
                  <w:r>
                    <w:rPr>
                      <w:rFonts w:hint="eastAsia"/>
                      <w:color w:val="auto"/>
                      <w:szCs w:val="21"/>
                    </w:rPr>
                    <w:t>0.</w:t>
                  </w:r>
                  <w:r>
                    <w:rPr>
                      <w:rFonts w:hint="eastAsia"/>
                      <w:color w:val="auto"/>
                      <w:szCs w:val="21"/>
                      <w:lang w:val="en-US" w:eastAsia="zh-CN"/>
                    </w:rPr>
                    <w:t>09</w:t>
                  </w:r>
                  <w:r>
                    <w:rPr>
                      <w:rFonts w:hint="eastAsia"/>
                      <w:color w:val="auto"/>
                      <w:szCs w:val="21"/>
                    </w:rPr>
                    <w:t>t/a</w:t>
                  </w:r>
                </w:p>
              </w:tc>
              <w:tc>
                <w:tcPr>
                  <w:tcW w:w="3309" w:type="dxa"/>
                  <w:vAlign w:val="center"/>
                </w:tcPr>
                <w:p w14:paraId="31D4C738">
                  <w:pPr>
                    <w:adjustRightInd w:val="0"/>
                    <w:snapToGrid w:val="0"/>
                    <w:jc w:val="center"/>
                    <w:rPr>
                      <w:rFonts w:hint="eastAsia"/>
                      <w:color w:val="auto"/>
                      <w:szCs w:val="21"/>
                    </w:rPr>
                  </w:pPr>
                  <w:r>
                    <w:rPr>
                      <w:rFonts w:hint="eastAsia"/>
                      <w:color w:val="auto"/>
                      <w:szCs w:val="21"/>
                    </w:rPr>
                    <w:t>0.</w:t>
                  </w:r>
                  <w:r>
                    <w:rPr>
                      <w:rFonts w:hint="eastAsia"/>
                      <w:color w:val="auto"/>
                      <w:szCs w:val="21"/>
                      <w:lang w:val="en-US" w:eastAsia="zh-CN"/>
                    </w:rPr>
                    <w:t>12</w:t>
                  </w:r>
                  <w:r>
                    <w:rPr>
                      <w:rFonts w:hint="eastAsia"/>
                      <w:color w:val="auto"/>
                      <w:szCs w:val="21"/>
                    </w:rPr>
                    <w:t>t/a</w:t>
                  </w:r>
                </w:p>
              </w:tc>
            </w:tr>
            <w:tr w14:paraId="130D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1" w:type="dxa"/>
                  <w:gridSpan w:val="4"/>
                  <w:vAlign w:val="center"/>
                </w:tcPr>
                <w:p w14:paraId="2CEB0B97">
                  <w:pPr>
                    <w:adjustRightInd w:val="0"/>
                    <w:snapToGrid w:val="0"/>
                    <w:jc w:val="center"/>
                    <w:rPr>
                      <w:b/>
                      <w:color w:val="auto"/>
                      <w:spacing w:val="-10"/>
                      <w:szCs w:val="21"/>
                    </w:rPr>
                  </w:pPr>
                  <w:r>
                    <w:rPr>
                      <w:b/>
                      <w:color w:val="auto"/>
                      <w:spacing w:val="-10"/>
                      <w:szCs w:val="21"/>
                    </w:rPr>
                    <w:t>排放口基本情况</w:t>
                  </w:r>
                </w:p>
              </w:tc>
            </w:tr>
            <w:tr w14:paraId="7835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6F3EB765">
                  <w:pPr>
                    <w:adjustRightInd w:val="0"/>
                    <w:snapToGrid w:val="0"/>
                    <w:jc w:val="center"/>
                    <w:rPr>
                      <w:b/>
                      <w:color w:val="auto"/>
                      <w:spacing w:val="-10"/>
                      <w:szCs w:val="21"/>
                    </w:rPr>
                  </w:pPr>
                  <w:r>
                    <w:rPr>
                      <w:b/>
                      <w:color w:val="auto"/>
                      <w:spacing w:val="-10"/>
                      <w:szCs w:val="21"/>
                    </w:rPr>
                    <w:t>排气筒高度</w:t>
                  </w:r>
                </w:p>
              </w:tc>
              <w:tc>
                <w:tcPr>
                  <w:tcW w:w="6617" w:type="dxa"/>
                  <w:gridSpan w:val="2"/>
                  <w:vAlign w:val="center"/>
                </w:tcPr>
                <w:p w14:paraId="0387B522">
                  <w:pPr>
                    <w:adjustRightInd w:val="0"/>
                    <w:snapToGrid w:val="0"/>
                    <w:jc w:val="center"/>
                    <w:rPr>
                      <w:bCs/>
                      <w:color w:val="auto"/>
                      <w:spacing w:val="-10"/>
                      <w:szCs w:val="21"/>
                    </w:rPr>
                  </w:pPr>
                  <w:r>
                    <w:rPr>
                      <w:rFonts w:hint="eastAsia"/>
                      <w:bCs/>
                      <w:color w:val="auto"/>
                      <w:spacing w:val="-10"/>
                      <w:szCs w:val="21"/>
                    </w:rPr>
                    <w:t>15</w:t>
                  </w:r>
                </w:p>
              </w:tc>
            </w:tr>
            <w:tr w14:paraId="35B4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844" w:type="dxa"/>
                  <w:gridSpan w:val="2"/>
                  <w:vAlign w:val="center"/>
                </w:tcPr>
                <w:p w14:paraId="06FDF9C6">
                  <w:pPr>
                    <w:adjustRightInd w:val="0"/>
                    <w:snapToGrid w:val="0"/>
                    <w:jc w:val="center"/>
                    <w:rPr>
                      <w:b/>
                      <w:color w:val="auto"/>
                      <w:spacing w:val="-10"/>
                      <w:szCs w:val="21"/>
                    </w:rPr>
                  </w:pPr>
                  <w:r>
                    <w:rPr>
                      <w:b/>
                      <w:color w:val="auto"/>
                      <w:spacing w:val="-10"/>
                      <w:szCs w:val="21"/>
                    </w:rPr>
                    <w:t>排气筒内径</w:t>
                  </w:r>
                </w:p>
              </w:tc>
              <w:tc>
                <w:tcPr>
                  <w:tcW w:w="6617" w:type="dxa"/>
                  <w:gridSpan w:val="2"/>
                  <w:vAlign w:val="center"/>
                </w:tcPr>
                <w:p w14:paraId="7A0C9872">
                  <w:pPr>
                    <w:adjustRightInd w:val="0"/>
                    <w:snapToGrid w:val="0"/>
                    <w:jc w:val="center"/>
                    <w:rPr>
                      <w:rFonts w:hint="eastAsia" w:eastAsia="宋体"/>
                      <w:bCs/>
                      <w:color w:val="auto"/>
                      <w:spacing w:val="-10"/>
                      <w:szCs w:val="21"/>
                      <w:lang w:val="en-US" w:eastAsia="zh-CN"/>
                    </w:rPr>
                  </w:pPr>
                  <w:r>
                    <w:rPr>
                      <w:rFonts w:hint="eastAsia"/>
                      <w:bCs/>
                      <w:color w:val="auto"/>
                      <w:spacing w:val="-10"/>
                      <w:szCs w:val="21"/>
                    </w:rPr>
                    <w:t>0.</w:t>
                  </w:r>
                  <w:r>
                    <w:rPr>
                      <w:rFonts w:hint="eastAsia"/>
                      <w:bCs/>
                      <w:color w:val="auto"/>
                      <w:spacing w:val="-10"/>
                      <w:szCs w:val="21"/>
                      <w:lang w:val="en-US" w:eastAsia="zh-CN"/>
                    </w:rPr>
                    <w:t>6</w:t>
                  </w:r>
                </w:p>
              </w:tc>
            </w:tr>
            <w:tr w14:paraId="737E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844" w:type="dxa"/>
                  <w:gridSpan w:val="2"/>
                  <w:vAlign w:val="center"/>
                </w:tcPr>
                <w:p w14:paraId="34AA8A04">
                  <w:pPr>
                    <w:adjustRightInd w:val="0"/>
                    <w:snapToGrid w:val="0"/>
                    <w:jc w:val="center"/>
                    <w:rPr>
                      <w:b/>
                      <w:color w:val="auto"/>
                      <w:spacing w:val="-10"/>
                      <w:szCs w:val="21"/>
                    </w:rPr>
                  </w:pPr>
                  <w:r>
                    <w:rPr>
                      <w:b/>
                      <w:color w:val="auto"/>
                      <w:spacing w:val="-10"/>
                      <w:szCs w:val="21"/>
                    </w:rPr>
                    <w:t>温度</w:t>
                  </w:r>
                </w:p>
              </w:tc>
              <w:tc>
                <w:tcPr>
                  <w:tcW w:w="6617" w:type="dxa"/>
                  <w:gridSpan w:val="2"/>
                  <w:vAlign w:val="center"/>
                </w:tcPr>
                <w:p w14:paraId="0F948F87">
                  <w:pPr>
                    <w:adjustRightInd w:val="0"/>
                    <w:snapToGrid w:val="0"/>
                    <w:jc w:val="center"/>
                    <w:rPr>
                      <w:bCs/>
                      <w:color w:val="auto"/>
                      <w:spacing w:val="-10"/>
                      <w:szCs w:val="21"/>
                    </w:rPr>
                  </w:pPr>
                  <w:r>
                    <w:rPr>
                      <w:rFonts w:hint="eastAsia"/>
                      <w:bCs/>
                      <w:color w:val="auto"/>
                      <w:spacing w:val="-10"/>
                      <w:szCs w:val="21"/>
                    </w:rPr>
                    <w:t>30</w:t>
                  </w:r>
                  <w:r>
                    <w:rPr>
                      <w:bCs/>
                      <w:color w:val="auto"/>
                      <w:spacing w:val="-10"/>
                      <w:szCs w:val="21"/>
                    </w:rPr>
                    <w:t>℃</w:t>
                  </w:r>
                </w:p>
              </w:tc>
            </w:tr>
            <w:tr w14:paraId="1BC8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1D7F5E81">
                  <w:pPr>
                    <w:adjustRightInd w:val="0"/>
                    <w:snapToGrid w:val="0"/>
                    <w:jc w:val="center"/>
                    <w:rPr>
                      <w:b/>
                      <w:color w:val="auto"/>
                      <w:spacing w:val="-10"/>
                      <w:szCs w:val="21"/>
                    </w:rPr>
                  </w:pPr>
                  <w:r>
                    <w:rPr>
                      <w:b/>
                      <w:color w:val="auto"/>
                      <w:spacing w:val="-10"/>
                      <w:szCs w:val="21"/>
                    </w:rPr>
                    <w:t>编号</w:t>
                  </w:r>
                </w:p>
              </w:tc>
              <w:tc>
                <w:tcPr>
                  <w:tcW w:w="6617" w:type="dxa"/>
                  <w:gridSpan w:val="2"/>
                  <w:vAlign w:val="center"/>
                </w:tcPr>
                <w:p w14:paraId="346A48AF">
                  <w:pPr>
                    <w:adjustRightInd w:val="0"/>
                    <w:snapToGrid w:val="0"/>
                    <w:jc w:val="center"/>
                    <w:rPr>
                      <w:rFonts w:hint="eastAsia" w:eastAsia="宋体"/>
                      <w:bCs/>
                      <w:color w:val="auto"/>
                      <w:spacing w:val="-10"/>
                      <w:szCs w:val="21"/>
                      <w:lang w:val="en-US" w:eastAsia="zh-CN"/>
                    </w:rPr>
                  </w:pPr>
                  <w:r>
                    <w:rPr>
                      <w:rFonts w:hint="eastAsia"/>
                      <w:bCs/>
                      <w:color w:val="auto"/>
                      <w:spacing w:val="-10"/>
                      <w:szCs w:val="21"/>
                    </w:rPr>
                    <w:t>DA00</w:t>
                  </w:r>
                  <w:r>
                    <w:rPr>
                      <w:rFonts w:hint="eastAsia"/>
                      <w:bCs/>
                      <w:color w:val="auto"/>
                      <w:spacing w:val="-10"/>
                      <w:szCs w:val="21"/>
                      <w:lang w:val="en-US" w:eastAsia="zh-CN"/>
                    </w:rPr>
                    <w:t>3</w:t>
                  </w:r>
                </w:p>
              </w:tc>
            </w:tr>
            <w:tr w14:paraId="5D14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6CBD353B">
                  <w:pPr>
                    <w:adjustRightInd w:val="0"/>
                    <w:snapToGrid w:val="0"/>
                    <w:jc w:val="center"/>
                    <w:rPr>
                      <w:b/>
                      <w:color w:val="auto"/>
                      <w:spacing w:val="-10"/>
                      <w:szCs w:val="21"/>
                    </w:rPr>
                  </w:pPr>
                  <w:r>
                    <w:rPr>
                      <w:b/>
                      <w:color w:val="auto"/>
                      <w:spacing w:val="-10"/>
                      <w:szCs w:val="21"/>
                    </w:rPr>
                    <w:t>类型</w:t>
                  </w:r>
                </w:p>
              </w:tc>
              <w:tc>
                <w:tcPr>
                  <w:tcW w:w="6617" w:type="dxa"/>
                  <w:gridSpan w:val="2"/>
                  <w:vAlign w:val="center"/>
                </w:tcPr>
                <w:p w14:paraId="56D95081">
                  <w:pPr>
                    <w:adjustRightInd w:val="0"/>
                    <w:snapToGrid w:val="0"/>
                    <w:jc w:val="center"/>
                    <w:rPr>
                      <w:bCs/>
                      <w:color w:val="auto"/>
                      <w:spacing w:val="-10"/>
                      <w:szCs w:val="21"/>
                    </w:rPr>
                  </w:pPr>
                  <w:r>
                    <w:rPr>
                      <w:rFonts w:hint="eastAsia"/>
                      <w:bCs/>
                      <w:color w:val="auto"/>
                      <w:spacing w:val="-10"/>
                      <w:szCs w:val="21"/>
                    </w:rPr>
                    <w:t>一般排放口</w:t>
                  </w:r>
                </w:p>
              </w:tc>
            </w:tr>
            <w:tr w14:paraId="0AC2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256E99A9">
                  <w:pPr>
                    <w:adjustRightInd w:val="0"/>
                    <w:snapToGrid w:val="0"/>
                    <w:jc w:val="center"/>
                    <w:rPr>
                      <w:b/>
                      <w:color w:val="auto"/>
                      <w:spacing w:val="-10"/>
                      <w:szCs w:val="21"/>
                    </w:rPr>
                  </w:pPr>
                  <w:r>
                    <w:rPr>
                      <w:b/>
                      <w:color w:val="auto"/>
                      <w:spacing w:val="-10"/>
                      <w:szCs w:val="21"/>
                    </w:rPr>
                    <w:t>地理坐标</w:t>
                  </w:r>
                </w:p>
              </w:tc>
              <w:tc>
                <w:tcPr>
                  <w:tcW w:w="6617" w:type="dxa"/>
                  <w:gridSpan w:val="2"/>
                  <w:vAlign w:val="center"/>
                </w:tcPr>
                <w:p w14:paraId="74ED86D9">
                  <w:pPr>
                    <w:adjustRightInd w:val="0"/>
                    <w:snapToGrid w:val="0"/>
                    <w:jc w:val="center"/>
                    <w:rPr>
                      <w:bCs/>
                      <w:color w:val="auto"/>
                      <w:spacing w:val="-10"/>
                      <w:szCs w:val="21"/>
                    </w:rPr>
                  </w:pPr>
                  <w:r>
                    <w:rPr>
                      <w:rFonts w:hint="eastAsia"/>
                      <w:color w:val="auto"/>
                      <w:szCs w:val="21"/>
                    </w:rPr>
                    <w:t>东</w:t>
                  </w:r>
                  <w:r>
                    <w:rPr>
                      <w:color w:val="auto"/>
                      <w:szCs w:val="21"/>
                    </w:rPr>
                    <w:t>经103°</w:t>
                  </w:r>
                  <w:r>
                    <w:rPr>
                      <w:rFonts w:hint="eastAsia"/>
                      <w:color w:val="auto"/>
                      <w:szCs w:val="21"/>
                      <w:lang w:val="en-US" w:eastAsia="zh-CN"/>
                    </w:rPr>
                    <w:t>0</w:t>
                  </w:r>
                  <w:r>
                    <w:rPr>
                      <w:rFonts w:hint="eastAsia"/>
                      <w:color w:val="auto"/>
                      <w:szCs w:val="21"/>
                    </w:rPr>
                    <w:t>7</w:t>
                  </w:r>
                  <w:r>
                    <w:rPr>
                      <w:color w:val="auto"/>
                      <w:szCs w:val="21"/>
                    </w:rPr>
                    <w:t>′</w:t>
                  </w:r>
                  <w:r>
                    <w:rPr>
                      <w:rFonts w:hint="eastAsia"/>
                      <w:color w:val="auto"/>
                      <w:szCs w:val="21"/>
                      <w:lang w:val="en-US" w:eastAsia="zh-CN"/>
                    </w:rPr>
                    <w:t>49.778</w:t>
                  </w:r>
                  <w:r>
                    <w:rPr>
                      <w:color w:val="auto"/>
                      <w:szCs w:val="21"/>
                    </w:rPr>
                    <w:t>″，北纬25°</w:t>
                  </w:r>
                  <w:r>
                    <w:rPr>
                      <w:rFonts w:hint="eastAsia"/>
                      <w:color w:val="auto"/>
                      <w:szCs w:val="21"/>
                    </w:rPr>
                    <w:t>26</w:t>
                  </w:r>
                  <w:r>
                    <w:rPr>
                      <w:color w:val="auto"/>
                      <w:szCs w:val="21"/>
                    </w:rPr>
                    <w:t>′</w:t>
                  </w:r>
                  <w:r>
                    <w:rPr>
                      <w:rFonts w:hint="eastAsia"/>
                      <w:color w:val="auto"/>
                      <w:szCs w:val="21"/>
                      <w:lang w:val="en-US" w:eastAsia="zh-CN"/>
                    </w:rPr>
                    <w:t>9.450</w:t>
                  </w:r>
                  <w:r>
                    <w:rPr>
                      <w:color w:val="auto"/>
                      <w:szCs w:val="21"/>
                    </w:rPr>
                    <w:t>″</w:t>
                  </w:r>
                </w:p>
              </w:tc>
            </w:tr>
            <w:tr w14:paraId="3A75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1" w:type="dxa"/>
                  <w:gridSpan w:val="4"/>
                  <w:vAlign w:val="center"/>
                </w:tcPr>
                <w:p w14:paraId="0E0E8C3A">
                  <w:pPr>
                    <w:adjustRightInd w:val="0"/>
                    <w:snapToGrid w:val="0"/>
                    <w:jc w:val="center"/>
                    <w:rPr>
                      <w:b/>
                      <w:color w:val="auto"/>
                      <w:spacing w:val="-10"/>
                      <w:szCs w:val="21"/>
                    </w:rPr>
                  </w:pPr>
                  <w:r>
                    <w:rPr>
                      <w:b/>
                      <w:color w:val="auto"/>
                      <w:spacing w:val="-10"/>
                      <w:szCs w:val="21"/>
                    </w:rPr>
                    <w:t>监测要求</w:t>
                  </w:r>
                </w:p>
              </w:tc>
            </w:tr>
            <w:tr w14:paraId="5554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13E148BA">
                  <w:pPr>
                    <w:adjustRightInd w:val="0"/>
                    <w:snapToGrid w:val="0"/>
                    <w:jc w:val="center"/>
                    <w:rPr>
                      <w:b/>
                      <w:color w:val="auto"/>
                      <w:spacing w:val="-10"/>
                      <w:szCs w:val="21"/>
                    </w:rPr>
                  </w:pPr>
                  <w:r>
                    <w:rPr>
                      <w:b/>
                      <w:color w:val="auto"/>
                      <w:spacing w:val="-10"/>
                      <w:szCs w:val="21"/>
                    </w:rPr>
                    <w:t>监测点位</w:t>
                  </w:r>
                </w:p>
              </w:tc>
              <w:tc>
                <w:tcPr>
                  <w:tcW w:w="6617" w:type="dxa"/>
                  <w:gridSpan w:val="2"/>
                  <w:vAlign w:val="center"/>
                </w:tcPr>
                <w:p w14:paraId="2EFC8E06">
                  <w:pPr>
                    <w:adjustRightInd w:val="0"/>
                    <w:snapToGrid w:val="0"/>
                    <w:jc w:val="center"/>
                    <w:rPr>
                      <w:bCs/>
                      <w:color w:val="auto"/>
                      <w:spacing w:val="-10"/>
                      <w:szCs w:val="21"/>
                    </w:rPr>
                  </w:pPr>
                  <w:r>
                    <w:rPr>
                      <w:bCs/>
                      <w:color w:val="auto"/>
                      <w:spacing w:val="-10"/>
                      <w:szCs w:val="21"/>
                    </w:rPr>
                    <w:t>排气筒出口</w:t>
                  </w:r>
                </w:p>
              </w:tc>
            </w:tr>
            <w:tr w14:paraId="2C2E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4" w:type="dxa"/>
                  <w:gridSpan w:val="2"/>
                  <w:vAlign w:val="center"/>
                </w:tcPr>
                <w:p w14:paraId="2A7BA26C">
                  <w:pPr>
                    <w:adjustRightInd w:val="0"/>
                    <w:snapToGrid w:val="0"/>
                    <w:jc w:val="center"/>
                    <w:rPr>
                      <w:b/>
                      <w:color w:val="auto"/>
                      <w:spacing w:val="-10"/>
                      <w:szCs w:val="21"/>
                    </w:rPr>
                  </w:pPr>
                  <w:r>
                    <w:rPr>
                      <w:b/>
                      <w:color w:val="auto"/>
                      <w:spacing w:val="-10"/>
                      <w:szCs w:val="21"/>
                    </w:rPr>
                    <w:t>监测因子</w:t>
                  </w:r>
                </w:p>
              </w:tc>
              <w:tc>
                <w:tcPr>
                  <w:tcW w:w="3308" w:type="dxa"/>
                  <w:vAlign w:val="center"/>
                </w:tcPr>
                <w:p w14:paraId="1B77A991">
                  <w:pPr>
                    <w:jc w:val="center"/>
                    <w:rPr>
                      <w:bCs/>
                      <w:color w:val="auto"/>
                      <w:spacing w:val="-10"/>
                      <w:szCs w:val="21"/>
                    </w:rPr>
                  </w:pPr>
                  <w:r>
                    <w:rPr>
                      <w:rFonts w:hint="eastAsia"/>
                      <w:bCs/>
                      <w:color w:val="auto"/>
                      <w:spacing w:val="-10"/>
                      <w:szCs w:val="21"/>
                    </w:rPr>
                    <w:t>油烟</w:t>
                  </w:r>
                </w:p>
              </w:tc>
              <w:tc>
                <w:tcPr>
                  <w:tcW w:w="3309" w:type="dxa"/>
                  <w:vAlign w:val="center"/>
                </w:tcPr>
                <w:p w14:paraId="3091DDBC">
                  <w:pPr>
                    <w:jc w:val="center"/>
                    <w:rPr>
                      <w:rFonts w:hint="eastAsia"/>
                      <w:bCs/>
                      <w:color w:val="auto"/>
                      <w:spacing w:val="-10"/>
                      <w:szCs w:val="21"/>
                    </w:rPr>
                  </w:pPr>
                  <w:r>
                    <w:rPr>
                      <w:rFonts w:hint="eastAsia"/>
                      <w:bCs/>
                      <w:color w:val="auto"/>
                      <w:spacing w:val="-10"/>
                      <w:szCs w:val="21"/>
                      <w:lang w:eastAsia="zh-CN"/>
                    </w:rPr>
                    <w:t>非甲烷总烃</w:t>
                  </w:r>
                </w:p>
              </w:tc>
            </w:tr>
            <w:tr w14:paraId="17AB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557BC139">
                  <w:pPr>
                    <w:adjustRightInd w:val="0"/>
                    <w:snapToGrid w:val="0"/>
                    <w:jc w:val="center"/>
                    <w:rPr>
                      <w:b/>
                      <w:color w:val="auto"/>
                      <w:spacing w:val="-10"/>
                      <w:szCs w:val="21"/>
                    </w:rPr>
                  </w:pPr>
                  <w:r>
                    <w:rPr>
                      <w:b/>
                      <w:color w:val="auto"/>
                      <w:spacing w:val="-10"/>
                      <w:szCs w:val="21"/>
                    </w:rPr>
                    <w:t>监测频次</w:t>
                  </w:r>
                </w:p>
              </w:tc>
              <w:tc>
                <w:tcPr>
                  <w:tcW w:w="3308" w:type="dxa"/>
                  <w:vAlign w:val="center"/>
                </w:tcPr>
                <w:p w14:paraId="72C72DA3">
                  <w:pPr>
                    <w:adjustRightInd w:val="0"/>
                    <w:snapToGrid w:val="0"/>
                    <w:jc w:val="center"/>
                    <w:rPr>
                      <w:rFonts w:hint="default" w:eastAsia="宋体"/>
                      <w:bCs/>
                      <w:color w:val="auto"/>
                      <w:spacing w:val="-10"/>
                      <w:szCs w:val="21"/>
                      <w:lang w:val="en-US" w:eastAsia="zh-CN"/>
                    </w:rPr>
                  </w:pPr>
                  <w:r>
                    <w:rPr>
                      <w:rFonts w:hint="eastAsia"/>
                      <w:bCs/>
                      <w:color w:val="auto"/>
                      <w:spacing w:val="-10"/>
                      <w:szCs w:val="21"/>
                      <w:lang w:val="en-US" w:eastAsia="zh-CN"/>
                    </w:rPr>
                    <w:t>1次/半年</w:t>
                  </w:r>
                </w:p>
              </w:tc>
              <w:tc>
                <w:tcPr>
                  <w:tcW w:w="3309" w:type="dxa"/>
                  <w:vAlign w:val="center"/>
                </w:tcPr>
                <w:p w14:paraId="1AC78676">
                  <w:pPr>
                    <w:adjustRightInd w:val="0"/>
                    <w:snapToGrid w:val="0"/>
                    <w:jc w:val="center"/>
                    <w:rPr>
                      <w:rFonts w:hint="eastAsia"/>
                      <w:bCs/>
                      <w:color w:val="auto"/>
                      <w:spacing w:val="-10"/>
                      <w:szCs w:val="21"/>
                    </w:rPr>
                  </w:pPr>
                  <w:r>
                    <w:rPr>
                      <w:rFonts w:hint="eastAsia"/>
                      <w:bCs/>
                      <w:color w:val="auto"/>
                      <w:spacing w:val="-10"/>
                      <w:szCs w:val="21"/>
                      <w:lang w:val="en-US" w:eastAsia="zh-CN"/>
                    </w:rPr>
                    <w:t>1次/季度</w:t>
                  </w:r>
                </w:p>
              </w:tc>
            </w:tr>
            <w:tr w14:paraId="2D1B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gridSpan w:val="2"/>
                  <w:vAlign w:val="center"/>
                </w:tcPr>
                <w:p w14:paraId="56894760">
                  <w:pPr>
                    <w:adjustRightInd w:val="0"/>
                    <w:snapToGrid w:val="0"/>
                    <w:jc w:val="center"/>
                    <w:rPr>
                      <w:b/>
                      <w:color w:val="auto"/>
                      <w:spacing w:val="-10"/>
                      <w:szCs w:val="21"/>
                    </w:rPr>
                  </w:pPr>
                  <w:r>
                    <w:rPr>
                      <w:rFonts w:hint="eastAsia"/>
                      <w:b/>
                      <w:color w:val="auto"/>
                      <w:spacing w:val="-10"/>
                      <w:szCs w:val="21"/>
                    </w:rPr>
                    <w:t>执行</w:t>
                  </w:r>
                  <w:r>
                    <w:rPr>
                      <w:b/>
                      <w:color w:val="auto"/>
                      <w:spacing w:val="-10"/>
                      <w:szCs w:val="21"/>
                    </w:rPr>
                    <w:t>标准</w:t>
                  </w:r>
                </w:p>
              </w:tc>
              <w:tc>
                <w:tcPr>
                  <w:tcW w:w="3308" w:type="dxa"/>
                  <w:vAlign w:val="center"/>
                </w:tcPr>
                <w:p w14:paraId="4E449433">
                  <w:pPr>
                    <w:adjustRightInd w:val="0"/>
                    <w:snapToGrid w:val="0"/>
                    <w:jc w:val="center"/>
                    <w:rPr>
                      <w:bCs/>
                      <w:color w:val="auto"/>
                      <w:spacing w:val="-10"/>
                      <w:szCs w:val="21"/>
                    </w:rPr>
                  </w:pPr>
                  <w:r>
                    <w:rPr>
                      <w:color w:val="auto"/>
                      <w:szCs w:val="21"/>
                    </w:rPr>
                    <w:t>《饮食业油烟排放标准》（GB18438-2001）</w:t>
                  </w:r>
                  <w:r>
                    <w:rPr>
                      <w:rFonts w:hint="eastAsia"/>
                      <w:color w:val="auto"/>
                      <w:szCs w:val="21"/>
                    </w:rPr>
                    <w:t>标准，</w:t>
                  </w:r>
                  <w:r>
                    <w:rPr>
                      <w:color w:val="auto"/>
                      <w:szCs w:val="21"/>
                    </w:rPr>
                    <w:t>执行油烟最高允许排放浓度≤2mg/m</w:t>
                  </w:r>
                  <w:r>
                    <w:rPr>
                      <w:color w:val="auto"/>
                      <w:szCs w:val="21"/>
                      <w:vertAlign w:val="superscript"/>
                    </w:rPr>
                    <w:t>3</w:t>
                  </w:r>
                </w:p>
              </w:tc>
              <w:tc>
                <w:tcPr>
                  <w:tcW w:w="3309" w:type="dxa"/>
                  <w:vAlign w:val="center"/>
                </w:tcPr>
                <w:p w14:paraId="745D63F1">
                  <w:pPr>
                    <w:adjustRightInd w:val="0"/>
                    <w:snapToGrid w:val="0"/>
                    <w:jc w:val="center"/>
                    <w:rPr>
                      <w:color w:val="auto"/>
                      <w:szCs w:val="21"/>
                    </w:rPr>
                  </w:pPr>
                  <w:r>
                    <w:rPr>
                      <w:rFonts w:ascii="Times New Roman" w:hAnsi="Times New Roman" w:eastAsia="宋体" w:cs="Times New Roman"/>
                      <w:color w:val="auto"/>
                      <w:szCs w:val="21"/>
                    </w:rPr>
                    <w:t>《大气污染物综合排放标准》（GB16297-1996）</w:t>
                  </w:r>
                  <w:r>
                    <w:rPr>
                      <w:rFonts w:hint="eastAsia" w:ascii="Times New Roman" w:hAnsi="Times New Roman" w:eastAsia="宋体" w:cs="Times New Roman"/>
                      <w:color w:val="auto"/>
                      <w:szCs w:val="21"/>
                    </w:rPr>
                    <w:t>表2</w:t>
                  </w:r>
                  <w:r>
                    <w:rPr>
                      <w:rFonts w:ascii="Times New Roman" w:hAnsi="Times New Roman" w:eastAsia="宋体" w:cs="Times New Roman"/>
                      <w:color w:val="auto"/>
                      <w:szCs w:val="21"/>
                    </w:rPr>
                    <w:t>中</w:t>
                  </w:r>
                  <w:r>
                    <w:rPr>
                      <w:rFonts w:hint="eastAsia" w:ascii="Times New Roman" w:hAnsi="Times New Roman" w:eastAsia="宋体" w:cs="Times New Roman"/>
                      <w:color w:val="auto"/>
                      <w:szCs w:val="21"/>
                      <w:lang w:eastAsia="zh-CN"/>
                    </w:rPr>
                    <w:t>二级标准</w:t>
                  </w:r>
                </w:p>
              </w:tc>
            </w:tr>
          </w:tbl>
          <w:p w14:paraId="279720AF">
            <w:pPr>
              <w:spacing w:line="360" w:lineRule="auto"/>
              <w:ind w:firstLine="482" w:firstLineChars="200"/>
              <w:rPr>
                <w:b/>
                <w:bCs/>
                <w:color w:val="auto"/>
                <w:sz w:val="24"/>
                <w:szCs w:val="28"/>
              </w:rPr>
            </w:pPr>
            <w:r>
              <w:rPr>
                <w:rFonts w:hint="default" w:ascii="Times New Roman" w:hAnsi="Times New Roman" w:eastAsia="宋体" w:cs="Times New Roman"/>
                <w:b/>
                <w:bCs/>
                <w:color w:val="auto"/>
                <w:kern w:val="2"/>
                <w:sz w:val="24"/>
                <w:szCs w:val="24"/>
                <w:highlight w:val="none"/>
                <w:lang w:val="en-US" w:eastAsia="zh-CN" w:bidi="ar-SA"/>
              </w:rPr>
              <w:t>③</w:t>
            </w:r>
            <w:r>
              <w:rPr>
                <w:rFonts w:hint="eastAsia"/>
                <w:b/>
                <w:bCs/>
                <w:color w:val="auto"/>
                <w:sz w:val="24"/>
                <w:szCs w:val="28"/>
              </w:rPr>
              <w:t>脱酸脱臭</w:t>
            </w:r>
            <w:r>
              <w:rPr>
                <w:rFonts w:hint="eastAsia"/>
                <w:b/>
                <w:bCs/>
                <w:color w:val="auto"/>
                <w:sz w:val="24"/>
                <w:szCs w:val="28"/>
                <w:lang w:eastAsia="zh-CN"/>
              </w:rPr>
              <w:t>废气</w:t>
            </w:r>
          </w:p>
          <w:p w14:paraId="37E9D5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color w:val="auto"/>
                <w:sz w:val="24"/>
              </w:rPr>
              <w:t>鲜冻牛油（生牛油）经初炼加工过程中未经脱酸，使得自制初炼牛油中酸价高，如不进行脱臭会影响牛油产品品质，需要精炼环节除进行脱胶脱磷、脱酸、脱色处理后，进行脱臭处理。牛油油脂中臭味物质为</w:t>
            </w:r>
            <w:r>
              <w:rPr>
                <w:rFonts w:hint="eastAsia"/>
                <w:bCs/>
                <w:color w:val="auto"/>
                <w:sz w:val="24"/>
              </w:rPr>
              <w:t>游离脂肪酸与小分子物质</w:t>
            </w:r>
            <w:r>
              <w:rPr>
                <w:rFonts w:hint="eastAsia"/>
                <w:color w:val="auto"/>
                <w:sz w:val="24"/>
              </w:rPr>
              <w:t>等，该工序设有回收装置（脱臭塔（</w:t>
            </w:r>
            <w:r>
              <w:rPr>
                <w:rFonts w:hint="eastAsia"/>
                <w:bCs/>
                <w:color w:val="auto"/>
                <w:sz w:val="24"/>
              </w:rPr>
              <w:t>脱臭塔由捕集器+冷凝罐组成</w:t>
            </w:r>
            <w:r>
              <w:rPr>
                <w:rFonts w:hint="eastAsia"/>
                <w:color w:val="auto"/>
                <w:sz w:val="24"/>
              </w:rPr>
              <w:t>）、脂肪酸捕集器、气液分离器）</w:t>
            </w:r>
            <w:r>
              <w:rPr>
                <w:rFonts w:hint="eastAsia"/>
                <w:bCs/>
                <w:color w:val="auto"/>
                <w:sz w:val="24"/>
              </w:rPr>
              <w:t>，在真空状态下进行，回收装置将游离脂肪酸与小分子物质回收成为液态脂肪酸，回收率大于99％，回收后的脂肪酸</w:t>
            </w:r>
            <w:r>
              <w:rPr>
                <w:rFonts w:hint="eastAsia"/>
                <w:bCs/>
                <w:color w:val="auto"/>
                <w:sz w:val="24"/>
                <w:lang w:eastAsia="zh-CN"/>
              </w:rPr>
              <w:t>外售</w:t>
            </w:r>
            <w:r>
              <w:rPr>
                <w:rFonts w:hint="eastAsia"/>
                <w:bCs/>
                <w:color w:val="auto"/>
                <w:sz w:val="24"/>
              </w:rPr>
              <w:t>，剩余未回收的废气在罐车来装液态脂肪酸时随着接口少量溢出</w:t>
            </w:r>
            <w:r>
              <w:rPr>
                <w:rFonts w:hint="eastAsia"/>
                <w:bCs/>
                <w:color w:val="auto"/>
                <w:sz w:val="24"/>
                <w:lang w:eastAsia="zh-CN"/>
              </w:rPr>
              <w:t>（平时处于全密闭状态）</w:t>
            </w:r>
            <w:r>
              <w:rPr>
                <w:rFonts w:hint="eastAsia"/>
                <w:color w:val="auto"/>
                <w:sz w:val="24"/>
              </w:rPr>
              <w:t>。</w:t>
            </w:r>
            <w:r>
              <w:rPr>
                <w:rFonts w:hint="eastAsia"/>
                <w:bCs/>
                <w:color w:val="auto"/>
                <w:sz w:val="24"/>
              </w:rPr>
              <w:t>脱臭产生</w:t>
            </w:r>
            <w:r>
              <w:rPr>
                <w:rFonts w:hint="eastAsia"/>
                <w:bCs/>
                <w:color w:val="auto"/>
                <w:sz w:val="24"/>
                <w:lang w:eastAsia="zh-CN"/>
              </w:rPr>
              <w:t>废气</w:t>
            </w:r>
            <w:r>
              <w:rPr>
                <w:rFonts w:hint="eastAsia"/>
                <w:color w:val="auto"/>
                <w:sz w:val="24"/>
              </w:rPr>
              <w:t>对环境影响不大。</w:t>
            </w:r>
          </w:p>
          <w:p w14:paraId="57EFCD47">
            <w:pPr>
              <w:pStyle w:val="78"/>
              <w:keepNext w:val="0"/>
              <w:keepLines w:val="0"/>
              <w:pageBreakBefore w:val="0"/>
              <w:kinsoku/>
              <w:wordWrap/>
              <w:overflowPunct/>
              <w:topLinePunct w:val="0"/>
              <w:autoSpaceDE w:val="0"/>
              <w:autoSpaceDN w:val="0"/>
              <w:bidi w:val="0"/>
              <w:adjustRightInd/>
              <w:spacing w:before="0" w:after="0" w:line="356"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kern w:val="2"/>
                <w:sz w:val="24"/>
                <w:szCs w:val="24"/>
                <w:highlight w:val="none"/>
                <w:lang w:val="en-US" w:eastAsia="zh-CN" w:bidi="ar-SA"/>
              </w:rPr>
              <w:t>④</w:t>
            </w:r>
            <w:r>
              <w:rPr>
                <w:rFonts w:hint="default" w:ascii="Times New Roman" w:hAnsi="Times New Roman" w:eastAsia="宋体" w:cs="Times New Roman"/>
                <w:b/>
                <w:bCs/>
                <w:color w:val="auto"/>
                <w:sz w:val="24"/>
                <w:szCs w:val="24"/>
                <w:highlight w:val="none"/>
                <w:lang w:val="en-US" w:eastAsia="zh-CN"/>
              </w:rPr>
              <w:t>生产异味</w:t>
            </w:r>
          </w:p>
          <w:p w14:paraId="527F3831">
            <w:pPr>
              <w:keepNext w:val="0"/>
              <w:keepLines w:val="0"/>
              <w:pageBreakBefore w:val="0"/>
              <w:widowControl/>
              <w:kinsoku/>
              <w:wordWrap/>
              <w:overflowPunct/>
              <w:topLinePunct w:val="0"/>
              <w:autoSpaceDE/>
              <w:autoSpaceDN/>
              <w:bidi w:val="0"/>
              <w:adjustRightInd/>
              <w:snapToGrid/>
              <w:spacing w:line="356" w:lineRule="auto"/>
              <w:ind w:left="0" w:leftChars="0" w:firstLine="480" w:firstLineChars="200"/>
              <w:jc w:val="left"/>
              <w:textAlignment w:val="auto"/>
              <w:outlineLvl w:val="9"/>
              <w:rPr>
                <w:rFonts w:hint="eastAsia" w:cs="Times New Roman"/>
                <w:b/>
                <w:bCs/>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kern w:val="2"/>
                <w:sz w:val="24"/>
                <w:szCs w:val="24"/>
                <w:highlight w:val="none"/>
                <w:lang w:val="en-US" w:eastAsia="zh-CN" w:bidi="ar-SA"/>
              </w:rPr>
              <w:t>固废暂存等</w:t>
            </w:r>
            <w:r>
              <w:rPr>
                <w:rFonts w:hint="default" w:ascii="Times New Roman" w:hAnsi="Times New Roman" w:eastAsia="宋体"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zh-CN"/>
              </w:rPr>
              <w:t>中会伴有轻微异味产生，以臭气浓度表征，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kern w:val="2"/>
                <w:sz w:val="24"/>
                <w:szCs w:val="24"/>
                <w:highlight w:val="none"/>
                <w:lang w:val="zh-CN" w:eastAsia="zh-CN" w:bidi="ar-SA"/>
              </w:rPr>
              <w:t>呈无组织排放</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rPr>
              <w:t>对外环境的影响较小。</w:t>
            </w:r>
            <w:r>
              <w:rPr>
                <w:rFonts w:hint="default" w:ascii="Times New Roman" w:hAnsi="Times New Roman" w:eastAsia="宋体" w:cs="Times New Roman"/>
                <w:color w:val="auto"/>
                <w:kern w:val="2"/>
                <w:sz w:val="24"/>
                <w:szCs w:val="24"/>
                <w:highlight w:val="none"/>
                <w:lang w:val="en-US" w:eastAsia="zh-CN" w:bidi="ar-SA"/>
              </w:rPr>
              <w:t>环评提出生产车间定期冲洗，固体废物定期清运可减少异味的产生。</w:t>
            </w:r>
          </w:p>
          <w:p w14:paraId="08EFD9B4">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56" w:lineRule="auto"/>
              <w:ind w:firstLine="482" w:firstLineChars="200"/>
              <w:jc w:val="left"/>
              <w:textAlignment w:val="auto"/>
              <w:rPr>
                <w:rFonts w:hint="default" w:ascii="Times New Roman" w:hAnsi="Times New Roman" w:eastAsia="宋体" w:cs="Times New Roman"/>
                <w:b/>
                <w:bCs/>
                <w:color w:val="auto"/>
                <w:kern w:val="2"/>
                <w:sz w:val="24"/>
                <w:szCs w:val="24"/>
                <w:highlight w:val="none"/>
                <w:lang w:val="zh-CN" w:eastAsia="zh-CN" w:bidi="ar-SA"/>
              </w:rPr>
            </w:pPr>
            <w:r>
              <w:rPr>
                <w:rFonts w:hint="eastAsia" w:cs="Times New Roman"/>
                <w:b/>
                <w:bCs/>
                <w:color w:val="auto"/>
                <w:kern w:val="2"/>
                <w:sz w:val="24"/>
                <w:szCs w:val="24"/>
                <w:highlight w:val="none"/>
                <w:lang w:val="en-US" w:eastAsia="zh-CN" w:bidi="ar-SA"/>
              </w:rPr>
              <w:t>⑤</w:t>
            </w:r>
            <w:r>
              <w:rPr>
                <w:rFonts w:hint="default" w:ascii="Times New Roman" w:hAnsi="Times New Roman" w:eastAsia="宋体" w:cs="Times New Roman"/>
                <w:b/>
                <w:bCs/>
                <w:color w:val="auto"/>
                <w:kern w:val="2"/>
                <w:sz w:val="24"/>
                <w:szCs w:val="24"/>
                <w:highlight w:val="none"/>
                <w:lang w:val="en-US" w:eastAsia="zh-CN" w:bidi="ar-SA"/>
              </w:rPr>
              <w:t>化粪池、污水</w:t>
            </w:r>
            <w:r>
              <w:rPr>
                <w:rFonts w:hint="default" w:ascii="Times New Roman" w:hAnsi="Times New Roman" w:eastAsia="宋体" w:cs="Times New Roman"/>
                <w:b/>
                <w:bCs/>
                <w:color w:val="auto"/>
                <w:kern w:val="2"/>
                <w:sz w:val="24"/>
                <w:szCs w:val="24"/>
                <w:highlight w:val="none"/>
                <w:lang w:val="zh-CN" w:eastAsia="zh-CN" w:bidi="ar-SA"/>
              </w:rPr>
              <w:t>处理</w:t>
            </w:r>
            <w:r>
              <w:rPr>
                <w:rFonts w:hint="default" w:ascii="Times New Roman" w:hAnsi="Times New Roman" w:eastAsia="宋体" w:cs="Times New Roman"/>
                <w:b/>
                <w:bCs/>
                <w:color w:val="auto"/>
                <w:kern w:val="2"/>
                <w:sz w:val="24"/>
                <w:szCs w:val="24"/>
                <w:highlight w:val="none"/>
                <w:lang w:val="en-US" w:eastAsia="zh-CN" w:bidi="ar-SA"/>
              </w:rPr>
              <w:t>设施</w:t>
            </w:r>
            <w:r>
              <w:rPr>
                <w:rFonts w:hint="default" w:ascii="Times New Roman" w:hAnsi="Times New Roman" w:eastAsia="宋体" w:cs="Times New Roman"/>
                <w:b/>
                <w:bCs/>
                <w:color w:val="auto"/>
                <w:kern w:val="2"/>
                <w:sz w:val="24"/>
                <w:szCs w:val="24"/>
                <w:highlight w:val="none"/>
                <w:lang w:val="zh-CN" w:eastAsia="zh-CN" w:bidi="ar-SA"/>
              </w:rPr>
              <w:t>异味</w:t>
            </w:r>
          </w:p>
          <w:p w14:paraId="27772070">
            <w:pPr>
              <w:pStyle w:val="11"/>
              <w:keepNext w:val="0"/>
              <w:keepLines w:val="0"/>
              <w:pageBreakBefore w:val="0"/>
              <w:widowControl w:val="0"/>
              <w:kinsoku/>
              <w:wordWrap/>
              <w:overflowPunct/>
              <w:topLinePunct w:val="0"/>
              <w:autoSpaceDE/>
              <w:autoSpaceDN/>
              <w:bidi w:val="0"/>
              <w:adjustRightInd w:val="0"/>
              <w:snapToGrid w:val="0"/>
              <w:spacing w:before="0" w:beforeLines="0" w:after="0" w:afterLines="0" w:line="356" w:lineRule="auto"/>
              <w:ind w:firstLine="488"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2"/>
                <w:sz w:val="24"/>
                <w:highlight w:val="none"/>
                <w:lang w:val="zh-CN" w:eastAsia="zh-CN"/>
              </w:rPr>
              <w:t>项目拟设置1套处理规模为</w:t>
            </w:r>
            <w:r>
              <w:rPr>
                <w:rFonts w:hint="default" w:ascii="Times New Roman" w:hAnsi="Times New Roman" w:eastAsia="宋体" w:cs="Times New Roman"/>
                <w:color w:val="auto"/>
                <w:spacing w:val="2"/>
                <w:sz w:val="24"/>
                <w:highlight w:val="none"/>
                <w:lang w:val="en-US" w:eastAsia="zh-CN"/>
              </w:rPr>
              <w:t>2</w:t>
            </w:r>
            <w:r>
              <w:rPr>
                <w:rFonts w:hint="eastAsia" w:cs="Times New Roman"/>
                <w:color w:val="auto"/>
                <w:spacing w:val="2"/>
                <w:sz w:val="24"/>
                <w:highlight w:val="none"/>
                <w:lang w:val="en-US" w:eastAsia="zh-CN"/>
              </w:rPr>
              <w:t>3</w:t>
            </w:r>
            <w:r>
              <w:rPr>
                <w:rFonts w:hint="default" w:ascii="Times New Roman" w:hAnsi="Times New Roman" w:eastAsia="宋体" w:cs="Times New Roman"/>
                <w:color w:val="auto"/>
                <w:spacing w:val="2"/>
                <w:sz w:val="24"/>
                <w:highlight w:val="none"/>
                <w:lang w:val="zh-CN" w:eastAsia="zh-CN"/>
              </w:rPr>
              <w:t>m</w:t>
            </w:r>
            <w:r>
              <w:rPr>
                <w:rFonts w:hint="default" w:ascii="Times New Roman" w:hAnsi="Times New Roman" w:eastAsia="宋体" w:cs="Times New Roman"/>
                <w:color w:val="auto"/>
                <w:spacing w:val="2"/>
                <w:sz w:val="24"/>
                <w:highlight w:val="none"/>
                <w:vertAlign w:val="superscript"/>
                <w:lang w:val="zh-CN" w:eastAsia="zh-CN"/>
              </w:rPr>
              <w:t>3</w:t>
            </w:r>
            <w:r>
              <w:rPr>
                <w:rFonts w:hint="default" w:ascii="Times New Roman" w:hAnsi="Times New Roman" w:eastAsia="宋体" w:cs="Times New Roman"/>
                <w:color w:val="auto"/>
                <w:spacing w:val="2"/>
                <w:sz w:val="24"/>
                <w:highlight w:val="none"/>
                <w:lang w:val="zh-CN" w:eastAsia="zh-CN"/>
              </w:rPr>
              <w:t>/d的</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eastAsia="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eastAsia="zh-CN"/>
              </w:rPr>
              <w:t>，处理工艺拟采用</w:t>
            </w:r>
            <w:r>
              <w:rPr>
                <w:rFonts w:hint="default" w:ascii="Times New Roman" w:hAnsi="Times New Roman" w:eastAsia="宋体" w:cs="Times New Roman"/>
                <w:color w:val="auto"/>
                <w:sz w:val="24"/>
                <w:szCs w:val="24"/>
                <w:highlight w:val="none"/>
                <w:lang w:eastAsia="zh-CN"/>
              </w:rPr>
              <w:t>“调节池+</w:t>
            </w:r>
            <w:r>
              <w:rPr>
                <w:rFonts w:hint="eastAsia" w:cs="Times New Roman"/>
                <w:color w:val="auto"/>
                <w:sz w:val="24"/>
                <w:szCs w:val="24"/>
                <w:highlight w:val="none"/>
                <w:lang w:eastAsia="zh-CN"/>
              </w:rPr>
              <w:t>气浮</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活性污泥法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2"/>
                <w:sz w:val="24"/>
                <w:highlight w:val="none"/>
                <w:lang w:val="zh-CN" w:eastAsia="zh-CN"/>
              </w:rPr>
              <w:t>，对</w:t>
            </w:r>
            <w:r>
              <w:rPr>
                <w:rFonts w:hint="default" w:ascii="Times New Roman" w:hAnsi="Times New Roman" w:eastAsia="宋体" w:cs="Times New Roman"/>
                <w:color w:val="auto"/>
                <w:spacing w:val="2"/>
                <w:sz w:val="24"/>
                <w:highlight w:val="none"/>
                <w:lang w:val="en-US" w:eastAsia="zh-CN"/>
              </w:rPr>
              <w:t>项目区经化粪池处理后的废水</w:t>
            </w:r>
            <w:r>
              <w:rPr>
                <w:rFonts w:hint="default" w:ascii="Times New Roman" w:hAnsi="Times New Roman" w:eastAsia="宋体" w:cs="Times New Roman"/>
                <w:color w:val="auto"/>
                <w:spacing w:val="2"/>
                <w:sz w:val="24"/>
                <w:highlight w:val="none"/>
                <w:lang w:val="zh-CN" w:eastAsia="zh-CN"/>
              </w:rPr>
              <w:t>进行处理。</w:t>
            </w:r>
            <w:r>
              <w:rPr>
                <w:rFonts w:hint="default" w:ascii="Times New Roman" w:hAnsi="Times New Roman" w:eastAsia="宋体" w:cs="Times New Roman"/>
                <w:color w:val="auto"/>
                <w:spacing w:val="2"/>
                <w:sz w:val="24"/>
                <w:highlight w:val="none"/>
                <w:lang w:val="zh-CN"/>
              </w:rPr>
              <w:t>项目自建</w:t>
            </w:r>
            <w:r>
              <w:rPr>
                <w:rFonts w:hint="default" w:ascii="Times New Roman" w:hAnsi="Times New Roman" w:eastAsia="宋体" w:cs="Times New Roman"/>
                <w:color w:val="auto"/>
                <w:spacing w:val="2"/>
                <w:sz w:val="24"/>
                <w:highlight w:val="none"/>
                <w:lang w:val="en-US" w:eastAsia="zh-CN"/>
              </w:rPr>
              <w:t>污水</w:t>
            </w:r>
            <w:r>
              <w:rPr>
                <w:rFonts w:hint="default" w:ascii="Times New Roman" w:hAnsi="Times New Roman" w:eastAsia="宋体" w:cs="Times New Roman"/>
                <w:color w:val="auto"/>
                <w:spacing w:val="2"/>
                <w:sz w:val="24"/>
                <w:highlight w:val="none"/>
                <w:lang w:val="zh-CN"/>
              </w:rPr>
              <w:t>处理</w:t>
            </w:r>
            <w:r>
              <w:rPr>
                <w:rFonts w:hint="default" w:ascii="Times New Roman" w:hAnsi="Times New Roman" w:eastAsia="宋体" w:cs="Times New Roman"/>
                <w:color w:val="auto"/>
                <w:spacing w:val="2"/>
                <w:sz w:val="24"/>
                <w:highlight w:val="none"/>
                <w:lang w:val="en-US" w:eastAsia="zh-CN"/>
              </w:rPr>
              <w:t>设施</w:t>
            </w:r>
            <w:r>
              <w:rPr>
                <w:rFonts w:hint="default" w:ascii="Times New Roman" w:hAnsi="Times New Roman" w:eastAsia="宋体" w:cs="Times New Roman"/>
                <w:color w:val="auto"/>
                <w:spacing w:val="2"/>
                <w:sz w:val="24"/>
                <w:highlight w:val="none"/>
                <w:lang w:val="zh-CN"/>
              </w:rPr>
              <w:t>异味主要来源于</w:t>
            </w:r>
            <w:r>
              <w:rPr>
                <w:rFonts w:hint="default" w:ascii="Times New Roman" w:hAnsi="Times New Roman" w:eastAsia="宋体" w:cs="Times New Roman"/>
                <w:color w:val="auto"/>
                <w:spacing w:val="2"/>
                <w:sz w:val="24"/>
                <w:highlight w:val="none"/>
                <w:lang w:val="en-US" w:eastAsia="zh-CN"/>
              </w:rPr>
              <w:t>生活污水、</w:t>
            </w:r>
            <w:r>
              <w:rPr>
                <w:rFonts w:hint="default" w:ascii="Times New Roman" w:hAnsi="Times New Roman" w:eastAsia="宋体" w:cs="Times New Roman"/>
                <w:color w:val="auto"/>
                <w:spacing w:val="2"/>
                <w:sz w:val="24"/>
                <w:highlight w:val="none"/>
                <w:lang w:val="zh-CN"/>
              </w:rPr>
              <w:t>生产废水、污泥中有机物的分解、发酵过程散发的恶臭气体，异味为多组分、低浓度化学物质形成的混合物，其恶臭的主要成分为硫化氢、氨、挥发酸、硫醇类等物质。</w:t>
            </w:r>
            <w:r>
              <w:rPr>
                <w:rFonts w:hint="default" w:ascii="Times New Roman" w:hAnsi="Times New Roman" w:eastAsia="宋体" w:cs="Times New Roman"/>
                <w:color w:val="auto"/>
                <w:sz w:val="24"/>
                <w:highlight w:val="none"/>
              </w:rPr>
              <w:t>根据美国EPA对污水处理厂恶臭污染物产生情况的研究：每处理1g的BOD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可产生0.0031g的NH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和0.00012g的H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根据废水部分工程分析计算内容可知，本项目</w:t>
            </w:r>
            <w:r>
              <w:rPr>
                <w:rFonts w:hint="default" w:ascii="Times New Roman" w:hAnsi="Times New Roman" w:eastAsia="宋体" w:cs="Times New Roman"/>
                <w:color w:val="auto"/>
                <w:sz w:val="24"/>
                <w:highlight w:val="none"/>
                <w:lang w:val="en-US" w:eastAsia="zh-CN"/>
              </w:rPr>
              <w:t>化粪池及污水</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rPr>
              <w:t>对</w:t>
            </w:r>
            <w:r>
              <w:rPr>
                <w:rFonts w:hint="default" w:ascii="Times New Roman" w:hAnsi="Times New Roman" w:eastAsia="宋体" w:cs="Times New Roman"/>
                <w:color w:val="auto"/>
                <w:position w:val="2"/>
                <w:sz w:val="24"/>
                <w:highlight w:val="none"/>
              </w:rPr>
              <w:t>BOD</w:t>
            </w:r>
            <w:r>
              <w:rPr>
                <w:rFonts w:hint="default" w:ascii="Times New Roman" w:hAnsi="Times New Roman" w:eastAsia="宋体" w:cs="Times New Roman"/>
                <w:color w:val="auto"/>
                <w:position w:val="2"/>
                <w:sz w:val="24"/>
                <w:highlight w:val="none"/>
                <w:vertAlign w:val="subscript"/>
              </w:rPr>
              <w:t>5</w:t>
            </w:r>
            <w:r>
              <w:rPr>
                <w:rFonts w:hint="default" w:ascii="Times New Roman" w:hAnsi="Times New Roman" w:eastAsia="宋体" w:cs="Times New Roman"/>
                <w:color w:val="auto"/>
                <w:position w:val="2"/>
                <w:sz w:val="24"/>
                <w:highlight w:val="none"/>
              </w:rPr>
              <w:t>的</w:t>
            </w:r>
            <w:r>
              <w:rPr>
                <w:rFonts w:hint="default" w:ascii="Times New Roman" w:hAnsi="Times New Roman" w:eastAsia="宋体" w:cs="Times New Roman"/>
                <w:color w:val="auto"/>
                <w:spacing w:val="-2"/>
                <w:position w:val="2"/>
                <w:sz w:val="24"/>
                <w:highlight w:val="none"/>
              </w:rPr>
              <w:t>去除量为</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5539</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p>
          <w:p w14:paraId="230293E3">
            <w:pPr>
              <w:keepNext w:val="0"/>
              <w:keepLines w:val="0"/>
              <w:pageBreakBefore w:val="0"/>
              <w:widowControl w:val="0"/>
              <w:kinsoku/>
              <w:wordWrap/>
              <w:overflowPunct/>
              <w:topLinePunct w:val="0"/>
              <w:autoSpaceDE/>
              <w:autoSpaceDN/>
              <w:bidi w:val="0"/>
              <w:snapToGrid w:val="0"/>
              <w:spacing w:line="356" w:lineRule="auto"/>
              <w:ind w:firstLine="480"/>
              <w:textAlignment w:val="auto"/>
              <w:rPr>
                <w:rFonts w:hint="default" w:ascii="Times New Roman" w:hAnsi="Times New Roman" w:eastAsia="宋体" w:cs="Times New Roman"/>
                <w:color w:val="auto"/>
                <w:spacing w:val="2"/>
                <w:sz w:val="24"/>
                <w:szCs w:val="24"/>
                <w:lang w:val="zh-CN"/>
              </w:rPr>
            </w:pPr>
            <w:r>
              <w:rPr>
                <w:rFonts w:hint="default" w:ascii="Times New Roman" w:hAnsi="Times New Roman" w:eastAsia="宋体" w:cs="Times New Roman"/>
                <w:color w:val="auto"/>
                <w:spacing w:val="2"/>
                <w:sz w:val="24"/>
                <w:szCs w:val="24"/>
                <w:lang w:val="zh-CN"/>
              </w:rPr>
              <w:t>本项目污水处理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臭气拟定期喷洒复合微生物除臭剂进行除臭，复合微生物菌剂一般由光合菌类、放线菌类、乳酸菌类、酵母菌类等数种微生物菌群组成，其中既有分解性细菌，又有合成性细菌，既有厌氧菌、兼性菌，又有好氧菌，是一个多菌种互惠共存的生物体。根据查阅资料，目前市场上主要销售的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为92%和89%（根据《自然科学》现代化农业，2011年第6期(总第383期)“微生物除臭剂研究进展”（赵晓锋，隋文志）的资料，经国家环境分析测试中心和陕西环境监测中心测试生物除臭剂（大力克、万洁芬等）对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S的去除效率分别达92%和89%）</w:t>
            </w:r>
            <w:r>
              <w:rPr>
                <w:rFonts w:hint="default" w:ascii="Times New Roman" w:hAnsi="Times New Roman" w:eastAsia="宋体" w:cs="Times New Roman"/>
                <w:color w:val="auto"/>
                <w:spacing w:val="2"/>
                <w:sz w:val="24"/>
                <w:szCs w:val="24"/>
                <w:lang w:val="zh-CN" w:eastAsia="zh-CN"/>
              </w:rPr>
              <w:t>，</w:t>
            </w:r>
            <w:r>
              <w:rPr>
                <w:rFonts w:hint="default" w:ascii="Times New Roman" w:hAnsi="Times New Roman" w:eastAsia="宋体" w:cs="Times New Roman"/>
                <w:color w:val="auto"/>
                <w:spacing w:val="2"/>
                <w:sz w:val="24"/>
                <w:szCs w:val="24"/>
                <w:lang w:val="zh-CN"/>
              </w:rPr>
              <w:t>综上项目</w:t>
            </w:r>
            <w:r>
              <w:rPr>
                <w:rFonts w:hint="default" w:ascii="Times New Roman" w:hAnsi="Times New Roman" w:eastAsia="宋体" w:cs="Times New Roman"/>
                <w:color w:val="auto"/>
                <w:spacing w:val="2"/>
                <w:sz w:val="24"/>
                <w:szCs w:val="24"/>
                <w:lang w:val="en-US" w:eastAsia="zh-CN"/>
              </w:rPr>
              <w:t>化粪池及污水</w:t>
            </w:r>
            <w:r>
              <w:rPr>
                <w:rFonts w:hint="default" w:ascii="Times New Roman" w:hAnsi="Times New Roman" w:eastAsia="宋体" w:cs="Times New Roman"/>
                <w:color w:val="auto"/>
                <w:spacing w:val="2"/>
                <w:sz w:val="24"/>
                <w:szCs w:val="24"/>
                <w:lang w:val="zh-CN"/>
              </w:rPr>
              <w:t>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NH</w:t>
            </w:r>
            <w:r>
              <w:rPr>
                <w:rFonts w:hint="default" w:ascii="Times New Roman" w:hAnsi="Times New Roman" w:eastAsia="宋体" w:cs="Times New Roman"/>
                <w:color w:val="auto"/>
                <w:spacing w:val="2"/>
                <w:sz w:val="24"/>
                <w:szCs w:val="24"/>
                <w:vertAlign w:val="subscript"/>
                <w:lang w:val="zh-CN"/>
              </w:rPr>
              <w:t>3</w:t>
            </w:r>
            <w:r>
              <w:rPr>
                <w:rFonts w:hint="default" w:ascii="Times New Roman" w:hAnsi="Times New Roman" w:eastAsia="宋体" w:cs="Times New Roman"/>
                <w:color w:val="auto"/>
                <w:spacing w:val="2"/>
                <w:sz w:val="24"/>
                <w:szCs w:val="24"/>
                <w:lang w:val="zh-CN"/>
              </w:rPr>
              <w:t>和H</w:t>
            </w:r>
            <w:r>
              <w:rPr>
                <w:rFonts w:hint="default" w:ascii="Times New Roman" w:hAnsi="Times New Roman" w:eastAsia="宋体" w:cs="Times New Roman"/>
                <w:color w:val="auto"/>
                <w:spacing w:val="2"/>
                <w:sz w:val="24"/>
                <w:szCs w:val="24"/>
                <w:vertAlign w:val="subscript"/>
                <w:lang w:val="zh-CN"/>
              </w:rPr>
              <w:t>2</w:t>
            </w:r>
            <w:r>
              <w:rPr>
                <w:rFonts w:hint="default" w:ascii="Times New Roman" w:hAnsi="Times New Roman" w:eastAsia="宋体" w:cs="Times New Roman"/>
                <w:color w:val="auto"/>
                <w:spacing w:val="2"/>
                <w:sz w:val="24"/>
                <w:szCs w:val="24"/>
                <w:lang w:val="zh-CN"/>
              </w:rPr>
              <w:t>S的产排情况详见表</w:t>
            </w:r>
            <w:r>
              <w:rPr>
                <w:rFonts w:hint="default" w:ascii="Times New Roman" w:hAnsi="Times New Roman" w:eastAsia="宋体" w:cs="Times New Roman"/>
                <w:color w:val="auto"/>
                <w:spacing w:val="2"/>
                <w:sz w:val="24"/>
                <w:szCs w:val="24"/>
                <w:lang w:val="en-US" w:eastAsia="zh-CN"/>
              </w:rPr>
              <w:t>4-5</w:t>
            </w:r>
            <w:r>
              <w:rPr>
                <w:rFonts w:hint="default" w:ascii="Times New Roman" w:hAnsi="Times New Roman" w:eastAsia="宋体" w:cs="Times New Roman"/>
                <w:color w:val="auto"/>
                <w:spacing w:val="2"/>
                <w:sz w:val="24"/>
                <w:szCs w:val="24"/>
                <w:lang w:val="zh-CN"/>
              </w:rPr>
              <w:t>所示。</w:t>
            </w:r>
          </w:p>
          <w:p w14:paraId="003A77EF">
            <w:pPr>
              <w:pageBreakBefore w:val="0"/>
              <w:kinsoku/>
              <w:wordWrap/>
              <w:overflowPunct/>
              <w:topLinePunct w:val="0"/>
              <w:bidi w:val="0"/>
              <w:snapToGrid w:val="0"/>
              <w:ind w:firstLine="482"/>
              <w:jc w:val="center"/>
              <w:rPr>
                <w:rFonts w:hint="default" w:ascii="Times New Roman" w:hAnsi="Times New Roman" w:eastAsia="宋体" w:cs="Times New Roman"/>
                <w:b/>
                <w:bCs/>
                <w:color w:val="auto"/>
                <w:spacing w:val="2"/>
                <w:szCs w:val="21"/>
                <w:highlight w:val="none"/>
                <w:lang w:val="zh-CN"/>
              </w:rPr>
            </w:pPr>
            <w:r>
              <w:rPr>
                <w:rFonts w:hint="default" w:ascii="Times New Roman" w:hAnsi="Times New Roman" w:eastAsia="宋体" w:cs="Times New Roman"/>
                <w:b/>
                <w:bCs/>
                <w:color w:val="auto"/>
                <w:spacing w:val="2"/>
                <w:szCs w:val="21"/>
                <w:highlight w:val="none"/>
                <w:lang w:val="zh-CN"/>
              </w:rPr>
              <w:t>表</w:t>
            </w:r>
            <w:r>
              <w:rPr>
                <w:rFonts w:hint="default" w:ascii="Times New Roman" w:hAnsi="Times New Roman" w:eastAsia="宋体" w:cs="Times New Roman"/>
                <w:b/>
                <w:bCs/>
                <w:color w:val="auto"/>
                <w:spacing w:val="2"/>
                <w:szCs w:val="21"/>
                <w:highlight w:val="none"/>
                <w:lang w:val="en-US" w:eastAsia="zh-CN"/>
              </w:rPr>
              <w:t>4-</w:t>
            </w:r>
            <w:r>
              <w:rPr>
                <w:rFonts w:hint="eastAsia" w:cs="Times New Roman"/>
                <w:b/>
                <w:bCs/>
                <w:color w:val="auto"/>
                <w:spacing w:val="2"/>
                <w:szCs w:val="21"/>
                <w:highlight w:val="none"/>
                <w:lang w:val="en-US" w:eastAsia="zh-CN"/>
              </w:rPr>
              <w:t>7</w:t>
            </w:r>
            <w:r>
              <w:rPr>
                <w:rFonts w:hint="default" w:ascii="Times New Roman" w:hAnsi="Times New Roman" w:eastAsia="宋体" w:cs="Times New Roman"/>
                <w:b/>
                <w:bCs/>
                <w:color w:val="auto"/>
                <w:spacing w:val="2"/>
                <w:szCs w:val="21"/>
                <w:highlight w:val="none"/>
                <w:lang w:val="en-US" w:eastAsia="zh-CN"/>
              </w:rPr>
              <w:t xml:space="preserve"> </w:t>
            </w:r>
            <w:r>
              <w:rPr>
                <w:rFonts w:hint="default" w:ascii="Times New Roman" w:hAnsi="Times New Roman" w:eastAsia="宋体" w:cs="Times New Roman"/>
                <w:b/>
                <w:bCs/>
                <w:color w:val="auto"/>
                <w:spacing w:val="2"/>
                <w:szCs w:val="21"/>
                <w:highlight w:val="none"/>
                <w:lang w:val="zh-CN"/>
              </w:rPr>
              <w:t xml:space="preserve"> 项目</w:t>
            </w:r>
            <w:r>
              <w:rPr>
                <w:rFonts w:hint="default" w:ascii="Times New Roman" w:hAnsi="Times New Roman" w:eastAsia="宋体" w:cs="Times New Roman"/>
                <w:b/>
                <w:bCs/>
                <w:color w:val="auto"/>
                <w:spacing w:val="2"/>
                <w:szCs w:val="21"/>
                <w:highlight w:val="none"/>
                <w:lang w:val="en-US" w:eastAsia="zh-CN"/>
              </w:rPr>
              <w:t>污水</w:t>
            </w:r>
            <w:r>
              <w:rPr>
                <w:rFonts w:hint="default" w:ascii="Times New Roman" w:hAnsi="Times New Roman" w:eastAsia="宋体" w:cs="Times New Roman"/>
                <w:b/>
                <w:bCs/>
                <w:color w:val="auto"/>
                <w:spacing w:val="2"/>
                <w:szCs w:val="21"/>
                <w:highlight w:val="none"/>
                <w:lang w:val="zh-CN"/>
              </w:rPr>
              <w:t>处理</w:t>
            </w:r>
            <w:r>
              <w:rPr>
                <w:rFonts w:hint="default" w:ascii="Times New Roman" w:hAnsi="Times New Roman" w:eastAsia="宋体" w:cs="Times New Roman"/>
                <w:b/>
                <w:bCs/>
                <w:color w:val="auto"/>
                <w:spacing w:val="2"/>
                <w:szCs w:val="21"/>
                <w:highlight w:val="none"/>
                <w:lang w:val="en-US" w:eastAsia="zh-CN"/>
              </w:rPr>
              <w:t>设施</w:t>
            </w:r>
            <w:r>
              <w:rPr>
                <w:rFonts w:hint="default" w:ascii="Times New Roman" w:hAnsi="Times New Roman" w:eastAsia="宋体" w:cs="Times New Roman"/>
                <w:b/>
                <w:bCs/>
                <w:color w:val="auto"/>
                <w:spacing w:val="2"/>
                <w:szCs w:val="21"/>
                <w:highlight w:val="none"/>
                <w:lang w:val="zh-CN"/>
              </w:rPr>
              <w:t>恶臭气体产排情况</w:t>
            </w:r>
          </w:p>
          <w:tbl>
            <w:tblPr>
              <w:tblStyle w:val="26"/>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941"/>
              <w:gridCol w:w="1749"/>
              <w:gridCol w:w="871"/>
              <w:gridCol w:w="920"/>
              <w:gridCol w:w="1371"/>
              <w:gridCol w:w="1006"/>
              <w:gridCol w:w="968"/>
            </w:tblGrid>
            <w:tr w14:paraId="2D13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1" w:type="dxa"/>
                  <w:gridSpan w:val="2"/>
                  <w:vMerge w:val="restart"/>
                  <w:noWrap w:val="0"/>
                  <w:vAlign w:val="center"/>
                </w:tcPr>
                <w:p w14:paraId="2F75EACD">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749" w:type="dxa"/>
                  <w:vMerge w:val="restart"/>
                  <w:noWrap w:val="0"/>
                  <w:vAlign w:val="center"/>
                </w:tcPr>
                <w:p w14:paraId="73FF961F">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产污系数</w:t>
                  </w:r>
                </w:p>
              </w:tc>
              <w:tc>
                <w:tcPr>
                  <w:tcW w:w="871" w:type="dxa"/>
                  <w:vMerge w:val="restart"/>
                  <w:noWrap w:val="0"/>
                  <w:vAlign w:val="center"/>
                </w:tcPr>
                <w:p w14:paraId="0288DED8">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r>
                    <w:rPr>
                      <w:rFonts w:hint="default" w:ascii="Times New Roman" w:hAnsi="Times New Roman" w:eastAsia="宋体" w:cs="Times New Roman"/>
                      <w:b/>
                      <w:bCs/>
                      <w:color w:val="auto"/>
                      <w:sz w:val="21"/>
                      <w:szCs w:val="21"/>
                      <w:highlight w:val="none"/>
                      <w:lang w:val="en-US" w:eastAsia="zh-CN"/>
                    </w:rPr>
                    <w:t>削减量（t/a）</w:t>
                  </w:r>
                </w:p>
              </w:tc>
              <w:tc>
                <w:tcPr>
                  <w:tcW w:w="920" w:type="dxa"/>
                  <w:vMerge w:val="restart"/>
                  <w:noWrap w:val="0"/>
                  <w:vAlign w:val="center"/>
                </w:tcPr>
                <w:p w14:paraId="6F492D56">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产生总量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1371" w:type="dxa"/>
                  <w:vMerge w:val="restart"/>
                  <w:noWrap w:val="0"/>
                  <w:vAlign w:val="center"/>
                </w:tcPr>
                <w:p w14:paraId="3E22F986">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采取措施</w:t>
                  </w:r>
                </w:p>
              </w:tc>
              <w:tc>
                <w:tcPr>
                  <w:tcW w:w="1974" w:type="dxa"/>
                  <w:gridSpan w:val="2"/>
                  <w:noWrap w:val="0"/>
                  <w:vAlign w:val="center"/>
                </w:tcPr>
                <w:p w14:paraId="37C3FD66">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w:t>
                  </w:r>
                </w:p>
              </w:tc>
            </w:tr>
            <w:tr w14:paraId="37CE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1" w:type="dxa"/>
                  <w:gridSpan w:val="2"/>
                  <w:vMerge w:val="continue"/>
                  <w:noWrap w:val="0"/>
                  <w:vAlign w:val="center"/>
                </w:tcPr>
                <w:p w14:paraId="0D5C7438">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749" w:type="dxa"/>
                  <w:vMerge w:val="continue"/>
                  <w:noWrap w:val="0"/>
                  <w:vAlign w:val="center"/>
                </w:tcPr>
                <w:p w14:paraId="5224B9CA">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871" w:type="dxa"/>
                  <w:vMerge w:val="continue"/>
                  <w:noWrap w:val="0"/>
                  <w:vAlign w:val="center"/>
                </w:tcPr>
                <w:p w14:paraId="258DBF33">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920" w:type="dxa"/>
                  <w:vMerge w:val="continue"/>
                  <w:noWrap w:val="0"/>
                  <w:vAlign w:val="center"/>
                </w:tcPr>
                <w:p w14:paraId="29B96607">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371" w:type="dxa"/>
                  <w:vMerge w:val="continue"/>
                  <w:noWrap w:val="0"/>
                  <w:vAlign w:val="center"/>
                </w:tcPr>
                <w:p w14:paraId="595B615B">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p>
              </w:tc>
              <w:tc>
                <w:tcPr>
                  <w:tcW w:w="1006" w:type="dxa"/>
                  <w:noWrap w:val="0"/>
                  <w:vAlign w:val="center"/>
                </w:tcPr>
                <w:p w14:paraId="1CC86632">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rPr>
                    <w:t>/a</w:t>
                  </w:r>
                </w:p>
              </w:tc>
              <w:tc>
                <w:tcPr>
                  <w:tcW w:w="968" w:type="dxa"/>
                  <w:noWrap w:val="0"/>
                  <w:vAlign w:val="center"/>
                </w:tcPr>
                <w:p w14:paraId="11C56097">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w:t>
                  </w:r>
                  <w:r>
                    <w:rPr>
                      <w:rFonts w:hint="default" w:ascii="Times New Roman" w:hAnsi="Times New Roman" w:eastAsia="宋体" w:cs="Times New Roman"/>
                      <w:b/>
                      <w:bCs/>
                      <w:color w:val="auto"/>
                      <w:sz w:val="21"/>
                      <w:szCs w:val="21"/>
                      <w:highlight w:val="none"/>
                    </w:rPr>
                    <w:t>g/h</w:t>
                  </w:r>
                </w:p>
              </w:tc>
            </w:tr>
            <w:tr w14:paraId="30F6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dxa"/>
                  <w:vMerge w:val="restart"/>
                  <w:noWrap w:val="0"/>
                  <w:vAlign w:val="center"/>
                </w:tcPr>
                <w:p w14:paraId="27FCB2DD">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污水处理设施</w:t>
                  </w:r>
                </w:p>
              </w:tc>
              <w:tc>
                <w:tcPr>
                  <w:tcW w:w="941" w:type="dxa"/>
                  <w:noWrap w:val="0"/>
                  <w:vAlign w:val="center"/>
                </w:tcPr>
                <w:p w14:paraId="378EB939">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w:t>
                  </w:r>
                </w:p>
              </w:tc>
              <w:tc>
                <w:tcPr>
                  <w:tcW w:w="1749" w:type="dxa"/>
                  <w:noWrap w:val="0"/>
                  <w:vAlign w:val="center"/>
                </w:tcPr>
                <w:p w14:paraId="7635D86C">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0.0031g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71" w:type="dxa"/>
                  <w:noWrap w:val="0"/>
                  <w:vAlign w:val="center"/>
                </w:tcPr>
                <w:p w14:paraId="1A9B609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5539</w:t>
                  </w:r>
                </w:p>
              </w:tc>
              <w:tc>
                <w:tcPr>
                  <w:tcW w:w="920" w:type="dxa"/>
                  <w:noWrap w:val="0"/>
                  <w:vAlign w:val="center"/>
                </w:tcPr>
                <w:p w14:paraId="5F5C892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cs="Times New Roman"/>
                      <w:i w:val="0"/>
                      <w:iCs w:val="0"/>
                      <w:color w:val="auto"/>
                      <w:kern w:val="0"/>
                      <w:sz w:val="21"/>
                      <w:szCs w:val="21"/>
                      <w:highlight w:val="none"/>
                      <w:u w:val="none"/>
                      <w:lang w:val="en-US" w:eastAsia="zh-CN" w:bidi="ar"/>
                    </w:rPr>
                    <w:t>792</w:t>
                  </w:r>
                </w:p>
              </w:tc>
              <w:tc>
                <w:tcPr>
                  <w:tcW w:w="1371" w:type="dxa"/>
                  <w:vMerge w:val="restart"/>
                  <w:noWrap w:val="0"/>
                  <w:vAlign w:val="center"/>
                </w:tcPr>
                <w:p w14:paraId="6C8954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按规范定期喷洒复合微生物除臭剂进行除臭，NH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和H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S的去除效率分别为92%和89%</w:t>
                  </w:r>
                </w:p>
              </w:tc>
              <w:tc>
                <w:tcPr>
                  <w:tcW w:w="1006" w:type="dxa"/>
                  <w:noWrap w:val="0"/>
                  <w:vAlign w:val="center"/>
                </w:tcPr>
                <w:p w14:paraId="1A6516D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63</w:t>
                  </w:r>
                </w:p>
              </w:tc>
              <w:tc>
                <w:tcPr>
                  <w:tcW w:w="968" w:type="dxa"/>
                  <w:noWrap w:val="0"/>
                  <w:vAlign w:val="center"/>
                </w:tcPr>
                <w:p w14:paraId="481C89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26</w:t>
                  </w:r>
                </w:p>
              </w:tc>
            </w:tr>
            <w:tr w14:paraId="3433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80" w:type="dxa"/>
                  <w:vMerge w:val="continue"/>
                  <w:noWrap w:val="0"/>
                  <w:vAlign w:val="center"/>
                </w:tcPr>
                <w:p w14:paraId="339ACAB8">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941" w:type="dxa"/>
                  <w:noWrap w:val="0"/>
                  <w:vAlign w:val="center"/>
                </w:tcPr>
                <w:p w14:paraId="281C56F0">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硫化氢</w:t>
                  </w:r>
                </w:p>
              </w:tc>
              <w:tc>
                <w:tcPr>
                  <w:tcW w:w="1749" w:type="dxa"/>
                  <w:noWrap w:val="0"/>
                  <w:vAlign w:val="center"/>
                </w:tcPr>
                <w:p w14:paraId="2877FDF4">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0.00012g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g</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71" w:type="dxa"/>
                  <w:noWrap w:val="0"/>
                  <w:vAlign w:val="center"/>
                </w:tcPr>
                <w:p w14:paraId="27A976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5539</w:t>
                  </w:r>
                </w:p>
              </w:tc>
              <w:tc>
                <w:tcPr>
                  <w:tcW w:w="920" w:type="dxa"/>
                  <w:noWrap w:val="0"/>
                  <w:vAlign w:val="center"/>
                </w:tcPr>
                <w:p w14:paraId="30819F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31</w:t>
                  </w:r>
                </w:p>
              </w:tc>
              <w:tc>
                <w:tcPr>
                  <w:tcW w:w="1371" w:type="dxa"/>
                  <w:vMerge w:val="continue"/>
                  <w:noWrap w:val="0"/>
                  <w:vAlign w:val="center"/>
                </w:tcPr>
                <w:p w14:paraId="0858F50E">
                  <w:pPr>
                    <w:jc w:val="center"/>
                    <w:rPr>
                      <w:rFonts w:hint="default" w:ascii="Times New Roman" w:hAnsi="Times New Roman" w:eastAsia="宋体" w:cs="Times New Roman"/>
                      <w:color w:val="auto"/>
                      <w:sz w:val="21"/>
                      <w:szCs w:val="21"/>
                      <w:highlight w:val="none"/>
                    </w:rPr>
                  </w:pPr>
                </w:p>
              </w:tc>
              <w:tc>
                <w:tcPr>
                  <w:tcW w:w="1006" w:type="dxa"/>
                  <w:noWrap w:val="0"/>
                  <w:vAlign w:val="center"/>
                </w:tcPr>
                <w:p w14:paraId="4B38E86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c>
                <w:tcPr>
                  <w:tcW w:w="968" w:type="dxa"/>
                  <w:noWrap w:val="0"/>
                  <w:vAlign w:val="center"/>
                </w:tcPr>
                <w:p w14:paraId="3D5A955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1</w:t>
                  </w:r>
                </w:p>
              </w:tc>
            </w:tr>
            <w:tr w14:paraId="72E8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0" w:type="dxa"/>
                  <w:vMerge w:val="continue"/>
                  <w:noWrap w:val="0"/>
                  <w:vAlign w:val="center"/>
                </w:tcPr>
                <w:p w14:paraId="45F698A0">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941" w:type="dxa"/>
                  <w:noWrap w:val="0"/>
                  <w:vAlign w:val="center"/>
                </w:tcPr>
                <w:p w14:paraId="72D0A8BC">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臭气浓度</w:t>
                  </w:r>
                </w:p>
              </w:tc>
              <w:tc>
                <w:tcPr>
                  <w:tcW w:w="1749" w:type="dxa"/>
                  <w:noWrap w:val="0"/>
                  <w:vAlign w:val="center"/>
                </w:tcPr>
                <w:p w14:paraId="778469C1">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71" w:type="dxa"/>
                  <w:noWrap w:val="0"/>
                  <w:vAlign w:val="center"/>
                </w:tcPr>
                <w:p w14:paraId="4FAC07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20" w:type="dxa"/>
                  <w:noWrap w:val="0"/>
                  <w:vAlign w:val="center"/>
                </w:tcPr>
                <w:p w14:paraId="0C868C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1371" w:type="dxa"/>
                  <w:vMerge w:val="continue"/>
                  <w:noWrap w:val="0"/>
                  <w:vAlign w:val="center"/>
                </w:tcPr>
                <w:p w14:paraId="00063D99">
                  <w:pPr>
                    <w:jc w:val="center"/>
                    <w:rPr>
                      <w:rFonts w:hint="default" w:ascii="Times New Roman" w:hAnsi="Times New Roman" w:eastAsia="宋体" w:cs="Times New Roman"/>
                      <w:color w:val="auto"/>
                      <w:sz w:val="21"/>
                      <w:szCs w:val="21"/>
                      <w:highlight w:val="none"/>
                    </w:rPr>
                  </w:pPr>
                </w:p>
              </w:tc>
              <w:tc>
                <w:tcPr>
                  <w:tcW w:w="1006" w:type="dxa"/>
                  <w:noWrap w:val="0"/>
                  <w:vAlign w:val="center"/>
                </w:tcPr>
                <w:p w14:paraId="62BAF3F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968" w:type="dxa"/>
                  <w:noWrap w:val="0"/>
                  <w:vAlign w:val="center"/>
                </w:tcPr>
                <w:p w14:paraId="499417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14:paraId="246D8AE0">
            <w:pPr>
              <w:pStyle w:val="78"/>
              <w:keepNext w:val="0"/>
              <w:keepLines w:val="0"/>
              <w:pageBreakBefore w:val="0"/>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14:paraId="036E1141">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项目内拟设置1个食堂，内部设置1个灶头，属于小型饮食业单位。厨房内使用电和液化气，属于清洁能源。厨房中产生的废气主要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zh-CN" w:eastAsia="zh-CN"/>
              </w:rPr>
              <w:t>人用餐，在食堂烹饪过程中产生的油烟挥发量按食用油量的2%计算，项目每天提供3餐，炊事时间按4h计算。净化设备每天运行4h，油烟净化设施风量为2000m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p>
          <w:p w14:paraId="48CC2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食堂油烟产排情况一览表</w:t>
            </w:r>
          </w:p>
          <w:tbl>
            <w:tblPr>
              <w:tblStyle w:val="26"/>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4"/>
              <w:gridCol w:w="656"/>
              <w:gridCol w:w="793"/>
              <w:gridCol w:w="634"/>
              <w:gridCol w:w="634"/>
              <w:gridCol w:w="680"/>
              <w:gridCol w:w="682"/>
              <w:gridCol w:w="1176"/>
              <w:gridCol w:w="634"/>
              <w:gridCol w:w="636"/>
              <w:gridCol w:w="635"/>
              <w:gridCol w:w="682"/>
            </w:tblGrid>
            <w:tr w14:paraId="11DD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04" w:type="dxa"/>
                  <w:vMerge w:val="restart"/>
                  <w:noWrap w:val="0"/>
                  <w:vAlign w:val="center"/>
                </w:tcPr>
                <w:p w14:paraId="6A52A08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56" w:type="dxa"/>
                  <w:vMerge w:val="restart"/>
                  <w:noWrap w:val="0"/>
                  <w:vAlign w:val="center"/>
                </w:tcPr>
                <w:p w14:paraId="7182301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用餐人数</w:t>
                  </w:r>
                </w:p>
              </w:tc>
              <w:tc>
                <w:tcPr>
                  <w:tcW w:w="793" w:type="dxa"/>
                  <w:vMerge w:val="restart"/>
                  <w:noWrap w:val="0"/>
                  <w:vAlign w:val="center"/>
                </w:tcPr>
                <w:p w14:paraId="596D689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630" w:type="dxa"/>
                  <w:gridSpan w:val="4"/>
                  <w:noWrap w:val="0"/>
                  <w:vAlign w:val="center"/>
                </w:tcPr>
                <w:p w14:paraId="0D7F6C9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1176" w:type="dxa"/>
                  <w:vMerge w:val="restart"/>
                  <w:noWrap w:val="0"/>
                  <w:vAlign w:val="center"/>
                </w:tcPr>
                <w:p w14:paraId="0A0B7C0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587" w:type="dxa"/>
                  <w:gridSpan w:val="4"/>
                  <w:noWrap w:val="0"/>
                  <w:vAlign w:val="center"/>
                </w:tcPr>
                <w:p w14:paraId="63CEDBA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14:paraId="2E12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04" w:type="dxa"/>
                  <w:vMerge w:val="continue"/>
                  <w:noWrap w:val="0"/>
                  <w:vAlign w:val="center"/>
                </w:tcPr>
                <w:p w14:paraId="707C81C1">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56" w:type="dxa"/>
                  <w:vMerge w:val="continue"/>
                  <w:noWrap w:val="0"/>
                  <w:vAlign w:val="center"/>
                </w:tcPr>
                <w:p w14:paraId="044A03CE">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793" w:type="dxa"/>
                  <w:vMerge w:val="continue"/>
                  <w:noWrap w:val="0"/>
                  <w:vAlign w:val="center"/>
                </w:tcPr>
                <w:p w14:paraId="6AC59959">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34" w:type="dxa"/>
                  <w:noWrap w:val="0"/>
                  <w:vAlign w:val="center"/>
                </w:tcPr>
                <w:p w14:paraId="32663C3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4" w:type="dxa"/>
                  <w:noWrap w:val="0"/>
                  <w:vAlign w:val="center"/>
                </w:tcPr>
                <w:p w14:paraId="70078A0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80" w:type="dxa"/>
                  <w:noWrap w:val="0"/>
                  <w:vAlign w:val="center"/>
                </w:tcPr>
                <w:p w14:paraId="3E9017C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2" w:type="dxa"/>
                  <w:noWrap w:val="0"/>
                  <w:vAlign w:val="center"/>
                </w:tcPr>
                <w:p w14:paraId="415F7E1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1176" w:type="dxa"/>
                  <w:vMerge w:val="continue"/>
                  <w:noWrap w:val="0"/>
                  <w:vAlign w:val="center"/>
                </w:tcPr>
                <w:p w14:paraId="01B5AB3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634" w:type="dxa"/>
                  <w:noWrap w:val="0"/>
                  <w:vAlign w:val="center"/>
                </w:tcPr>
                <w:p w14:paraId="75CED6E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6" w:type="dxa"/>
                  <w:noWrap w:val="0"/>
                  <w:vAlign w:val="center"/>
                </w:tcPr>
                <w:p w14:paraId="7499459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35" w:type="dxa"/>
                  <w:noWrap w:val="0"/>
                  <w:vAlign w:val="center"/>
                </w:tcPr>
                <w:p w14:paraId="2B980D4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2" w:type="dxa"/>
                  <w:noWrap w:val="0"/>
                  <w:vAlign w:val="center"/>
                </w:tcPr>
                <w:p w14:paraId="77AFD96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14:paraId="4BC5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dxa"/>
                  <w:noWrap w:val="0"/>
                  <w:vAlign w:val="center"/>
                </w:tcPr>
                <w:p w14:paraId="3945364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56" w:type="dxa"/>
                  <w:noWrap w:val="0"/>
                  <w:vAlign w:val="center"/>
                </w:tcPr>
                <w:p w14:paraId="33C9EFE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0人/d</w:t>
                  </w:r>
                </w:p>
              </w:tc>
              <w:tc>
                <w:tcPr>
                  <w:tcW w:w="793" w:type="dxa"/>
                  <w:noWrap w:val="0"/>
                  <w:vAlign w:val="center"/>
                </w:tcPr>
                <w:p w14:paraId="47A5639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34" w:type="dxa"/>
                  <w:noWrap w:val="0"/>
                  <w:vAlign w:val="center"/>
                </w:tcPr>
                <w:p w14:paraId="0D632F9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w:t>
                  </w:r>
                  <w:r>
                    <w:rPr>
                      <w:rFonts w:hint="eastAsia" w:cs="Times New Roman"/>
                      <w:b w:val="0"/>
                      <w:bCs w:val="0"/>
                      <w:i w:val="0"/>
                      <w:iCs w:val="0"/>
                      <w:color w:val="auto"/>
                      <w:kern w:val="0"/>
                      <w:sz w:val="21"/>
                      <w:szCs w:val="21"/>
                      <w:highlight w:val="none"/>
                      <w:u w:val="none"/>
                      <w:lang w:val="en-US" w:eastAsia="zh-CN" w:bidi="ar"/>
                    </w:rPr>
                    <w:t>12</w:t>
                  </w:r>
                </w:p>
              </w:tc>
              <w:tc>
                <w:tcPr>
                  <w:tcW w:w="634" w:type="dxa"/>
                  <w:noWrap w:val="0"/>
                  <w:vAlign w:val="center"/>
                </w:tcPr>
                <w:p w14:paraId="1A0A5F0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36</w:t>
                  </w:r>
                </w:p>
              </w:tc>
              <w:tc>
                <w:tcPr>
                  <w:tcW w:w="680" w:type="dxa"/>
                  <w:noWrap w:val="0"/>
                  <w:vAlign w:val="center"/>
                </w:tcPr>
                <w:p w14:paraId="29B7141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3</w:t>
                  </w:r>
                </w:p>
              </w:tc>
              <w:tc>
                <w:tcPr>
                  <w:tcW w:w="682" w:type="dxa"/>
                  <w:noWrap w:val="0"/>
                  <w:vAlign w:val="center"/>
                </w:tcPr>
                <w:p w14:paraId="44B32E8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c>
                <w:tcPr>
                  <w:tcW w:w="1176" w:type="dxa"/>
                  <w:noWrap w:val="0"/>
                  <w:vAlign w:val="center"/>
                </w:tcPr>
                <w:p w14:paraId="5436E9C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89"/>
                      <w:rFonts w:hint="default" w:ascii="Times New Roman" w:hAnsi="Times New Roman" w:eastAsia="宋体" w:cs="Times New Roman"/>
                      <w:b w:val="0"/>
                      <w:bCs w:val="0"/>
                      <w:color w:val="auto"/>
                      <w:highlight w:val="none"/>
                      <w:lang w:val="en-US" w:eastAsia="zh-CN" w:bidi="ar"/>
                    </w:rPr>
                    <w:t>+</w:t>
                  </w:r>
                  <w:r>
                    <w:rPr>
                      <w:rStyle w:val="88"/>
                      <w:rFonts w:hint="default" w:ascii="Times New Roman" w:hAnsi="Times New Roman" w:eastAsia="宋体" w:cs="Times New Roman"/>
                      <w:b w:val="0"/>
                      <w:bCs w:val="0"/>
                      <w:color w:val="auto"/>
                      <w:highlight w:val="none"/>
                      <w:lang w:val="en-US" w:eastAsia="zh-CN" w:bidi="ar"/>
                    </w:rPr>
                    <w:t>高于房顶</w:t>
                  </w:r>
                  <w:r>
                    <w:rPr>
                      <w:rStyle w:val="89"/>
                      <w:rFonts w:hint="default" w:ascii="Times New Roman" w:hAnsi="Times New Roman" w:eastAsia="宋体" w:cs="Times New Roman"/>
                      <w:b w:val="0"/>
                      <w:bCs w:val="0"/>
                      <w:color w:val="auto"/>
                      <w:highlight w:val="none"/>
                      <w:lang w:val="en-US" w:eastAsia="zh-CN" w:bidi="ar"/>
                    </w:rPr>
                    <w:t>1.5m</w:t>
                  </w:r>
                  <w:r>
                    <w:rPr>
                      <w:rStyle w:val="88"/>
                      <w:rFonts w:hint="default" w:ascii="Times New Roman" w:hAnsi="Times New Roman" w:eastAsia="宋体" w:cs="Times New Roman"/>
                      <w:b w:val="0"/>
                      <w:bCs w:val="0"/>
                      <w:color w:val="auto"/>
                      <w:highlight w:val="none"/>
                      <w:lang w:val="en-US" w:eastAsia="zh-CN" w:bidi="ar"/>
                    </w:rPr>
                    <w:t>排气筒</w:t>
                  </w:r>
                </w:p>
              </w:tc>
              <w:tc>
                <w:tcPr>
                  <w:tcW w:w="634" w:type="dxa"/>
                  <w:noWrap w:val="0"/>
                  <w:vAlign w:val="center"/>
                </w:tcPr>
                <w:p w14:paraId="0DD8F99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w:t>
                  </w:r>
                  <w:r>
                    <w:rPr>
                      <w:rFonts w:hint="eastAsia" w:cs="Times New Roman"/>
                      <w:b w:val="0"/>
                      <w:bCs w:val="0"/>
                      <w:color w:val="auto"/>
                      <w:sz w:val="21"/>
                      <w:szCs w:val="21"/>
                      <w:highlight w:val="none"/>
                      <w:lang w:val="en-US" w:eastAsia="zh-CN"/>
                    </w:rPr>
                    <w:t>048</w:t>
                  </w:r>
                </w:p>
              </w:tc>
              <w:tc>
                <w:tcPr>
                  <w:tcW w:w="636" w:type="dxa"/>
                  <w:noWrap w:val="0"/>
                  <w:vAlign w:val="center"/>
                </w:tcPr>
                <w:p w14:paraId="0CFBB6F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14</w:t>
                  </w:r>
                </w:p>
              </w:tc>
              <w:tc>
                <w:tcPr>
                  <w:tcW w:w="635" w:type="dxa"/>
                  <w:noWrap w:val="0"/>
                  <w:vAlign w:val="center"/>
                </w:tcPr>
                <w:p w14:paraId="41B0A6A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w:t>
                  </w:r>
                  <w:r>
                    <w:rPr>
                      <w:rFonts w:hint="eastAsia" w:cs="Times New Roman"/>
                      <w:b w:val="0"/>
                      <w:bCs w:val="0"/>
                      <w:color w:val="auto"/>
                      <w:sz w:val="21"/>
                      <w:szCs w:val="21"/>
                      <w:highlight w:val="none"/>
                      <w:lang w:val="en-US" w:eastAsia="zh-CN"/>
                    </w:rPr>
                    <w:t>12</w:t>
                  </w:r>
                </w:p>
              </w:tc>
              <w:tc>
                <w:tcPr>
                  <w:tcW w:w="682" w:type="dxa"/>
                  <w:noWrap w:val="0"/>
                  <w:vAlign w:val="center"/>
                </w:tcPr>
                <w:p w14:paraId="2254538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0.6</w:t>
                  </w:r>
                </w:p>
              </w:tc>
            </w:tr>
          </w:tbl>
          <w:p w14:paraId="3710D593">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4CA59AE4">
            <w:pPr>
              <w:pStyle w:val="25"/>
              <w:keepNext w:val="0"/>
              <w:keepLines w:val="0"/>
              <w:pageBreakBefore w:val="0"/>
              <w:widowControl w:val="0"/>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14:paraId="1085233E">
            <w:pPr>
              <w:pStyle w:val="9"/>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生物质</w:t>
            </w:r>
            <w:r>
              <w:rPr>
                <w:rFonts w:hint="eastAsia" w:cs="Times New Roman"/>
                <w:color w:val="auto"/>
                <w:sz w:val="24"/>
                <w:lang w:val="en-US" w:eastAsia="zh-CN"/>
              </w:rPr>
              <w:t>燃料燃烧</w:t>
            </w:r>
            <w:r>
              <w:rPr>
                <w:rFonts w:hint="default" w:ascii="Times New Roman" w:hAnsi="Times New Roman" w:eastAsia="宋体" w:cs="Times New Roman"/>
                <w:color w:val="auto"/>
                <w:sz w:val="24"/>
                <w:lang w:val="en-US" w:eastAsia="zh-CN"/>
              </w:rPr>
              <w:t>废气处理方式为“</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由于在运营中可能会出现废气处理设施运行不正常，导致效率下降</w:t>
            </w:r>
            <w:r>
              <w:rPr>
                <w:rFonts w:hint="default" w:ascii="Times New Roman" w:hAnsi="Times New Roman" w:eastAsia="宋体" w:cs="Times New Roman"/>
                <w:color w:val="auto"/>
                <w:sz w:val="24"/>
                <w:lang w:val="en-US" w:eastAsia="zh-CN"/>
              </w:rPr>
              <w:t>甚至失效</w:t>
            </w:r>
            <w:r>
              <w:rPr>
                <w:rFonts w:hint="default" w:ascii="Times New Roman" w:hAnsi="Times New Roman" w:eastAsia="宋体" w:cs="Times New Roman"/>
                <w:color w:val="auto"/>
                <w:sz w:val="24"/>
              </w:rPr>
              <w:t>的不良情况</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生产过程中非正常排放按直接排放（即产生量）进行核算。因此，</w:t>
            </w:r>
            <w:r>
              <w:rPr>
                <w:rStyle w:val="33"/>
                <w:rFonts w:hint="default" w:ascii="Times New Roman" w:hAnsi="Times New Roman" w:eastAsia="宋体" w:cs="Times New Roman"/>
                <w:color w:val="auto"/>
                <w:sz w:val="24"/>
                <w:szCs w:val="24"/>
                <w:highlight w:val="none"/>
                <w:lang w:eastAsia="zh-CN"/>
              </w:rPr>
              <w:t>本项目非正常排放</w:t>
            </w:r>
            <w:r>
              <w:rPr>
                <w:rFonts w:hint="default" w:ascii="Times New Roman" w:hAnsi="Times New Roman" w:eastAsia="宋体" w:cs="Times New Roman"/>
                <w:color w:val="auto"/>
                <w:kern w:val="2"/>
                <w:sz w:val="24"/>
                <w:szCs w:val="24"/>
                <w:lang w:val="en-US" w:eastAsia="zh-CN" w:bidi="ar-SA"/>
              </w:rPr>
              <w:t>条件的设定为生物质</w:t>
            </w:r>
            <w:r>
              <w:rPr>
                <w:rFonts w:hint="eastAsia" w:cs="Times New Roman"/>
                <w:color w:val="auto"/>
                <w:kern w:val="2"/>
                <w:sz w:val="24"/>
                <w:szCs w:val="24"/>
                <w:lang w:val="en-US" w:eastAsia="zh-CN" w:bidi="ar-SA"/>
              </w:rPr>
              <w:t>燃料燃烧</w:t>
            </w:r>
            <w:r>
              <w:rPr>
                <w:rFonts w:hint="default" w:ascii="Times New Roman" w:hAnsi="Times New Roman" w:eastAsia="宋体" w:cs="Times New Roman"/>
                <w:color w:val="auto"/>
                <w:kern w:val="2"/>
                <w:sz w:val="24"/>
                <w:szCs w:val="24"/>
                <w:lang w:val="en-US" w:eastAsia="zh-CN" w:bidi="ar-SA"/>
              </w:rPr>
              <w:t>废气“</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处理装置处理效率因故障颗粒物处理效率由95%降为0%的情况进行设计，“</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”对废气中污染物NO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kern w:val="2"/>
                <w:sz w:val="24"/>
                <w:szCs w:val="24"/>
                <w:highlight w:val="none"/>
                <w:lang w:val="en-US" w:eastAsia="zh-CN" w:bidi="ar-SA"/>
              </w:rPr>
              <w:t>和SO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无处理效率</w:t>
            </w:r>
            <w:r>
              <w:rPr>
                <w:rFonts w:hint="default" w:ascii="Times New Roman" w:hAnsi="Times New Roman" w:eastAsia="宋体" w:cs="Times New Roman"/>
                <w:b w:val="0"/>
                <w:bCs w:val="0"/>
                <w:color w:val="auto"/>
                <w:sz w:val="24"/>
                <w:highlight w:val="none"/>
                <w:lang w:val="en-US" w:eastAsia="zh-CN"/>
              </w:rPr>
              <w:t>，因此不考虑其非正常的排放情况</w:t>
            </w:r>
            <w:r>
              <w:rPr>
                <w:rFonts w:hint="eastAsia" w:cs="Times New Roman"/>
                <w:b w:val="0"/>
                <w:bCs w:val="0"/>
                <w:color w:val="auto"/>
                <w:sz w:val="24"/>
                <w:highlight w:val="none"/>
                <w:lang w:val="en-US" w:eastAsia="zh-CN"/>
              </w:rPr>
              <w:t>；熔炼废气</w:t>
            </w:r>
            <w:r>
              <w:rPr>
                <w:rFonts w:hint="eastAsia" w:cs="Times New Roman"/>
                <w:b w:val="0"/>
                <w:bCs w:val="0"/>
                <w:color w:val="auto"/>
                <w:sz w:val="24"/>
                <w:szCs w:val="24"/>
                <w:highlight w:val="none"/>
                <w:lang w:val="en-US" w:eastAsia="zh-CN"/>
              </w:rPr>
              <w:t>“</w:t>
            </w:r>
            <w:r>
              <w:rPr>
                <w:rFonts w:hint="eastAsia" w:eastAsia="Times New Roman"/>
                <w:color w:val="auto"/>
                <w:sz w:val="24"/>
                <w:szCs w:val="24"/>
                <w:lang w:val="zh-CN"/>
              </w:rPr>
              <w:t>油气分离器</w:t>
            </w:r>
            <w:r>
              <w:rPr>
                <w:rFonts w:hint="eastAsia" w:eastAsia="宋体"/>
                <w:color w:val="auto"/>
                <w:sz w:val="24"/>
                <w:szCs w:val="24"/>
                <w:lang w:val="en-US" w:eastAsia="zh-CN"/>
              </w:rPr>
              <w:t>+</w:t>
            </w:r>
            <w:r>
              <w:rPr>
                <w:rFonts w:hint="eastAsia" w:eastAsia="Times New Roman"/>
                <w:color w:val="auto"/>
                <w:sz w:val="24"/>
                <w:szCs w:val="24"/>
                <w:lang w:val="zh-CN"/>
              </w:rPr>
              <w:t>冷凝系统</w:t>
            </w:r>
            <w:r>
              <w:rPr>
                <w:rFonts w:hint="eastAsia"/>
                <w:color w:val="auto"/>
                <w:sz w:val="24"/>
                <w:szCs w:val="24"/>
              </w:rPr>
              <w:t>+油烟净化器</w:t>
            </w:r>
            <w:r>
              <w:rPr>
                <w:rFonts w:hint="eastAsia"/>
                <w:color w:val="auto"/>
                <w:sz w:val="24"/>
                <w:szCs w:val="24"/>
                <w:lang w:val="en-US" w:eastAsia="zh-CN"/>
              </w:rPr>
              <w:t>+</w:t>
            </w:r>
            <w:r>
              <w:rPr>
                <w:rFonts w:hint="eastAsia"/>
                <w:color w:val="auto"/>
                <w:sz w:val="24"/>
                <w:lang w:eastAsia="zh-CN"/>
              </w:rPr>
              <w:t>活性炭装置</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处理装置处理效率因故障</w:t>
            </w:r>
            <w:r>
              <w:rPr>
                <w:rFonts w:hint="eastAsia" w:ascii="Times New Roman" w:hAnsi="Times New Roman" w:cs="Times New Roman"/>
                <w:color w:val="auto"/>
                <w:kern w:val="2"/>
                <w:sz w:val="24"/>
                <w:szCs w:val="24"/>
                <w:highlight w:val="none"/>
                <w:lang w:val="en-US" w:eastAsia="zh-CN" w:bidi="ar-SA"/>
              </w:rPr>
              <w:t>油烟、非甲烷总烃</w:t>
            </w:r>
            <w:r>
              <w:rPr>
                <w:rFonts w:hint="default" w:ascii="Times New Roman" w:hAnsi="Times New Roman" w:eastAsia="宋体" w:cs="Times New Roman"/>
                <w:color w:val="auto"/>
                <w:kern w:val="2"/>
                <w:sz w:val="24"/>
                <w:szCs w:val="24"/>
                <w:highlight w:val="none"/>
                <w:lang w:val="en-US" w:eastAsia="zh-CN" w:bidi="ar-SA"/>
              </w:rPr>
              <w:t>处理效率由</w:t>
            </w:r>
            <w:r>
              <w:rPr>
                <w:rFonts w:hint="eastAsia" w:ascii="Times New Roman" w:hAnsi="Times New Roman" w:cs="Times New Roman"/>
                <w:color w:val="auto"/>
                <w:kern w:val="2"/>
                <w:sz w:val="24"/>
                <w:szCs w:val="24"/>
                <w:highlight w:val="none"/>
                <w:lang w:val="en-US" w:eastAsia="zh-CN" w:bidi="ar-SA"/>
              </w:rPr>
              <w:t>90</w:t>
            </w:r>
            <w:r>
              <w:rPr>
                <w:rFonts w:hint="default" w:ascii="Times New Roman" w:hAnsi="Times New Roman" w:eastAsia="宋体" w:cs="Times New Roman"/>
                <w:color w:val="auto"/>
                <w:kern w:val="2"/>
                <w:sz w:val="24"/>
                <w:szCs w:val="24"/>
                <w:highlight w:val="none"/>
                <w:lang w:val="en-US" w:eastAsia="zh-CN" w:bidi="ar-SA"/>
              </w:rPr>
              <w:t>%降为0%</w:t>
            </w:r>
            <w:r>
              <w:rPr>
                <w:rFonts w:hint="eastAsia" w:ascii="Times New Roman" w:hAnsi="Times New Roman" w:cs="Times New Roman"/>
                <w:color w:val="auto"/>
                <w:kern w:val="2"/>
                <w:sz w:val="24"/>
                <w:szCs w:val="24"/>
                <w:highlight w:val="none"/>
                <w:lang w:val="en-US" w:eastAsia="zh-CN" w:bidi="ar-SA"/>
              </w:rPr>
              <w:t>、80%降为0%</w:t>
            </w:r>
            <w:r>
              <w:rPr>
                <w:rFonts w:hint="default" w:ascii="Times New Roman" w:hAnsi="Times New Roman" w:eastAsia="宋体" w:cs="Times New Roman"/>
                <w:color w:val="auto"/>
                <w:kern w:val="2"/>
                <w:sz w:val="24"/>
                <w:szCs w:val="24"/>
                <w:highlight w:val="none"/>
                <w:lang w:val="en-US" w:eastAsia="zh-CN" w:bidi="ar-SA"/>
              </w:rPr>
              <w:t>的情况进行设计</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项目非正常排</w:t>
            </w:r>
            <w:r>
              <w:rPr>
                <w:rFonts w:hint="default" w:ascii="Times New Roman" w:hAnsi="Times New Roman" w:eastAsia="宋体" w:cs="Times New Roman"/>
                <w:color w:val="auto"/>
                <w:kern w:val="2"/>
                <w:sz w:val="24"/>
                <w:szCs w:val="24"/>
                <w:lang w:val="en-US" w:eastAsia="zh-CN" w:bidi="ar-SA"/>
              </w:rPr>
              <w:t>放条件下废气排放情况详见表4-</w:t>
            </w:r>
            <w:r>
              <w:rPr>
                <w:rFonts w:hint="eastAsia" w:cs="Times New Roman"/>
                <w:color w:val="auto"/>
                <w:kern w:val="2"/>
                <w:sz w:val="24"/>
                <w:szCs w:val="24"/>
                <w:lang w:val="en-US" w:eastAsia="zh-CN" w:bidi="ar-SA"/>
              </w:rPr>
              <w:t>9</w:t>
            </w:r>
            <w:r>
              <w:rPr>
                <w:rFonts w:hint="default" w:ascii="Times New Roman" w:hAnsi="Times New Roman" w:eastAsia="宋体" w:cs="Times New Roman"/>
                <w:color w:val="auto"/>
                <w:kern w:val="2"/>
                <w:sz w:val="24"/>
                <w:szCs w:val="24"/>
                <w:lang w:val="en-US" w:eastAsia="zh-CN" w:bidi="ar-SA"/>
              </w:rPr>
              <w:t>。</w:t>
            </w:r>
          </w:p>
          <w:p w14:paraId="30FE5FA2">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color w:val="auto"/>
                <w:szCs w:val="21"/>
                <w:lang w:val="en-US" w:eastAsia="zh-CN"/>
              </w:rPr>
              <w:t>4-</w:t>
            </w:r>
            <w:r>
              <w:rPr>
                <w:rFonts w:hint="eastAsia" w:cs="Times New Roman"/>
                <w:b/>
                <w:color w:val="auto"/>
                <w:szCs w:val="21"/>
                <w:lang w:val="en-US" w:eastAsia="zh-CN"/>
              </w:rPr>
              <w:t>9</w:t>
            </w:r>
            <w:r>
              <w:rPr>
                <w:rFonts w:hint="default" w:ascii="Times New Roman" w:hAnsi="Times New Roman" w:eastAsia="宋体" w:cs="Times New Roman"/>
                <w:b/>
                <w:bCs/>
                <w:color w:val="auto"/>
                <w:szCs w:val="21"/>
                <w:lang w:val="en-US" w:eastAsia="zh-CN"/>
              </w:rPr>
              <w:t xml:space="preserve">  </w:t>
            </w:r>
            <w:r>
              <w:rPr>
                <w:rFonts w:hint="default" w:ascii="Times New Roman" w:hAnsi="Times New Roman" w:eastAsia="宋体" w:cs="Times New Roman"/>
                <w:b/>
                <w:bCs/>
                <w:color w:val="auto"/>
                <w:szCs w:val="21"/>
              </w:rPr>
              <w:t>本项目有组织</w:t>
            </w:r>
            <w:r>
              <w:rPr>
                <w:rFonts w:hint="default" w:ascii="Times New Roman" w:hAnsi="Times New Roman" w:eastAsia="宋体" w:cs="Times New Roman"/>
                <w:b/>
                <w:bCs/>
                <w:color w:val="auto"/>
                <w:szCs w:val="21"/>
                <w:lang w:val="en-US" w:eastAsia="zh-CN"/>
              </w:rPr>
              <w:t>废气</w:t>
            </w:r>
            <w:r>
              <w:rPr>
                <w:rFonts w:hint="default" w:ascii="Times New Roman" w:hAnsi="Times New Roman" w:eastAsia="宋体" w:cs="Times New Roman"/>
                <w:b/>
                <w:bCs/>
                <w:color w:val="auto"/>
                <w:szCs w:val="21"/>
              </w:rPr>
              <w:t>非正常工况下排放情况表</w:t>
            </w:r>
          </w:p>
          <w:tbl>
            <w:tblPr>
              <w:tblStyle w:val="26"/>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55"/>
              <w:gridCol w:w="676"/>
              <w:gridCol w:w="686"/>
              <w:gridCol w:w="794"/>
              <w:gridCol w:w="794"/>
              <w:gridCol w:w="798"/>
              <w:gridCol w:w="798"/>
              <w:gridCol w:w="539"/>
              <w:gridCol w:w="573"/>
              <w:gridCol w:w="560"/>
              <w:gridCol w:w="876"/>
            </w:tblGrid>
            <w:tr w14:paraId="20B3EB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restart"/>
                  <w:tcBorders>
                    <w:tl2br w:val="nil"/>
                    <w:tr2bl w:val="nil"/>
                  </w:tcBorders>
                  <w:noWrap w:val="0"/>
                  <w:vAlign w:val="center"/>
                </w:tcPr>
                <w:p w14:paraId="78195E1B">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676" w:type="dxa"/>
                  <w:vMerge w:val="restart"/>
                  <w:tcBorders>
                    <w:tl2br w:val="nil"/>
                    <w:tr2bl w:val="nil"/>
                  </w:tcBorders>
                  <w:noWrap w:val="0"/>
                  <w:vAlign w:val="center"/>
                </w:tcPr>
                <w:p w14:paraId="0E4478B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非正常排放原因</w:t>
                  </w:r>
                </w:p>
              </w:tc>
              <w:tc>
                <w:tcPr>
                  <w:tcW w:w="686" w:type="dxa"/>
                  <w:vMerge w:val="restart"/>
                  <w:tcBorders>
                    <w:tl2br w:val="nil"/>
                    <w:tr2bl w:val="nil"/>
                  </w:tcBorders>
                  <w:noWrap w:val="0"/>
                  <w:vAlign w:val="center"/>
                </w:tcPr>
                <w:p w14:paraId="4777BBC1">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w:t>
                  </w:r>
                </w:p>
                <w:p w14:paraId="4686F2A8">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因子</w:t>
                  </w:r>
                </w:p>
              </w:tc>
              <w:tc>
                <w:tcPr>
                  <w:tcW w:w="2386" w:type="dxa"/>
                  <w:gridSpan w:val="3"/>
                  <w:tcBorders>
                    <w:tl2br w:val="nil"/>
                    <w:tr2bl w:val="nil"/>
                  </w:tcBorders>
                  <w:noWrap w:val="0"/>
                  <w:vAlign w:val="top"/>
                </w:tcPr>
                <w:p w14:paraId="72D09E84">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非正常</w:t>
                  </w:r>
                  <w:r>
                    <w:rPr>
                      <w:rFonts w:hint="default" w:ascii="Times New Roman" w:hAnsi="Times New Roman" w:eastAsia="宋体" w:cs="Times New Roman"/>
                      <w:b/>
                      <w:color w:val="auto"/>
                      <w:sz w:val="21"/>
                      <w:szCs w:val="21"/>
                    </w:rPr>
                    <w:t>排放情况</w:t>
                  </w:r>
                </w:p>
              </w:tc>
              <w:tc>
                <w:tcPr>
                  <w:tcW w:w="798" w:type="dxa"/>
                  <w:vMerge w:val="restart"/>
                  <w:tcBorders>
                    <w:tl2br w:val="nil"/>
                    <w:tr2bl w:val="nil"/>
                  </w:tcBorders>
                  <w:noWrap w:val="0"/>
                  <w:vAlign w:val="center"/>
                </w:tcPr>
                <w:p w14:paraId="62AE75AB">
                  <w:pP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539" w:type="dxa"/>
                  <w:vMerge w:val="restart"/>
                  <w:tcBorders>
                    <w:tl2br w:val="nil"/>
                    <w:tr2bl w:val="nil"/>
                  </w:tcBorders>
                  <w:noWrap w:val="0"/>
                  <w:vAlign w:val="center"/>
                </w:tcPr>
                <w:p w14:paraId="442E2362">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达标情况</w:t>
                  </w:r>
                </w:p>
              </w:tc>
              <w:tc>
                <w:tcPr>
                  <w:tcW w:w="573" w:type="dxa"/>
                  <w:vMerge w:val="restart"/>
                  <w:tcBorders>
                    <w:tl2br w:val="nil"/>
                    <w:tr2bl w:val="nil"/>
                  </w:tcBorders>
                  <w:noWrap w:val="0"/>
                  <w:vAlign w:val="center"/>
                </w:tcPr>
                <w:p w14:paraId="14097E6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单次持续时间</w:t>
                  </w:r>
                </w:p>
              </w:tc>
              <w:tc>
                <w:tcPr>
                  <w:tcW w:w="560" w:type="dxa"/>
                  <w:vMerge w:val="restart"/>
                  <w:tcBorders>
                    <w:tl2br w:val="nil"/>
                    <w:tr2bl w:val="nil"/>
                  </w:tcBorders>
                  <w:noWrap w:val="0"/>
                  <w:vAlign w:val="center"/>
                </w:tcPr>
                <w:p w14:paraId="2DD1DF5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年发生频次</w:t>
                  </w:r>
                </w:p>
              </w:tc>
              <w:tc>
                <w:tcPr>
                  <w:tcW w:w="876" w:type="dxa"/>
                  <w:vMerge w:val="restart"/>
                  <w:tcBorders>
                    <w:tl2br w:val="nil"/>
                    <w:tr2bl w:val="nil"/>
                  </w:tcBorders>
                  <w:noWrap w:val="0"/>
                  <w:vAlign w:val="center"/>
                </w:tcPr>
                <w:p w14:paraId="4A0B4B5C">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val="0"/>
                      <w:color w:val="auto"/>
                      <w:sz w:val="21"/>
                      <w:szCs w:val="21"/>
                      <w:highlight w:val="none"/>
                      <w:lang w:eastAsia="zh-CN"/>
                    </w:rPr>
                    <w:t>应对措施</w:t>
                  </w:r>
                </w:p>
              </w:tc>
            </w:tr>
            <w:tr w14:paraId="7BB59C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vMerge w:val="continue"/>
                  <w:tcBorders>
                    <w:tl2br w:val="nil"/>
                    <w:tr2bl w:val="nil"/>
                  </w:tcBorders>
                  <w:noWrap w:val="0"/>
                  <w:vAlign w:val="center"/>
                </w:tcPr>
                <w:p w14:paraId="4E16930D">
                  <w:pPr>
                    <w:adjustRightInd w:val="0"/>
                    <w:snapToGrid w:val="0"/>
                    <w:jc w:val="center"/>
                    <w:rPr>
                      <w:rFonts w:hint="default" w:ascii="Times New Roman" w:hAnsi="Times New Roman" w:eastAsia="宋体" w:cs="Times New Roman"/>
                      <w:b/>
                      <w:color w:val="auto"/>
                      <w:sz w:val="21"/>
                      <w:szCs w:val="21"/>
                    </w:rPr>
                  </w:pPr>
                </w:p>
              </w:tc>
              <w:tc>
                <w:tcPr>
                  <w:tcW w:w="676" w:type="dxa"/>
                  <w:vMerge w:val="continue"/>
                  <w:tcBorders>
                    <w:tl2br w:val="nil"/>
                    <w:tr2bl w:val="nil"/>
                  </w:tcBorders>
                  <w:noWrap w:val="0"/>
                  <w:vAlign w:val="center"/>
                </w:tcPr>
                <w:p w14:paraId="4E8DC1EC">
                  <w:pPr>
                    <w:adjustRightInd w:val="0"/>
                    <w:snapToGrid w:val="0"/>
                    <w:jc w:val="center"/>
                    <w:rPr>
                      <w:rFonts w:hint="default" w:ascii="Times New Roman" w:hAnsi="Times New Roman" w:eastAsia="宋体" w:cs="Times New Roman"/>
                      <w:b/>
                      <w:color w:val="auto"/>
                      <w:sz w:val="21"/>
                      <w:szCs w:val="21"/>
                    </w:rPr>
                  </w:pPr>
                </w:p>
              </w:tc>
              <w:tc>
                <w:tcPr>
                  <w:tcW w:w="686" w:type="dxa"/>
                  <w:vMerge w:val="continue"/>
                  <w:tcBorders>
                    <w:tl2br w:val="nil"/>
                    <w:tr2bl w:val="nil"/>
                  </w:tcBorders>
                  <w:noWrap w:val="0"/>
                  <w:vAlign w:val="center"/>
                </w:tcPr>
                <w:p w14:paraId="4D0BC62B">
                  <w:pPr>
                    <w:adjustRightInd w:val="0"/>
                    <w:snapToGrid w:val="0"/>
                    <w:jc w:val="center"/>
                    <w:rPr>
                      <w:rFonts w:hint="default" w:ascii="Times New Roman" w:hAnsi="Times New Roman" w:eastAsia="宋体" w:cs="Times New Roman"/>
                      <w:b/>
                      <w:color w:val="auto"/>
                      <w:sz w:val="21"/>
                      <w:szCs w:val="21"/>
                    </w:rPr>
                  </w:pPr>
                </w:p>
              </w:tc>
              <w:tc>
                <w:tcPr>
                  <w:tcW w:w="794" w:type="dxa"/>
                  <w:tcBorders>
                    <w:tl2br w:val="nil"/>
                    <w:tr2bl w:val="nil"/>
                  </w:tcBorders>
                  <w:noWrap w:val="0"/>
                  <w:vAlign w:val="center"/>
                </w:tcPr>
                <w:p w14:paraId="2E40FE67">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排放量t/a</w:t>
                  </w:r>
                </w:p>
              </w:tc>
              <w:tc>
                <w:tcPr>
                  <w:tcW w:w="794" w:type="dxa"/>
                  <w:tcBorders>
                    <w:tl2br w:val="nil"/>
                    <w:tr2bl w:val="nil"/>
                  </w:tcBorders>
                  <w:noWrap w:val="0"/>
                  <w:vAlign w:val="center"/>
                </w:tcPr>
                <w:p w14:paraId="131A5DBC">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排放速率kg/h</w:t>
                  </w:r>
                </w:p>
              </w:tc>
              <w:tc>
                <w:tcPr>
                  <w:tcW w:w="798" w:type="dxa"/>
                  <w:tcBorders>
                    <w:tl2br w:val="nil"/>
                    <w:tr2bl w:val="nil"/>
                  </w:tcBorders>
                  <w:noWrap w:val="0"/>
                  <w:vAlign w:val="center"/>
                </w:tcPr>
                <w:p w14:paraId="47C17297">
                  <w:pPr>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排放浓度mg/m</w:t>
                  </w:r>
                  <w:r>
                    <w:rPr>
                      <w:rFonts w:hint="default" w:ascii="Times New Roman" w:hAnsi="Times New Roman" w:eastAsia="宋体" w:cs="Times New Roman"/>
                      <w:b/>
                      <w:color w:val="auto"/>
                      <w:sz w:val="21"/>
                      <w:szCs w:val="21"/>
                      <w:vertAlign w:val="superscript"/>
                    </w:rPr>
                    <w:t>3</w:t>
                  </w:r>
                </w:p>
              </w:tc>
              <w:tc>
                <w:tcPr>
                  <w:tcW w:w="798" w:type="dxa"/>
                  <w:vMerge w:val="continue"/>
                  <w:tcBorders>
                    <w:tl2br w:val="nil"/>
                    <w:tr2bl w:val="nil"/>
                  </w:tcBorders>
                  <w:noWrap w:val="0"/>
                  <w:vAlign w:val="center"/>
                </w:tcPr>
                <w:p w14:paraId="0E35E081">
                  <w:pPr>
                    <w:adjustRightInd w:val="0"/>
                    <w:snapToGrid w:val="0"/>
                    <w:jc w:val="center"/>
                    <w:rPr>
                      <w:rFonts w:hint="default" w:ascii="Times New Roman" w:hAnsi="Times New Roman" w:eastAsia="宋体" w:cs="Times New Roman"/>
                      <w:b/>
                      <w:color w:val="auto"/>
                      <w:sz w:val="21"/>
                      <w:szCs w:val="21"/>
                      <w:highlight w:val="none"/>
                    </w:rPr>
                  </w:pPr>
                </w:p>
              </w:tc>
              <w:tc>
                <w:tcPr>
                  <w:tcW w:w="539" w:type="dxa"/>
                  <w:vMerge w:val="continue"/>
                  <w:tcBorders>
                    <w:tl2br w:val="nil"/>
                    <w:tr2bl w:val="nil"/>
                  </w:tcBorders>
                  <w:noWrap w:val="0"/>
                  <w:vAlign w:val="center"/>
                </w:tcPr>
                <w:p w14:paraId="7D3A6D17">
                  <w:pPr>
                    <w:adjustRightInd w:val="0"/>
                    <w:snapToGrid w:val="0"/>
                    <w:jc w:val="center"/>
                    <w:rPr>
                      <w:rFonts w:hint="default" w:ascii="Times New Roman" w:hAnsi="Times New Roman" w:eastAsia="宋体" w:cs="Times New Roman"/>
                      <w:b/>
                      <w:color w:val="auto"/>
                      <w:sz w:val="21"/>
                      <w:szCs w:val="21"/>
                    </w:rPr>
                  </w:pPr>
                </w:p>
              </w:tc>
              <w:tc>
                <w:tcPr>
                  <w:tcW w:w="573" w:type="dxa"/>
                  <w:vMerge w:val="continue"/>
                  <w:tcBorders>
                    <w:tl2br w:val="nil"/>
                    <w:tr2bl w:val="nil"/>
                  </w:tcBorders>
                  <w:noWrap w:val="0"/>
                  <w:vAlign w:val="center"/>
                </w:tcPr>
                <w:p w14:paraId="004D2D9D">
                  <w:pPr>
                    <w:adjustRightInd w:val="0"/>
                    <w:snapToGrid w:val="0"/>
                    <w:jc w:val="center"/>
                    <w:rPr>
                      <w:rFonts w:hint="default" w:ascii="Times New Roman" w:hAnsi="Times New Roman" w:eastAsia="宋体" w:cs="Times New Roman"/>
                      <w:b/>
                      <w:color w:val="auto"/>
                      <w:sz w:val="21"/>
                      <w:szCs w:val="21"/>
                    </w:rPr>
                  </w:pPr>
                </w:p>
              </w:tc>
              <w:tc>
                <w:tcPr>
                  <w:tcW w:w="560" w:type="dxa"/>
                  <w:vMerge w:val="continue"/>
                  <w:tcBorders>
                    <w:tl2br w:val="nil"/>
                    <w:tr2bl w:val="nil"/>
                  </w:tcBorders>
                  <w:noWrap w:val="0"/>
                  <w:vAlign w:val="center"/>
                </w:tcPr>
                <w:p w14:paraId="28999A6B">
                  <w:pPr>
                    <w:adjustRightInd w:val="0"/>
                    <w:snapToGrid w:val="0"/>
                    <w:jc w:val="center"/>
                    <w:rPr>
                      <w:rFonts w:hint="default" w:ascii="Times New Roman" w:hAnsi="Times New Roman" w:eastAsia="宋体" w:cs="Times New Roman"/>
                      <w:b/>
                      <w:color w:val="auto"/>
                      <w:sz w:val="21"/>
                      <w:szCs w:val="21"/>
                    </w:rPr>
                  </w:pPr>
                </w:p>
              </w:tc>
              <w:tc>
                <w:tcPr>
                  <w:tcW w:w="876" w:type="dxa"/>
                  <w:vMerge w:val="continue"/>
                  <w:tcBorders>
                    <w:tl2br w:val="nil"/>
                    <w:tr2bl w:val="nil"/>
                  </w:tcBorders>
                  <w:noWrap w:val="0"/>
                  <w:vAlign w:val="center"/>
                </w:tcPr>
                <w:p w14:paraId="7DCB570B">
                  <w:pPr>
                    <w:adjustRightInd w:val="0"/>
                    <w:snapToGrid w:val="0"/>
                    <w:jc w:val="center"/>
                    <w:rPr>
                      <w:rFonts w:hint="default" w:ascii="Times New Roman" w:hAnsi="Times New Roman" w:eastAsia="宋体" w:cs="Times New Roman"/>
                      <w:b/>
                      <w:color w:val="auto"/>
                      <w:sz w:val="21"/>
                      <w:szCs w:val="21"/>
                    </w:rPr>
                  </w:pPr>
                </w:p>
              </w:tc>
            </w:tr>
            <w:tr w14:paraId="2D021B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255" w:type="dxa"/>
                  <w:tcBorders>
                    <w:tl2br w:val="nil"/>
                    <w:tr2bl w:val="nil"/>
                  </w:tcBorders>
                  <w:noWrap w:val="0"/>
                  <w:vAlign w:val="center"/>
                </w:tcPr>
                <w:p w14:paraId="0DEFA3D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生物质燃料</w:t>
                  </w:r>
                  <w:r>
                    <w:rPr>
                      <w:rFonts w:hint="default" w:ascii="Times New Roman" w:hAnsi="Times New Roman" w:eastAsia="宋体" w:cs="Times New Roman"/>
                      <w:color w:val="auto"/>
                      <w:sz w:val="21"/>
                      <w:szCs w:val="21"/>
                      <w:lang w:val="en-US" w:eastAsia="zh-CN"/>
                    </w:rPr>
                    <w:t>燃烧废气（</w:t>
                  </w:r>
                  <w:r>
                    <w:rPr>
                      <w:rFonts w:hint="default" w:ascii="Times New Roman" w:hAnsi="Times New Roman" w:eastAsia="宋体" w:cs="Times New Roman"/>
                      <w:color w:val="auto"/>
                      <w:sz w:val="21"/>
                      <w:szCs w:val="21"/>
                    </w:rPr>
                    <w:t>DA001</w:t>
                  </w:r>
                  <w:r>
                    <w:rPr>
                      <w:rFonts w:hint="default" w:ascii="Times New Roman" w:hAnsi="Times New Roman" w:eastAsia="宋体" w:cs="Times New Roman"/>
                      <w:color w:val="auto"/>
                      <w:sz w:val="21"/>
                      <w:szCs w:val="21"/>
                      <w:lang w:val="en-US" w:eastAsia="zh-CN"/>
                    </w:rPr>
                    <w:t>）</w:t>
                  </w:r>
                </w:p>
              </w:tc>
              <w:tc>
                <w:tcPr>
                  <w:tcW w:w="676" w:type="dxa"/>
                  <w:vMerge w:val="restart"/>
                  <w:tcBorders>
                    <w:tl2br w:val="nil"/>
                    <w:tr2bl w:val="nil"/>
                  </w:tcBorders>
                  <w:noWrap w:val="0"/>
                  <w:vAlign w:val="center"/>
                </w:tcPr>
                <w:p w14:paraId="34277661">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686" w:type="dxa"/>
                  <w:tcBorders>
                    <w:tl2br w:val="nil"/>
                    <w:tr2bl w:val="nil"/>
                  </w:tcBorders>
                  <w:noWrap w:val="0"/>
                  <w:vAlign w:val="center"/>
                </w:tcPr>
                <w:p w14:paraId="061509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94" w:type="dxa"/>
                  <w:tcBorders>
                    <w:tl2br w:val="nil"/>
                    <w:tr2bl w:val="nil"/>
                  </w:tcBorders>
                  <w:noWrap w:val="0"/>
                  <w:vAlign w:val="center"/>
                </w:tcPr>
                <w:p w14:paraId="30B030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0028</w:t>
                  </w:r>
                </w:p>
              </w:tc>
              <w:tc>
                <w:tcPr>
                  <w:tcW w:w="794" w:type="dxa"/>
                  <w:tcBorders>
                    <w:tl2br w:val="nil"/>
                    <w:tr2bl w:val="nil"/>
                  </w:tcBorders>
                  <w:noWrap w:val="0"/>
                  <w:vAlign w:val="center"/>
                </w:tcPr>
                <w:p w14:paraId="6A4722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1.3983</w:t>
                  </w:r>
                </w:p>
              </w:tc>
              <w:tc>
                <w:tcPr>
                  <w:tcW w:w="798" w:type="dxa"/>
                  <w:tcBorders>
                    <w:tl2br w:val="nil"/>
                    <w:tr2bl w:val="nil"/>
                  </w:tcBorders>
                  <w:noWrap w:val="0"/>
                  <w:vAlign w:val="center"/>
                </w:tcPr>
                <w:p w14:paraId="018A43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80.13</w:t>
                  </w:r>
                </w:p>
              </w:tc>
              <w:tc>
                <w:tcPr>
                  <w:tcW w:w="798" w:type="dxa"/>
                  <w:tcBorders>
                    <w:tl2br w:val="nil"/>
                    <w:tr2bl w:val="nil"/>
                  </w:tcBorders>
                  <w:noWrap w:val="0"/>
                  <w:vAlign w:val="center"/>
                </w:tcPr>
                <w:p w14:paraId="03730D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539" w:type="dxa"/>
                  <w:tcBorders>
                    <w:tl2br w:val="nil"/>
                    <w:tr2bl w:val="nil"/>
                  </w:tcBorders>
                  <w:noWrap w:val="0"/>
                  <w:vAlign w:val="center"/>
                </w:tcPr>
                <w:p w14:paraId="39EDAF31">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573" w:type="dxa"/>
                  <w:tcBorders>
                    <w:tl2br w:val="nil"/>
                    <w:tr2bl w:val="nil"/>
                  </w:tcBorders>
                  <w:noWrap w:val="0"/>
                  <w:vAlign w:val="center"/>
                </w:tcPr>
                <w:p w14:paraId="4E0F2EC2">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560" w:type="dxa"/>
                  <w:tcBorders>
                    <w:tl2br w:val="nil"/>
                    <w:tr2bl w:val="nil"/>
                  </w:tcBorders>
                  <w:noWrap w:val="0"/>
                  <w:vAlign w:val="center"/>
                </w:tcPr>
                <w:p w14:paraId="01583D59">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876" w:type="dxa"/>
                  <w:vMerge w:val="restart"/>
                  <w:tcBorders>
                    <w:tl2br w:val="nil"/>
                    <w:tr2bl w:val="nil"/>
                  </w:tcBorders>
                  <w:noWrap w:val="0"/>
                  <w:vAlign w:val="center"/>
                </w:tcPr>
                <w:p w14:paraId="36895995">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r w14:paraId="6A426D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6" w:hRule="atLeast"/>
              </w:trPr>
              <w:tc>
                <w:tcPr>
                  <w:tcW w:w="1255" w:type="dxa"/>
                  <w:vMerge w:val="restart"/>
                  <w:tcBorders>
                    <w:tl2br w:val="nil"/>
                    <w:tr2bl w:val="nil"/>
                  </w:tcBorders>
                  <w:noWrap w:val="0"/>
                  <w:vAlign w:val="center"/>
                </w:tcPr>
                <w:p w14:paraId="4DF8291A">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精炼牛油熔炼废气（DA002）</w:t>
                  </w:r>
                </w:p>
              </w:tc>
              <w:tc>
                <w:tcPr>
                  <w:tcW w:w="676" w:type="dxa"/>
                  <w:vMerge w:val="continue"/>
                  <w:tcBorders>
                    <w:tl2br w:val="nil"/>
                    <w:tr2bl w:val="nil"/>
                  </w:tcBorders>
                  <w:noWrap w:val="0"/>
                  <w:vAlign w:val="center"/>
                </w:tcPr>
                <w:p w14:paraId="59E6113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686" w:type="dxa"/>
                  <w:tcBorders>
                    <w:tl2br w:val="nil"/>
                    <w:tr2bl w:val="nil"/>
                  </w:tcBorders>
                  <w:noWrap w:val="0"/>
                  <w:vAlign w:val="center"/>
                </w:tcPr>
                <w:p w14:paraId="1AE9BB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油烟</w:t>
                  </w:r>
                </w:p>
              </w:tc>
              <w:tc>
                <w:tcPr>
                  <w:tcW w:w="794" w:type="dxa"/>
                  <w:tcBorders>
                    <w:tl2br w:val="nil"/>
                    <w:tr2bl w:val="nil"/>
                  </w:tcBorders>
                  <w:noWrap w:val="0"/>
                  <w:vAlign w:val="center"/>
                </w:tcPr>
                <w:p w14:paraId="272F65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w:t>
                  </w:r>
                </w:p>
              </w:tc>
              <w:tc>
                <w:tcPr>
                  <w:tcW w:w="794" w:type="dxa"/>
                  <w:tcBorders>
                    <w:tl2br w:val="nil"/>
                    <w:tr2bl w:val="nil"/>
                  </w:tcBorders>
                  <w:noWrap w:val="0"/>
                  <w:vAlign w:val="center"/>
                </w:tcPr>
                <w:p w14:paraId="599D1B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p>
              </w:tc>
              <w:tc>
                <w:tcPr>
                  <w:tcW w:w="798" w:type="dxa"/>
                  <w:tcBorders>
                    <w:tl2br w:val="nil"/>
                    <w:tr2bl w:val="nil"/>
                  </w:tcBorders>
                  <w:noWrap w:val="0"/>
                  <w:vAlign w:val="center"/>
                </w:tcPr>
                <w:p w14:paraId="344825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166.67</w:t>
                  </w:r>
                </w:p>
              </w:tc>
              <w:tc>
                <w:tcPr>
                  <w:tcW w:w="798" w:type="dxa"/>
                  <w:tcBorders>
                    <w:tl2br w:val="nil"/>
                    <w:tr2bl w:val="nil"/>
                  </w:tcBorders>
                  <w:noWrap w:val="0"/>
                  <w:vAlign w:val="center"/>
                </w:tcPr>
                <w:p w14:paraId="317471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539" w:type="dxa"/>
                  <w:tcBorders>
                    <w:tl2br w:val="nil"/>
                    <w:tr2bl w:val="nil"/>
                  </w:tcBorders>
                  <w:noWrap w:val="0"/>
                  <w:vAlign w:val="center"/>
                </w:tcPr>
                <w:p w14:paraId="155881A2">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573" w:type="dxa"/>
                  <w:vMerge w:val="restart"/>
                  <w:tcBorders>
                    <w:tl2br w:val="nil"/>
                    <w:tr2bl w:val="nil"/>
                  </w:tcBorders>
                  <w:noWrap w:val="0"/>
                  <w:vAlign w:val="center"/>
                </w:tcPr>
                <w:p w14:paraId="77367B9B">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560" w:type="dxa"/>
                  <w:vMerge w:val="restart"/>
                  <w:tcBorders>
                    <w:tl2br w:val="nil"/>
                    <w:tr2bl w:val="nil"/>
                  </w:tcBorders>
                  <w:noWrap w:val="0"/>
                  <w:vAlign w:val="center"/>
                </w:tcPr>
                <w:p w14:paraId="5E8AA9FF">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876" w:type="dxa"/>
                  <w:vMerge w:val="continue"/>
                  <w:tcBorders>
                    <w:tl2br w:val="nil"/>
                    <w:tr2bl w:val="nil"/>
                  </w:tcBorders>
                  <w:noWrap w:val="0"/>
                  <w:vAlign w:val="center"/>
                </w:tcPr>
                <w:p w14:paraId="745ACEC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1D3E6F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6" w:hRule="atLeast"/>
              </w:trPr>
              <w:tc>
                <w:tcPr>
                  <w:tcW w:w="1255" w:type="dxa"/>
                  <w:vMerge w:val="continue"/>
                  <w:tcBorders>
                    <w:tl2br w:val="nil"/>
                    <w:tr2bl w:val="nil"/>
                  </w:tcBorders>
                  <w:noWrap w:val="0"/>
                  <w:vAlign w:val="center"/>
                </w:tcPr>
                <w:p w14:paraId="51D7E81D">
                  <w:pPr>
                    <w:keepNext w:val="0"/>
                    <w:keepLines w:val="0"/>
                    <w:widowControl/>
                    <w:suppressLineNumbers w:val="0"/>
                    <w:jc w:val="center"/>
                    <w:textAlignment w:val="center"/>
                    <w:rPr>
                      <w:color w:val="auto"/>
                    </w:rPr>
                  </w:pPr>
                </w:p>
              </w:tc>
              <w:tc>
                <w:tcPr>
                  <w:tcW w:w="676" w:type="dxa"/>
                  <w:vMerge w:val="continue"/>
                  <w:tcBorders>
                    <w:tl2br w:val="nil"/>
                    <w:tr2bl w:val="nil"/>
                  </w:tcBorders>
                  <w:noWrap w:val="0"/>
                  <w:vAlign w:val="center"/>
                </w:tcPr>
                <w:p w14:paraId="5245FDBB">
                  <w:pPr>
                    <w:keepNext w:val="0"/>
                    <w:keepLines w:val="0"/>
                    <w:widowControl/>
                    <w:suppressLineNumbers w:val="0"/>
                    <w:jc w:val="center"/>
                    <w:textAlignment w:val="center"/>
                    <w:rPr>
                      <w:color w:val="auto"/>
                    </w:rPr>
                  </w:pPr>
                </w:p>
              </w:tc>
              <w:tc>
                <w:tcPr>
                  <w:tcW w:w="686" w:type="dxa"/>
                  <w:tcBorders>
                    <w:tl2br w:val="nil"/>
                    <w:tr2bl w:val="nil"/>
                  </w:tcBorders>
                  <w:noWrap w:val="0"/>
                  <w:vAlign w:val="center"/>
                </w:tcPr>
                <w:p w14:paraId="2E3009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非甲烷总烃</w:t>
                  </w:r>
                </w:p>
              </w:tc>
              <w:tc>
                <w:tcPr>
                  <w:tcW w:w="794" w:type="dxa"/>
                  <w:tcBorders>
                    <w:tl2br w:val="nil"/>
                    <w:tr2bl w:val="nil"/>
                  </w:tcBorders>
                  <w:noWrap w:val="0"/>
                  <w:vAlign w:val="center"/>
                </w:tcPr>
                <w:p w14:paraId="0BB7D6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0.0007</w:t>
                  </w:r>
                </w:p>
              </w:tc>
              <w:tc>
                <w:tcPr>
                  <w:tcW w:w="794" w:type="dxa"/>
                  <w:tcBorders>
                    <w:tl2br w:val="nil"/>
                    <w:tr2bl w:val="nil"/>
                  </w:tcBorders>
                  <w:noWrap w:val="0"/>
                  <w:vAlign w:val="center"/>
                </w:tcPr>
                <w:p w14:paraId="4FB853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0.3333</w:t>
                  </w:r>
                </w:p>
              </w:tc>
              <w:tc>
                <w:tcPr>
                  <w:tcW w:w="798" w:type="dxa"/>
                  <w:tcBorders>
                    <w:tl2br w:val="nil"/>
                    <w:tr2bl w:val="nil"/>
                  </w:tcBorders>
                  <w:noWrap w:val="0"/>
                  <w:vAlign w:val="center"/>
                </w:tcPr>
                <w:p w14:paraId="6D7F72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bCs/>
                      <w:color w:val="auto"/>
                      <w:spacing w:val="-10"/>
                      <w:szCs w:val="21"/>
                      <w:lang w:val="en-US" w:eastAsia="zh-CN"/>
                    </w:rPr>
                    <w:t>11.11</w:t>
                  </w:r>
                </w:p>
              </w:tc>
              <w:tc>
                <w:tcPr>
                  <w:tcW w:w="798" w:type="dxa"/>
                  <w:tcBorders>
                    <w:tl2br w:val="nil"/>
                    <w:tr2bl w:val="nil"/>
                  </w:tcBorders>
                  <w:noWrap w:val="0"/>
                  <w:vAlign w:val="center"/>
                </w:tcPr>
                <w:p w14:paraId="06B58B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539" w:type="dxa"/>
                  <w:tcBorders>
                    <w:tl2br w:val="nil"/>
                    <w:tr2bl w:val="nil"/>
                  </w:tcBorders>
                  <w:noWrap w:val="0"/>
                  <w:vAlign w:val="center"/>
                </w:tcPr>
                <w:p w14:paraId="6CAA42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达标</w:t>
                  </w:r>
                </w:p>
              </w:tc>
              <w:tc>
                <w:tcPr>
                  <w:tcW w:w="573" w:type="dxa"/>
                  <w:vMerge w:val="continue"/>
                  <w:tcBorders>
                    <w:tl2br w:val="nil"/>
                    <w:tr2bl w:val="nil"/>
                  </w:tcBorders>
                  <w:noWrap w:val="0"/>
                  <w:vAlign w:val="center"/>
                </w:tcPr>
                <w:p w14:paraId="09571F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0" w:type="dxa"/>
                  <w:vMerge w:val="continue"/>
                  <w:tcBorders>
                    <w:tl2br w:val="nil"/>
                    <w:tr2bl w:val="nil"/>
                  </w:tcBorders>
                  <w:noWrap w:val="0"/>
                  <w:vAlign w:val="center"/>
                </w:tcPr>
                <w:p w14:paraId="1EF41A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76" w:type="dxa"/>
                  <w:vMerge w:val="continue"/>
                  <w:tcBorders>
                    <w:tl2br w:val="nil"/>
                    <w:tr2bl w:val="nil"/>
                  </w:tcBorders>
                  <w:noWrap w:val="0"/>
                  <w:vAlign w:val="center"/>
                </w:tcPr>
                <w:p w14:paraId="76C6AF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B6D99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4" w:hRule="atLeast"/>
              </w:trPr>
              <w:tc>
                <w:tcPr>
                  <w:tcW w:w="1255" w:type="dxa"/>
                  <w:vMerge w:val="restart"/>
                  <w:tcBorders>
                    <w:tl2br w:val="nil"/>
                    <w:tr2bl w:val="nil"/>
                  </w:tcBorders>
                  <w:noWrap w:val="0"/>
                  <w:vAlign w:val="center"/>
                </w:tcPr>
                <w:p w14:paraId="7B0F56BA">
                  <w:pPr>
                    <w:adjustRightInd w:val="0"/>
                    <w:snapToGrid w:val="0"/>
                    <w:jc w:val="both"/>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动物饲料油脂</w:t>
                  </w:r>
                  <w:r>
                    <w:rPr>
                      <w:rFonts w:hint="eastAsia" w:ascii="Times New Roman" w:hAnsi="Times New Roman" w:eastAsia="宋体" w:cs="Times New Roman"/>
                      <w:color w:val="auto"/>
                      <w:sz w:val="21"/>
                      <w:szCs w:val="21"/>
                      <w:lang w:val="en-US" w:eastAsia="zh-CN"/>
                    </w:rPr>
                    <w:t>熔炼废气（DA00</w:t>
                  </w: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w:t>
                  </w:r>
                </w:p>
              </w:tc>
              <w:tc>
                <w:tcPr>
                  <w:tcW w:w="676" w:type="dxa"/>
                  <w:vMerge w:val="continue"/>
                  <w:tcBorders>
                    <w:tl2br w:val="nil"/>
                    <w:tr2bl w:val="nil"/>
                  </w:tcBorders>
                  <w:noWrap w:val="0"/>
                  <w:vAlign w:val="center"/>
                </w:tcPr>
                <w:p w14:paraId="13FD502D">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686" w:type="dxa"/>
                  <w:tcBorders>
                    <w:tl2br w:val="nil"/>
                    <w:tr2bl w:val="nil"/>
                  </w:tcBorders>
                  <w:noWrap w:val="0"/>
                  <w:vAlign w:val="center"/>
                </w:tcPr>
                <w:p w14:paraId="21BE67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油烟</w:t>
                  </w:r>
                </w:p>
              </w:tc>
              <w:tc>
                <w:tcPr>
                  <w:tcW w:w="794" w:type="dxa"/>
                  <w:tcBorders>
                    <w:tl2br w:val="nil"/>
                    <w:tr2bl w:val="nil"/>
                  </w:tcBorders>
                  <w:noWrap w:val="0"/>
                  <w:vAlign w:val="center"/>
                </w:tcPr>
                <w:p w14:paraId="5A0C39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0.0075</w:t>
                  </w:r>
                </w:p>
              </w:tc>
              <w:tc>
                <w:tcPr>
                  <w:tcW w:w="794" w:type="dxa"/>
                  <w:tcBorders>
                    <w:tl2br w:val="nil"/>
                    <w:tr2bl w:val="nil"/>
                  </w:tcBorders>
                  <w:noWrap w:val="0"/>
                  <w:vAlign w:val="center"/>
                </w:tcPr>
                <w:p w14:paraId="1DCA78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3.75</w:t>
                  </w:r>
                </w:p>
              </w:tc>
              <w:tc>
                <w:tcPr>
                  <w:tcW w:w="798" w:type="dxa"/>
                  <w:tcBorders>
                    <w:tl2br w:val="nil"/>
                    <w:tr2bl w:val="nil"/>
                  </w:tcBorders>
                  <w:noWrap w:val="0"/>
                  <w:vAlign w:val="center"/>
                </w:tcPr>
                <w:p w14:paraId="17BAA4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187.5</w:t>
                  </w:r>
                </w:p>
              </w:tc>
              <w:tc>
                <w:tcPr>
                  <w:tcW w:w="798" w:type="dxa"/>
                  <w:tcBorders>
                    <w:tl2br w:val="nil"/>
                    <w:tr2bl w:val="nil"/>
                  </w:tcBorders>
                  <w:noWrap w:val="0"/>
                  <w:vAlign w:val="center"/>
                </w:tcPr>
                <w:p w14:paraId="6C54F8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539" w:type="dxa"/>
                  <w:tcBorders>
                    <w:tl2br w:val="nil"/>
                    <w:tr2bl w:val="nil"/>
                  </w:tcBorders>
                  <w:noWrap w:val="0"/>
                  <w:vAlign w:val="center"/>
                </w:tcPr>
                <w:p w14:paraId="4B3070F2">
                  <w:pPr>
                    <w:adjustRightInd w:val="0"/>
                    <w:snapToGrid w:val="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573" w:type="dxa"/>
                  <w:vMerge w:val="restart"/>
                  <w:tcBorders>
                    <w:tl2br w:val="nil"/>
                    <w:tr2bl w:val="nil"/>
                  </w:tcBorders>
                  <w:noWrap w:val="0"/>
                  <w:vAlign w:val="center"/>
                </w:tcPr>
                <w:p w14:paraId="4B9890F8">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560" w:type="dxa"/>
                  <w:vMerge w:val="restart"/>
                  <w:tcBorders>
                    <w:tl2br w:val="nil"/>
                    <w:tr2bl w:val="nil"/>
                  </w:tcBorders>
                  <w:noWrap w:val="0"/>
                  <w:vAlign w:val="center"/>
                </w:tcPr>
                <w:p w14:paraId="5693BE3E">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876" w:type="dxa"/>
                  <w:vMerge w:val="continue"/>
                  <w:tcBorders>
                    <w:tl2br w:val="nil"/>
                    <w:tr2bl w:val="nil"/>
                  </w:tcBorders>
                  <w:noWrap w:val="0"/>
                  <w:vAlign w:val="center"/>
                </w:tcPr>
                <w:p w14:paraId="2EACC527">
                  <w:pPr>
                    <w:keepNext w:val="0"/>
                    <w:keepLines w:val="0"/>
                    <w:pageBreakBefore w:val="0"/>
                    <w:widowControl w:val="0"/>
                    <w:suppressLineNumbers w:val="0"/>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14:paraId="0B1B15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4" w:hRule="atLeast"/>
              </w:trPr>
              <w:tc>
                <w:tcPr>
                  <w:tcW w:w="1255" w:type="dxa"/>
                  <w:vMerge w:val="continue"/>
                  <w:tcBorders>
                    <w:tl2br w:val="nil"/>
                    <w:tr2bl w:val="nil"/>
                  </w:tcBorders>
                  <w:noWrap w:val="0"/>
                  <w:vAlign w:val="center"/>
                </w:tcPr>
                <w:p w14:paraId="7E411CDF">
                  <w:pPr>
                    <w:keepNext w:val="0"/>
                    <w:keepLines w:val="0"/>
                    <w:widowControl/>
                    <w:suppressLineNumbers w:val="0"/>
                    <w:jc w:val="center"/>
                    <w:textAlignment w:val="center"/>
                    <w:rPr>
                      <w:color w:val="auto"/>
                    </w:rPr>
                  </w:pPr>
                </w:p>
              </w:tc>
              <w:tc>
                <w:tcPr>
                  <w:tcW w:w="676" w:type="dxa"/>
                  <w:vMerge w:val="continue"/>
                  <w:tcBorders>
                    <w:tl2br w:val="nil"/>
                    <w:tr2bl w:val="nil"/>
                  </w:tcBorders>
                  <w:noWrap w:val="0"/>
                  <w:vAlign w:val="center"/>
                </w:tcPr>
                <w:p w14:paraId="106057B9">
                  <w:pPr>
                    <w:keepNext w:val="0"/>
                    <w:keepLines w:val="0"/>
                    <w:widowControl/>
                    <w:suppressLineNumbers w:val="0"/>
                    <w:jc w:val="center"/>
                    <w:textAlignment w:val="center"/>
                    <w:rPr>
                      <w:color w:val="auto"/>
                    </w:rPr>
                  </w:pPr>
                </w:p>
              </w:tc>
              <w:tc>
                <w:tcPr>
                  <w:tcW w:w="686" w:type="dxa"/>
                  <w:tcBorders>
                    <w:tl2br w:val="nil"/>
                    <w:tr2bl w:val="nil"/>
                  </w:tcBorders>
                  <w:noWrap w:val="0"/>
                  <w:vAlign w:val="center"/>
                </w:tcPr>
                <w:p w14:paraId="5B4C0D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非甲烷总烃</w:t>
                  </w:r>
                </w:p>
              </w:tc>
              <w:tc>
                <w:tcPr>
                  <w:tcW w:w="794" w:type="dxa"/>
                  <w:tcBorders>
                    <w:tl2br w:val="nil"/>
                    <w:tr2bl w:val="nil"/>
                  </w:tcBorders>
                  <w:noWrap w:val="0"/>
                  <w:vAlign w:val="center"/>
                </w:tcPr>
                <w:p w14:paraId="765FEC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0.0005</w:t>
                  </w:r>
                </w:p>
              </w:tc>
              <w:tc>
                <w:tcPr>
                  <w:tcW w:w="794" w:type="dxa"/>
                  <w:tcBorders>
                    <w:tl2br w:val="nil"/>
                    <w:tr2bl w:val="nil"/>
                  </w:tcBorders>
                  <w:noWrap w:val="0"/>
                  <w:vAlign w:val="center"/>
                </w:tcPr>
                <w:p w14:paraId="24D660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0.25</w:t>
                  </w:r>
                </w:p>
              </w:tc>
              <w:tc>
                <w:tcPr>
                  <w:tcW w:w="798" w:type="dxa"/>
                  <w:tcBorders>
                    <w:tl2br w:val="nil"/>
                    <w:tr2bl w:val="nil"/>
                  </w:tcBorders>
                  <w:noWrap w:val="0"/>
                  <w:vAlign w:val="center"/>
                </w:tcPr>
                <w:p w14:paraId="570D0F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12.5</w:t>
                  </w:r>
                </w:p>
              </w:tc>
              <w:tc>
                <w:tcPr>
                  <w:tcW w:w="798" w:type="dxa"/>
                  <w:tcBorders>
                    <w:tl2br w:val="nil"/>
                    <w:tr2bl w:val="nil"/>
                  </w:tcBorders>
                  <w:noWrap w:val="0"/>
                  <w:vAlign w:val="center"/>
                </w:tcPr>
                <w:p w14:paraId="10BAA0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539" w:type="dxa"/>
                  <w:tcBorders>
                    <w:tl2br w:val="nil"/>
                    <w:tr2bl w:val="nil"/>
                  </w:tcBorders>
                  <w:noWrap w:val="0"/>
                  <w:vAlign w:val="center"/>
                </w:tcPr>
                <w:p w14:paraId="275981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达标</w:t>
                  </w:r>
                </w:p>
              </w:tc>
              <w:tc>
                <w:tcPr>
                  <w:tcW w:w="573" w:type="dxa"/>
                  <w:vMerge w:val="continue"/>
                  <w:tcBorders>
                    <w:tl2br w:val="nil"/>
                    <w:tr2bl w:val="nil"/>
                  </w:tcBorders>
                  <w:noWrap w:val="0"/>
                  <w:vAlign w:val="center"/>
                </w:tcPr>
                <w:p w14:paraId="70F8BE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60" w:type="dxa"/>
                  <w:vMerge w:val="continue"/>
                  <w:tcBorders>
                    <w:tl2br w:val="nil"/>
                    <w:tr2bl w:val="nil"/>
                  </w:tcBorders>
                  <w:noWrap w:val="0"/>
                  <w:vAlign w:val="center"/>
                </w:tcPr>
                <w:p w14:paraId="3387D9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76" w:type="dxa"/>
                  <w:vMerge w:val="continue"/>
                  <w:tcBorders>
                    <w:tl2br w:val="nil"/>
                    <w:tr2bl w:val="nil"/>
                  </w:tcBorders>
                  <w:noWrap w:val="0"/>
                  <w:vAlign w:val="center"/>
                </w:tcPr>
                <w:p w14:paraId="37A6E5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0FADDF32">
            <w:pPr>
              <w:pStyle w:val="15"/>
              <w:keepNext w:val="0"/>
              <w:keepLines w:val="0"/>
              <w:pageBreakBefore w:val="0"/>
              <w:widowControl w:val="0"/>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w:t>
            </w:r>
            <w:r>
              <w:rPr>
                <w:rFonts w:hint="default" w:ascii="Times New Roman" w:hAnsi="Times New Roman" w:eastAsia="宋体" w:cs="Times New Roman"/>
                <w:color w:val="auto"/>
                <w:sz w:val="24"/>
                <w:highlight w:val="none"/>
              </w:rPr>
              <w:t>非正常情况下</w:t>
            </w:r>
            <w:r>
              <w:rPr>
                <w:rFonts w:hint="default" w:ascii="Times New Roman" w:hAnsi="Times New Roman" w:eastAsia="宋体" w:cs="Times New Roman"/>
                <w:color w:val="auto"/>
                <w:spacing w:val="-3"/>
                <w:sz w:val="24"/>
                <w:highlight w:val="none"/>
                <w:lang w:eastAsia="zh-CN"/>
              </w:rPr>
              <w:t>，</w:t>
            </w:r>
            <w:r>
              <w:rPr>
                <w:rFonts w:hint="default" w:ascii="Times New Roman" w:hAnsi="Times New Roman" w:eastAsia="宋体" w:cs="Times New Roman"/>
                <w:color w:val="auto"/>
                <w:spacing w:val="-3"/>
                <w:sz w:val="24"/>
                <w:highlight w:val="none"/>
              </w:rPr>
              <w:t>即</w:t>
            </w:r>
            <w:r>
              <w:rPr>
                <w:rFonts w:hint="default" w:ascii="Times New Roman" w:hAnsi="Times New Roman" w:eastAsia="宋体" w:cs="Times New Roman"/>
                <w:color w:val="auto"/>
                <w:spacing w:val="-3"/>
                <w:sz w:val="24"/>
                <w:highlight w:val="none"/>
                <w:lang w:val="en-US" w:eastAsia="zh-CN"/>
              </w:rPr>
              <w:t>当</w:t>
            </w:r>
            <w:r>
              <w:rPr>
                <w:rFonts w:hint="eastAsia" w:ascii="Times New Roman" w:hAnsi="Times New Roman" w:cs="Times New Roman"/>
                <w:color w:val="auto"/>
                <w:spacing w:val="-3"/>
                <w:sz w:val="24"/>
                <w:highlight w:val="none"/>
                <w:lang w:val="en-US" w:eastAsia="zh-CN"/>
              </w:rPr>
              <w:t>生物质燃料燃烧</w:t>
            </w:r>
            <w:r>
              <w:rPr>
                <w:rFonts w:hint="default" w:ascii="Times New Roman" w:hAnsi="Times New Roman" w:eastAsia="宋体" w:cs="Times New Roman"/>
                <w:color w:val="auto"/>
                <w:spacing w:val="-3"/>
                <w:sz w:val="24"/>
                <w:highlight w:val="none"/>
                <w:lang w:val="en-US" w:eastAsia="zh-CN"/>
              </w:rPr>
              <w:t>废气处置设施</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高温布袋除尘器</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3"/>
                <w:sz w:val="24"/>
                <w:highlight w:val="none"/>
                <w:lang w:val="en-US" w:eastAsia="zh-CN"/>
              </w:rPr>
              <w:t>处理</w:t>
            </w:r>
            <w:r>
              <w:rPr>
                <w:rFonts w:hint="default" w:ascii="Times New Roman" w:hAnsi="Times New Roman" w:eastAsia="宋体" w:cs="Times New Roman"/>
                <w:color w:val="auto"/>
                <w:spacing w:val="-4"/>
                <w:sz w:val="24"/>
                <w:highlight w:val="none"/>
              </w:rPr>
              <w:t>效率因故障降为</w:t>
            </w:r>
            <w:r>
              <w:rPr>
                <w:rFonts w:hint="default" w:ascii="Times New Roman" w:hAnsi="Times New Roman" w:eastAsia="宋体" w:cs="Times New Roman"/>
                <w:color w:val="auto"/>
                <w:sz w:val="24"/>
                <w:highlight w:val="none"/>
              </w:rPr>
              <w:t>0%的情况</w:t>
            </w:r>
            <w:r>
              <w:rPr>
                <w:rFonts w:hint="default" w:ascii="Times New Roman" w:hAnsi="Times New Roman" w:eastAsia="宋体" w:cs="Times New Roman"/>
                <w:color w:val="auto"/>
                <w:spacing w:val="-9"/>
                <w:sz w:val="24"/>
                <w:highlight w:val="none"/>
              </w:rPr>
              <w:t>，</w:t>
            </w:r>
            <w:r>
              <w:rPr>
                <w:rFonts w:hint="eastAsia" w:ascii="Times New Roman" w:hAnsi="Times New Roman" w:cs="Times New Roman"/>
                <w:color w:val="auto"/>
                <w:spacing w:val="-9"/>
                <w:sz w:val="24"/>
                <w:highlight w:val="none"/>
                <w:lang w:val="en-US" w:eastAsia="zh-CN"/>
              </w:rPr>
              <w:t>DA001</w:t>
            </w:r>
            <w:r>
              <w:rPr>
                <w:rFonts w:hint="default" w:ascii="Times New Roman" w:hAnsi="Times New Roman" w:eastAsia="宋体" w:cs="Times New Roman"/>
                <w:color w:val="auto"/>
                <w:spacing w:val="-9"/>
                <w:sz w:val="24"/>
                <w:highlight w:val="none"/>
                <w:lang w:val="en-US" w:eastAsia="zh-CN"/>
              </w:rPr>
              <w:t>排气筒中颗粒物排放浓度不能满足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default" w:ascii="Times New Roman" w:hAnsi="Times New Roman" w:eastAsia="宋体" w:cs="Times New Roman"/>
                <w:color w:val="auto"/>
                <w:spacing w:val="-7"/>
                <w:sz w:val="24"/>
                <w:highlight w:val="none"/>
              </w:rPr>
              <w:t>。</w:t>
            </w:r>
            <w:r>
              <w:rPr>
                <w:rFonts w:hint="eastAsia" w:ascii="Times New Roman" w:hAnsi="Times New Roman" w:cs="Times New Roman"/>
                <w:color w:val="auto"/>
                <w:spacing w:val="-7"/>
                <w:sz w:val="24"/>
                <w:highlight w:val="none"/>
                <w:lang w:eastAsia="zh-CN"/>
              </w:rPr>
              <w:t>当</w:t>
            </w:r>
            <w:r>
              <w:rPr>
                <w:rFonts w:hint="eastAsia" w:cs="Times New Roman"/>
                <w:b w:val="0"/>
                <w:bCs w:val="0"/>
                <w:color w:val="auto"/>
                <w:sz w:val="24"/>
                <w:highlight w:val="none"/>
                <w:lang w:val="en-US" w:eastAsia="zh-CN"/>
              </w:rPr>
              <w:t>熔炼废气</w:t>
            </w:r>
            <w:r>
              <w:rPr>
                <w:rFonts w:hint="eastAsia" w:cs="Times New Roman"/>
                <w:b w:val="0"/>
                <w:bCs w:val="0"/>
                <w:color w:val="auto"/>
                <w:sz w:val="24"/>
                <w:szCs w:val="24"/>
                <w:highlight w:val="none"/>
                <w:lang w:val="en-US" w:eastAsia="zh-CN"/>
              </w:rPr>
              <w:t>“</w:t>
            </w:r>
            <w:r>
              <w:rPr>
                <w:rFonts w:hint="eastAsia" w:eastAsia="Times New Roman"/>
                <w:color w:val="auto"/>
                <w:sz w:val="24"/>
                <w:szCs w:val="24"/>
                <w:lang w:val="zh-CN"/>
              </w:rPr>
              <w:t>油气分离器</w:t>
            </w:r>
            <w:r>
              <w:rPr>
                <w:rFonts w:hint="eastAsia" w:eastAsia="宋体"/>
                <w:color w:val="auto"/>
                <w:sz w:val="24"/>
                <w:szCs w:val="24"/>
                <w:lang w:val="en-US" w:eastAsia="zh-CN"/>
              </w:rPr>
              <w:t>+</w:t>
            </w:r>
            <w:r>
              <w:rPr>
                <w:rFonts w:hint="eastAsia" w:eastAsia="Times New Roman"/>
                <w:color w:val="auto"/>
                <w:sz w:val="24"/>
                <w:szCs w:val="24"/>
                <w:lang w:val="zh-CN"/>
              </w:rPr>
              <w:t>冷凝系统</w:t>
            </w:r>
            <w:r>
              <w:rPr>
                <w:rFonts w:hint="eastAsia"/>
                <w:color w:val="auto"/>
                <w:sz w:val="24"/>
                <w:szCs w:val="24"/>
              </w:rPr>
              <w:t>+油烟净化器</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处理装置处理效率因故障</w:t>
            </w:r>
            <w:r>
              <w:rPr>
                <w:rFonts w:hint="eastAsia" w:ascii="Times New Roman" w:hAnsi="Times New Roman" w:cs="Times New Roman"/>
                <w:color w:val="auto"/>
                <w:kern w:val="2"/>
                <w:sz w:val="24"/>
                <w:szCs w:val="24"/>
                <w:highlight w:val="none"/>
                <w:lang w:val="en-US" w:eastAsia="zh-CN" w:bidi="ar-SA"/>
              </w:rPr>
              <w:t>油烟、非甲烷总烃</w:t>
            </w:r>
            <w:r>
              <w:rPr>
                <w:rFonts w:hint="default" w:ascii="Times New Roman" w:hAnsi="Times New Roman" w:eastAsia="宋体" w:cs="Times New Roman"/>
                <w:color w:val="auto"/>
                <w:kern w:val="2"/>
                <w:sz w:val="24"/>
                <w:szCs w:val="24"/>
                <w:highlight w:val="none"/>
                <w:lang w:val="en-US" w:eastAsia="zh-CN" w:bidi="ar-SA"/>
              </w:rPr>
              <w:t>处理效率降为0%的情况</w:t>
            </w:r>
            <w:r>
              <w:rPr>
                <w:rFonts w:hint="eastAsia" w:ascii="Times New Roman" w:hAnsi="Times New Roman" w:cs="Times New Roman"/>
                <w:color w:val="auto"/>
                <w:kern w:val="2"/>
                <w:sz w:val="24"/>
                <w:szCs w:val="24"/>
                <w:highlight w:val="none"/>
                <w:lang w:val="en-US" w:eastAsia="zh-CN" w:bidi="ar-SA"/>
              </w:rPr>
              <w:t>，DA002、DA003排气筒中油烟的排放浓度</w:t>
            </w:r>
            <w:r>
              <w:rPr>
                <w:rFonts w:hint="default" w:ascii="Times New Roman" w:hAnsi="Times New Roman" w:cs="Times New Roman"/>
                <w:color w:val="auto"/>
                <w:kern w:val="2"/>
                <w:sz w:val="24"/>
                <w:szCs w:val="24"/>
                <w:highlight w:val="none"/>
                <w:lang w:val="en-US" w:eastAsia="zh-CN" w:bidi="ar-SA"/>
              </w:rPr>
              <w:t>不能满足</w:t>
            </w:r>
            <w:r>
              <w:rPr>
                <w:rFonts w:hint="eastAsia" w:ascii="Times New Roman" w:hAnsi="Times New Roman" w:cs="Times New Roman"/>
                <w:color w:val="auto"/>
                <w:kern w:val="2"/>
                <w:sz w:val="24"/>
                <w:szCs w:val="24"/>
                <w:highlight w:val="none"/>
                <w:lang w:val="en-US" w:eastAsia="zh-CN" w:bidi="ar-SA"/>
              </w:rPr>
              <w:t>《饮食业油烟排放标准》（GB18438-2001）标准限值要求，非甲烷总烃能满足《大气污染物综合排放标准》（GB16297-1996）表2中二级标准限值要求。</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14:paraId="3A0A1537">
            <w:pPr>
              <w:pStyle w:val="15"/>
              <w:keepNext w:val="0"/>
              <w:keepLines w:val="0"/>
              <w:pageBreakBefore w:val="0"/>
              <w:widowControl w:val="0"/>
              <w:numPr>
                <w:ilvl w:val="0"/>
                <w:numId w:val="0"/>
              </w:numP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14:paraId="1EA2CAAA">
            <w:pPr>
              <w:keepNext w:val="0"/>
              <w:keepLines w:val="0"/>
              <w:pageBreakBefore w:val="0"/>
              <w:widowControl w:val="0"/>
              <w:kinsoku/>
              <w:wordWrap/>
              <w:overflowPunct/>
              <w:topLinePunct w:val="0"/>
              <w:autoSpaceDE/>
              <w:autoSpaceDN/>
              <w:bidi w:val="0"/>
              <w:adjustRightInd w:val="0"/>
              <w:snapToGrid w:val="0"/>
              <w:spacing w:line="351"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14:paraId="160191C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14:paraId="6979A25C">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14:paraId="21ABA9F3">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14:paraId="1A61C15E">
            <w:pPr>
              <w:widowControl/>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14:paraId="77971535">
            <w:pPr>
              <w:pStyle w:val="86"/>
              <w:keepNext w:val="0"/>
              <w:keepLines w:val="0"/>
              <w:pageBreakBefore w:val="0"/>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w:t>
            </w:r>
            <w:r>
              <w:rPr>
                <w:rFonts w:hint="eastAsia" w:cs="Times New Roman"/>
                <w:bCs/>
                <w:color w:val="auto"/>
                <w:kern w:val="0"/>
                <w:highlight w:val="none"/>
                <w:lang w:eastAsia="zh-CN"/>
              </w:rPr>
              <w:t>、</w:t>
            </w:r>
            <w:r>
              <w:rPr>
                <w:rFonts w:hint="eastAsia" w:cs="Times New Roman"/>
                <w:bCs/>
                <w:color w:val="auto"/>
                <w:kern w:val="0"/>
                <w:highlight w:val="none"/>
                <w:lang w:val="en-US" w:eastAsia="zh-CN"/>
              </w:rPr>
              <w:t>DA002、DA003</w:t>
            </w:r>
            <w:r>
              <w:rPr>
                <w:rFonts w:hint="default" w:ascii="Times New Roman" w:hAnsi="Times New Roman" w:eastAsia="宋体" w:cs="Times New Roman"/>
                <w:bCs/>
                <w:color w:val="auto"/>
                <w:kern w:val="0"/>
                <w:highlight w:val="none"/>
              </w:rPr>
              <w:t>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w:t>
            </w:r>
            <w:r>
              <w:rPr>
                <w:rFonts w:hint="eastAsia" w:cs="Times New Roman"/>
                <w:bCs/>
                <w:color w:val="auto"/>
                <w:szCs w:val="24"/>
                <w:highlight w:val="none"/>
                <w:lang w:val="en-US" w:eastAsia="zh-CN"/>
              </w:rPr>
              <w:t>10</w:t>
            </w:r>
            <w:r>
              <w:rPr>
                <w:rFonts w:hint="default" w:ascii="Times New Roman" w:hAnsi="Times New Roman" w:eastAsia="宋体" w:cs="Times New Roman"/>
                <w:bCs/>
                <w:color w:val="auto"/>
                <w:szCs w:val="24"/>
                <w:highlight w:val="none"/>
              </w:rPr>
              <w:t>所示。</w:t>
            </w:r>
          </w:p>
          <w:p w14:paraId="0E5E2757">
            <w:pPr>
              <w:pStyle w:val="25"/>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w:t>
            </w:r>
            <w:r>
              <w:rPr>
                <w:rFonts w:hint="eastAsia" w:cs="Times New Roman"/>
                <w:b/>
                <w:bCs w:val="0"/>
                <w:color w:val="auto"/>
                <w:spacing w:val="0"/>
                <w:kern w:val="0"/>
                <w:sz w:val="21"/>
                <w:szCs w:val="21"/>
                <w:highlight w:val="none"/>
                <w:lang w:val="en-US" w:eastAsia="zh-CN" w:bidi="ar"/>
              </w:rPr>
              <w:t>10</w:t>
            </w:r>
            <w:r>
              <w:rPr>
                <w:rFonts w:hint="default" w:ascii="Times New Roman" w:hAnsi="Times New Roman" w:eastAsia="宋体" w:cs="Times New Roman"/>
                <w:b/>
                <w:bCs w:val="0"/>
                <w:color w:val="auto"/>
                <w:spacing w:val="0"/>
                <w:kern w:val="0"/>
                <w:sz w:val="21"/>
                <w:szCs w:val="21"/>
                <w:highlight w:val="none"/>
                <w:lang w:bidi="ar"/>
              </w:rPr>
              <w:t xml:space="preserve">  </w:t>
            </w:r>
            <w:r>
              <w:rPr>
                <w:rFonts w:hint="default" w:ascii="Times New Roman" w:hAnsi="Times New Roman" w:eastAsia="宋体" w:cs="Times New Roman"/>
                <w:b/>
                <w:bCs w:val="0"/>
                <w:color w:val="auto"/>
                <w:spacing w:val="0"/>
                <w:kern w:val="0"/>
                <w:sz w:val="21"/>
                <w:szCs w:val="21"/>
                <w:highlight w:val="none"/>
                <w:lang w:val="en-US" w:eastAsia="zh-CN" w:bidi="ar"/>
              </w:rPr>
              <w:t>大气有组织</w:t>
            </w:r>
            <w:r>
              <w:rPr>
                <w:rFonts w:hint="default" w:ascii="Times New Roman" w:hAnsi="Times New Roman" w:eastAsia="宋体" w:cs="Times New Roman"/>
                <w:b/>
                <w:bCs w:val="0"/>
                <w:color w:val="auto"/>
                <w:spacing w:val="0"/>
                <w:kern w:val="0"/>
                <w:sz w:val="21"/>
                <w:szCs w:val="21"/>
                <w:highlight w:val="none"/>
                <w:lang w:bidi="ar"/>
              </w:rPr>
              <w:t>达标情况分析表</w:t>
            </w:r>
          </w:p>
          <w:tbl>
            <w:tblPr>
              <w:tblStyle w:val="26"/>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762"/>
              <w:gridCol w:w="1219"/>
              <w:gridCol w:w="1048"/>
              <w:gridCol w:w="647"/>
              <w:gridCol w:w="1219"/>
              <w:gridCol w:w="1016"/>
              <w:gridCol w:w="1219"/>
              <w:gridCol w:w="558"/>
            </w:tblGrid>
            <w:tr w14:paraId="642C034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dxa"/>
                  <w:vMerge w:val="restart"/>
                  <w:tcBorders>
                    <w:tl2br w:val="nil"/>
                    <w:tr2bl w:val="nil"/>
                  </w:tcBorders>
                  <w:noWrap w:val="0"/>
                  <w:vAlign w:val="center"/>
                </w:tcPr>
                <w:p w14:paraId="5D4A3C84">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工程</w:t>
                  </w:r>
                </w:p>
              </w:tc>
              <w:tc>
                <w:tcPr>
                  <w:tcW w:w="762" w:type="dxa"/>
                  <w:vMerge w:val="restart"/>
                  <w:tcBorders>
                    <w:tl2br w:val="nil"/>
                    <w:tr2bl w:val="nil"/>
                  </w:tcBorders>
                  <w:noWrap w:val="0"/>
                  <w:vAlign w:val="center"/>
                </w:tcPr>
                <w:p w14:paraId="67F0CE32">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2267" w:type="dxa"/>
                  <w:gridSpan w:val="2"/>
                  <w:tcBorders>
                    <w:tl2br w:val="nil"/>
                    <w:tr2bl w:val="nil"/>
                  </w:tcBorders>
                  <w:noWrap w:val="0"/>
                  <w:vAlign w:val="center"/>
                </w:tcPr>
                <w:p w14:paraId="00D5B5B5">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产生情况</w:t>
                  </w:r>
                </w:p>
              </w:tc>
              <w:tc>
                <w:tcPr>
                  <w:tcW w:w="647" w:type="dxa"/>
                  <w:vMerge w:val="restart"/>
                  <w:tcBorders>
                    <w:tl2br w:val="nil"/>
                    <w:tr2bl w:val="nil"/>
                  </w:tcBorders>
                  <w:noWrap w:val="0"/>
                  <w:vAlign w:val="center"/>
                </w:tcPr>
                <w:p w14:paraId="4E5FEAD9">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处理效率%</w:t>
                  </w:r>
                </w:p>
              </w:tc>
              <w:tc>
                <w:tcPr>
                  <w:tcW w:w="2235" w:type="dxa"/>
                  <w:gridSpan w:val="2"/>
                  <w:tcBorders>
                    <w:tl2br w:val="nil"/>
                    <w:tr2bl w:val="nil"/>
                  </w:tcBorders>
                  <w:noWrap w:val="0"/>
                  <w:vAlign w:val="center"/>
                </w:tcPr>
                <w:p w14:paraId="2236A762">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排放情况</w:t>
                  </w:r>
                </w:p>
              </w:tc>
              <w:tc>
                <w:tcPr>
                  <w:tcW w:w="1219" w:type="dxa"/>
                  <w:vMerge w:val="restart"/>
                  <w:tcBorders>
                    <w:tl2br w:val="nil"/>
                    <w:tr2bl w:val="nil"/>
                  </w:tcBorders>
                  <w:noWrap w:val="0"/>
                  <w:vAlign w:val="center"/>
                </w:tcPr>
                <w:p w14:paraId="1D7C877A">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标准值（mg/m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558" w:type="dxa"/>
                  <w:vMerge w:val="restart"/>
                  <w:tcBorders>
                    <w:tl2br w:val="nil"/>
                    <w:tr2bl w:val="nil"/>
                  </w:tcBorders>
                  <w:noWrap w:val="0"/>
                  <w:vAlign w:val="center"/>
                </w:tcPr>
                <w:p w14:paraId="6D88D0F9">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14:paraId="55285FE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dxa"/>
                  <w:vMerge w:val="continue"/>
                  <w:tcBorders>
                    <w:tl2br w:val="nil"/>
                    <w:tr2bl w:val="nil"/>
                  </w:tcBorders>
                  <w:noWrap w:val="0"/>
                  <w:vAlign w:val="center"/>
                </w:tcPr>
                <w:p w14:paraId="0AF4CF5C">
                  <w:pPr>
                    <w:jc w:val="center"/>
                    <w:rPr>
                      <w:rFonts w:hint="default" w:ascii="Times New Roman" w:hAnsi="Times New Roman" w:eastAsia="宋体" w:cs="Times New Roman"/>
                      <w:b/>
                      <w:bCs w:val="0"/>
                      <w:color w:val="auto"/>
                      <w:sz w:val="21"/>
                      <w:szCs w:val="21"/>
                      <w:highlight w:val="none"/>
                    </w:rPr>
                  </w:pPr>
                </w:p>
              </w:tc>
              <w:tc>
                <w:tcPr>
                  <w:tcW w:w="762" w:type="dxa"/>
                  <w:vMerge w:val="continue"/>
                  <w:tcBorders>
                    <w:tl2br w:val="nil"/>
                    <w:tr2bl w:val="nil"/>
                  </w:tcBorders>
                  <w:noWrap w:val="0"/>
                  <w:vAlign w:val="center"/>
                </w:tcPr>
                <w:p w14:paraId="353F4429">
                  <w:pPr>
                    <w:jc w:val="center"/>
                    <w:rPr>
                      <w:rFonts w:hint="default" w:ascii="Times New Roman" w:hAnsi="Times New Roman" w:eastAsia="宋体" w:cs="Times New Roman"/>
                      <w:b/>
                      <w:bCs w:val="0"/>
                      <w:color w:val="auto"/>
                      <w:sz w:val="21"/>
                      <w:szCs w:val="21"/>
                      <w:highlight w:val="none"/>
                    </w:rPr>
                  </w:pPr>
                </w:p>
              </w:tc>
              <w:tc>
                <w:tcPr>
                  <w:tcW w:w="1219" w:type="dxa"/>
                  <w:tcBorders>
                    <w:tl2br w:val="nil"/>
                    <w:tr2bl w:val="nil"/>
                  </w:tcBorders>
                  <w:noWrap w:val="0"/>
                  <w:vAlign w:val="center"/>
                </w:tcPr>
                <w:p w14:paraId="2B3A2FB0">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048" w:type="dxa"/>
                  <w:tcBorders>
                    <w:tl2br w:val="nil"/>
                    <w:tr2bl w:val="nil"/>
                  </w:tcBorders>
                  <w:noWrap w:val="0"/>
                  <w:vAlign w:val="center"/>
                </w:tcPr>
                <w:p w14:paraId="6E6048AA">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647" w:type="dxa"/>
                  <w:vMerge w:val="continue"/>
                  <w:tcBorders>
                    <w:tl2br w:val="nil"/>
                    <w:tr2bl w:val="nil"/>
                  </w:tcBorders>
                  <w:noWrap w:val="0"/>
                  <w:vAlign w:val="center"/>
                </w:tcPr>
                <w:p w14:paraId="07F7CCAA">
                  <w:pPr>
                    <w:jc w:val="center"/>
                    <w:rPr>
                      <w:rFonts w:hint="default" w:ascii="Times New Roman" w:hAnsi="Times New Roman" w:eastAsia="宋体" w:cs="Times New Roman"/>
                      <w:b/>
                      <w:bCs w:val="0"/>
                      <w:color w:val="auto"/>
                      <w:sz w:val="21"/>
                      <w:szCs w:val="21"/>
                      <w:highlight w:val="none"/>
                    </w:rPr>
                  </w:pPr>
                </w:p>
              </w:tc>
              <w:tc>
                <w:tcPr>
                  <w:tcW w:w="1219" w:type="dxa"/>
                  <w:tcBorders>
                    <w:tl2br w:val="nil"/>
                    <w:tr2bl w:val="nil"/>
                  </w:tcBorders>
                  <w:noWrap w:val="0"/>
                  <w:vAlign w:val="center"/>
                </w:tcPr>
                <w:p w14:paraId="1CD61318">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1016" w:type="dxa"/>
                  <w:tcBorders>
                    <w:tl2br w:val="nil"/>
                    <w:tr2bl w:val="nil"/>
                  </w:tcBorders>
                  <w:noWrap w:val="0"/>
                  <w:vAlign w:val="center"/>
                </w:tcPr>
                <w:p w14:paraId="21319383">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c>
                <w:tcPr>
                  <w:tcW w:w="1219" w:type="dxa"/>
                  <w:vMerge w:val="continue"/>
                  <w:tcBorders>
                    <w:tl2br w:val="nil"/>
                    <w:tr2bl w:val="nil"/>
                  </w:tcBorders>
                  <w:noWrap w:val="0"/>
                  <w:vAlign w:val="center"/>
                </w:tcPr>
                <w:p w14:paraId="2FB2E64F">
                  <w:pPr>
                    <w:jc w:val="center"/>
                    <w:rPr>
                      <w:rFonts w:hint="default" w:ascii="Times New Roman" w:hAnsi="Times New Roman" w:eastAsia="宋体" w:cs="Times New Roman"/>
                      <w:b/>
                      <w:bCs w:val="0"/>
                      <w:color w:val="auto"/>
                      <w:sz w:val="21"/>
                      <w:szCs w:val="21"/>
                      <w:highlight w:val="none"/>
                    </w:rPr>
                  </w:pPr>
                </w:p>
              </w:tc>
              <w:tc>
                <w:tcPr>
                  <w:tcW w:w="558" w:type="dxa"/>
                  <w:vMerge w:val="continue"/>
                  <w:tcBorders>
                    <w:tl2br w:val="nil"/>
                    <w:tr2bl w:val="nil"/>
                  </w:tcBorders>
                  <w:noWrap w:val="0"/>
                  <w:vAlign w:val="center"/>
                </w:tcPr>
                <w:p w14:paraId="01AD8169">
                  <w:pPr>
                    <w:jc w:val="center"/>
                    <w:rPr>
                      <w:rFonts w:hint="default" w:ascii="Times New Roman" w:hAnsi="Times New Roman" w:eastAsia="宋体" w:cs="Times New Roman"/>
                      <w:b/>
                      <w:bCs w:val="0"/>
                      <w:color w:val="auto"/>
                      <w:sz w:val="21"/>
                      <w:szCs w:val="21"/>
                      <w:highlight w:val="none"/>
                    </w:rPr>
                  </w:pPr>
                </w:p>
              </w:tc>
            </w:tr>
            <w:tr w14:paraId="1534D19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restart"/>
                  <w:tcBorders>
                    <w:tl2br w:val="nil"/>
                    <w:tr2bl w:val="nil"/>
                  </w:tcBorders>
                  <w:noWrap w:val="0"/>
                  <w:vAlign w:val="center"/>
                </w:tcPr>
                <w:p w14:paraId="651AF8C5">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1</w:t>
                  </w:r>
                </w:p>
              </w:tc>
              <w:tc>
                <w:tcPr>
                  <w:tcW w:w="762" w:type="dxa"/>
                  <w:tcBorders>
                    <w:tl2br w:val="nil"/>
                    <w:tr2bl w:val="nil"/>
                  </w:tcBorders>
                  <w:noWrap w:val="0"/>
                  <w:vAlign w:val="center"/>
                </w:tcPr>
                <w:p w14:paraId="5310964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19" w:type="dxa"/>
                  <w:tcBorders>
                    <w:tl2br w:val="nil"/>
                    <w:tr2bl w:val="nil"/>
                  </w:tcBorders>
                  <w:noWrap w:val="0"/>
                  <w:vAlign w:val="center"/>
                </w:tcPr>
                <w:p w14:paraId="4ACE0429">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80.13</w:t>
                  </w:r>
                </w:p>
              </w:tc>
              <w:tc>
                <w:tcPr>
                  <w:tcW w:w="1048" w:type="dxa"/>
                  <w:tcBorders>
                    <w:tl2br w:val="nil"/>
                    <w:tr2bl w:val="nil"/>
                  </w:tcBorders>
                  <w:noWrap w:val="0"/>
                  <w:vAlign w:val="center"/>
                </w:tcPr>
                <w:p w14:paraId="60489766">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3.3558</w:t>
                  </w:r>
                </w:p>
              </w:tc>
              <w:tc>
                <w:tcPr>
                  <w:tcW w:w="647" w:type="dxa"/>
                  <w:tcBorders>
                    <w:tl2br w:val="nil"/>
                    <w:tr2bl w:val="nil"/>
                  </w:tcBorders>
                  <w:noWrap w:val="0"/>
                  <w:vAlign w:val="center"/>
                </w:tcPr>
                <w:p w14:paraId="1419B28C">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95%</w:t>
                  </w:r>
                </w:p>
              </w:tc>
              <w:tc>
                <w:tcPr>
                  <w:tcW w:w="1219" w:type="dxa"/>
                  <w:tcBorders>
                    <w:tl2br w:val="nil"/>
                    <w:tr2bl w:val="nil"/>
                  </w:tcBorders>
                  <w:noWrap w:val="0"/>
                  <w:vAlign w:val="center"/>
                </w:tcPr>
                <w:p w14:paraId="0A1E5A8B">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4.01</w:t>
                  </w:r>
                </w:p>
              </w:tc>
              <w:tc>
                <w:tcPr>
                  <w:tcW w:w="1016" w:type="dxa"/>
                  <w:tcBorders>
                    <w:tl2br w:val="nil"/>
                    <w:tr2bl w:val="nil"/>
                  </w:tcBorders>
                  <w:noWrap w:val="0"/>
                  <w:vAlign w:val="center"/>
                </w:tcPr>
                <w:p w14:paraId="3647C6F2">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1678</w:t>
                  </w:r>
                </w:p>
              </w:tc>
              <w:tc>
                <w:tcPr>
                  <w:tcW w:w="1219" w:type="dxa"/>
                  <w:tcBorders>
                    <w:tl2br w:val="nil"/>
                    <w:tr2bl w:val="nil"/>
                  </w:tcBorders>
                  <w:noWrap w:val="0"/>
                  <w:vAlign w:val="center"/>
                </w:tcPr>
                <w:p w14:paraId="535138F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50</w:t>
                  </w:r>
                </w:p>
              </w:tc>
              <w:tc>
                <w:tcPr>
                  <w:tcW w:w="558" w:type="dxa"/>
                  <w:tcBorders>
                    <w:tl2br w:val="nil"/>
                    <w:tr2bl w:val="nil"/>
                  </w:tcBorders>
                  <w:noWrap w:val="0"/>
                  <w:vAlign w:val="center"/>
                </w:tcPr>
                <w:p w14:paraId="610F531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14:paraId="4DAD49F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14:paraId="4703D499">
                  <w:pPr>
                    <w:jc w:val="center"/>
                    <w:rPr>
                      <w:rFonts w:hint="default" w:ascii="Times New Roman" w:hAnsi="Times New Roman" w:eastAsia="宋体" w:cs="Times New Roman"/>
                      <w:bCs/>
                      <w:color w:val="auto"/>
                      <w:sz w:val="21"/>
                      <w:szCs w:val="21"/>
                      <w:highlight w:val="none"/>
                      <w:lang w:val="en-US" w:eastAsia="zh-CN"/>
                    </w:rPr>
                  </w:pPr>
                </w:p>
              </w:tc>
              <w:tc>
                <w:tcPr>
                  <w:tcW w:w="762" w:type="dxa"/>
                  <w:tcBorders>
                    <w:tl2br w:val="nil"/>
                    <w:tr2bl w:val="nil"/>
                  </w:tcBorders>
                  <w:noWrap w:val="0"/>
                  <w:vAlign w:val="center"/>
                </w:tcPr>
                <w:p w14:paraId="10494F5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219" w:type="dxa"/>
                  <w:tcBorders>
                    <w:tl2br w:val="nil"/>
                    <w:tr2bl w:val="nil"/>
                  </w:tcBorders>
                  <w:noWrap w:val="0"/>
                  <w:vAlign w:val="center"/>
                </w:tcPr>
                <w:p w14:paraId="357390B8">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136.2</w:t>
                  </w:r>
                  <w:r>
                    <w:rPr>
                      <w:rFonts w:hint="eastAsia" w:cs="Times New Roman"/>
                      <w:i w:val="0"/>
                      <w:iCs w:val="0"/>
                      <w:color w:val="auto"/>
                      <w:kern w:val="0"/>
                      <w:sz w:val="21"/>
                      <w:szCs w:val="21"/>
                      <w:u w:val="none"/>
                      <w:lang w:val="en-US" w:eastAsia="zh-CN" w:bidi="ar"/>
                    </w:rPr>
                    <w:t>2</w:t>
                  </w:r>
                </w:p>
              </w:tc>
              <w:tc>
                <w:tcPr>
                  <w:tcW w:w="1048" w:type="dxa"/>
                  <w:tcBorders>
                    <w:tl2br w:val="nil"/>
                    <w:tr2bl w:val="nil"/>
                  </w:tcBorders>
                  <w:noWrap w:val="0"/>
                  <w:vAlign w:val="center"/>
                </w:tcPr>
                <w:p w14:paraId="4F8B7A8B">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5.7049</w:t>
                  </w:r>
                </w:p>
              </w:tc>
              <w:tc>
                <w:tcPr>
                  <w:tcW w:w="647" w:type="dxa"/>
                  <w:tcBorders>
                    <w:tl2br w:val="nil"/>
                    <w:tr2bl w:val="nil"/>
                  </w:tcBorders>
                  <w:noWrap w:val="0"/>
                  <w:vAlign w:val="center"/>
                </w:tcPr>
                <w:p w14:paraId="3B82016F">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219" w:type="dxa"/>
                  <w:tcBorders>
                    <w:tl2br w:val="nil"/>
                    <w:tr2bl w:val="nil"/>
                  </w:tcBorders>
                  <w:noWrap w:val="0"/>
                  <w:vAlign w:val="center"/>
                </w:tcPr>
                <w:p w14:paraId="30B8D2AA">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136.2</w:t>
                  </w:r>
                  <w:r>
                    <w:rPr>
                      <w:rFonts w:hint="eastAsia" w:cs="Times New Roman"/>
                      <w:i w:val="0"/>
                      <w:iCs w:val="0"/>
                      <w:color w:val="auto"/>
                      <w:kern w:val="0"/>
                      <w:sz w:val="21"/>
                      <w:szCs w:val="21"/>
                      <w:u w:val="none"/>
                      <w:lang w:val="en-US" w:eastAsia="zh-CN" w:bidi="ar"/>
                    </w:rPr>
                    <w:t>2</w:t>
                  </w:r>
                </w:p>
              </w:tc>
              <w:tc>
                <w:tcPr>
                  <w:tcW w:w="1016" w:type="dxa"/>
                  <w:tcBorders>
                    <w:tl2br w:val="nil"/>
                    <w:tr2bl w:val="nil"/>
                  </w:tcBorders>
                  <w:noWrap w:val="0"/>
                  <w:vAlign w:val="center"/>
                </w:tcPr>
                <w:p w14:paraId="2CBDB618">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5.7049</w:t>
                  </w:r>
                </w:p>
              </w:tc>
              <w:tc>
                <w:tcPr>
                  <w:tcW w:w="1219" w:type="dxa"/>
                  <w:tcBorders>
                    <w:tl2br w:val="nil"/>
                    <w:tr2bl w:val="nil"/>
                  </w:tcBorders>
                  <w:noWrap w:val="0"/>
                  <w:vAlign w:val="center"/>
                </w:tcPr>
                <w:p w14:paraId="17117AA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558" w:type="dxa"/>
                  <w:tcBorders>
                    <w:tl2br w:val="nil"/>
                    <w:tr2bl w:val="nil"/>
                  </w:tcBorders>
                  <w:noWrap w:val="0"/>
                  <w:vAlign w:val="center"/>
                </w:tcPr>
                <w:p w14:paraId="186152E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14:paraId="02A5A9B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14:paraId="36F13F46">
                  <w:pPr>
                    <w:jc w:val="center"/>
                    <w:rPr>
                      <w:rFonts w:hint="default" w:ascii="Times New Roman" w:hAnsi="Times New Roman" w:eastAsia="宋体" w:cs="Times New Roman"/>
                      <w:bCs/>
                      <w:color w:val="auto"/>
                      <w:sz w:val="21"/>
                      <w:szCs w:val="21"/>
                      <w:highlight w:val="none"/>
                      <w:lang w:val="en-US" w:eastAsia="zh-CN"/>
                    </w:rPr>
                  </w:pPr>
                </w:p>
              </w:tc>
              <w:tc>
                <w:tcPr>
                  <w:tcW w:w="762" w:type="dxa"/>
                  <w:tcBorders>
                    <w:tl2br w:val="nil"/>
                    <w:tr2bl w:val="nil"/>
                  </w:tcBorders>
                  <w:noWrap w:val="0"/>
                  <w:vAlign w:val="center"/>
                </w:tcPr>
                <w:p w14:paraId="78BCEA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p>
              </w:tc>
              <w:tc>
                <w:tcPr>
                  <w:tcW w:w="1219" w:type="dxa"/>
                  <w:tcBorders>
                    <w:tl2br w:val="nil"/>
                    <w:tr2bl w:val="nil"/>
                  </w:tcBorders>
                  <w:noWrap w:val="0"/>
                  <w:vAlign w:val="center"/>
                </w:tcPr>
                <w:p w14:paraId="034E7582">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163.46</w:t>
                  </w:r>
                </w:p>
              </w:tc>
              <w:tc>
                <w:tcPr>
                  <w:tcW w:w="1048" w:type="dxa"/>
                  <w:tcBorders>
                    <w:tl2br w:val="nil"/>
                    <w:tr2bl w:val="nil"/>
                  </w:tcBorders>
                  <w:noWrap w:val="0"/>
                  <w:vAlign w:val="center"/>
                </w:tcPr>
                <w:p w14:paraId="146BDC16">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6.8459</w:t>
                  </w:r>
                </w:p>
              </w:tc>
              <w:tc>
                <w:tcPr>
                  <w:tcW w:w="647" w:type="dxa"/>
                  <w:tcBorders>
                    <w:tl2br w:val="nil"/>
                    <w:tr2bl w:val="nil"/>
                  </w:tcBorders>
                  <w:noWrap w:val="0"/>
                  <w:vAlign w:val="center"/>
                </w:tcPr>
                <w:p w14:paraId="09B8EEB3">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1219" w:type="dxa"/>
                  <w:tcBorders>
                    <w:tl2br w:val="nil"/>
                    <w:tr2bl w:val="nil"/>
                  </w:tcBorders>
                  <w:noWrap w:val="0"/>
                  <w:vAlign w:val="center"/>
                </w:tcPr>
                <w:p w14:paraId="6572F457">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163.46</w:t>
                  </w:r>
                </w:p>
              </w:tc>
              <w:tc>
                <w:tcPr>
                  <w:tcW w:w="1016" w:type="dxa"/>
                  <w:tcBorders>
                    <w:tl2br w:val="nil"/>
                    <w:tr2bl w:val="nil"/>
                  </w:tcBorders>
                  <w:noWrap w:val="0"/>
                  <w:vAlign w:val="center"/>
                </w:tcPr>
                <w:p w14:paraId="20FF0D31">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6.8459</w:t>
                  </w:r>
                </w:p>
              </w:tc>
              <w:tc>
                <w:tcPr>
                  <w:tcW w:w="1219" w:type="dxa"/>
                  <w:tcBorders>
                    <w:tl2br w:val="nil"/>
                    <w:tr2bl w:val="nil"/>
                  </w:tcBorders>
                  <w:noWrap w:val="0"/>
                  <w:vAlign w:val="center"/>
                </w:tcPr>
                <w:p w14:paraId="1F4C855D">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300</w:t>
                  </w:r>
                </w:p>
              </w:tc>
              <w:tc>
                <w:tcPr>
                  <w:tcW w:w="558" w:type="dxa"/>
                  <w:tcBorders>
                    <w:tl2br w:val="nil"/>
                    <w:tr2bl w:val="nil"/>
                  </w:tcBorders>
                  <w:noWrap w:val="0"/>
                  <w:vAlign w:val="center"/>
                </w:tcPr>
                <w:p w14:paraId="5A747C4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达标</w:t>
                  </w:r>
                </w:p>
              </w:tc>
            </w:tr>
            <w:tr w14:paraId="4C6D04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restart"/>
                  <w:tcBorders>
                    <w:tl2br w:val="nil"/>
                    <w:tr2bl w:val="nil"/>
                  </w:tcBorders>
                  <w:noWrap w:val="0"/>
                  <w:vAlign w:val="center"/>
                </w:tcPr>
                <w:p w14:paraId="7AA0FFE5">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DA002</w:t>
                  </w:r>
                </w:p>
              </w:tc>
              <w:tc>
                <w:tcPr>
                  <w:tcW w:w="762" w:type="dxa"/>
                  <w:tcBorders>
                    <w:tl2br w:val="nil"/>
                    <w:tr2bl w:val="nil"/>
                  </w:tcBorders>
                  <w:noWrap w:val="0"/>
                  <w:vAlign w:val="center"/>
                </w:tcPr>
                <w:p w14:paraId="64F79CB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油烟</w:t>
                  </w:r>
                </w:p>
              </w:tc>
              <w:tc>
                <w:tcPr>
                  <w:tcW w:w="1219" w:type="dxa"/>
                  <w:tcBorders>
                    <w:tl2br w:val="nil"/>
                    <w:tr2bl w:val="nil"/>
                  </w:tcBorders>
                  <w:noWrap w:val="0"/>
                  <w:vAlign w:val="center"/>
                </w:tcPr>
                <w:p w14:paraId="4D1AD0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166.67</w:t>
                  </w:r>
                </w:p>
              </w:tc>
              <w:tc>
                <w:tcPr>
                  <w:tcW w:w="1048" w:type="dxa"/>
                  <w:tcBorders>
                    <w:tl2br w:val="nil"/>
                    <w:tr2bl w:val="nil"/>
                  </w:tcBorders>
                  <w:noWrap w:val="0"/>
                  <w:vAlign w:val="center"/>
                </w:tcPr>
                <w:p w14:paraId="086DDE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w:t>
                  </w:r>
                </w:p>
              </w:tc>
              <w:tc>
                <w:tcPr>
                  <w:tcW w:w="647" w:type="dxa"/>
                  <w:tcBorders>
                    <w:tl2br w:val="nil"/>
                    <w:tr2bl w:val="nil"/>
                  </w:tcBorders>
                  <w:noWrap w:val="0"/>
                  <w:vAlign w:val="center"/>
                </w:tcPr>
                <w:p w14:paraId="04EE68AB">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w:t>
                  </w:r>
                </w:p>
              </w:tc>
              <w:tc>
                <w:tcPr>
                  <w:tcW w:w="1219" w:type="dxa"/>
                  <w:tcBorders>
                    <w:tl2br w:val="nil"/>
                    <w:tr2bl w:val="nil"/>
                  </w:tcBorders>
                  <w:noWrap w:val="0"/>
                  <w:vAlign w:val="center"/>
                </w:tcPr>
                <w:p w14:paraId="19FBAE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1.67</w:t>
                  </w:r>
                </w:p>
              </w:tc>
              <w:tc>
                <w:tcPr>
                  <w:tcW w:w="1016" w:type="dxa"/>
                  <w:tcBorders>
                    <w:tl2br w:val="nil"/>
                    <w:tr2bl w:val="nil"/>
                  </w:tcBorders>
                  <w:noWrap w:val="0"/>
                  <w:vAlign w:val="center"/>
                </w:tcPr>
                <w:p w14:paraId="33D4F4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c>
                <w:tcPr>
                  <w:tcW w:w="1219" w:type="dxa"/>
                  <w:tcBorders>
                    <w:tl2br w:val="nil"/>
                    <w:tr2bl w:val="nil"/>
                  </w:tcBorders>
                  <w:noWrap w:val="0"/>
                  <w:vAlign w:val="center"/>
                </w:tcPr>
                <w:p w14:paraId="76E834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558" w:type="dxa"/>
                  <w:tcBorders>
                    <w:tl2br w:val="nil"/>
                    <w:tr2bl w:val="nil"/>
                  </w:tcBorders>
                  <w:noWrap w:val="0"/>
                  <w:vAlign w:val="center"/>
                </w:tcPr>
                <w:p w14:paraId="4C5D038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87E33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14:paraId="756C0E38">
                  <w:pPr>
                    <w:jc w:val="center"/>
                    <w:rPr>
                      <w:rFonts w:hint="default" w:ascii="Times New Roman" w:hAnsi="Times New Roman" w:eastAsia="宋体" w:cs="Times New Roman"/>
                      <w:bCs/>
                      <w:color w:val="auto"/>
                      <w:sz w:val="21"/>
                      <w:szCs w:val="21"/>
                      <w:highlight w:val="none"/>
                      <w:lang w:val="en-US" w:eastAsia="zh-CN"/>
                    </w:rPr>
                  </w:pPr>
                </w:p>
              </w:tc>
              <w:tc>
                <w:tcPr>
                  <w:tcW w:w="762" w:type="dxa"/>
                  <w:tcBorders>
                    <w:tl2br w:val="nil"/>
                    <w:tr2bl w:val="nil"/>
                  </w:tcBorders>
                  <w:noWrap w:val="0"/>
                  <w:vAlign w:val="center"/>
                </w:tcPr>
                <w:p w14:paraId="40285ED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非甲烷总烃</w:t>
                  </w:r>
                </w:p>
              </w:tc>
              <w:tc>
                <w:tcPr>
                  <w:tcW w:w="1219" w:type="dxa"/>
                  <w:tcBorders>
                    <w:tl2br w:val="nil"/>
                    <w:tr2bl w:val="nil"/>
                  </w:tcBorders>
                  <w:noWrap w:val="0"/>
                  <w:vAlign w:val="center"/>
                </w:tcPr>
                <w:p w14:paraId="14A3FE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11.11</w:t>
                  </w:r>
                </w:p>
              </w:tc>
              <w:tc>
                <w:tcPr>
                  <w:tcW w:w="1048" w:type="dxa"/>
                  <w:tcBorders>
                    <w:tl2br w:val="nil"/>
                    <w:tr2bl w:val="nil"/>
                  </w:tcBorders>
                  <w:noWrap w:val="0"/>
                  <w:vAlign w:val="center"/>
                </w:tcPr>
                <w:p w14:paraId="5EB1DF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0.8</w:t>
                  </w:r>
                </w:p>
              </w:tc>
              <w:tc>
                <w:tcPr>
                  <w:tcW w:w="647" w:type="dxa"/>
                  <w:tcBorders>
                    <w:tl2br w:val="nil"/>
                    <w:tr2bl w:val="nil"/>
                  </w:tcBorders>
                  <w:noWrap w:val="0"/>
                  <w:vAlign w:val="center"/>
                </w:tcPr>
                <w:p w14:paraId="22102D4F">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80</w:t>
                  </w:r>
                </w:p>
              </w:tc>
              <w:tc>
                <w:tcPr>
                  <w:tcW w:w="1219" w:type="dxa"/>
                  <w:tcBorders>
                    <w:tl2br w:val="nil"/>
                    <w:tr2bl w:val="nil"/>
                  </w:tcBorders>
                  <w:noWrap w:val="0"/>
                  <w:vAlign w:val="center"/>
                </w:tcPr>
                <w:p w14:paraId="250784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2.22</w:t>
                  </w:r>
                </w:p>
              </w:tc>
              <w:tc>
                <w:tcPr>
                  <w:tcW w:w="1016" w:type="dxa"/>
                  <w:tcBorders>
                    <w:tl2br w:val="nil"/>
                    <w:tr2bl w:val="nil"/>
                  </w:tcBorders>
                  <w:noWrap w:val="0"/>
                  <w:vAlign w:val="center"/>
                </w:tcPr>
                <w:p w14:paraId="7C3B3E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0.16</w:t>
                  </w:r>
                </w:p>
              </w:tc>
              <w:tc>
                <w:tcPr>
                  <w:tcW w:w="1219" w:type="dxa"/>
                  <w:tcBorders>
                    <w:tl2br w:val="nil"/>
                    <w:tr2bl w:val="nil"/>
                  </w:tcBorders>
                  <w:noWrap w:val="0"/>
                  <w:vAlign w:val="center"/>
                </w:tcPr>
                <w:p w14:paraId="284F230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w:t>
                  </w:r>
                </w:p>
              </w:tc>
              <w:tc>
                <w:tcPr>
                  <w:tcW w:w="558" w:type="dxa"/>
                  <w:tcBorders>
                    <w:tl2br w:val="nil"/>
                    <w:tr2bl w:val="nil"/>
                  </w:tcBorders>
                  <w:noWrap w:val="0"/>
                  <w:vAlign w:val="center"/>
                </w:tcPr>
                <w:p w14:paraId="5CCFD1B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A54269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restart"/>
                  <w:tcBorders>
                    <w:tl2br w:val="nil"/>
                    <w:tr2bl w:val="nil"/>
                  </w:tcBorders>
                  <w:noWrap w:val="0"/>
                  <w:vAlign w:val="center"/>
                </w:tcPr>
                <w:p w14:paraId="59B68055">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DA003</w:t>
                  </w:r>
                </w:p>
              </w:tc>
              <w:tc>
                <w:tcPr>
                  <w:tcW w:w="762" w:type="dxa"/>
                  <w:tcBorders>
                    <w:tl2br w:val="nil"/>
                    <w:tr2bl w:val="nil"/>
                  </w:tcBorders>
                  <w:noWrap w:val="0"/>
                  <w:vAlign w:val="center"/>
                </w:tcPr>
                <w:p w14:paraId="6BEC312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油烟</w:t>
                  </w:r>
                </w:p>
              </w:tc>
              <w:tc>
                <w:tcPr>
                  <w:tcW w:w="1219" w:type="dxa"/>
                  <w:tcBorders>
                    <w:tl2br w:val="nil"/>
                    <w:tr2bl w:val="nil"/>
                  </w:tcBorders>
                  <w:noWrap w:val="0"/>
                  <w:vAlign w:val="center"/>
                </w:tcPr>
                <w:p w14:paraId="3A88BF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187.5</w:t>
                  </w:r>
                </w:p>
              </w:tc>
              <w:tc>
                <w:tcPr>
                  <w:tcW w:w="1048" w:type="dxa"/>
                  <w:tcBorders>
                    <w:tl2br w:val="nil"/>
                    <w:tr2bl w:val="nil"/>
                  </w:tcBorders>
                  <w:noWrap w:val="0"/>
                  <w:vAlign w:val="center"/>
                </w:tcPr>
                <w:p w14:paraId="7D09D4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w:t>
                  </w:r>
                </w:p>
              </w:tc>
              <w:tc>
                <w:tcPr>
                  <w:tcW w:w="647" w:type="dxa"/>
                  <w:tcBorders>
                    <w:tl2br w:val="nil"/>
                    <w:tr2bl w:val="nil"/>
                  </w:tcBorders>
                  <w:noWrap w:val="0"/>
                  <w:vAlign w:val="center"/>
                </w:tcPr>
                <w:p w14:paraId="5514D606">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90</w:t>
                  </w:r>
                </w:p>
              </w:tc>
              <w:tc>
                <w:tcPr>
                  <w:tcW w:w="1219" w:type="dxa"/>
                  <w:tcBorders>
                    <w:tl2br w:val="nil"/>
                    <w:tr2bl w:val="nil"/>
                  </w:tcBorders>
                  <w:noWrap w:val="0"/>
                  <w:vAlign w:val="center"/>
                </w:tcPr>
                <w:p w14:paraId="4CEE04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1.88</w:t>
                  </w:r>
                </w:p>
              </w:tc>
              <w:tc>
                <w:tcPr>
                  <w:tcW w:w="1016" w:type="dxa"/>
                  <w:tcBorders>
                    <w:tl2br w:val="nil"/>
                    <w:tr2bl w:val="nil"/>
                  </w:tcBorders>
                  <w:noWrap w:val="0"/>
                  <w:vAlign w:val="center"/>
                </w:tcPr>
                <w:p w14:paraId="502ABF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0.09</w:t>
                  </w:r>
                </w:p>
              </w:tc>
              <w:tc>
                <w:tcPr>
                  <w:tcW w:w="1219" w:type="dxa"/>
                  <w:tcBorders>
                    <w:tl2br w:val="nil"/>
                    <w:tr2bl w:val="nil"/>
                  </w:tcBorders>
                  <w:noWrap w:val="0"/>
                  <w:vAlign w:val="center"/>
                </w:tcPr>
                <w:p w14:paraId="41E88E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558" w:type="dxa"/>
                  <w:tcBorders>
                    <w:tl2br w:val="nil"/>
                    <w:tr2bl w:val="nil"/>
                  </w:tcBorders>
                  <w:noWrap w:val="0"/>
                  <w:vAlign w:val="center"/>
                </w:tcPr>
                <w:p w14:paraId="5DAF526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8AC9C1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35" w:type="dxa"/>
                  <w:vMerge w:val="continue"/>
                  <w:tcBorders>
                    <w:tl2br w:val="nil"/>
                    <w:tr2bl w:val="nil"/>
                  </w:tcBorders>
                  <w:noWrap w:val="0"/>
                  <w:vAlign w:val="center"/>
                </w:tcPr>
                <w:p w14:paraId="757352DD">
                  <w:pPr>
                    <w:jc w:val="center"/>
                    <w:rPr>
                      <w:rFonts w:hint="default" w:ascii="Times New Roman" w:hAnsi="Times New Roman" w:eastAsia="宋体" w:cs="Times New Roman"/>
                      <w:bCs/>
                      <w:color w:val="auto"/>
                      <w:sz w:val="21"/>
                      <w:szCs w:val="21"/>
                      <w:highlight w:val="none"/>
                      <w:lang w:val="en-US" w:eastAsia="zh-CN"/>
                    </w:rPr>
                  </w:pPr>
                </w:p>
              </w:tc>
              <w:tc>
                <w:tcPr>
                  <w:tcW w:w="762" w:type="dxa"/>
                  <w:tcBorders>
                    <w:tl2br w:val="nil"/>
                    <w:tr2bl w:val="nil"/>
                  </w:tcBorders>
                  <w:noWrap w:val="0"/>
                  <w:vAlign w:val="center"/>
                </w:tcPr>
                <w:p w14:paraId="4C44F3F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rPr>
                  </w:pPr>
                  <w:r>
                    <w:rPr>
                      <w:rFonts w:hint="eastAsia" w:cs="Times New Roman"/>
                      <w:bCs/>
                      <w:color w:val="auto"/>
                      <w:sz w:val="21"/>
                      <w:szCs w:val="21"/>
                      <w:lang w:eastAsia="zh-CN"/>
                    </w:rPr>
                    <w:t>非甲烷总烃</w:t>
                  </w:r>
                </w:p>
              </w:tc>
              <w:tc>
                <w:tcPr>
                  <w:tcW w:w="1219" w:type="dxa"/>
                  <w:tcBorders>
                    <w:tl2br w:val="nil"/>
                    <w:tr2bl w:val="nil"/>
                  </w:tcBorders>
                  <w:noWrap w:val="0"/>
                  <w:vAlign w:val="center"/>
                </w:tcPr>
                <w:p w14:paraId="7E43AF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12.5</w:t>
                  </w:r>
                </w:p>
              </w:tc>
              <w:tc>
                <w:tcPr>
                  <w:tcW w:w="1048" w:type="dxa"/>
                  <w:tcBorders>
                    <w:tl2br w:val="nil"/>
                    <w:tr2bl w:val="nil"/>
                  </w:tcBorders>
                  <w:noWrap w:val="0"/>
                  <w:vAlign w:val="center"/>
                </w:tcPr>
                <w:p w14:paraId="6C1201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0.6</w:t>
                  </w:r>
                </w:p>
              </w:tc>
              <w:tc>
                <w:tcPr>
                  <w:tcW w:w="647" w:type="dxa"/>
                  <w:tcBorders>
                    <w:tl2br w:val="nil"/>
                    <w:tr2bl w:val="nil"/>
                  </w:tcBorders>
                  <w:noWrap w:val="0"/>
                  <w:vAlign w:val="center"/>
                </w:tcPr>
                <w:p w14:paraId="69797872">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80</w:t>
                  </w:r>
                </w:p>
              </w:tc>
              <w:tc>
                <w:tcPr>
                  <w:tcW w:w="1219" w:type="dxa"/>
                  <w:tcBorders>
                    <w:tl2br w:val="nil"/>
                    <w:tr2bl w:val="nil"/>
                  </w:tcBorders>
                  <w:noWrap w:val="0"/>
                  <w:vAlign w:val="center"/>
                </w:tcPr>
                <w:p w14:paraId="27F2C2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2.85</w:t>
                  </w:r>
                </w:p>
              </w:tc>
              <w:tc>
                <w:tcPr>
                  <w:tcW w:w="1016" w:type="dxa"/>
                  <w:tcBorders>
                    <w:tl2br w:val="nil"/>
                    <w:tr2bl w:val="nil"/>
                  </w:tcBorders>
                  <w:noWrap w:val="0"/>
                  <w:vAlign w:val="center"/>
                </w:tcPr>
                <w:p w14:paraId="6321D6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c>
                <w:tcPr>
                  <w:tcW w:w="1219" w:type="dxa"/>
                  <w:tcBorders>
                    <w:tl2br w:val="nil"/>
                    <w:tr2bl w:val="nil"/>
                  </w:tcBorders>
                  <w:noWrap w:val="0"/>
                  <w:vAlign w:val="center"/>
                </w:tcPr>
                <w:p w14:paraId="6139D5B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w:t>
                  </w:r>
                </w:p>
              </w:tc>
              <w:tc>
                <w:tcPr>
                  <w:tcW w:w="558" w:type="dxa"/>
                  <w:tcBorders>
                    <w:tl2br w:val="nil"/>
                    <w:tr2bl w:val="nil"/>
                  </w:tcBorders>
                  <w:noWrap w:val="0"/>
                  <w:vAlign w:val="center"/>
                </w:tcPr>
                <w:p w14:paraId="67DB221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309CD533">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rPr>
              <w:t>《锅炉大气污染物排放标准》（GB13271-2014）中</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2新建</w:t>
            </w:r>
            <w:r>
              <w:rPr>
                <w:rFonts w:hint="default" w:ascii="Times New Roman" w:hAnsi="Times New Roman" w:eastAsia="宋体" w:cs="Times New Roman"/>
                <w:color w:val="auto"/>
                <w:sz w:val="24"/>
                <w:lang w:eastAsia="zh-CN"/>
              </w:rPr>
              <w:t>燃煤</w:t>
            </w:r>
            <w:r>
              <w:rPr>
                <w:rFonts w:hint="default" w:ascii="Times New Roman" w:hAnsi="Times New Roman" w:eastAsia="宋体" w:cs="Times New Roman"/>
                <w:color w:val="auto"/>
                <w:sz w:val="24"/>
              </w:rPr>
              <w:t>锅炉</w:t>
            </w:r>
            <w:r>
              <w:rPr>
                <w:rFonts w:hint="default" w:ascii="Times New Roman" w:hAnsi="Times New Roman" w:eastAsia="宋体" w:cs="Times New Roman"/>
                <w:color w:val="auto"/>
                <w:sz w:val="24"/>
                <w:lang w:eastAsia="zh-CN"/>
              </w:rPr>
              <w:t>大气污染物</w:t>
            </w:r>
            <w:r>
              <w:rPr>
                <w:rFonts w:hint="default" w:ascii="Times New Roman" w:hAnsi="Times New Roman" w:eastAsia="宋体" w:cs="Times New Roman"/>
                <w:color w:val="auto"/>
                <w:sz w:val="24"/>
              </w:rPr>
              <w:t>排放</w:t>
            </w:r>
            <w:r>
              <w:rPr>
                <w:rFonts w:hint="default" w:ascii="Times New Roman" w:hAnsi="Times New Roman" w:eastAsia="宋体" w:cs="Times New Roman"/>
                <w:color w:val="auto"/>
                <w:sz w:val="24"/>
                <w:lang w:eastAsia="zh-CN"/>
              </w:rPr>
              <w:t>浓度限值</w:t>
            </w:r>
            <w:r>
              <w:rPr>
                <w:rFonts w:hint="eastAsia" w:cs="Times New Roman"/>
                <w:color w:val="auto"/>
                <w:sz w:val="24"/>
                <w:lang w:eastAsia="zh-CN"/>
              </w:rPr>
              <w:t>；</w:t>
            </w:r>
            <w:r>
              <w:rPr>
                <w:rFonts w:hint="eastAsia" w:cs="Times New Roman"/>
                <w:color w:val="auto"/>
                <w:sz w:val="24"/>
                <w:lang w:val="en-US" w:eastAsia="zh-CN"/>
              </w:rPr>
              <w:t>DA002、DA003排</w:t>
            </w:r>
            <w:r>
              <w:rPr>
                <w:rFonts w:hint="eastAsia" w:ascii="Times New Roman" w:hAnsi="Times New Roman" w:cs="Times New Roman"/>
                <w:color w:val="auto"/>
                <w:sz w:val="24"/>
                <w:lang w:val="en-US" w:eastAsia="zh-CN"/>
              </w:rPr>
              <w:t>气筒中油烟</w:t>
            </w:r>
            <w:r>
              <w:rPr>
                <w:rFonts w:hint="default" w:ascii="Times New Roman" w:hAnsi="Times New Roman" w:cs="Times New Roman"/>
                <w:color w:val="auto"/>
                <w:sz w:val="24"/>
                <w:lang w:val="en-US" w:eastAsia="zh-CN"/>
              </w:rPr>
              <w:t>排放浓度均能满足</w:t>
            </w:r>
            <w:r>
              <w:rPr>
                <w:rFonts w:hint="eastAsia" w:ascii="Times New Roman" w:hAnsi="Times New Roman" w:cs="Times New Roman"/>
                <w:color w:val="auto"/>
                <w:sz w:val="24"/>
                <w:lang w:val="en-US" w:eastAsia="zh-CN"/>
              </w:rPr>
              <w:t>《饮食业油烟排放标准》（GB18438-2001）标准限制要求，非甲烷总烃排放浓度均能满足《大气污染物综合排放标准》（GB16297-1996）表2中二级标准限值要求。</w:t>
            </w:r>
          </w:p>
          <w:p w14:paraId="0D95DF49">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②无组织废气达标分析</w:t>
            </w:r>
          </w:p>
          <w:p w14:paraId="1774FAEE">
            <w:pPr>
              <w:pStyle w:val="25"/>
              <w:adjustRightInd w:val="0"/>
              <w:snapToGrid w:val="0"/>
              <w:spacing w:after="0"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eastAsia"/>
                <w:color w:val="auto"/>
                <w:sz w:val="24"/>
                <w:szCs w:val="24"/>
              </w:rPr>
              <w:t>项目脱酸脱臭物质为</w:t>
            </w:r>
            <w:r>
              <w:rPr>
                <w:rFonts w:hint="eastAsia"/>
                <w:color w:val="auto"/>
                <w:sz w:val="24"/>
                <w:szCs w:val="24"/>
                <w:lang w:eastAsia="zh-CN"/>
              </w:rPr>
              <w:t>异味</w:t>
            </w:r>
            <w:r>
              <w:rPr>
                <w:rFonts w:hint="eastAsia"/>
                <w:color w:val="auto"/>
                <w:sz w:val="24"/>
                <w:szCs w:val="24"/>
              </w:rPr>
              <w:t>（</w:t>
            </w:r>
            <w:r>
              <w:rPr>
                <w:rFonts w:hint="eastAsia"/>
                <w:bCs/>
                <w:color w:val="auto"/>
                <w:sz w:val="24"/>
                <w:szCs w:val="24"/>
              </w:rPr>
              <w:t>游离脂肪酸与小分子物质</w:t>
            </w:r>
            <w:r>
              <w:rPr>
                <w:rFonts w:hint="eastAsia"/>
                <w:color w:val="auto"/>
                <w:sz w:val="24"/>
                <w:szCs w:val="24"/>
              </w:rPr>
              <w:t>等）</w:t>
            </w:r>
            <w:r>
              <w:rPr>
                <w:rFonts w:hint="eastAsia"/>
                <w:color w:val="auto"/>
                <w:sz w:val="24"/>
                <w:szCs w:val="24"/>
                <w:lang w:eastAsia="zh-CN"/>
              </w:rPr>
              <w:t>，</w:t>
            </w:r>
            <w:r>
              <w:rPr>
                <w:rFonts w:hint="eastAsia"/>
                <w:color w:val="auto"/>
                <w:sz w:val="24"/>
                <w:szCs w:val="24"/>
              </w:rPr>
              <w:t>该工序设有回收装置（脱臭塔（</w:t>
            </w:r>
            <w:r>
              <w:rPr>
                <w:rFonts w:hint="eastAsia"/>
                <w:bCs/>
                <w:color w:val="auto"/>
                <w:sz w:val="24"/>
                <w:szCs w:val="24"/>
              </w:rPr>
              <w:t>脱臭塔由捕集器+冷凝罐组成</w:t>
            </w:r>
            <w:r>
              <w:rPr>
                <w:rFonts w:hint="eastAsia"/>
                <w:color w:val="auto"/>
                <w:sz w:val="24"/>
                <w:szCs w:val="24"/>
              </w:rPr>
              <w:t>）、脂肪酸捕集器、气液分离器）</w:t>
            </w:r>
            <w:r>
              <w:rPr>
                <w:rFonts w:hint="eastAsia"/>
                <w:bCs/>
                <w:color w:val="auto"/>
                <w:sz w:val="24"/>
                <w:szCs w:val="24"/>
              </w:rPr>
              <w:t>，在真空状态下进行，回收装置将游离脂肪酸与小分子物质回收成为液态脂肪酸，回收率大于99％，回收后的脂肪酸</w:t>
            </w:r>
            <w:r>
              <w:rPr>
                <w:rFonts w:hint="eastAsia"/>
                <w:bCs/>
                <w:color w:val="auto"/>
                <w:sz w:val="24"/>
                <w:szCs w:val="24"/>
                <w:lang w:eastAsia="zh-CN"/>
              </w:rPr>
              <w:t>外售</w:t>
            </w:r>
            <w:r>
              <w:rPr>
                <w:rFonts w:hint="eastAsia"/>
                <w:bCs/>
                <w:color w:val="auto"/>
                <w:sz w:val="24"/>
                <w:szCs w:val="24"/>
              </w:rPr>
              <w:t>，剩余未回收的废气在罐车来装液态脂肪酸时随着接口少量溢出，脱臭</w:t>
            </w:r>
            <w:r>
              <w:rPr>
                <w:rFonts w:hint="eastAsia"/>
                <w:bCs/>
                <w:color w:val="auto"/>
                <w:sz w:val="24"/>
                <w:szCs w:val="24"/>
                <w:lang w:eastAsia="zh-CN"/>
              </w:rPr>
              <w:t>产生废气</w:t>
            </w:r>
            <w:r>
              <w:rPr>
                <w:rFonts w:hint="eastAsia"/>
                <w:color w:val="auto"/>
                <w:sz w:val="24"/>
                <w:szCs w:val="24"/>
              </w:rPr>
              <w:t>对环境影响不大。</w:t>
            </w:r>
          </w:p>
          <w:p w14:paraId="7A5910BB">
            <w:pPr>
              <w:pStyle w:val="25"/>
              <w:adjustRightInd w:val="0"/>
              <w:snapToGrid w:val="0"/>
              <w:spacing w:after="0" w:line="360" w:lineRule="auto"/>
              <w:ind w:left="0" w:leftChars="0" w:firstLine="480" w:firstLineChars="200"/>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kern w:val="2"/>
                <w:sz w:val="24"/>
                <w:szCs w:val="24"/>
                <w:highlight w:val="none"/>
                <w:lang w:val="en-US" w:eastAsia="zh-CN" w:bidi="ar-SA"/>
              </w:rPr>
              <w:t>固废暂存等</w:t>
            </w:r>
            <w:r>
              <w:rPr>
                <w:rFonts w:hint="default" w:ascii="Times New Roman" w:hAnsi="Times New Roman" w:eastAsia="宋体" w:cs="Times New Roman"/>
                <w:color w:val="auto"/>
                <w:sz w:val="24"/>
                <w:szCs w:val="24"/>
                <w:highlight w:val="none"/>
                <w:lang w:val="en-US" w:eastAsia="zh-CN"/>
              </w:rPr>
              <w:t>过程</w:t>
            </w:r>
            <w:r>
              <w:rPr>
                <w:rFonts w:hint="default" w:ascii="Times New Roman" w:hAnsi="Times New Roman" w:eastAsia="宋体" w:cs="Times New Roman"/>
                <w:color w:val="auto"/>
                <w:sz w:val="24"/>
                <w:szCs w:val="24"/>
                <w:highlight w:val="none"/>
                <w:lang w:val="zh-CN"/>
              </w:rPr>
              <w:t>中会伴有轻微异味产生，以臭气浓度表征</w:t>
            </w:r>
            <w:r>
              <w:rPr>
                <w:rFonts w:hint="eastAsia"/>
                <w:color w:val="auto"/>
                <w:sz w:val="24"/>
              </w:rPr>
              <w:t>。经采取一定的措施后</w:t>
            </w:r>
            <w:r>
              <w:rPr>
                <w:rFonts w:hint="eastAsia"/>
                <w:color w:val="auto"/>
                <w:sz w:val="24"/>
                <w:szCs w:val="28"/>
              </w:rPr>
              <w:t>项目生产车间异味可得到有效控制，</w:t>
            </w:r>
            <w:r>
              <w:rPr>
                <w:rFonts w:hint="eastAsia"/>
                <w:color w:val="auto"/>
                <w:sz w:val="24"/>
              </w:rPr>
              <w:t>项目运营期无组织臭气浓度满足《恶臭污染物排放标准》（GB14554-93）表二级标准限值要求，即臭气浓度≤20（无量纲）</w:t>
            </w:r>
            <w:r>
              <w:rPr>
                <w:rFonts w:hint="eastAsia"/>
                <w:color w:val="auto"/>
                <w:sz w:val="24"/>
                <w:lang w:eastAsia="zh-CN"/>
              </w:rPr>
              <w:t>，</w:t>
            </w:r>
            <w:r>
              <w:rPr>
                <w:rFonts w:hint="default" w:ascii="Times New Roman" w:hAnsi="Times New Roman" w:eastAsia="宋体" w:cs="Times New Roman"/>
                <w:color w:val="auto"/>
                <w:kern w:val="0"/>
                <w:sz w:val="24"/>
                <w:highlight w:val="none"/>
              </w:rPr>
              <w:t>对周边大气环境影响较小。</w:t>
            </w:r>
          </w:p>
          <w:p w14:paraId="3ECF52F2">
            <w:pPr>
              <w:keepNext w:val="0"/>
              <w:keepLines w:val="0"/>
              <w:pageBreakBefore w:val="0"/>
              <w:widowControl w:val="0"/>
              <w:kinsoku/>
              <w:wordWrap/>
              <w:overflowPunct/>
              <w:topLinePunct w:val="0"/>
              <w:autoSpaceDE/>
              <w:autoSpaceDN/>
              <w:bidi w:val="0"/>
              <w:adjustRightInd w:val="0"/>
              <w:snapToGrid w:val="0"/>
              <w:spacing w:line="348"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14:paraId="32E79FA7">
            <w:pPr>
              <w:keepNext w:val="0"/>
              <w:keepLines w:val="0"/>
              <w:pageBreakBefore w:val="0"/>
              <w:widowControl w:val="0"/>
              <w:kinsoku/>
              <w:wordWrap/>
              <w:overflowPunct/>
              <w:topLinePunct w:val="0"/>
              <w:autoSpaceDE/>
              <w:autoSpaceDN/>
              <w:bidi w:val="0"/>
              <w:adjustRightInd w:val="0"/>
              <w:snapToGrid w:val="0"/>
              <w:spacing w:line="348"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大气环境》（HJ2.2-2018）中8.1.2内容，结合项目废气排放形式，根据附录C.6.2无组织排放量核算，对项目污染物排放量进行核算，详见下表所示。</w:t>
            </w:r>
          </w:p>
          <w:p w14:paraId="4D601D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4-1</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大气污染物有组织排放量核算表</w:t>
            </w:r>
          </w:p>
          <w:tbl>
            <w:tblPr>
              <w:tblStyle w:val="2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004"/>
              <w:gridCol w:w="1302"/>
              <w:gridCol w:w="1928"/>
              <w:gridCol w:w="1413"/>
              <w:gridCol w:w="1471"/>
            </w:tblGrid>
            <w:tr w14:paraId="2D1A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noWrap w:val="0"/>
                  <w:vAlign w:val="center"/>
                </w:tcPr>
                <w:p w14:paraId="52A6C0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004" w:type="dxa"/>
                  <w:noWrap w:val="0"/>
                  <w:vAlign w:val="center"/>
                </w:tcPr>
                <w:p w14:paraId="274487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1302" w:type="dxa"/>
                  <w:noWrap w:val="0"/>
                  <w:vAlign w:val="center"/>
                </w:tcPr>
                <w:p w14:paraId="674129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1928" w:type="dxa"/>
                  <w:noWrap w:val="0"/>
                  <w:vAlign w:val="center"/>
                </w:tcPr>
                <w:p w14:paraId="7AA87D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413" w:type="dxa"/>
                  <w:noWrap w:val="0"/>
                  <w:vAlign w:val="center"/>
                </w:tcPr>
                <w:p w14:paraId="3796C7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471" w:type="dxa"/>
                  <w:noWrap w:val="0"/>
                  <w:vAlign w:val="center"/>
                </w:tcPr>
                <w:p w14:paraId="489A93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14:paraId="4EA9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restart"/>
                  <w:noWrap w:val="0"/>
                  <w:vAlign w:val="center"/>
                </w:tcPr>
                <w:p w14:paraId="4F3375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lang w:val="en-US" w:eastAsia="zh-CN"/>
                    </w:rPr>
                    <w:t>生物质燃料</w:t>
                  </w:r>
                  <w:r>
                    <w:rPr>
                      <w:rFonts w:hint="default" w:ascii="Times New Roman" w:hAnsi="Times New Roman" w:eastAsia="宋体" w:cs="Times New Roman"/>
                      <w:color w:val="auto"/>
                      <w:sz w:val="21"/>
                      <w:szCs w:val="21"/>
                      <w:lang w:val="en-US" w:eastAsia="zh-CN"/>
                    </w:rPr>
                    <w:t>燃烧废气</w:t>
                  </w:r>
                </w:p>
              </w:tc>
              <w:tc>
                <w:tcPr>
                  <w:tcW w:w="1004" w:type="dxa"/>
                  <w:vMerge w:val="restart"/>
                  <w:noWrap w:val="0"/>
                  <w:vAlign w:val="center"/>
                </w:tcPr>
                <w:p w14:paraId="3641F8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DA001</w:t>
                  </w:r>
                </w:p>
              </w:tc>
              <w:tc>
                <w:tcPr>
                  <w:tcW w:w="1302" w:type="dxa"/>
                  <w:noWrap w:val="0"/>
                  <w:vAlign w:val="center"/>
                </w:tcPr>
                <w:p w14:paraId="7C4AFF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928" w:type="dxa"/>
                  <w:noWrap w:val="0"/>
                  <w:vAlign w:val="center"/>
                </w:tcPr>
                <w:p w14:paraId="6C66A05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4.01</w:t>
                  </w:r>
                </w:p>
              </w:tc>
              <w:tc>
                <w:tcPr>
                  <w:tcW w:w="1413" w:type="dxa"/>
                  <w:noWrap w:val="0"/>
                  <w:vAlign w:val="center"/>
                </w:tcPr>
                <w:p w14:paraId="549B4C3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699</w:t>
                  </w:r>
                </w:p>
              </w:tc>
              <w:tc>
                <w:tcPr>
                  <w:tcW w:w="1471" w:type="dxa"/>
                  <w:noWrap w:val="0"/>
                  <w:vAlign w:val="center"/>
                </w:tcPr>
                <w:p w14:paraId="472D542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1678</w:t>
                  </w:r>
                </w:p>
              </w:tc>
            </w:tr>
            <w:tr w14:paraId="5026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14:paraId="20BF45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04" w:type="dxa"/>
                  <w:vMerge w:val="continue"/>
                  <w:noWrap w:val="0"/>
                  <w:vAlign w:val="center"/>
                </w:tcPr>
                <w:p w14:paraId="343CDD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02" w:type="dxa"/>
                  <w:noWrap w:val="0"/>
                  <w:vAlign w:val="center"/>
                </w:tcPr>
                <w:p w14:paraId="7D38AF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928" w:type="dxa"/>
                  <w:noWrap w:val="0"/>
                  <w:vAlign w:val="center"/>
                </w:tcPr>
                <w:p w14:paraId="7A8E433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136.2</w:t>
                  </w:r>
                  <w:r>
                    <w:rPr>
                      <w:rFonts w:hint="eastAsia" w:cs="Times New Roman"/>
                      <w:i w:val="0"/>
                      <w:iCs w:val="0"/>
                      <w:color w:val="auto"/>
                      <w:kern w:val="0"/>
                      <w:sz w:val="21"/>
                      <w:szCs w:val="21"/>
                      <w:u w:val="none"/>
                      <w:lang w:val="en-US" w:eastAsia="zh-CN" w:bidi="ar"/>
                    </w:rPr>
                    <w:t>2</w:t>
                  </w:r>
                </w:p>
              </w:tc>
              <w:tc>
                <w:tcPr>
                  <w:tcW w:w="1413" w:type="dxa"/>
                  <w:noWrap w:val="0"/>
                  <w:vAlign w:val="center"/>
                </w:tcPr>
                <w:p w14:paraId="6255EF9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2.3771</w:t>
                  </w:r>
                </w:p>
              </w:tc>
              <w:tc>
                <w:tcPr>
                  <w:tcW w:w="1471" w:type="dxa"/>
                  <w:noWrap w:val="0"/>
                  <w:vAlign w:val="center"/>
                </w:tcPr>
                <w:p w14:paraId="2AA6CAD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5.7049</w:t>
                  </w:r>
                </w:p>
              </w:tc>
            </w:tr>
            <w:tr w14:paraId="231E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14:paraId="092542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04" w:type="dxa"/>
                  <w:vMerge w:val="continue"/>
                  <w:noWrap w:val="0"/>
                  <w:vAlign w:val="center"/>
                </w:tcPr>
                <w:p w14:paraId="2BEBEC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02" w:type="dxa"/>
                  <w:noWrap w:val="0"/>
                  <w:vAlign w:val="center"/>
                </w:tcPr>
                <w:p w14:paraId="383165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928" w:type="dxa"/>
                  <w:noWrap w:val="0"/>
                  <w:vAlign w:val="center"/>
                </w:tcPr>
                <w:p w14:paraId="4ADB2F1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163.46</w:t>
                  </w:r>
                </w:p>
              </w:tc>
              <w:tc>
                <w:tcPr>
                  <w:tcW w:w="1413" w:type="dxa"/>
                  <w:noWrap w:val="0"/>
                  <w:vAlign w:val="center"/>
                </w:tcPr>
                <w:p w14:paraId="336E31C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2.8525</w:t>
                  </w:r>
                </w:p>
              </w:tc>
              <w:tc>
                <w:tcPr>
                  <w:tcW w:w="1471" w:type="dxa"/>
                  <w:noWrap w:val="0"/>
                  <w:vAlign w:val="center"/>
                </w:tcPr>
                <w:p w14:paraId="62238D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6.8459</w:t>
                  </w:r>
                </w:p>
              </w:tc>
            </w:tr>
            <w:tr w14:paraId="37B8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restart"/>
                  <w:noWrap w:val="0"/>
                  <w:vAlign w:val="center"/>
                </w:tcPr>
                <w:p w14:paraId="4BE1FF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精炼牛油熔炼废气</w:t>
                  </w:r>
                </w:p>
              </w:tc>
              <w:tc>
                <w:tcPr>
                  <w:tcW w:w="1004" w:type="dxa"/>
                  <w:vMerge w:val="restart"/>
                  <w:noWrap w:val="0"/>
                  <w:vAlign w:val="center"/>
                </w:tcPr>
                <w:p w14:paraId="360E6D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DA002</w:t>
                  </w:r>
                </w:p>
              </w:tc>
              <w:tc>
                <w:tcPr>
                  <w:tcW w:w="1302" w:type="dxa"/>
                  <w:noWrap w:val="0"/>
                  <w:vAlign w:val="center"/>
                </w:tcPr>
                <w:p w14:paraId="2D3F8ED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油烟</w:t>
                  </w:r>
                </w:p>
              </w:tc>
              <w:tc>
                <w:tcPr>
                  <w:tcW w:w="1928" w:type="dxa"/>
                  <w:noWrap w:val="0"/>
                  <w:vAlign w:val="center"/>
                </w:tcPr>
                <w:p w14:paraId="2FDE37C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1.67</w:t>
                  </w:r>
                </w:p>
              </w:tc>
              <w:tc>
                <w:tcPr>
                  <w:tcW w:w="1413" w:type="dxa"/>
                  <w:noWrap w:val="0"/>
                  <w:vAlign w:val="center"/>
                </w:tcPr>
                <w:p w14:paraId="37708A3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5</w:t>
                  </w:r>
                </w:p>
              </w:tc>
              <w:tc>
                <w:tcPr>
                  <w:tcW w:w="1471" w:type="dxa"/>
                  <w:noWrap w:val="0"/>
                  <w:vAlign w:val="center"/>
                </w:tcPr>
                <w:p w14:paraId="5136490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r>
            <w:tr w14:paraId="7C1E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continue"/>
                  <w:noWrap w:val="0"/>
                  <w:vAlign w:val="center"/>
                </w:tcPr>
                <w:p w14:paraId="77FC40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04" w:type="dxa"/>
                  <w:vMerge w:val="continue"/>
                  <w:noWrap w:val="0"/>
                  <w:vAlign w:val="center"/>
                </w:tcPr>
                <w:p w14:paraId="2E9053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02" w:type="dxa"/>
                  <w:noWrap w:val="0"/>
                  <w:vAlign w:val="center"/>
                </w:tcPr>
                <w:p w14:paraId="4401CE2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非甲烷总烃</w:t>
                  </w:r>
                </w:p>
              </w:tc>
              <w:tc>
                <w:tcPr>
                  <w:tcW w:w="1928" w:type="dxa"/>
                  <w:noWrap w:val="0"/>
                  <w:vAlign w:val="center"/>
                </w:tcPr>
                <w:p w14:paraId="7A7BEC6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2.22</w:t>
                  </w:r>
                </w:p>
              </w:tc>
              <w:tc>
                <w:tcPr>
                  <w:tcW w:w="1413" w:type="dxa"/>
                  <w:noWrap w:val="0"/>
                  <w:vAlign w:val="center"/>
                </w:tcPr>
                <w:p w14:paraId="74A84D6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0.0667</w:t>
                  </w:r>
                </w:p>
              </w:tc>
              <w:tc>
                <w:tcPr>
                  <w:tcW w:w="1471" w:type="dxa"/>
                  <w:noWrap w:val="0"/>
                  <w:vAlign w:val="center"/>
                </w:tcPr>
                <w:p w14:paraId="29460D0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0.16</w:t>
                  </w:r>
                </w:p>
              </w:tc>
            </w:tr>
            <w:tr w14:paraId="296D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40" w:type="dxa"/>
                  <w:vMerge w:val="restart"/>
                  <w:noWrap w:val="0"/>
                  <w:vAlign w:val="center"/>
                </w:tcPr>
                <w:p w14:paraId="4EEC81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color w:val="auto"/>
                      <w:sz w:val="21"/>
                      <w:szCs w:val="21"/>
                      <w:lang w:val="en-US" w:eastAsia="zh-CN"/>
                    </w:rPr>
                    <w:t>动物饲料油脂</w:t>
                  </w:r>
                  <w:r>
                    <w:rPr>
                      <w:rFonts w:hint="eastAsia" w:ascii="Times New Roman" w:hAnsi="Times New Roman" w:eastAsia="宋体" w:cs="Times New Roman"/>
                      <w:color w:val="auto"/>
                      <w:sz w:val="21"/>
                      <w:szCs w:val="21"/>
                      <w:lang w:val="en-US" w:eastAsia="zh-CN"/>
                    </w:rPr>
                    <w:t>熔炼废气</w:t>
                  </w:r>
                </w:p>
              </w:tc>
              <w:tc>
                <w:tcPr>
                  <w:tcW w:w="1004" w:type="dxa"/>
                  <w:vMerge w:val="restart"/>
                  <w:noWrap w:val="0"/>
                  <w:vAlign w:val="center"/>
                </w:tcPr>
                <w:p w14:paraId="468CC6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DA00</w:t>
                  </w:r>
                  <w:r>
                    <w:rPr>
                      <w:rFonts w:hint="eastAsia" w:ascii="Times New Roman" w:hAnsi="Times New Roman" w:eastAsia="宋体" w:cs="Times New Roman"/>
                      <w:b w:val="0"/>
                      <w:bCs w:val="0"/>
                      <w:color w:val="auto"/>
                      <w:sz w:val="21"/>
                      <w:szCs w:val="21"/>
                      <w:highlight w:val="none"/>
                      <w:lang w:val="en-US" w:eastAsia="zh-CN"/>
                    </w:rPr>
                    <w:t>3</w:t>
                  </w:r>
                </w:p>
              </w:tc>
              <w:tc>
                <w:tcPr>
                  <w:tcW w:w="1302" w:type="dxa"/>
                  <w:noWrap w:val="0"/>
                  <w:vAlign w:val="center"/>
                </w:tcPr>
                <w:p w14:paraId="0510C0A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油烟</w:t>
                  </w:r>
                </w:p>
              </w:tc>
              <w:tc>
                <w:tcPr>
                  <w:tcW w:w="1928" w:type="dxa"/>
                  <w:noWrap w:val="0"/>
                  <w:vAlign w:val="center"/>
                </w:tcPr>
                <w:p w14:paraId="55F32EE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1.88</w:t>
                  </w:r>
                </w:p>
              </w:tc>
              <w:tc>
                <w:tcPr>
                  <w:tcW w:w="1413" w:type="dxa"/>
                  <w:noWrap w:val="0"/>
                  <w:vAlign w:val="center"/>
                </w:tcPr>
                <w:p w14:paraId="6755C6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0.0375</w:t>
                  </w:r>
                </w:p>
              </w:tc>
              <w:tc>
                <w:tcPr>
                  <w:tcW w:w="1471" w:type="dxa"/>
                  <w:noWrap w:val="0"/>
                  <w:vAlign w:val="center"/>
                </w:tcPr>
                <w:p w14:paraId="5EB431E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0.09</w:t>
                  </w:r>
                </w:p>
              </w:tc>
            </w:tr>
            <w:tr w14:paraId="0BCD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1340" w:type="dxa"/>
                  <w:vMerge w:val="continue"/>
                  <w:noWrap w:val="0"/>
                  <w:vAlign w:val="center"/>
                </w:tcPr>
                <w:p w14:paraId="5C5DBB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004" w:type="dxa"/>
                  <w:vMerge w:val="continue"/>
                  <w:noWrap w:val="0"/>
                  <w:vAlign w:val="center"/>
                </w:tcPr>
                <w:p w14:paraId="658319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302" w:type="dxa"/>
                  <w:noWrap w:val="0"/>
                  <w:vAlign w:val="center"/>
                </w:tcPr>
                <w:p w14:paraId="6030B8C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非甲烷总烃</w:t>
                  </w:r>
                </w:p>
              </w:tc>
              <w:tc>
                <w:tcPr>
                  <w:tcW w:w="1928" w:type="dxa"/>
                  <w:noWrap w:val="0"/>
                  <w:vAlign w:val="center"/>
                </w:tcPr>
                <w:p w14:paraId="637BDC7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2.85</w:t>
                  </w:r>
                </w:p>
              </w:tc>
              <w:tc>
                <w:tcPr>
                  <w:tcW w:w="1413" w:type="dxa"/>
                  <w:noWrap w:val="0"/>
                  <w:vAlign w:val="center"/>
                </w:tcPr>
                <w:p w14:paraId="71833BC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0.057</w:t>
                  </w:r>
                </w:p>
              </w:tc>
              <w:tc>
                <w:tcPr>
                  <w:tcW w:w="1471" w:type="dxa"/>
                  <w:noWrap w:val="0"/>
                  <w:vAlign w:val="center"/>
                </w:tcPr>
                <w:p w14:paraId="0C982CF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r>
          </w:tbl>
          <w:p w14:paraId="5A2407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大气污染物</w:t>
            </w:r>
            <w:r>
              <w:rPr>
                <w:rFonts w:hint="default" w:ascii="Times New Roman" w:hAnsi="Times New Roman" w:eastAsia="宋体" w:cs="Times New Roman"/>
                <w:b/>
                <w:bCs/>
                <w:color w:val="auto"/>
                <w:sz w:val="21"/>
                <w:szCs w:val="21"/>
                <w:highlight w:val="none"/>
                <w:lang w:val="en-US" w:eastAsia="zh-CN"/>
              </w:rPr>
              <w:t>无</w:t>
            </w:r>
            <w:r>
              <w:rPr>
                <w:rFonts w:hint="default" w:ascii="Times New Roman" w:hAnsi="Times New Roman" w:eastAsia="宋体" w:cs="Times New Roman"/>
                <w:b/>
                <w:bCs/>
                <w:color w:val="auto"/>
                <w:sz w:val="21"/>
                <w:szCs w:val="21"/>
                <w:highlight w:val="none"/>
                <w:lang w:eastAsia="zh-CN"/>
              </w:rPr>
              <w:t>组织排放量核算表</w:t>
            </w:r>
          </w:p>
          <w:tbl>
            <w:tblPr>
              <w:tblStyle w:val="27"/>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924"/>
              <w:gridCol w:w="2762"/>
              <w:gridCol w:w="1926"/>
            </w:tblGrid>
            <w:tr w14:paraId="4898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noWrap w:val="0"/>
                  <w:vAlign w:val="center"/>
                </w:tcPr>
                <w:p w14:paraId="2BD1E5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924" w:type="dxa"/>
                  <w:noWrap w:val="0"/>
                  <w:vAlign w:val="center"/>
                </w:tcPr>
                <w:p w14:paraId="49E2A3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2762" w:type="dxa"/>
                  <w:noWrap w:val="0"/>
                  <w:vAlign w:val="center"/>
                </w:tcPr>
                <w:p w14:paraId="10494E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926" w:type="dxa"/>
                  <w:noWrap w:val="0"/>
                  <w:vAlign w:val="center"/>
                </w:tcPr>
                <w:p w14:paraId="73412E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14:paraId="1B83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vMerge w:val="restart"/>
                  <w:noWrap w:val="0"/>
                  <w:vAlign w:val="center"/>
                </w:tcPr>
                <w:p w14:paraId="0EA2BA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生产车间、化粪池、污水处理设施</w:t>
                  </w:r>
                </w:p>
              </w:tc>
              <w:tc>
                <w:tcPr>
                  <w:tcW w:w="1924" w:type="dxa"/>
                  <w:noWrap w:val="0"/>
                  <w:vAlign w:val="center"/>
                </w:tcPr>
                <w:p w14:paraId="54FDD2C4">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2762" w:type="dxa"/>
                  <w:noWrap w:val="0"/>
                  <w:vAlign w:val="center"/>
                </w:tcPr>
                <w:p w14:paraId="12F0F0C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26</w:t>
                  </w:r>
                </w:p>
              </w:tc>
              <w:tc>
                <w:tcPr>
                  <w:tcW w:w="1926" w:type="dxa"/>
                  <w:noWrap w:val="0"/>
                  <w:vAlign w:val="center"/>
                </w:tcPr>
                <w:p w14:paraId="7667795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63</w:t>
                  </w:r>
                </w:p>
              </w:tc>
            </w:tr>
            <w:tr w14:paraId="41BE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vMerge w:val="continue"/>
                  <w:noWrap w:val="0"/>
                  <w:vAlign w:val="center"/>
                </w:tcPr>
                <w:p w14:paraId="340F97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924" w:type="dxa"/>
                  <w:noWrap w:val="0"/>
                  <w:vAlign w:val="center"/>
                </w:tcPr>
                <w:p w14:paraId="5F4B163E">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2762" w:type="dxa"/>
                  <w:noWrap w:val="0"/>
                  <w:vAlign w:val="center"/>
                </w:tcPr>
                <w:p w14:paraId="051667F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1</w:t>
                  </w:r>
                </w:p>
              </w:tc>
              <w:tc>
                <w:tcPr>
                  <w:tcW w:w="1926" w:type="dxa"/>
                  <w:noWrap w:val="0"/>
                  <w:vAlign w:val="center"/>
                </w:tcPr>
                <w:p w14:paraId="3EDFC35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yellow"/>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r>
            <w:tr w14:paraId="0D23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25" w:type="dxa"/>
                  <w:vMerge w:val="continue"/>
                  <w:noWrap w:val="0"/>
                  <w:vAlign w:val="center"/>
                </w:tcPr>
                <w:p w14:paraId="0FB8AC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924" w:type="dxa"/>
                  <w:noWrap w:val="0"/>
                  <w:vAlign w:val="center"/>
                </w:tcPr>
                <w:p w14:paraId="044BD556">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2762" w:type="dxa"/>
                  <w:noWrap w:val="0"/>
                  <w:vAlign w:val="center"/>
                </w:tcPr>
                <w:p w14:paraId="5FFBAF3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926" w:type="dxa"/>
                  <w:noWrap w:val="0"/>
                  <w:vAlign w:val="center"/>
                </w:tcPr>
                <w:p w14:paraId="08505AD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14:paraId="65870D64">
            <w:pPr>
              <w:pStyle w:val="87"/>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4-1</w:t>
            </w:r>
            <w:r>
              <w:rPr>
                <w:rFonts w:hint="eastAsia" w:ascii="Times New Roman" w:hAnsi="Times New Roman"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w:t>
            </w:r>
          </w:p>
          <w:p w14:paraId="16B79403">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4-1</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6"/>
              <w:tblW w:w="845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2711"/>
              <w:gridCol w:w="3326"/>
            </w:tblGrid>
            <w:tr w14:paraId="4EEA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21" w:type="dxa"/>
                  <w:noWrap w:val="0"/>
                  <w:vAlign w:val="center"/>
                </w:tcPr>
                <w:p w14:paraId="27E177AB">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2711" w:type="dxa"/>
                  <w:noWrap w:val="0"/>
                  <w:vAlign w:val="center"/>
                </w:tcPr>
                <w:p w14:paraId="61B97486">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3326" w:type="dxa"/>
                  <w:noWrap w:val="0"/>
                  <w:vAlign w:val="center"/>
                </w:tcPr>
                <w:p w14:paraId="44313FB3">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14:paraId="26FC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restart"/>
                  <w:noWrap w:val="0"/>
                  <w:vAlign w:val="center"/>
                </w:tcPr>
                <w:p w14:paraId="5A855444">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w:t>
                  </w:r>
                </w:p>
              </w:tc>
              <w:tc>
                <w:tcPr>
                  <w:tcW w:w="2711" w:type="dxa"/>
                  <w:noWrap w:val="0"/>
                  <w:vAlign w:val="center"/>
                </w:tcPr>
                <w:p w14:paraId="6AFA510A">
                  <w:pPr>
                    <w:snapToGrid w:val="0"/>
                    <w:spacing w:afterLine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3326" w:type="dxa"/>
                  <w:noWrap w:val="0"/>
                  <w:vAlign w:val="center"/>
                </w:tcPr>
                <w:p w14:paraId="1E855F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1678</w:t>
                  </w:r>
                </w:p>
              </w:tc>
            </w:tr>
            <w:tr w14:paraId="4009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continue"/>
                  <w:noWrap w:val="0"/>
                  <w:vAlign w:val="center"/>
                </w:tcPr>
                <w:p w14:paraId="65C5E224">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11" w:type="dxa"/>
                  <w:noWrap w:val="0"/>
                  <w:vAlign w:val="center"/>
                </w:tcPr>
                <w:p w14:paraId="013ACF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3326" w:type="dxa"/>
                  <w:noWrap w:val="0"/>
                  <w:vAlign w:val="center"/>
                </w:tcPr>
                <w:p w14:paraId="6F1EEF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5.7049</w:t>
                  </w:r>
                </w:p>
              </w:tc>
            </w:tr>
            <w:tr w14:paraId="74ED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continue"/>
                  <w:noWrap w:val="0"/>
                  <w:vAlign w:val="center"/>
                </w:tcPr>
                <w:p w14:paraId="7E92CBEF">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11" w:type="dxa"/>
                  <w:noWrap w:val="0"/>
                  <w:vAlign w:val="center"/>
                </w:tcPr>
                <w:p w14:paraId="7CF8AA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3326" w:type="dxa"/>
                  <w:noWrap w:val="0"/>
                  <w:vAlign w:val="center"/>
                </w:tcPr>
                <w:p w14:paraId="2B8E57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6.8459</w:t>
                  </w:r>
                </w:p>
              </w:tc>
            </w:tr>
            <w:tr w14:paraId="7AC0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421" w:type="dxa"/>
                  <w:vMerge w:val="restart"/>
                  <w:noWrap w:val="0"/>
                  <w:vAlign w:val="center"/>
                </w:tcPr>
                <w:p w14:paraId="365B305A">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熔炼</w:t>
                  </w:r>
                </w:p>
              </w:tc>
              <w:tc>
                <w:tcPr>
                  <w:tcW w:w="2711" w:type="dxa"/>
                  <w:noWrap w:val="0"/>
                  <w:vAlign w:val="center"/>
                </w:tcPr>
                <w:p w14:paraId="513107F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油烟</w:t>
                  </w:r>
                </w:p>
              </w:tc>
              <w:tc>
                <w:tcPr>
                  <w:tcW w:w="3326" w:type="dxa"/>
                  <w:noWrap w:val="0"/>
                  <w:vAlign w:val="center"/>
                </w:tcPr>
                <w:p w14:paraId="485CC1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0.21</w:t>
                  </w:r>
                </w:p>
              </w:tc>
            </w:tr>
            <w:tr w14:paraId="0B3B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421" w:type="dxa"/>
                  <w:vMerge w:val="continue"/>
                  <w:noWrap w:val="0"/>
                  <w:vAlign w:val="center"/>
                </w:tcPr>
                <w:p w14:paraId="07E7E36C">
                  <w:pPr>
                    <w:keepNext w:val="0"/>
                    <w:keepLines w:val="0"/>
                    <w:widowControl/>
                    <w:suppressLineNumbers w:val="0"/>
                    <w:jc w:val="center"/>
                    <w:textAlignment w:val="center"/>
                    <w:rPr>
                      <w:color w:val="auto"/>
                    </w:rPr>
                  </w:pPr>
                </w:p>
              </w:tc>
              <w:tc>
                <w:tcPr>
                  <w:tcW w:w="2711" w:type="dxa"/>
                  <w:noWrap w:val="0"/>
                  <w:vAlign w:val="center"/>
                </w:tcPr>
                <w:p w14:paraId="4354ABD4">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非甲烷总烃</w:t>
                  </w:r>
                </w:p>
              </w:tc>
              <w:tc>
                <w:tcPr>
                  <w:tcW w:w="3326" w:type="dxa"/>
                  <w:noWrap w:val="0"/>
                  <w:vAlign w:val="center"/>
                </w:tcPr>
                <w:p w14:paraId="7636C6A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0.28</w:t>
                  </w:r>
                </w:p>
              </w:tc>
            </w:tr>
            <w:tr w14:paraId="5801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2421" w:type="dxa"/>
                  <w:vMerge w:val="restart"/>
                  <w:noWrap w:val="0"/>
                  <w:vAlign w:val="center"/>
                </w:tcPr>
                <w:p w14:paraId="31AF528E">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生产车间、污水处理设施</w:t>
                  </w:r>
                </w:p>
              </w:tc>
              <w:tc>
                <w:tcPr>
                  <w:tcW w:w="2711" w:type="dxa"/>
                  <w:noWrap w:val="0"/>
                  <w:vAlign w:val="center"/>
                </w:tcPr>
                <w:p w14:paraId="1EBC4FF9">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3326" w:type="dxa"/>
                  <w:noWrap w:val="0"/>
                  <w:vAlign w:val="center"/>
                </w:tcPr>
                <w:p w14:paraId="7215E5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63</w:t>
                  </w:r>
                </w:p>
              </w:tc>
            </w:tr>
            <w:tr w14:paraId="69FB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continue"/>
                  <w:noWrap w:val="0"/>
                  <w:vAlign w:val="center"/>
                </w:tcPr>
                <w:p w14:paraId="1624BF78">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11" w:type="dxa"/>
                  <w:noWrap w:val="0"/>
                  <w:vAlign w:val="center"/>
                </w:tcPr>
                <w:p w14:paraId="7ACB49CB">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3326" w:type="dxa"/>
                  <w:noWrap w:val="0"/>
                  <w:vAlign w:val="center"/>
                </w:tcPr>
                <w:p w14:paraId="117722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r>
            <w:tr w14:paraId="599F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21" w:type="dxa"/>
                  <w:vMerge w:val="continue"/>
                  <w:noWrap w:val="0"/>
                  <w:vAlign w:val="center"/>
                </w:tcPr>
                <w:p w14:paraId="727AC43F">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711" w:type="dxa"/>
                  <w:noWrap w:val="0"/>
                  <w:vAlign w:val="center"/>
                </w:tcPr>
                <w:p w14:paraId="025EFC14">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臭气浓度</w:t>
                  </w:r>
                </w:p>
              </w:tc>
              <w:tc>
                <w:tcPr>
                  <w:tcW w:w="3326" w:type="dxa"/>
                  <w:noWrap w:val="0"/>
                  <w:vAlign w:val="center"/>
                </w:tcPr>
                <w:p w14:paraId="20BEED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14:paraId="59D52504">
            <w:pPr>
              <w:keepNext w:val="0"/>
              <w:keepLines w:val="0"/>
              <w:pageBreakBefore w:val="0"/>
              <w:widowControl w:val="0"/>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14:paraId="607D9782">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14:paraId="5B1C5604">
            <w:pPr>
              <w:keepNext w:val="0"/>
              <w:keepLines w:val="0"/>
              <w:pageBreakBefore w:val="0"/>
              <w:widowControl w:val="0"/>
              <w:kinsoku/>
              <w:wordWrap/>
              <w:overflowPunct/>
              <w:topLinePunct w:val="0"/>
              <w:autoSpaceDE/>
              <w:autoSpaceDN/>
              <w:bidi w:val="0"/>
              <w:spacing w:line="356" w:lineRule="auto"/>
              <w:ind w:left="0" w:right="0" w:firstLine="482" w:firstLineChars="200"/>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14:paraId="4F047466">
            <w:pPr>
              <w:keepNext w:val="0"/>
              <w:keepLines w:val="0"/>
              <w:pageBreakBefore w:val="0"/>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z w:val="24"/>
                <w:highlight w:val="none"/>
                <w:lang w:eastAsia="zh-CN"/>
              </w:rPr>
              <w:t>。</w:t>
            </w:r>
          </w:p>
          <w:p w14:paraId="63BBA70D">
            <w:pPr>
              <w:keepNext w:val="0"/>
              <w:keepLines w:val="0"/>
              <w:pageBreakBefore w:val="0"/>
              <w:kinsoku/>
              <w:wordWrap/>
              <w:overflowPunct/>
              <w:topLinePunct w:val="0"/>
              <w:autoSpaceDE/>
              <w:autoSpaceDN/>
              <w:bidi w:val="0"/>
              <w:adjustRightInd/>
              <w:spacing w:line="356"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污水处理设施</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w:t>
            </w:r>
            <w:r>
              <w:rPr>
                <w:rFonts w:hint="default" w:ascii="Times New Roman" w:hAnsi="Times New Roman" w:eastAsia="宋体" w:cs="Times New Roman"/>
                <w:color w:val="auto"/>
                <w:spacing w:val="2"/>
                <w:sz w:val="24"/>
                <w:szCs w:val="24"/>
                <w:lang w:val="zh-CN"/>
              </w:rPr>
              <w:t>定期喷洒复合微生物除臭剂进行除臭，</w:t>
            </w:r>
            <w:r>
              <w:rPr>
                <w:rFonts w:hint="default" w:ascii="Times New Roman" w:hAnsi="Times New Roman" w:eastAsia="宋体" w:cs="Times New Roman"/>
                <w:color w:val="auto"/>
                <w:sz w:val="24"/>
                <w:szCs w:val="24"/>
                <w:highlight w:val="none"/>
                <w:lang w:eastAsia="zh-CN"/>
              </w:rPr>
              <w:t>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14:paraId="744F1B2F">
            <w:pPr>
              <w:pStyle w:val="11"/>
              <w:keepNext w:val="0"/>
              <w:keepLines w:val="0"/>
              <w:pageBreakBefore w:val="0"/>
              <w:kinsoku/>
              <w:wordWrap/>
              <w:overflowPunct/>
              <w:topLinePunct w:val="0"/>
              <w:autoSpaceDE/>
              <w:autoSpaceDN/>
              <w:bidi w:val="0"/>
              <w:adjustRightInd/>
              <w:spacing w:before="0" w:after="0" w:line="356"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14:paraId="78397A59">
            <w:pPr>
              <w:keepNext w:val="0"/>
              <w:keepLines w:val="0"/>
              <w:pageBreakBefore w:val="0"/>
              <w:numPr>
                <w:ilvl w:val="0"/>
                <w:numId w:val="0"/>
              </w:numPr>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14:paraId="1862AB35">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14:paraId="30E388DF">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lang w:eastAsia="zh-CN"/>
              </w:rPr>
              <w:t>《排污许可证申请与核发技</w:t>
            </w:r>
            <w:r>
              <w:rPr>
                <w:rFonts w:hint="default" w:ascii="Times New Roman" w:hAnsi="Times New Roman" w:eastAsia="宋体" w:cs="Times New Roman"/>
                <w:color w:val="auto"/>
                <w:sz w:val="24"/>
                <w:szCs w:val="24"/>
                <w:highlight w:val="none"/>
                <w:lang w:eastAsia="zh-CN"/>
              </w:rPr>
              <w:t xml:space="preserve">术规范 </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》（HJ</w:t>
            </w:r>
            <w:r>
              <w:rPr>
                <w:rFonts w:hint="default" w:ascii="Times New Roman" w:hAnsi="Times New Roman" w:eastAsia="宋体" w:cs="Times New Roman"/>
                <w:color w:val="auto"/>
                <w:sz w:val="24"/>
                <w:szCs w:val="24"/>
                <w:highlight w:val="none"/>
                <w:lang w:val="en-US" w:eastAsia="zh-CN"/>
              </w:rPr>
              <w:t>953-2018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工业锅炉污染防治可行技术指南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（HJ1178-2021）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收集治理设施包括</w:t>
            </w:r>
            <w:r>
              <w:rPr>
                <w:rFonts w:hint="default" w:ascii="Times New Roman" w:hAnsi="Times New Roman" w:eastAsia="宋体" w:cs="Times New Roman"/>
                <w:color w:val="auto"/>
                <w:sz w:val="24"/>
                <w:szCs w:val="24"/>
                <w:highlight w:val="none"/>
                <w:lang w:val="en-US" w:eastAsia="zh-CN"/>
              </w:rPr>
              <w:t>袋式、滤筒、喷淋除尘，生物质锅炉中颗粒物的治理措施主要为袋式除尘</w:t>
            </w: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台锅炉</w:t>
            </w:r>
            <w:r>
              <w:rPr>
                <w:rFonts w:hint="eastAsia" w:cs="Times New Roman"/>
                <w:color w:val="auto"/>
                <w:sz w:val="24"/>
                <w:szCs w:val="24"/>
                <w:highlight w:val="none"/>
                <w:lang w:val="en-US" w:eastAsia="zh-CN"/>
              </w:rPr>
              <w:t>生物质燃料燃烧</w:t>
            </w:r>
            <w:r>
              <w:rPr>
                <w:rFonts w:hint="default" w:ascii="Times New Roman" w:hAnsi="Times New Roman" w:eastAsia="宋体" w:cs="Times New Roman"/>
                <w:color w:val="auto"/>
                <w:sz w:val="24"/>
                <w:szCs w:val="24"/>
                <w:highlight w:val="none"/>
                <w:lang w:val="en-US" w:eastAsia="zh-CN"/>
              </w:rPr>
              <w:t>废气</w:t>
            </w:r>
            <w:r>
              <w:rPr>
                <w:rFonts w:hint="eastAsia" w:cs="Times New Roman"/>
                <w:color w:val="auto"/>
                <w:sz w:val="24"/>
                <w:szCs w:val="24"/>
                <w:highlight w:val="none"/>
                <w:lang w:val="en-US" w:eastAsia="zh-CN"/>
              </w:rPr>
              <w:t>和2台导热油炉生物质燃料燃烧废气</w:t>
            </w:r>
            <w:r>
              <w:rPr>
                <w:rFonts w:hint="default" w:ascii="Times New Roman" w:hAnsi="Times New Roman" w:eastAsia="宋体" w:cs="Times New Roman"/>
                <w:color w:val="auto"/>
                <w:sz w:val="24"/>
                <w:szCs w:val="24"/>
                <w:highlight w:val="none"/>
                <w:lang w:val="en-US" w:eastAsia="zh-CN"/>
              </w:rPr>
              <w:t>共同经1套“高温布袋除尘器”处理后由1根</w:t>
            </w:r>
            <w:r>
              <w:rPr>
                <w:rFonts w:hint="eastAsia"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lang w:val="en-US" w:eastAsia="zh-CN"/>
              </w:rPr>
              <w:t>m高排气筒（DA001）排放，</w:t>
            </w:r>
            <w:r>
              <w:rPr>
                <w:rFonts w:hint="default" w:ascii="Times New Roman" w:hAnsi="Times New Roman" w:eastAsia="宋体" w:cs="Times New Roman"/>
                <w:color w:val="auto"/>
                <w:sz w:val="24"/>
                <w:szCs w:val="24"/>
                <w:highlight w:val="none"/>
              </w:rPr>
              <w:t>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袋式除尘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1D738730">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熔炼废气所采取的油烟处理设施处理措施为《排污申请与核发技术规范  农副食品加工工业-屠宰及肉类加工工业》（HJ860.3-2018）表8中提出的可行技术。</w:t>
            </w:r>
          </w:p>
          <w:p w14:paraId="7BCFCB51">
            <w:pPr>
              <w:keepNext w:val="0"/>
              <w:keepLines w:val="0"/>
              <w:pageBreakBefore w:val="0"/>
              <w:kinsoku/>
              <w:wordWrap/>
              <w:overflowPunct/>
              <w:topLinePunct w:val="0"/>
              <w:autoSpaceDE/>
              <w:autoSpaceDN/>
              <w:bidi w:val="0"/>
              <w:adjustRightInd/>
              <w:spacing w:line="356"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14:paraId="731EC12A">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①高温布袋除尘器</w:t>
            </w:r>
          </w:p>
          <w:p w14:paraId="1521EE9B">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rPr>
              <w:t>布袋除尘器有净化效率高、处理气体能力大、性能稳定、操作方便、滤袋寿命长、维修工作量小等优点。</w:t>
            </w:r>
            <w:r>
              <w:rPr>
                <w:rFonts w:hint="default" w:ascii="Times New Roman" w:hAnsi="Times New Roman" w:eastAsia="宋体" w:cs="Times New Roman"/>
                <w:color w:val="auto"/>
                <w:sz w:val="24"/>
              </w:rPr>
              <w:t>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时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同时，布袋除尘器工艺属于国家推荐的常用除尘设备，除尘效率有保证，可达9</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%以上。</w:t>
            </w:r>
          </w:p>
          <w:p w14:paraId="193DEE81">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本项目采取的粉尘处理措施较为常用，实施难度小，投资合理，运行稳定可靠。根据全国类似企业生产情况来看，粉尘处理设施能稳定运行，排放达标。是目前同类企业中使用较为普</w:t>
            </w:r>
            <w:r>
              <w:rPr>
                <w:rFonts w:hint="eastAsia" w:cs="Times New Roman"/>
                <w:color w:val="auto"/>
                <w:sz w:val="24"/>
                <w:highlight w:val="none"/>
                <w:lang w:val="en-US" w:eastAsia="zh-CN"/>
              </w:rPr>
              <w:t>遍的</w:t>
            </w:r>
            <w:r>
              <w:rPr>
                <w:rFonts w:hint="default" w:ascii="Times New Roman" w:hAnsi="Times New Roman" w:eastAsia="宋体" w:cs="Times New Roman"/>
                <w:color w:val="auto"/>
                <w:sz w:val="24"/>
                <w:highlight w:val="none"/>
                <w:lang w:val="en-US" w:eastAsia="zh-CN"/>
              </w:rPr>
              <w:t>粉尘处理方案，处理工艺较为成熟。符合相关法律法</w:t>
            </w:r>
            <w:r>
              <w:rPr>
                <w:rFonts w:hint="eastAsia" w:cs="Times New Roman"/>
                <w:color w:val="auto"/>
                <w:sz w:val="24"/>
                <w:highlight w:val="none"/>
                <w:lang w:val="en-US" w:eastAsia="zh-CN"/>
              </w:rPr>
              <w:t>规和</w:t>
            </w:r>
            <w:r>
              <w:rPr>
                <w:rFonts w:hint="default" w:ascii="Times New Roman" w:hAnsi="Times New Roman" w:eastAsia="宋体" w:cs="Times New Roman"/>
                <w:color w:val="auto"/>
                <w:sz w:val="24"/>
                <w:highlight w:val="none"/>
                <w:lang w:val="en-US" w:eastAsia="zh-CN"/>
              </w:rPr>
              <w:t>污染防治规定的措施要求，技术经济可行。</w:t>
            </w:r>
            <w:r>
              <w:rPr>
                <w:rFonts w:hint="default" w:ascii="Times New Roman" w:hAnsi="Times New Roman" w:eastAsia="宋体" w:cs="Times New Roman"/>
                <w:bCs/>
                <w:color w:val="auto"/>
                <w:spacing w:val="6"/>
                <w:sz w:val="24"/>
                <w:highlight w:val="none"/>
                <w:lang w:val="en-US" w:eastAsia="zh-CN"/>
              </w:rPr>
              <w:t>布袋除尘技术除尘效率一般为95%-99.7%，本项目</w:t>
            </w:r>
            <w:r>
              <w:rPr>
                <w:rFonts w:hint="default" w:ascii="Times New Roman" w:hAnsi="Times New Roman" w:eastAsia="宋体" w:cs="Times New Roman"/>
                <w:color w:val="auto"/>
                <w:sz w:val="24"/>
                <w:szCs w:val="24"/>
                <w:highlight w:val="none"/>
                <w:lang w:val="en-US" w:eastAsia="zh-CN"/>
              </w:rPr>
              <w:t>“高温布袋除尘器”处理效率按照影响因素最不利考虑，</w:t>
            </w:r>
            <w:r>
              <w:rPr>
                <w:rFonts w:hint="default" w:ascii="Times New Roman" w:hAnsi="Times New Roman" w:eastAsia="宋体" w:cs="Times New Roman"/>
                <w:bCs/>
                <w:color w:val="auto"/>
                <w:spacing w:val="6"/>
                <w:sz w:val="24"/>
                <w:highlight w:val="none"/>
                <w:lang w:val="en-US" w:eastAsia="zh-CN"/>
              </w:rPr>
              <w:t>因此本项目选取95%进行计算。</w:t>
            </w:r>
          </w:p>
          <w:p w14:paraId="07F38D36">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②活性炭吸附装置</w:t>
            </w:r>
          </w:p>
          <w:p w14:paraId="0432724C">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活性炭吸附装置</w:t>
            </w:r>
            <w:r>
              <w:rPr>
                <w:rFonts w:hint="default" w:ascii="Times New Roman" w:hAnsi="Times New Roman" w:eastAsia="宋体" w:cs="Times New Roman"/>
                <w:color w:val="auto"/>
                <w:sz w:val="24"/>
                <w:highlight w:val="none"/>
              </w:rPr>
              <w:t>原理：利用活性炭或</w:t>
            </w:r>
            <w:r>
              <w:rPr>
                <w:rFonts w:hint="eastAsia" w:cs="Times New Roman"/>
                <w:color w:val="auto"/>
                <w:sz w:val="24"/>
                <w:highlight w:val="none"/>
                <w:lang w:eastAsia="zh-CN"/>
              </w:rPr>
              <w:t>碳纤维</w:t>
            </w:r>
            <w:r>
              <w:rPr>
                <w:rFonts w:hint="default" w:ascii="Times New Roman" w:hAnsi="Times New Roman" w:eastAsia="宋体" w:cs="Times New Roman"/>
                <w:color w:val="auto"/>
                <w:sz w:val="24"/>
                <w:highlight w:val="none"/>
              </w:rPr>
              <w:t>表面的高比表面积对废气中挥发性有机化合物进行吸附，从而达到净化效果。</w:t>
            </w:r>
          </w:p>
          <w:p w14:paraId="5C5D44D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优点：在短时间内能吸附一定的污染物，主要是针对总挥发性有机物和异味。物理吸附，产品本身无二次污染。</w:t>
            </w:r>
          </w:p>
          <w:p w14:paraId="43119E7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highlight w:val="none"/>
              </w:rPr>
              <w:t>缺点：活性炭很容易达到吸附饱和，吸附达到饱和不再具有吸附能力时，就必须更换过滤材料，如不及时更换，其所吸附的污染物等将随时被释放出来形成二次污染。活性吸附饱和后，需要经过活化处理才能二次使用。活性炭吸附装置由活</w:t>
            </w:r>
            <w:r>
              <w:rPr>
                <w:rFonts w:hint="default" w:ascii="Times New Roman" w:hAnsi="Times New Roman" w:eastAsia="宋体" w:cs="Times New Roman"/>
                <w:color w:val="auto"/>
                <w:sz w:val="24"/>
                <w:szCs w:val="24"/>
                <w:highlight w:val="none"/>
              </w:rPr>
              <w:t>性炭、排气管和排风机、排气筒等组成。该装置在系统主风机的作用下，废气从塔进风口处进入吸附塔体内的各吸附单元，利用高性能活性炭吸附剂固体本身的表面作用力将有机废气分子吸附质吸附附着在吸附剂表面，经吸附后干净气体透过吸附单元进入塔体内的净化室并汇集至风口排出。</w:t>
            </w:r>
          </w:p>
          <w:p w14:paraId="2A4DE974">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14:paraId="7EFD4EA6">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本项目无组织废气为生产车间异味、污水处理设施异味等。为了进一步减少废气对环境空气的影响和保障工人健康，结合</w:t>
            </w:r>
            <w:r>
              <w:rPr>
                <w:rFonts w:hint="eastAsia" w:ascii="Times New Roman" w:hAnsi="Times New Roman" w:eastAsia="宋体" w:cs="Times New Roman"/>
                <w:color w:val="auto"/>
                <w:sz w:val="24"/>
                <w:highlight w:val="none"/>
                <w:lang w:val="en-US" w:eastAsia="zh-CN"/>
              </w:rPr>
              <w:t>《排污申请与核发技术规范  农副食品加工工业-屠宰及肉类加工工业》（HJ860.3-2018）</w:t>
            </w:r>
            <w:r>
              <w:rPr>
                <w:rFonts w:hint="eastAsia" w:ascii="Times New Roman" w:hAnsi="Times New Roman" w:eastAsia="宋体" w:cs="Times New Roman"/>
                <w:color w:val="auto"/>
                <w:sz w:val="21"/>
                <w:szCs w:val="21"/>
                <w:highlight w:val="none"/>
                <w:lang w:val="en-US" w:eastAsia="zh-CN"/>
              </w:rPr>
              <w:t>中</w:t>
            </w:r>
            <w:r>
              <w:rPr>
                <w:rFonts w:hint="default" w:ascii="Times New Roman" w:hAnsi="Times New Roman" w:eastAsia="宋体" w:cs="Times New Roman"/>
                <w:color w:val="auto"/>
                <w:sz w:val="24"/>
                <w:szCs w:val="24"/>
                <w:lang w:val="en-US" w:eastAsia="zh-CN" w:bidi="ar"/>
              </w:rPr>
              <w:t>无组织废气</w:t>
            </w:r>
            <w:r>
              <w:rPr>
                <w:rFonts w:hint="default" w:ascii="Times New Roman" w:hAnsi="Times New Roman" w:eastAsia="宋体" w:cs="Times New Roman"/>
                <w:color w:val="auto"/>
                <w:sz w:val="24"/>
                <w:szCs w:val="24"/>
                <w:lang w:bidi="ar"/>
              </w:rPr>
              <w:t>排放污染防治控制要求</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highlight w:val="none"/>
                <w:lang w:val="en-US" w:eastAsia="zh-CN"/>
              </w:rPr>
              <w:t>建议建设单位采取下列措施：</w:t>
            </w:r>
          </w:p>
          <w:p w14:paraId="40E9B4FE">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eastAsia" w:cs="Times New Roman"/>
                <w:color w:val="auto"/>
                <w:sz w:val="24"/>
                <w:lang w:eastAsia="zh-CN" w:bidi="ar"/>
              </w:rPr>
            </w:pPr>
            <w:r>
              <w:rPr>
                <w:rFonts w:hint="default" w:ascii="Times New Roman" w:hAnsi="Times New Roman" w:eastAsia="宋体" w:cs="Times New Roman"/>
                <w:color w:val="auto"/>
                <w:sz w:val="24"/>
                <w:highlight w:val="none"/>
                <w:lang w:val="en-US" w:eastAsia="zh-CN"/>
              </w:rPr>
              <w:t>①本项目</w:t>
            </w:r>
            <w:r>
              <w:rPr>
                <w:rFonts w:hint="default" w:ascii="Times New Roman" w:hAnsi="Times New Roman" w:eastAsia="宋体" w:cs="Times New Roman"/>
                <w:color w:val="auto"/>
                <w:sz w:val="24"/>
                <w:lang w:bidi="ar"/>
              </w:rPr>
              <w:t>原料与产品不长时间储存、加强原料仓库通风并及时清理、产品及时分装进入带盖收集桶、运输过程采用密闭设备</w:t>
            </w:r>
            <w:r>
              <w:rPr>
                <w:rFonts w:hint="eastAsia" w:cs="Times New Roman"/>
                <w:color w:val="auto"/>
                <w:sz w:val="24"/>
                <w:lang w:eastAsia="zh-CN" w:bidi="ar"/>
              </w:rPr>
              <w:t>。</w:t>
            </w:r>
          </w:p>
          <w:p w14:paraId="7571AAEE">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lang w:bidi="ar"/>
              </w:rPr>
            </w:pPr>
            <w:r>
              <w:rPr>
                <w:rFonts w:hint="eastAsia" w:cs="Times New Roman"/>
                <w:color w:val="auto"/>
                <w:sz w:val="24"/>
                <w:lang w:eastAsia="zh-CN" w:bidi="ar"/>
              </w:rPr>
              <w:t>②</w:t>
            </w:r>
            <w:r>
              <w:rPr>
                <w:rFonts w:hint="default" w:ascii="Times New Roman" w:hAnsi="Times New Roman" w:eastAsia="宋体" w:cs="Times New Roman"/>
                <w:color w:val="auto"/>
                <w:sz w:val="24"/>
                <w:lang w:bidi="ar"/>
              </w:rPr>
              <w:t>定期加强制冷系统密封检查和检测、及时更换老化阀门和管道。</w:t>
            </w:r>
          </w:p>
          <w:p w14:paraId="07711E39">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③</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pacing w:val="2"/>
                <w:sz w:val="24"/>
                <w:szCs w:val="24"/>
                <w:lang w:val="zh-CN"/>
              </w:rPr>
              <w:t>污水处理</w:t>
            </w:r>
            <w:r>
              <w:rPr>
                <w:rFonts w:hint="default" w:ascii="Times New Roman" w:hAnsi="Times New Roman" w:eastAsia="宋体" w:cs="Times New Roman"/>
                <w:color w:val="auto"/>
                <w:spacing w:val="2"/>
                <w:sz w:val="24"/>
                <w:szCs w:val="24"/>
                <w:lang w:val="en-US" w:eastAsia="zh-CN"/>
              </w:rPr>
              <w:t>设施各池体加盖，</w:t>
            </w:r>
            <w:r>
              <w:rPr>
                <w:rFonts w:hint="default" w:ascii="Times New Roman" w:hAnsi="Times New Roman" w:eastAsia="宋体" w:cs="Times New Roman"/>
                <w:color w:val="auto"/>
                <w:spacing w:val="2"/>
                <w:sz w:val="24"/>
                <w:szCs w:val="24"/>
                <w:lang w:val="zh-CN"/>
              </w:rPr>
              <w:t>定期喷</w:t>
            </w:r>
            <w:r>
              <w:rPr>
                <w:rFonts w:hint="default" w:ascii="Times New Roman" w:hAnsi="Times New Roman" w:eastAsia="宋体" w:cs="Times New Roman"/>
                <w:color w:val="auto"/>
                <w:spacing w:val="2"/>
                <w:sz w:val="24"/>
                <w:szCs w:val="24"/>
                <w:highlight w:val="none"/>
                <w:lang w:val="zh-CN"/>
              </w:rPr>
              <w:t>洒复合微生物除臭剂进行除臭；</w:t>
            </w:r>
          </w:p>
          <w:p w14:paraId="49F5BD8E">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④</w:t>
            </w:r>
            <w:r>
              <w:rPr>
                <w:rFonts w:hint="default" w:ascii="Times New Roman" w:hAnsi="Times New Roman" w:eastAsia="宋体" w:cs="Times New Roman"/>
                <w:color w:val="auto"/>
                <w:sz w:val="24"/>
                <w:highlight w:val="none"/>
                <w:lang w:val="en-US" w:eastAsia="zh-CN"/>
              </w:rPr>
              <w:t>生产过程生产车间加强通风；</w:t>
            </w:r>
          </w:p>
          <w:p w14:paraId="22788B72">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⑤</w:t>
            </w:r>
            <w:r>
              <w:rPr>
                <w:rFonts w:hint="default" w:ascii="Times New Roman" w:hAnsi="Times New Roman" w:eastAsia="宋体" w:cs="Times New Roman"/>
                <w:color w:val="auto"/>
                <w:sz w:val="24"/>
                <w:highlight w:val="none"/>
                <w:lang w:eastAsia="zh-CN"/>
              </w:rPr>
              <w:t>卫生间</w:t>
            </w:r>
            <w:r>
              <w:rPr>
                <w:rFonts w:hint="default" w:ascii="Times New Roman" w:hAnsi="Times New Roman" w:eastAsia="宋体" w:cs="Times New Roman"/>
                <w:color w:val="auto"/>
                <w:sz w:val="24"/>
                <w:highlight w:val="none"/>
                <w:lang w:val="en-US" w:eastAsia="zh-CN"/>
              </w:rPr>
              <w:t>及垃圾收集点</w:t>
            </w:r>
            <w:r>
              <w:rPr>
                <w:rFonts w:hint="default" w:ascii="Times New Roman" w:hAnsi="Times New Roman" w:eastAsia="宋体" w:cs="Times New Roman"/>
                <w:color w:val="auto"/>
                <w:sz w:val="24"/>
                <w:highlight w:val="none"/>
                <w:lang w:eastAsia="zh-CN"/>
              </w:rPr>
              <w:t>加强管理，</w:t>
            </w:r>
            <w:r>
              <w:rPr>
                <w:rFonts w:hint="default" w:ascii="Times New Roman" w:hAnsi="Times New Roman" w:eastAsia="宋体" w:cs="Times New Roman"/>
                <w:color w:val="auto"/>
                <w:sz w:val="24"/>
                <w:highlight w:val="none"/>
                <w:lang w:val="en-US" w:eastAsia="zh-CN"/>
              </w:rPr>
              <w:t>垃圾</w:t>
            </w:r>
            <w:r>
              <w:rPr>
                <w:rFonts w:hint="default" w:ascii="Times New Roman" w:hAnsi="Times New Roman" w:eastAsia="宋体" w:cs="Times New Roman"/>
                <w:color w:val="auto"/>
                <w:sz w:val="24"/>
                <w:highlight w:val="none"/>
                <w:lang w:eastAsia="zh-CN"/>
              </w:rPr>
              <w:t>做到日产日清；</w:t>
            </w:r>
          </w:p>
          <w:p w14:paraId="07758DF1">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⑥</w:t>
            </w:r>
            <w:r>
              <w:rPr>
                <w:rFonts w:hint="default" w:ascii="Times New Roman" w:hAnsi="Times New Roman" w:eastAsia="宋体" w:cs="Times New Roman"/>
                <w:color w:val="auto"/>
                <w:sz w:val="24"/>
                <w:highlight w:val="none"/>
                <w:lang w:val="en-US" w:eastAsia="zh-CN"/>
              </w:rPr>
              <w:t>建议生产车间操作人员操作时佩戴口罩；</w:t>
            </w:r>
          </w:p>
          <w:p w14:paraId="41C94D93">
            <w:pPr>
              <w:keepNext w:val="0"/>
              <w:keepLines w:val="0"/>
              <w:pageBreakBefore w:val="0"/>
              <w:kinsoku/>
              <w:wordWrap/>
              <w:overflowPunct/>
              <w:topLinePunct w:val="0"/>
              <w:autoSpaceDE/>
              <w:autoSpaceDN/>
              <w:bidi w:val="0"/>
              <w:adjustRightInd/>
              <w:spacing w:line="35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⑦</w:t>
            </w:r>
            <w:r>
              <w:rPr>
                <w:rFonts w:hint="default" w:ascii="Times New Roman" w:hAnsi="Times New Roman" w:eastAsia="宋体" w:cs="Times New Roman"/>
                <w:color w:val="auto"/>
                <w:sz w:val="24"/>
                <w:highlight w:val="none"/>
                <w:lang w:val="en-US" w:eastAsia="zh-CN"/>
              </w:rPr>
              <w:t>加强操作工的培训和管理，所有操作严格按照既定的规程进行，以减少人为造成的对环境的污染。</w:t>
            </w:r>
          </w:p>
          <w:p w14:paraId="75D56BDC">
            <w:pPr>
              <w:keepNext w:val="0"/>
              <w:keepLines w:val="0"/>
              <w:pageBreakBefore w:val="0"/>
              <w:widowControl/>
              <w:kinsoku/>
              <w:wordWrap/>
              <w:overflowPunct/>
              <w:topLinePunct w:val="0"/>
              <w:autoSpaceDE/>
              <w:autoSpaceDN/>
              <w:bidi w:val="0"/>
              <w:spacing w:line="356" w:lineRule="auto"/>
              <w:ind w:firstLine="482"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14:paraId="6D23B3E9">
            <w:pPr>
              <w:keepNext w:val="0"/>
              <w:keepLines w:val="0"/>
              <w:pageBreakBefore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Cs/>
                <w:color w:val="auto"/>
                <w:sz w:val="24"/>
                <w:highlight w:val="none"/>
              </w:rPr>
              <w:t>根</w:t>
            </w:r>
            <w:r>
              <w:rPr>
                <w:rFonts w:hint="default" w:ascii="Times New Roman" w:hAnsi="Times New Roman" w:eastAsia="宋体" w:cs="Times New Roman"/>
                <w:bCs/>
                <w:color w:val="auto"/>
                <w:sz w:val="24"/>
                <w:szCs w:val="24"/>
                <w:highlight w:val="none"/>
              </w:rPr>
              <w:t>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 xml:space="preserve">排污单位自行监测技术指南 </w:t>
            </w:r>
            <w:r>
              <w:rPr>
                <w:rFonts w:hint="eastAsia" w:cs="Times New Roman"/>
                <w:color w:val="auto"/>
                <w:sz w:val="24"/>
                <w:szCs w:val="24"/>
                <w:lang w:val="en-US" w:eastAsia="zh-CN" w:bidi="ar"/>
              </w:rPr>
              <w:t>农副食品加工业</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w:t>
            </w:r>
            <w:r>
              <w:rPr>
                <w:rFonts w:hint="eastAsia" w:cs="Times New Roman"/>
                <w:color w:val="auto"/>
                <w:sz w:val="24"/>
                <w:szCs w:val="24"/>
                <w:lang w:val="en-US" w:eastAsia="zh-CN" w:bidi="ar"/>
              </w:rPr>
              <w:t>986</w:t>
            </w:r>
            <w:r>
              <w:rPr>
                <w:rFonts w:hint="default" w:ascii="Times New Roman" w:hAnsi="Times New Roman" w:eastAsia="宋体" w:cs="Times New Roman"/>
                <w:color w:val="auto"/>
                <w:sz w:val="24"/>
                <w:szCs w:val="24"/>
                <w:lang w:val="en-US" w:eastAsia="zh-CN" w:bidi="ar"/>
              </w:rPr>
              <w:t>-20</w:t>
            </w:r>
            <w:r>
              <w:rPr>
                <w:rFonts w:hint="eastAsia" w:cs="Times New Roman"/>
                <w:color w:val="auto"/>
                <w:sz w:val="24"/>
                <w:szCs w:val="24"/>
                <w:lang w:val="en-US" w:eastAsia="zh-CN" w:bidi="ar"/>
              </w:rPr>
              <w:t>18</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szCs w:val="24"/>
                <w:highlight w:val="none"/>
              </w:rPr>
              <w:t>，项</w:t>
            </w:r>
            <w:r>
              <w:rPr>
                <w:rFonts w:hint="default" w:ascii="Times New Roman" w:hAnsi="Times New Roman" w:eastAsia="宋体" w:cs="Times New Roman"/>
                <w:bCs/>
                <w:color w:val="auto"/>
                <w:sz w:val="24"/>
                <w:highlight w:val="none"/>
              </w:rPr>
              <w:t>目的监测计划如表4-</w:t>
            </w:r>
            <w:r>
              <w:rPr>
                <w:rFonts w:hint="default" w:ascii="Times New Roman" w:hAnsi="Times New Roman" w:eastAsia="宋体" w:cs="Times New Roman"/>
                <w:bCs/>
                <w:color w:val="auto"/>
                <w:sz w:val="24"/>
                <w:highlight w:val="none"/>
                <w:lang w:val="en-US" w:eastAsia="zh-CN"/>
              </w:rPr>
              <w:t>1</w:t>
            </w:r>
            <w:r>
              <w:rPr>
                <w:rFonts w:hint="eastAsia" w:cs="Times New Roman"/>
                <w:bCs/>
                <w:color w:val="auto"/>
                <w:sz w:val="24"/>
                <w:highlight w:val="none"/>
                <w:lang w:val="en-US" w:eastAsia="zh-CN"/>
              </w:rPr>
              <w:t>4</w:t>
            </w:r>
            <w:r>
              <w:rPr>
                <w:rFonts w:hint="default" w:ascii="Times New Roman" w:hAnsi="Times New Roman" w:eastAsia="宋体" w:cs="Times New Roman"/>
                <w:bCs/>
                <w:color w:val="auto"/>
                <w:sz w:val="24"/>
                <w:highlight w:val="none"/>
              </w:rPr>
              <w:t>。</w:t>
            </w:r>
          </w:p>
          <w:p w14:paraId="1EBC1F2B">
            <w:pPr>
              <w:tabs>
                <w:tab w:val="left" w:pos="630"/>
              </w:tabs>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w:t>
            </w:r>
            <w:r>
              <w:rPr>
                <w:rFonts w:hint="default" w:ascii="Times New Roman" w:hAnsi="Times New Roman" w:eastAsia="宋体" w:cs="Times New Roman"/>
                <w:b/>
                <w:color w:val="auto"/>
                <w:szCs w:val="21"/>
                <w:highlight w:val="none"/>
                <w:lang w:val="en-US" w:eastAsia="zh-CN"/>
              </w:rPr>
              <w:t>1</w:t>
            </w:r>
            <w:r>
              <w:rPr>
                <w:rFonts w:hint="eastAsia"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自行监测计划</w:t>
            </w:r>
          </w:p>
          <w:tbl>
            <w:tblPr>
              <w:tblStyle w:val="2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53"/>
              <w:gridCol w:w="860"/>
              <w:gridCol w:w="2635"/>
              <w:gridCol w:w="2422"/>
              <w:gridCol w:w="1061"/>
            </w:tblGrid>
            <w:tr w14:paraId="2585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42AAC481">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1053" w:type="dxa"/>
                  <w:vAlign w:val="center"/>
                </w:tcPr>
                <w:p w14:paraId="2C8ADBC3">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排放源</w:t>
                  </w:r>
                </w:p>
              </w:tc>
              <w:tc>
                <w:tcPr>
                  <w:tcW w:w="860" w:type="dxa"/>
                  <w:vAlign w:val="center"/>
                </w:tcPr>
                <w:p w14:paraId="41A8B55F">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排放方式</w:t>
                  </w:r>
                </w:p>
              </w:tc>
              <w:tc>
                <w:tcPr>
                  <w:tcW w:w="2635" w:type="dxa"/>
                  <w:vAlign w:val="center"/>
                </w:tcPr>
                <w:p w14:paraId="2076FB15">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2422" w:type="dxa"/>
                  <w:vAlign w:val="center"/>
                </w:tcPr>
                <w:p w14:paraId="278E671B">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监测项目</w:t>
                  </w:r>
                </w:p>
              </w:tc>
              <w:tc>
                <w:tcPr>
                  <w:tcW w:w="1061" w:type="dxa"/>
                  <w:vAlign w:val="center"/>
                </w:tcPr>
                <w:p w14:paraId="6B1D052C">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监测频次</w:t>
                  </w:r>
                </w:p>
              </w:tc>
            </w:tr>
            <w:tr w14:paraId="63DD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restart"/>
                  <w:vAlign w:val="center"/>
                </w:tcPr>
                <w:p w14:paraId="5EE18D07">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053" w:type="dxa"/>
                  <w:vAlign w:val="center"/>
                </w:tcPr>
                <w:p w14:paraId="0EF5291B">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bCs/>
                      <w:snapToGrid w:val="0"/>
                      <w:color w:val="auto"/>
                      <w:kern w:val="0"/>
                      <w:szCs w:val="21"/>
                      <w:highlight w:val="none"/>
                      <w:lang w:val="en-US" w:eastAsia="zh-CN"/>
                    </w:rPr>
                    <w:t>生物质</w:t>
                  </w:r>
                  <w:r>
                    <w:rPr>
                      <w:rFonts w:hint="default" w:ascii="Times New Roman" w:hAnsi="Times New Roman" w:eastAsia="宋体" w:cs="Times New Roman"/>
                      <w:bCs/>
                      <w:snapToGrid w:val="0"/>
                      <w:color w:val="auto"/>
                      <w:kern w:val="0"/>
                      <w:szCs w:val="21"/>
                      <w:highlight w:val="none"/>
                      <w:lang w:val="en-US" w:eastAsia="zh-CN"/>
                    </w:rPr>
                    <w:t>燃料燃烧</w:t>
                  </w:r>
                </w:p>
              </w:tc>
              <w:tc>
                <w:tcPr>
                  <w:tcW w:w="860" w:type="dxa"/>
                  <w:vAlign w:val="center"/>
                </w:tcPr>
                <w:p w14:paraId="5976BE66">
                  <w:pPr>
                    <w:jc w:val="center"/>
                    <w:rPr>
                      <w:rFonts w:hint="default" w:ascii="Times New Roman" w:hAnsi="Times New Roman" w:eastAsia="宋体" w:cs="Times New Roman"/>
                      <w:bCs/>
                      <w:snapToGrid w:val="0"/>
                      <w:color w:val="auto"/>
                      <w:kern w:val="0"/>
                      <w:szCs w:val="21"/>
                      <w:highlight w:val="none"/>
                      <w:lang w:val="en-US" w:eastAsia="zh-CN"/>
                    </w:rPr>
                  </w:pPr>
                  <w:r>
                    <w:rPr>
                      <w:rFonts w:hint="default" w:ascii="Times New Roman" w:hAnsi="Times New Roman" w:eastAsia="宋体" w:cs="Times New Roman"/>
                      <w:bCs/>
                      <w:snapToGrid w:val="0"/>
                      <w:color w:val="auto"/>
                      <w:kern w:val="0"/>
                      <w:szCs w:val="21"/>
                      <w:highlight w:val="none"/>
                      <w:lang w:val="en-US" w:eastAsia="zh-CN"/>
                    </w:rPr>
                    <w:t>有组织</w:t>
                  </w:r>
                </w:p>
              </w:tc>
              <w:tc>
                <w:tcPr>
                  <w:tcW w:w="2635" w:type="dxa"/>
                  <w:vAlign w:val="center"/>
                </w:tcPr>
                <w:p w14:paraId="19117675">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排气口（DA001）</w:t>
                  </w:r>
                </w:p>
              </w:tc>
              <w:tc>
                <w:tcPr>
                  <w:tcW w:w="2422" w:type="dxa"/>
                  <w:vAlign w:val="center"/>
                </w:tcPr>
                <w:p w14:paraId="1D53D35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lang w:val="en-US" w:eastAsia="zh-CN"/>
                    </w:rPr>
                    <w:t>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w:t>
                  </w:r>
                </w:p>
              </w:tc>
              <w:tc>
                <w:tcPr>
                  <w:tcW w:w="1061" w:type="dxa"/>
                  <w:vAlign w:val="center"/>
                </w:tcPr>
                <w:p w14:paraId="3CF33ED4">
                  <w:pPr>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月</w:t>
                  </w:r>
                </w:p>
              </w:tc>
            </w:tr>
            <w:tr w14:paraId="35A4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7" w:type="dxa"/>
                  <w:vMerge w:val="continue"/>
                  <w:vAlign w:val="center"/>
                </w:tcPr>
                <w:p w14:paraId="070AFB9A">
                  <w:pPr>
                    <w:jc w:val="center"/>
                    <w:rPr>
                      <w:rFonts w:hint="default" w:ascii="Times New Roman" w:hAnsi="Times New Roman" w:eastAsia="宋体" w:cs="Times New Roman"/>
                      <w:bCs/>
                      <w:color w:val="auto"/>
                      <w:szCs w:val="21"/>
                      <w:highlight w:val="none"/>
                    </w:rPr>
                  </w:pPr>
                </w:p>
              </w:tc>
              <w:tc>
                <w:tcPr>
                  <w:tcW w:w="1053" w:type="dxa"/>
                  <w:vAlign w:val="center"/>
                </w:tcPr>
                <w:p w14:paraId="05C9A9D2">
                  <w:pPr>
                    <w:jc w:val="center"/>
                    <w:rPr>
                      <w:rFonts w:hint="eastAsia" w:cs="Times New Roman"/>
                      <w:bCs/>
                      <w:snapToGrid w:val="0"/>
                      <w:color w:val="auto"/>
                      <w:kern w:val="0"/>
                      <w:szCs w:val="21"/>
                      <w:highlight w:val="none"/>
                      <w:lang w:val="en-US" w:eastAsia="zh-CN"/>
                    </w:rPr>
                  </w:pPr>
                  <w:r>
                    <w:rPr>
                      <w:rFonts w:hint="eastAsia" w:cs="Times New Roman"/>
                      <w:bCs/>
                      <w:snapToGrid w:val="0"/>
                      <w:color w:val="auto"/>
                      <w:kern w:val="0"/>
                      <w:szCs w:val="21"/>
                      <w:highlight w:val="none"/>
                      <w:lang w:val="en-US" w:eastAsia="zh-CN"/>
                    </w:rPr>
                    <w:t>熔炼废气</w:t>
                  </w:r>
                </w:p>
              </w:tc>
              <w:tc>
                <w:tcPr>
                  <w:tcW w:w="860" w:type="dxa"/>
                  <w:vAlign w:val="center"/>
                </w:tcPr>
                <w:p w14:paraId="3FF70FB3">
                  <w:pPr>
                    <w:jc w:val="center"/>
                    <w:rPr>
                      <w:rFonts w:hint="default" w:ascii="Times New Roman" w:hAnsi="Times New Roman" w:eastAsia="宋体" w:cs="Times New Roman"/>
                      <w:bCs/>
                      <w:snapToGrid w:val="0"/>
                      <w:color w:val="auto"/>
                      <w:kern w:val="0"/>
                      <w:szCs w:val="21"/>
                      <w:highlight w:val="none"/>
                      <w:lang w:val="en-US" w:eastAsia="zh-CN"/>
                    </w:rPr>
                  </w:pPr>
                  <w:r>
                    <w:rPr>
                      <w:rFonts w:hint="eastAsia" w:cs="Times New Roman"/>
                      <w:bCs/>
                      <w:snapToGrid w:val="0"/>
                      <w:color w:val="auto"/>
                      <w:kern w:val="0"/>
                      <w:szCs w:val="21"/>
                      <w:highlight w:val="none"/>
                      <w:lang w:val="en-US" w:eastAsia="zh-CN"/>
                    </w:rPr>
                    <w:t>有组织</w:t>
                  </w:r>
                </w:p>
              </w:tc>
              <w:tc>
                <w:tcPr>
                  <w:tcW w:w="2635" w:type="dxa"/>
                  <w:vAlign w:val="center"/>
                </w:tcPr>
                <w:p w14:paraId="7294AEA5">
                  <w:pPr>
                    <w:jc w:val="center"/>
                    <w:rPr>
                      <w:rFonts w:hint="eastAsia" w:ascii="Times New Roman" w:hAnsi="Times New Roman" w:eastAsia="宋体" w:cs="Times New Roman"/>
                      <w:bCs/>
                      <w:snapToGrid w:val="0"/>
                      <w:color w:val="auto"/>
                      <w:kern w:val="0"/>
                      <w:szCs w:val="21"/>
                      <w:highlight w:val="none"/>
                      <w:lang w:eastAsia="zh-CN"/>
                    </w:rPr>
                  </w:pPr>
                  <w:r>
                    <w:rPr>
                      <w:rFonts w:hint="eastAsia" w:cs="Times New Roman"/>
                      <w:bCs/>
                      <w:snapToGrid w:val="0"/>
                      <w:color w:val="auto"/>
                      <w:kern w:val="0"/>
                      <w:szCs w:val="21"/>
                      <w:highlight w:val="none"/>
                      <w:lang w:eastAsia="zh-CN"/>
                    </w:rPr>
                    <w:t>排气口（</w:t>
                  </w:r>
                  <w:r>
                    <w:rPr>
                      <w:rFonts w:hint="eastAsia" w:cs="Times New Roman"/>
                      <w:bCs/>
                      <w:snapToGrid w:val="0"/>
                      <w:color w:val="auto"/>
                      <w:kern w:val="0"/>
                      <w:szCs w:val="21"/>
                      <w:highlight w:val="none"/>
                      <w:lang w:val="en-US" w:eastAsia="zh-CN"/>
                    </w:rPr>
                    <w:t>DA002、DA003</w:t>
                  </w:r>
                  <w:r>
                    <w:rPr>
                      <w:rFonts w:hint="eastAsia" w:cs="Times New Roman"/>
                      <w:bCs/>
                      <w:snapToGrid w:val="0"/>
                      <w:color w:val="auto"/>
                      <w:kern w:val="0"/>
                      <w:szCs w:val="21"/>
                      <w:highlight w:val="none"/>
                      <w:lang w:eastAsia="zh-CN"/>
                    </w:rPr>
                    <w:t>）</w:t>
                  </w:r>
                </w:p>
              </w:tc>
              <w:tc>
                <w:tcPr>
                  <w:tcW w:w="2422" w:type="dxa"/>
                  <w:vAlign w:val="center"/>
                </w:tcPr>
                <w:p w14:paraId="5B5E54BF">
                  <w:pPr>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油烟、非甲烷总烃</w:t>
                  </w:r>
                </w:p>
              </w:tc>
              <w:tc>
                <w:tcPr>
                  <w:tcW w:w="1061" w:type="dxa"/>
                  <w:vAlign w:val="center"/>
                </w:tcPr>
                <w:p w14:paraId="7619ADC2">
                  <w:pPr>
                    <w:jc w:val="center"/>
                    <w:rPr>
                      <w:rFonts w:hint="default" w:ascii="Times New Roman" w:hAnsi="Times New Roman" w:eastAsia="宋体" w:cs="Times New Roman"/>
                      <w:color w:val="auto"/>
                      <w:szCs w:val="21"/>
                      <w:highlight w:val="none"/>
                      <w:lang w:val="en-US" w:eastAsia="zh-CN" w:bidi="ar"/>
                    </w:rPr>
                  </w:pPr>
                  <w:r>
                    <w:rPr>
                      <w:rFonts w:hint="eastAsia" w:cs="Times New Roman"/>
                      <w:color w:val="auto"/>
                      <w:szCs w:val="21"/>
                      <w:highlight w:val="none"/>
                      <w:lang w:val="en-US" w:eastAsia="zh-CN" w:bidi="ar"/>
                    </w:rPr>
                    <w:t>1次/半年</w:t>
                  </w:r>
                </w:p>
              </w:tc>
            </w:tr>
            <w:tr w14:paraId="5299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27" w:type="dxa"/>
                  <w:vMerge w:val="continue"/>
                  <w:vAlign w:val="center"/>
                </w:tcPr>
                <w:p w14:paraId="551B20FF">
                  <w:pPr>
                    <w:jc w:val="center"/>
                    <w:rPr>
                      <w:rFonts w:hint="default" w:ascii="Times New Roman" w:hAnsi="Times New Roman" w:eastAsia="宋体" w:cs="Times New Roman"/>
                      <w:bCs/>
                      <w:color w:val="auto"/>
                      <w:szCs w:val="21"/>
                      <w:highlight w:val="none"/>
                    </w:rPr>
                  </w:pPr>
                </w:p>
              </w:tc>
              <w:tc>
                <w:tcPr>
                  <w:tcW w:w="1053" w:type="dxa"/>
                  <w:vAlign w:val="center"/>
                </w:tcPr>
                <w:p w14:paraId="54987771">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生产、污水处理设施</w:t>
                  </w:r>
                </w:p>
              </w:tc>
              <w:tc>
                <w:tcPr>
                  <w:tcW w:w="860" w:type="dxa"/>
                  <w:vAlign w:val="center"/>
                </w:tcPr>
                <w:p w14:paraId="4C3D278C">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厂界无组织</w:t>
                  </w:r>
                </w:p>
              </w:tc>
              <w:tc>
                <w:tcPr>
                  <w:tcW w:w="2635" w:type="dxa"/>
                  <w:vAlign w:val="center"/>
                </w:tcPr>
                <w:p w14:paraId="2728B609">
                  <w:pPr>
                    <w:jc w:val="center"/>
                    <w:rPr>
                      <w:rFonts w:hint="default" w:ascii="Times New Roman" w:hAnsi="Times New Roman" w:eastAsia="宋体" w:cs="Times New Roman"/>
                      <w:bCs/>
                      <w:snapToGrid w:val="0"/>
                      <w:color w:val="auto"/>
                      <w:kern w:val="0"/>
                      <w:szCs w:val="21"/>
                      <w:highlight w:val="none"/>
                    </w:rPr>
                  </w:pPr>
                  <w:r>
                    <w:rPr>
                      <w:rFonts w:hint="default" w:ascii="Times New Roman" w:hAnsi="Times New Roman" w:eastAsia="宋体" w:cs="Times New Roman"/>
                      <w:bCs/>
                      <w:snapToGrid w:val="0"/>
                      <w:color w:val="auto"/>
                      <w:kern w:val="0"/>
                      <w:szCs w:val="21"/>
                      <w:highlight w:val="none"/>
                    </w:rPr>
                    <w:t>厂址上风向设1个对照点、厂址下风向设2个监控点</w:t>
                  </w:r>
                </w:p>
              </w:tc>
              <w:tc>
                <w:tcPr>
                  <w:tcW w:w="2422" w:type="dxa"/>
                  <w:vAlign w:val="center"/>
                </w:tcPr>
                <w:p w14:paraId="49A177B0">
                  <w:pPr>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氨、硫化氢、臭气浓度</w:t>
                  </w:r>
                </w:p>
              </w:tc>
              <w:tc>
                <w:tcPr>
                  <w:tcW w:w="1061" w:type="dxa"/>
                  <w:vAlign w:val="center"/>
                </w:tcPr>
                <w:p w14:paraId="67AAF877">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Cs w:val="21"/>
                      <w:highlight w:val="none"/>
                      <w:lang w:bidi="ar"/>
                    </w:rPr>
                    <w:t>1次/</w:t>
                  </w:r>
                  <w:r>
                    <w:rPr>
                      <w:rFonts w:hint="default" w:ascii="Times New Roman" w:hAnsi="Times New Roman" w:eastAsia="宋体" w:cs="Times New Roman"/>
                      <w:color w:val="auto"/>
                      <w:szCs w:val="21"/>
                      <w:highlight w:val="none"/>
                      <w:lang w:val="en-US" w:eastAsia="zh-CN" w:bidi="ar"/>
                    </w:rPr>
                    <w:t>半年</w:t>
                  </w:r>
                </w:p>
              </w:tc>
            </w:tr>
          </w:tbl>
          <w:p w14:paraId="7C4B7D5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14:paraId="778597E9">
            <w:pPr>
              <w:adjustRightInd w:val="0"/>
              <w:snapToGrid w:val="0"/>
              <w:spacing w:line="360" w:lineRule="auto"/>
              <w:ind w:firstLine="482" w:firstLineChars="200"/>
              <w:rPr>
                <w:rFonts w:hint="default" w:ascii="Times New Roman" w:hAnsi="Times New Roman" w:eastAsia="宋体" w:cs="Times New Roman"/>
                <w:b/>
                <w:bCs w:val="0"/>
                <w:color w:val="auto"/>
                <w:spacing w:val="-10"/>
                <w:sz w:val="21"/>
                <w:szCs w:val="21"/>
                <w:highlight w:val="none"/>
                <w:lang w:val="en-US" w:eastAsia="zh-CN"/>
              </w:rPr>
            </w:pPr>
            <w:r>
              <w:rPr>
                <w:rFonts w:hint="default" w:ascii="Times New Roman" w:hAnsi="Times New Roman" w:eastAsia="宋体" w:cs="Times New Roman"/>
                <w:b/>
                <w:bCs/>
                <w:color w:val="auto"/>
                <w:sz w:val="24"/>
                <w:szCs w:val="24"/>
                <w:highlight w:val="none"/>
                <w:lang w:val="en-US" w:eastAsia="zh-CN"/>
              </w:rPr>
              <w:t>1、污染源分析</w:t>
            </w:r>
          </w:p>
          <w:p w14:paraId="664E612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pacing w:val="-10"/>
                <w:sz w:val="21"/>
                <w:szCs w:val="21"/>
                <w:highlight w:val="none"/>
                <w:lang w:val="en-US" w:eastAsia="zh-CN"/>
              </w:rPr>
              <w:t>表4-1</w:t>
            </w:r>
            <w:r>
              <w:rPr>
                <w:rFonts w:hint="eastAsia" w:cs="Times New Roman"/>
                <w:b/>
                <w:bCs w:val="0"/>
                <w:color w:val="auto"/>
                <w:spacing w:val="-10"/>
                <w:sz w:val="21"/>
                <w:szCs w:val="21"/>
                <w:highlight w:val="none"/>
                <w:lang w:val="en-US" w:eastAsia="zh-CN"/>
              </w:rPr>
              <w:t>5</w:t>
            </w:r>
            <w:r>
              <w:rPr>
                <w:rFonts w:hint="default" w:ascii="Times New Roman" w:hAnsi="Times New Roman" w:eastAsia="宋体" w:cs="Times New Roman"/>
                <w:b/>
                <w:bCs w:val="0"/>
                <w:color w:val="auto"/>
                <w:spacing w:val="-10"/>
                <w:sz w:val="21"/>
                <w:szCs w:val="21"/>
                <w:highlight w:val="none"/>
                <w:lang w:val="en-US" w:eastAsia="zh-CN"/>
              </w:rPr>
              <w:t xml:space="preserve">  项目区废水产排情况统计表</w:t>
            </w:r>
          </w:p>
          <w:tbl>
            <w:tblPr>
              <w:tblStyle w:val="27"/>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94"/>
              <w:gridCol w:w="1469"/>
              <w:gridCol w:w="794"/>
              <w:gridCol w:w="794"/>
              <w:gridCol w:w="794"/>
              <w:gridCol w:w="794"/>
              <w:gridCol w:w="794"/>
              <w:gridCol w:w="794"/>
              <w:gridCol w:w="50"/>
              <w:gridCol w:w="795"/>
            </w:tblGrid>
            <w:tr w14:paraId="021A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0392583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5609" w:type="dxa"/>
                  <w:gridSpan w:val="8"/>
                  <w:noWrap w:val="0"/>
                  <w:vAlign w:val="center"/>
                </w:tcPr>
                <w:p w14:paraId="5052F31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14:paraId="35D2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3C7368F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609" w:type="dxa"/>
                  <w:gridSpan w:val="8"/>
                  <w:noWrap w:val="0"/>
                  <w:vAlign w:val="center"/>
                </w:tcPr>
                <w:p w14:paraId="086F516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5575.5791</w:t>
                  </w:r>
                </w:p>
              </w:tc>
            </w:tr>
            <w:tr w14:paraId="01FF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6B26A38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794" w:type="dxa"/>
                  <w:noWrap w:val="0"/>
                  <w:vAlign w:val="center"/>
                </w:tcPr>
                <w:p w14:paraId="26E2EA3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794" w:type="dxa"/>
                  <w:noWrap w:val="0"/>
                  <w:vAlign w:val="center"/>
                </w:tcPr>
                <w:p w14:paraId="4B59E17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794" w:type="dxa"/>
                  <w:noWrap w:val="0"/>
                  <w:vAlign w:val="center"/>
                </w:tcPr>
                <w:p w14:paraId="79957E1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794" w:type="dxa"/>
                  <w:noWrap w:val="0"/>
                  <w:vAlign w:val="center"/>
                </w:tcPr>
                <w:p w14:paraId="54110E1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794" w:type="dxa"/>
                  <w:noWrap w:val="0"/>
                  <w:vAlign w:val="center"/>
                </w:tcPr>
                <w:p w14:paraId="47FDCB59">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844" w:type="dxa"/>
                  <w:gridSpan w:val="2"/>
                  <w:noWrap w:val="0"/>
                  <w:vAlign w:val="center"/>
                </w:tcPr>
                <w:p w14:paraId="09D6603A">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总氮</w:t>
                  </w:r>
                </w:p>
              </w:tc>
              <w:tc>
                <w:tcPr>
                  <w:tcW w:w="795" w:type="dxa"/>
                  <w:noWrap w:val="0"/>
                  <w:vAlign w:val="center"/>
                </w:tcPr>
                <w:p w14:paraId="27B1F4E5">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r>
            <w:tr w14:paraId="54F1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6BE6EC58">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794" w:type="dxa"/>
                  <w:noWrap w:val="0"/>
                  <w:vAlign w:val="center"/>
                </w:tcPr>
                <w:p w14:paraId="412BDA24">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4.3261</w:t>
                  </w:r>
                </w:p>
              </w:tc>
              <w:tc>
                <w:tcPr>
                  <w:tcW w:w="794" w:type="dxa"/>
                  <w:noWrap w:val="0"/>
                  <w:vAlign w:val="center"/>
                </w:tcPr>
                <w:p w14:paraId="02F5DDB9">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2.6438</w:t>
                  </w:r>
                </w:p>
              </w:tc>
              <w:tc>
                <w:tcPr>
                  <w:tcW w:w="794" w:type="dxa"/>
                  <w:noWrap w:val="0"/>
                  <w:vAlign w:val="center"/>
                </w:tcPr>
                <w:p w14:paraId="025CCA94">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cs="Times New Roman"/>
                      <w:i w:val="0"/>
                      <w:iCs w:val="0"/>
                      <w:color w:val="auto"/>
                      <w:kern w:val="0"/>
                      <w:sz w:val="21"/>
                      <w:szCs w:val="21"/>
                      <w:u w:val="none"/>
                      <w:lang w:val="en-US" w:eastAsia="zh-CN" w:bidi="ar"/>
                    </w:rPr>
                    <w:t>2.6438</w:t>
                  </w:r>
                </w:p>
              </w:tc>
              <w:tc>
                <w:tcPr>
                  <w:tcW w:w="794" w:type="dxa"/>
                  <w:noWrap w:val="0"/>
                  <w:vAlign w:val="center"/>
                </w:tcPr>
                <w:p w14:paraId="29205A74">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w:t>
                  </w:r>
                  <w:r>
                    <w:rPr>
                      <w:rFonts w:hint="eastAsia" w:cs="Times New Roman"/>
                      <w:i w:val="0"/>
                      <w:iCs w:val="0"/>
                      <w:color w:val="auto"/>
                      <w:kern w:val="0"/>
                      <w:sz w:val="21"/>
                      <w:szCs w:val="21"/>
                      <w:u w:val="none"/>
                      <w:lang w:val="en-US" w:eastAsia="zh-CN" w:bidi="ar"/>
                    </w:rPr>
                    <w:t>466</w:t>
                  </w:r>
                </w:p>
              </w:tc>
              <w:tc>
                <w:tcPr>
                  <w:tcW w:w="794" w:type="dxa"/>
                  <w:noWrap w:val="0"/>
                  <w:vAlign w:val="center"/>
                </w:tcPr>
                <w:p w14:paraId="0196F0D2">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2382</w:t>
                  </w:r>
                </w:p>
              </w:tc>
              <w:tc>
                <w:tcPr>
                  <w:tcW w:w="844" w:type="dxa"/>
                  <w:gridSpan w:val="2"/>
                  <w:noWrap w:val="0"/>
                  <w:vAlign w:val="center"/>
                </w:tcPr>
                <w:p w14:paraId="4BC80C3F">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7350</w:t>
                  </w:r>
                </w:p>
              </w:tc>
              <w:tc>
                <w:tcPr>
                  <w:tcW w:w="795" w:type="dxa"/>
                  <w:noWrap w:val="0"/>
                  <w:vAlign w:val="center"/>
                </w:tcPr>
                <w:p w14:paraId="25028783">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5264</w:t>
                  </w:r>
                </w:p>
              </w:tc>
            </w:tr>
            <w:tr w14:paraId="5EEB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160315D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94" w:type="dxa"/>
                  <w:noWrap w:val="0"/>
                  <w:vAlign w:val="center"/>
                </w:tcPr>
                <w:p w14:paraId="21B15AB9">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775.89</w:t>
                  </w:r>
                </w:p>
              </w:tc>
              <w:tc>
                <w:tcPr>
                  <w:tcW w:w="794" w:type="dxa"/>
                  <w:noWrap w:val="0"/>
                  <w:vAlign w:val="center"/>
                </w:tcPr>
                <w:p w14:paraId="7A913D8F">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474.17</w:t>
                  </w:r>
                </w:p>
              </w:tc>
              <w:tc>
                <w:tcPr>
                  <w:tcW w:w="794" w:type="dxa"/>
                  <w:noWrap w:val="0"/>
                  <w:vAlign w:val="center"/>
                </w:tcPr>
                <w:p w14:paraId="6438A05D">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474.17</w:t>
                  </w:r>
                </w:p>
              </w:tc>
              <w:tc>
                <w:tcPr>
                  <w:tcW w:w="794" w:type="dxa"/>
                  <w:noWrap w:val="0"/>
                  <w:vAlign w:val="center"/>
                </w:tcPr>
                <w:p w14:paraId="1D2CC2C9">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26.29</w:t>
                  </w:r>
                </w:p>
              </w:tc>
              <w:tc>
                <w:tcPr>
                  <w:tcW w:w="794" w:type="dxa"/>
                  <w:noWrap w:val="0"/>
                  <w:vAlign w:val="center"/>
                </w:tcPr>
                <w:p w14:paraId="48A01C6D">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42.73</w:t>
                  </w:r>
                </w:p>
              </w:tc>
              <w:tc>
                <w:tcPr>
                  <w:tcW w:w="844" w:type="dxa"/>
                  <w:gridSpan w:val="2"/>
                  <w:noWrap w:val="0"/>
                  <w:vAlign w:val="center"/>
                </w:tcPr>
                <w:p w14:paraId="29AAF5B0">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131.82</w:t>
                  </w:r>
                </w:p>
              </w:tc>
              <w:tc>
                <w:tcPr>
                  <w:tcW w:w="795" w:type="dxa"/>
                  <w:noWrap w:val="0"/>
                  <w:vAlign w:val="center"/>
                </w:tcPr>
                <w:p w14:paraId="2908EFB2">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94.40</w:t>
                  </w:r>
                </w:p>
              </w:tc>
            </w:tr>
            <w:tr w14:paraId="4FD4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5B46E3B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5609" w:type="dxa"/>
                  <w:gridSpan w:val="8"/>
                  <w:noWrap w:val="0"/>
                  <w:vAlign w:val="center"/>
                </w:tcPr>
                <w:p w14:paraId="19936F5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14:paraId="23D8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restart"/>
                  <w:noWrap w:val="0"/>
                  <w:vAlign w:val="center"/>
                </w:tcPr>
                <w:p w14:paraId="73B1C75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2163" w:type="dxa"/>
                  <w:gridSpan w:val="2"/>
                  <w:noWrap w:val="0"/>
                  <w:vAlign w:val="center"/>
                </w:tcPr>
                <w:p w14:paraId="58828FE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5609" w:type="dxa"/>
                  <w:gridSpan w:val="8"/>
                  <w:noWrap w:val="0"/>
                  <w:vAlign w:val="center"/>
                </w:tcPr>
                <w:p w14:paraId="0DCB39A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14:paraId="6105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14:paraId="7F9BFEC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14:paraId="3B43502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5609" w:type="dxa"/>
                  <w:gridSpan w:val="8"/>
                  <w:noWrap w:val="0"/>
                  <w:vAlign w:val="center"/>
                </w:tcPr>
                <w:p w14:paraId="62DB23C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14:paraId="6A49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14:paraId="1A24186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14:paraId="03B2AC8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5609" w:type="dxa"/>
                  <w:gridSpan w:val="8"/>
                  <w:noWrap w:val="0"/>
                  <w:vAlign w:val="center"/>
                </w:tcPr>
                <w:p w14:paraId="65D72F1E">
                  <w:pPr>
                    <w:pStyle w:val="1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w:t>
                  </w:r>
                  <w:r>
                    <w:rPr>
                      <w:rFonts w:hint="default" w:ascii="Times New Roman" w:hAnsi="Times New Roman" w:eastAsia="宋体" w:cs="Times New Roman"/>
                      <w:color w:val="auto"/>
                      <w:sz w:val="21"/>
                      <w:szCs w:val="21"/>
                      <w:highlight w:val="none"/>
                      <w:lang w:val="en-US" w:eastAsia="zh-CN"/>
                    </w:rPr>
                    <w:t>容积为0.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隔油池预处理后</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容积为</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隔油池预处理后与其他办公生活污水、生产废水一并进入</w:t>
                  </w:r>
                  <w:r>
                    <w:rPr>
                      <w:rFonts w:hint="default" w:ascii="Times New Roman" w:hAnsi="Times New Roman" w:eastAsia="宋体" w:cs="Times New Roman"/>
                      <w:color w:val="auto"/>
                      <w:sz w:val="21"/>
                      <w:szCs w:val="21"/>
                      <w:highlight w:val="none"/>
                      <w:lang w:val="en-US" w:eastAsia="zh-CN"/>
                    </w:rPr>
                    <w:t>容积为2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lang w:val="en-US" w:eastAsia="zh-CN"/>
                    </w:rPr>
                    <w:t>化粪池、自建</w:t>
                  </w:r>
                  <w:r>
                    <w:rPr>
                      <w:rFonts w:hint="default" w:ascii="Times New Roman" w:hAnsi="Times New Roman" w:eastAsia="宋体" w:cs="Times New Roman"/>
                      <w:color w:val="auto"/>
                      <w:sz w:val="21"/>
                      <w:szCs w:val="21"/>
                      <w:highlight w:val="none"/>
                      <w:lang w:val="en-US" w:eastAsia="zh-CN"/>
                    </w:rPr>
                    <w:t>处理规模为2</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b w:val="0"/>
                      <w:bCs w:val="0"/>
                      <w:color w:val="auto"/>
                      <w:sz w:val="21"/>
                      <w:szCs w:val="21"/>
                      <w:highlight w:val="none"/>
                      <w:lang w:val="en-US" w:eastAsia="zh-CN"/>
                    </w:rPr>
                    <w:t>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r>
            <w:tr w14:paraId="1AE7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30" w:type="dxa"/>
                  <w:vMerge w:val="continue"/>
                  <w:noWrap w:val="0"/>
                  <w:vAlign w:val="center"/>
                </w:tcPr>
                <w:p w14:paraId="7C81614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694" w:type="dxa"/>
                  <w:vMerge w:val="restart"/>
                  <w:noWrap w:val="0"/>
                  <w:vAlign w:val="center"/>
                </w:tcPr>
                <w:p w14:paraId="785BB53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1469" w:type="dxa"/>
                  <w:noWrap w:val="0"/>
                  <w:vAlign w:val="center"/>
                </w:tcPr>
                <w:p w14:paraId="6E390BF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隔油池</w:t>
                  </w:r>
                </w:p>
              </w:tc>
              <w:tc>
                <w:tcPr>
                  <w:tcW w:w="794" w:type="dxa"/>
                  <w:noWrap w:val="0"/>
                  <w:vAlign w:val="center"/>
                </w:tcPr>
                <w:p w14:paraId="0B91CBD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14:paraId="499DB20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14:paraId="5086D50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14:paraId="18F2BDB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14:paraId="6443A36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794" w:type="dxa"/>
                  <w:noWrap w:val="0"/>
                  <w:vAlign w:val="center"/>
                </w:tcPr>
                <w:p w14:paraId="64A5A0C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845" w:type="dxa"/>
                  <w:gridSpan w:val="2"/>
                  <w:noWrap w:val="0"/>
                  <w:vAlign w:val="center"/>
                </w:tcPr>
                <w:p w14:paraId="1277389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80</w:t>
                  </w:r>
                </w:p>
              </w:tc>
            </w:tr>
            <w:tr w14:paraId="62E0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30" w:type="dxa"/>
                  <w:vMerge w:val="continue"/>
                  <w:noWrap w:val="0"/>
                  <w:vAlign w:val="center"/>
                </w:tcPr>
                <w:p w14:paraId="33F49DDC">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rPr>
                  </w:pPr>
                </w:p>
              </w:tc>
              <w:tc>
                <w:tcPr>
                  <w:tcW w:w="694" w:type="dxa"/>
                  <w:vMerge w:val="continue"/>
                  <w:noWrap w:val="0"/>
                  <w:vAlign w:val="center"/>
                </w:tcPr>
                <w:p w14:paraId="02662B8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469" w:type="dxa"/>
                  <w:noWrap w:val="0"/>
                  <w:vAlign w:val="center"/>
                </w:tcPr>
                <w:p w14:paraId="4EE3753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化粪池</w:t>
                  </w:r>
                </w:p>
              </w:tc>
              <w:tc>
                <w:tcPr>
                  <w:tcW w:w="794" w:type="dxa"/>
                  <w:noWrap w:val="0"/>
                  <w:vAlign w:val="center"/>
                </w:tcPr>
                <w:p w14:paraId="41A08C8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794" w:type="dxa"/>
                  <w:noWrap w:val="0"/>
                  <w:vAlign w:val="center"/>
                </w:tcPr>
                <w:p w14:paraId="7D01432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w:t>
                  </w:r>
                </w:p>
              </w:tc>
              <w:tc>
                <w:tcPr>
                  <w:tcW w:w="794" w:type="dxa"/>
                  <w:noWrap w:val="0"/>
                  <w:vAlign w:val="center"/>
                </w:tcPr>
                <w:p w14:paraId="2AB5BBE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30</w:t>
                  </w:r>
                </w:p>
              </w:tc>
              <w:tc>
                <w:tcPr>
                  <w:tcW w:w="794" w:type="dxa"/>
                  <w:noWrap w:val="0"/>
                  <w:vAlign w:val="center"/>
                </w:tcPr>
                <w:p w14:paraId="216C3DBD">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794" w:type="dxa"/>
                  <w:noWrap w:val="0"/>
                  <w:vAlign w:val="center"/>
                </w:tcPr>
                <w:p w14:paraId="4A19F5E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794" w:type="dxa"/>
                  <w:noWrap w:val="0"/>
                  <w:vAlign w:val="center"/>
                </w:tcPr>
                <w:p w14:paraId="377A7B12">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845" w:type="dxa"/>
                  <w:gridSpan w:val="2"/>
                  <w:noWrap w:val="0"/>
                  <w:vAlign w:val="center"/>
                </w:tcPr>
                <w:p w14:paraId="3FFE3A9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r>
            <w:tr w14:paraId="2459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30" w:type="dxa"/>
                  <w:vMerge w:val="continue"/>
                  <w:noWrap w:val="0"/>
                  <w:vAlign w:val="center"/>
                </w:tcPr>
                <w:p w14:paraId="684ED888">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694" w:type="dxa"/>
                  <w:vMerge w:val="continue"/>
                  <w:noWrap w:val="0"/>
                  <w:vAlign w:val="center"/>
                </w:tcPr>
                <w:p w14:paraId="016C2A3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469" w:type="dxa"/>
                  <w:noWrap w:val="0"/>
                  <w:vAlign w:val="center"/>
                </w:tcPr>
                <w:p w14:paraId="49B317C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污水处理设施</w:t>
                  </w:r>
                </w:p>
              </w:tc>
              <w:tc>
                <w:tcPr>
                  <w:tcW w:w="794" w:type="dxa"/>
                  <w:noWrap w:val="0"/>
                  <w:vAlign w:val="center"/>
                </w:tcPr>
                <w:p w14:paraId="63DD3E2F">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96</w:t>
                  </w:r>
                </w:p>
              </w:tc>
              <w:tc>
                <w:tcPr>
                  <w:tcW w:w="794" w:type="dxa"/>
                  <w:noWrap w:val="0"/>
                  <w:vAlign w:val="center"/>
                </w:tcPr>
                <w:p w14:paraId="68BBE489">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96</w:t>
                  </w:r>
                </w:p>
              </w:tc>
              <w:tc>
                <w:tcPr>
                  <w:tcW w:w="794" w:type="dxa"/>
                  <w:noWrap w:val="0"/>
                  <w:vAlign w:val="center"/>
                </w:tcPr>
                <w:p w14:paraId="13D056CE">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94" w:type="dxa"/>
                  <w:noWrap w:val="0"/>
                  <w:vAlign w:val="center"/>
                </w:tcPr>
                <w:p w14:paraId="6DD157E7">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color w:val="auto"/>
                      <w:kern w:val="0"/>
                      <w:sz w:val="21"/>
                      <w:szCs w:val="21"/>
                      <w:highlight w:val="none"/>
                      <w:u w:val="none"/>
                      <w:lang w:val="en-US" w:eastAsia="zh-CN" w:bidi="ar"/>
                    </w:rPr>
                    <w:t>90</w:t>
                  </w:r>
                </w:p>
              </w:tc>
              <w:tc>
                <w:tcPr>
                  <w:tcW w:w="794" w:type="dxa"/>
                  <w:noWrap w:val="0"/>
                  <w:vAlign w:val="center"/>
                </w:tcPr>
                <w:p w14:paraId="505E5A2F">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85</w:t>
                  </w:r>
                </w:p>
              </w:tc>
              <w:tc>
                <w:tcPr>
                  <w:tcW w:w="794" w:type="dxa"/>
                  <w:noWrap w:val="0"/>
                  <w:vAlign w:val="center"/>
                </w:tcPr>
                <w:p w14:paraId="0D2A459B">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80</w:t>
                  </w:r>
                </w:p>
              </w:tc>
              <w:tc>
                <w:tcPr>
                  <w:tcW w:w="845" w:type="dxa"/>
                  <w:gridSpan w:val="2"/>
                  <w:noWrap w:val="0"/>
                  <w:vAlign w:val="center"/>
                </w:tcPr>
                <w:p w14:paraId="207D8584">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eastAsia" w:cs="Times New Roman"/>
                      <w:i w:val="0"/>
                      <w:color w:val="auto"/>
                      <w:kern w:val="0"/>
                      <w:sz w:val="21"/>
                      <w:szCs w:val="21"/>
                      <w:highlight w:val="none"/>
                      <w:u w:val="none"/>
                      <w:lang w:val="en-US" w:eastAsia="zh-CN" w:bidi="ar"/>
                    </w:rPr>
                    <w:t>80</w:t>
                  </w:r>
                </w:p>
              </w:tc>
            </w:tr>
            <w:tr w14:paraId="7353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14:paraId="69A9163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14:paraId="25CBB75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5609" w:type="dxa"/>
                  <w:gridSpan w:val="8"/>
                  <w:noWrap w:val="0"/>
                  <w:vAlign w:val="center"/>
                </w:tcPr>
                <w:p w14:paraId="73EFD94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14:paraId="6AFB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032DDCBB">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794" w:type="dxa"/>
                  <w:noWrap w:val="0"/>
                  <w:vAlign w:val="center"/>
                </w:tcPr>
                <w:p w14:paraId="3A3E0934">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0.1471 </w:t>
                  </w:r>
                </w:p>
              </w:tc>
              <w:tc>
                <w:tcPr>
                  <w:tcW w:w="794" w:type="dxa"/>
                  <w:noWrap w:val="0"/>
                  <w:vAlign w:val="center"/>
                </w:tcPr>
                <w:p w14:paraId="33E3BE20">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0.0899 </w:t>
                  </w:r>
                </w:p>
              </w:tc>
              <w:tc>
                <w:tcPr>
                  <w:tcW w:w="794" w:type="dxa"/>
                  <w:noWrap w:val="0"/>
                  <w:vAlign w:val="center"/>
                </w:tcPr>
                <w:p w14:paraId="4F30E8A6">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0.1851 </w:t>
                  </w:r>
                </w:p>
              </w:tc>
              <w:tc>
                <w:tcPr>
                  <w:tcW w:w="794" w:type="dxa"/>
                  <w:noWrap w:val="0"/>
                  <w:vAlign w:val="center"/>
                </w:tcPr>
                <w:p w14:paraId="239A2F98">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0.0147 </w:t>
                  </w:r>
                </w:p>
              </w:tc>
              <w:tc>
                <w:tcPr>
                  <w:tcW w:w="794" w:type="dxa"/>
                  <w:noWrap w:val="0"/>
                  <w:vAlign w:val="center"/>
                </w:tcPr>
                <w:p w14:paraId="33B85AA3">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0.0357 </w:t>
                  </w:r>
                </w:p>
              </w:tc>
              <w:tc>
                <w:tcPr>
                  <w:tcW w:w="794" w:type="dxa"/>
                  <w:noWrap w:val="0"/>
                  <w:vAlign w:val="center"/>
                </w:tcPr>
                <w:p w14:paraId="438DD6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0.1470 </w:t>
                  </w:r>
                </w:p>
              </w:tc>
              <w:tc>
                <w:tcPr>
                  <w:tcW w:w="845" w:type="dxa"/>
                  <w:gridSpan w:val="2"/>
                  <w:noWrap w:val="0"/>
                  <w:vAlign w:val="center"/>
                </w:tcPr>
                <w:p w14:paraId="500E31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0.0195 </w:t>
                  </w:r>
                </w:p>
              </w:tc>
            </w:tr>
            <w:tr w14:paraId="08C2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47CD1DC3">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794" w:type="dxa"/>
                  <w:noWrap w:val="0"/>
                  <w:vAlign w:val="center"/>
                </w:tcPr>
                <w:p w14:paraId="2FA2633A">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26.38 </w:t>
                  </w:r>
                </w:p>
              </w:tc>
              <w:tc>
                <w:tcPr>
                  <w:tcW w:w="794" w:type="dxa"/>
                  <w:noWrap w:val="0"/>
                  <w:vAlign w:val="center"/>
                </w:tcPr>
                <w:p w14:paraId="6F193738">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16.12 </w:t>
                  </w:r>
                </w:p>
              </w:tc>
              <w:tc>
                <w:tcPr>
                  <w:tcW w:w="794" w:type="dxa"/>
                  <w:noWrap w:val="0"/>
                  <w:vAlign w:val="center"/>
                </w:tcPr>
                <w:p w14:paraId="6B4AD17A">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33.19 </w:t>
                  </w:r>
                </w:p>
              </w:tc>
              <w:tc>
                <w:tcPr>
                  <w:tcW w:w="794" w:type="dxa"/>
                  <w:noWrap w:val="0"/>
                  <w:vAlign w:val="center"/>
                </w:tcPr>
                <w:p w14:paraId="7C58C6BE">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2.63 </w:t>
                  </w:r>
                </w:p>
              </w:tc>
              <w:tc>
                <w:tcPr>
                  <w:tcW w:w="794" w:type="dxa"/>
                  <w:noWrap w:val="0"/>
                  <w:vAlign w:val="center"/>
                </w:tcPr>
                <w:p w14:paraId="681CE38A">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6.41 </w:t>
                  </w:r>
                </w:p>
              </w:tc>
              <w:tc>
                <w:tcPr>
                  <w:tcW w:w="794" w:type="dxa"/>
                  <w:noWrap w:val="0"/>
                  <w:vAlign w:val="center"/>
                </w:tcPr>
                <w:p w14:paraId="1C3E23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26.36 </w:t>
                  </w:r>
                </w:p>
              </w:tc>
              <w:tc>
                <w:tcPr>
                  <w:tcW w:w="845" w:type="dxa"/>
                  <w:gridSpan w:val="2"/>
                  <w:noWrap w:val="0"/>
                  <w:vAlign w:val="center"/>
                </w:tcPr>
                <w:p w14:paraId="4C086A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3.50 </w:t>
                  </w:r>
                </w:p>
              </w:tc>
            </w:tr>
            <w:tr w14:paraId="6045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2EE54D7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5609" w:type="dxa"/>
                  <w:gridSpan w:val="8"/>
                  <w:noWrap w:val="0"/>
                  <w:vAlign w:val="center"/>
                </w:tcPr>
                <w:p w14:paraId="5E183BFF">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间接排放</w:t>
                  </w:r>
                </w:p>
              </w:tc>
            </w:tr>
            <w:tr w14:paraId="1436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57CFE6A1">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5609" w:type="dxa"/>
                  <w:gridSpan w:val="8"/>
                  <w:noWrap w:val="0"/>
                  <w:vAlign w:val="center"/>
                </w:tcPr>
                <w:p w14:paraId="164FAC8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间歇</w:t>
                  </w:r>
                </w:p>
              </w:tc>
            </w:tr>
            <w:tr w14:paraId="3827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restart"/>
                  <w:noWrap w:val="0"/>
                  <w:vAlign w:val="center"/>
                </w:tcPr>
                <w:p w14:paraId="08C68D3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2163" w:type="dxa"/>
                  <w:gridSpan w:val="2"/>
                  <w:noWrap w:val="0"/>
                  <w:vAlign w:val="center"/>
                </w:tcPr>
                <w:p w14:paraId="16A1BDF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5609" w:type="dxa"/>
                  <w:gridSpan w:val="8"/>
                  <w:noWrap w:val="0"/>
                  <w:vAlign w:val="center"/>
                </w:tcPr>
                <w:p w14:paraId="73D19328">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r>
            <w:tr w14:paraId="35A2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14:paraId="1E94F6B7">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14:paraId="2296638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5609" w:type="dxa"/>
                  <w:gridSpan w:val="8"/>
                  <w:noWrap w:val="0"/>
                  <w:vAlign w:val="center"/>
                </w:tcPr>
                <w:p w14:paraId="3A4819F6">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综合废水（生活污水、生产废水）</w:t>
                  </w:r>
                </w:p>
              </w:tc>
            </w:tr>
            <w:tr w14:paraId="2F0A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14:paraId="7278B5BE">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14:paraId="63E7678C">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5609" w:type="dxa"/>
                  <w:gridSpan w:val="8"/>
                  <w:noWrap w:val="0"/>
                  <w:vAlign w:val="center"/>
                </w:tcPr>
                <w:p w14:paraId="4024FA2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103°</w:t>
                  </w:r>
                  <w:r>
                    <w:rPr>
                      <w:rFonts w:hint="eastAsia" w:cs="Times New Roman"/>
                      <w:b w:val="0"/>
                      <w:bCs/>
                      <w:color w:val="auto"/>
                      <w:spacing w:val="-10"/>
                      <w:sz w:val="21"/>
                      <w:szCs w:val="21"/>
                      <w:highlight w:val="none"/>
                      <w:vertAlign w:val="baseline"/>
                      <w:lang w:val="en-US" w:eastAsia="zh-CN"/>
                    </w:rPr>
                    <w:t>0</w:t>
                  </w:r>
                  <w:r>
                    <w:rPr>
                      <w:rFonts w:hint="default" w:ascii="Times New Roman" w:hAnsi="Times New Roman" w:eastAsia="宋体" w:cs="Times New Roman"/>
                      <w:b w:val="0"/>
                      <w:bCs/>
                      <w:color w:val="auto"/>
                      <w:spacing w:val="-10"/>
                      <w:sz w:val="21"/>
                      <w:szCs w:val="21"/>
                      <w:highlight w:val="none"/>
                      <w:vertAlign w:val="baseline"/>
                      <w:lang w:val="en-US" w:eastAsia="zh-CN"/>
                    </w:rPr>
                    <w:t>7′</w:t>
                  </w:r>
                  <w:r>
                    <w:rPr>
                      <w:rFonts w:hint="eastAsia" w:cs="Times New Roman"/>
                      <w:b w:val="0"/>
                      <w:bCs/>
                      <w:color w:val="auto"/>
                      <w:spacing w:val="-10"/>
                      <w:sz w:val="21"/>
                      <w:szCs w:val="21"/>
                      <w:highlight w:val="none"/>
                      <w:vertAlign w:val="baseline"/>
                      <w:lang w:val="en-US" w:eastAsia="zh-CN"/>
                    </w:rPr>
                    <w:t>46.997</w:t>
                  </w:r>
                  <w:r>
                    <w:rPr>
                      <w:rFonts w:hint="default" w:ascii="Times New Roman" w:hAnsi="Times New Roman" w:eastAsia="宋体" w:cs="Times New Roman"/>
                      <w:b w:val="0"/>
                      <w:bCs/>
                      <w:color w:val="auto"/>
                      <w:spacing w:val="-10"/>
                      <w:sz w:val="21"/>
                      <w:szCs w:val="21"/>
                      <w:highlight w:val="none"/>
                      <w:vertAlign w:val="baseline"/>
                      <w:lang w:val="en-US" w:eastAsia="zh-CN"/>
                    </w:rPr>
                    <w:t>″，25°26′</w:t>
                  </w:r>
                  <w:r>
                    <w:rPr>
                      <w:rFonts w:hint="eastAsia" w:cs="Times New Roman"/>
                      <w:b w:val="0"/>
                      <w:bCs/>
                      <w:color w:val="auto"/>
                      <w:spacing w:val="-10"/>
                      <w:sz w:val="21"/>
                      <w:szCs w:val="21"/>
                      <w:highlight w:val="none"/>
                      <w:vertAlign w:val="baseline"/>
                      <w:lang w:val="en-US" w:eastAsia="zh-CN"/>
                    </w:rPr>
                    <w:t>5.433</w:t>
                  </w: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14:paraId="3278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93" w:type="dxa"/>
                  <w:gridSpan w:val="3"/>
                  <w:noWrap w:val="0"/>
                  <w:vAlign w:val="center"/>
                </w:tcPr>
                <w:p w14:paraId="5D4CB24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5609" w:type="dxa"/>
                  <w:gridSpan w:val="8"/>
                  <w:noWrap w:val="0"/>
                  <w:vAlign w:val="center"/>
                </w:tcPr>
                <w:p w14:paraId="63B3372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p>
              </w:tc>
            </w:tr>
            <w:tr w14:paraId="2A90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restart"/>
                  <w:noWrap w:val="0"/>
                  <w:vAlign w:val="center"/>
                </w:tcPr>
                <w:p w14:paraId="28E87A50">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2163" w:type="dxa"/>
                  <w:gridSpan w:val="2"/>
                  <w:noWrap w:val="0"/>
                  <w:vAlign w:val="center"/>
                </w:tcPr>
                <w:p w14:paraId="56B06A2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5609" w:type="dxa"/>
                  <w:gridSpan w:val="8"/>
                  <w:noWrap w:val="0"/>
                  <w:vAlign w:val="center"/>
                </w:tcPr>
                <w:p w14:paraId="428EF25B">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污水处理设施出口</w:t>
                  </w:r>
                </w:p>
              </w:tc>
            </w:tr>
            <w:tr w14:paraId="412A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14:paraId="1A6BBDD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14:paraId="644B86B9">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5609" w:type="dxa"/>
                  <w:gridSpan w:val="8"/>
                  <w:noWrap w:val="0"/>
                  <w:vAlign w:val="center"/>
                </w:tcPr>
                <w:p w14:paraId="3E3870F3">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流量、PH、COD、BOD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、SS、氨氮、总磷、总氮、动植物油</w:t>
                  </w:r>
                </w:p>
              </w:tc>
            </w:tr>
            <w:tr w14:paraId="4AFE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dxa"/>
                  <w:vMerge w:val="continue"/>
                  <w:noWrap w:val="0"/>
                  <w:vAlign w:val="center"/>
                </w:tcPr>
                <w:p w14:paraId="53CA2244">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2163" w:type="dxa"/>
                  <w:gridSpan w:val="2"/>
                  <w:noWrap w:val="0"/>
                  <w:vAlign w:val="center"/>
                </w:tcPr>
                <w:p w14:paraId="306E790A">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5609" w:type="dxa"/>
                  <w:gridSpan w:val="8"/>
                  <w:noWrap w:val="0"/>
                  <w:vAlign w:val="center"/>
                </w:tcPr>
                <w:p w14:paraId="5B0FBFC5">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1次/半年</w:t>
                  </w:r>
                </w:p>
              </w:tc>
            </w:tr>
          </w:tbl>
          <w:p w14:paraId="468AB8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highlight w:val="none"/>
                <w:lang w:val="en-US" w:eastAsia="zh-CN"/>
              </w:rPr>
              <w:t>本项目实施雨污分流的排水体制，雨水经厂区雨水管收集后排入市政雨水管网；食堂含油废水</w:t>
            </w:r>
            <w:r>
              <w:rPr>
                <w:rFonts w:hint="eastAsia" w:cs="Times New Roman"/>
                <w:b w:val="0"/>
                <w:bCs w:val="0"/>
                <w:color w:val="auto"/>
                <w:sz w:val="24"/>
                <w:szCs w:val="24"/>
                <w:highlight w:val="none"/>
                <w:lang w:val="en-US" w:eastAsia="zh-CN"/>
              </w:rPr>
              <w:t>、</w:t>
            </w:r>
            <w:r>
              <w:rPr>
                <w:rFonts w:hint="eastAsia"/>
                <w:color w:val="auto"/>
                <w:sz w:val="24"/>
              </w:rPr>
              <w:t>脱胶脱磷废水</w:t>
            </w:r>
            <w:r>
              <w:rPr>
                <w:rFonts w:hint="eastAsia"/>
                <w:color w:val="auto"/>
                <w:sz w:val="24"/>
                <w:lang w:eastAsia="zh-CN"/>
              </w:rPr>
              <w:t>、牛肉腌制废水、</w:t>
            </w:r>
            <w:r>
              <w:rPr>
                <w:rFonts w:hint="eastAsia" w:ascii="Times New Roman" w:hAnsi="Times New Roman" w:eastAsia="宋体" w:cs="Times New Roman"/>
                <w:color w:val="auto"/>
                <w:sz w:val="24"/>
                <w:lang w:val="en-US" w:eastAsia="zh-CN"/>
              </w:rPr>
              <w:t>车间地面清洗</w:t>
            </w:r>
            <w:r>
              <w:rPr>
                <w:rFonts w:hint="default" w:ascii="Times New Roman" w:hAnsi="Times New Roman" w:eastAsia="宋体" w:cs="Times New Roman"/>
                <w:color w:val="auto"/>
                <w:sz w:val="24"/>
                <w:lang w:val="en-US" w:eastAsia="zh-CN"/>
              </w:rPr>
              <w:t>废水</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设备清洗废水</w:t>
            </w:r>
            <w:r>
              <w:rPr>
                <w:rFonts w:hint="default" w:ascii="Times New Roman" w:hAnsi="Times New Roman" w:eastAsia="宋体" w:cs="Times New Roman"/>
                <w:b w:val="0"/>
                <w:bCs w:val="0"/>
                <w:color w:val="auto"/>
                <w:sz w:val="24"/>
                <w:szCs w:val="24"/>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标准后经市政污水管网排入寻甸产业园区羊街片区污水处理厂进行处理。</w:t>
            </w:r>
          </w:p>
          <w:p w14:paraId="4BFABA96">
            <w:pPr>
              <w:keepNext w:val="0"/>
              <w:keepLines w:val="0"/>
              <w:pageBreakBefore w:val="0"/>
              <w:widowControl w:val="0"/>
              <w:kinsoku/>
              <w:wordWrap/>
              <w:overflowPunct/>
              <w:topLinePunct w:val="0"/>
              <w:autoSpaceDE/>
              <w:autoSpaceDN/>
              <w:bidi w:val="0"/>
              <w:adjustRightInd/>
              <w:spacing w:line="360"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14:paraId="3112139B">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1"/>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①综合生活污水</w:t>
            </w:r>
          </w:p>
          <w:p w14:paraId="5D2B0060">
            <w:pPr>
              <w:keepNext w:val="0"/>
              <w:keepLines w:val="0"/>
              <w:pageBreakBefore w:val="0"/>
              <w:widowControl w:val="0"/>
              <w:kinsoku/>
              <w:wordWrap/>
              <w:overflowPunct/>
              <w:topLinePunct w:val="0"/>
              <w:autoSpaceDE/>
              <w:autoSpaceDN/>
              <w:bidi w:val="0"/>
              <w:spacing w:line="360" w:lineRule="auto"/>
              <w:ind w:firstLine="524" w:firstLineChars="200"/>
              <w:textAlignment w:val="auto"/>
              <w:outlineLvl w:val="1"/>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pacing w:val="11"/>
                <w:sz w:val="24"/>
                <w:szCs w:val="24"/>
                <w:highlight w:val="none"/>
                <w:lang w:val="en-US" w:eastAsia="zh-CN"/>
              </w:rPr>
              <w:t>根据水平衡可知，本项目生活污水量为</w:t>
            </w:r>
            <w:r>
              <w:rPr>
                <w:rFonts w:hint="eastAsia" w:cs="Times New Roman"/>
                <w:color w:val="auto"/>
                <w:spacing w:val="11"/>
                <w:sz w:val="24"/>
                <w:szCs w:val="24"/>
                <w:highlight w:val="none"/>
                <w:lang w:val="en-US" w:eastAsia="zh-CN"/>
              </w:rPr>
              <w:t>1.6</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eastAsia" w:cs="Times New Roman"/>
                <w:color w:val="auto"/>
                <w:spacing w:val="11"/>
                <w:sz w:val="24"/>
                <w:szCs w:val="24"/>
                <w:highlight w:val="none"/>
                <w:lang w:val="en-US" w:eastAsia="zh-CN"/>
              </w:rPr>
              <w:t>384</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highlight w:val="none"/>
              </w:rPr>
              <w:t>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w:t>
            </w:r>
            <w:r>
              <w:rPr>
                <w:rFonts w:hint="default" w:ascii="Times New Roman" w:hAnsi="Times New Roman" w:eastAsia="宋体" w:cs="Times New Roman"/>
                <w:color w:val="auto"/>
                <w:kern w:val="0"/>
                <w:sz w:val="24"/>
                <w:szCs w:val="24"/>
                <w:highlight w:val="none"/>
                <w:lang w:val="zh-CN" w:eastAsia="zh-CN" w:bidi="ar-SA"/>
              </w:rPr>
              <w:t>、动植物油</w:t>
            </w:r>
            <w:r>
              <w:rPr>
                <w:rFonts w:hint="default"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zh-CN" w:eastAsia="zh-CN" w:bidi="ar-SA"/>
              </w:rPr>
              <w:t>mg/L</w:t>
            </w:r>
            <w:r>
              <w:rPr>
                <w:rFonts w:hint="default" w:ascii="Times New Roman" w:hAnsi="Times New Roman" w:eastAsia="宋体" w:cs="Times New Roman"/>
                <w:color w:val="auto"/>
                <w:kern w:val="0"/>
                <w:sz w:val="24"/>
                <w:szCs w:val="24"/>
                <w:highlight w:val="none"/>
                <w:lang w:val="zh-CN"/>
              </w:rPr>
              <w:t>；本环评采用水质统计数据中中等浓度值进行生活污水水质进行预测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项目生活废水水质产生情况如下：</w:t>
            </w:r>
            <w:r>
              <w:rPr>
                <w:rFonts w:hint="default" w:ascii="Times New Roman" w:hAnsi="Times New Roman" w:eastAsia="宋体" w:cs="Times New Roman"/>
                <w:color w:val="auto"/>
                <w:sz w:val="24"/>
                <w:szCs w:val="24"/>
                <w:highlight w:val="none"/>
              </w:rPr>
              <w:t>COD为520mg/L、BOD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mg/L、SS为</w:t>
            </w:r>
            <w:r>
              <w:rPr>
                <w:rFonts w:hint="default" w:ascii="Times New Roman" w:hAnsi="Times New Roman" w:eastAsia="宋体"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rPr>
              <w:t>mg/L、氨氮为</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mg/L、</w:t>
            </w:r>
            <w:r>
              <w:rPr>
                <w:rFonts w:hint="eastAsia" w:cs="Times New Roman"/>
                <w:color w:val="auto"/>
                <w:sz w:val="24"/>
                <w:szCs w:val="24"/>
                <w:highlight w:val="none"/>
                <w:lang w:val="en-US" w:eastAsia="zh-CN"/>
              </w:rPr>
              <w:t>总氮</w:t>
            </w:r>
            <w:r>
              <w:rPr>
                <w:rFonts w:hint="default" w:ascii="Times New Roman" w:hAnsi="Times New Roman" w:eastAsia="宋体" w:cs="Times New Roman"/>
                <w:color w:val="auto"/>
                <w:sz w:val="24"/>
                <w:szCs w:val="24"/>
                <w:highlight w:val="none"/>
              </w:rPr>
              <w:t>为</w:t>
            </w:r>
            <w:r>
              <w:rPr>
                <w:rFonts w:hint="eastAsia"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磷为8mg/L</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动植物油为</w:t>
            </w:r>
            <w:r>
              <w:rPr>
                <w:rFonts w:hint="default"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mg/L</w:t>
            </w:r>
            <w:r>
              <w:rPr>
                <w:rFonts w:hint="default" w:ascii="Times New Roman" w:hAnsi="Times New Roman" w:eastAsia="宋体" w:cs="Times New Roman"/>
                <w:color w:val="auto"/>
                <w:sz w:val="24"/>
                <w:szCs w:val="24"/>
                <w:highlight w:val="none"/>
                <w:vertAlign w:val="baseline"/>
                <w:lang w:val="en-US" w:eastAsia="zh-CN"/>
              </w:rPr>
              <w:t>。</w:t>
            </w:r>
          </w:p>
          <w:p w14:paraId="6F6447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②生产废水</w:t>
            </w:r>
          </w:p>
          <w:p w14:paraId="1A625C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包括</w:t>
            </w:r>
            <w:r>
              <w:rPr>
                <w:rFonts w:hint="default" w:ascii="Times New Roman" w:hAnsi="Times New Roman" w:eastAsia="宋体" w:cs="Times New Roman"/>
                <w:color w:val="auto"/>
                <w:sz w:val="24"/>
                <w:szCs w:val="24"/>
                <w:lang w:eastAsia="zh-CN"/>
              </w:rPr>
              <w:t>纯水制备废水、锅炉排污水、</w:t>
            </w:r>
            <w:r>
              <w:rPr>
                <w:rFonts w:hint="eastAsia"/>
                <w:color w:val="auto"/>
                <w:sz w:val="24"/>
              </w:rPr>
              <w:t>脱胶脱磷废水、车间地面清洗废水、设备清洁废水、真空泵机组废水、熔炼冷凝废水</w:t>
            </w:r>
            <w:r>
              <w:rPr>
                <w:rFonts w:hint="eastAsia"/>
                <w:color w:val="auto"/>
                <w:sz w:val="24"/>
                <w:lang w:eastAsia="zh-CN"/>
              </w:rPr>
              <w:t>、腌制废水、冷却废水</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color w:val="auto"/>
                <w:spacing w:val="11"/>
                <w:sz w:val="24"/>
                <w:szCs w:val="24"/>
                <w:highlight w:val="none"/>
                <w:lang w:val="en-US" w:eastAsia="zh-CN"/>
              </w:rPr>
              <w:t>根据水平衡可知，</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纯水制备</w:t>
            </w:r>
            <w:r>
              <w:rPr>
                <w:rFonts w:hint="default" w:ascii="Times New Roman" w:hAnsi="Times New Roman" w:eastAsia="宋体" w:cs="Times New Roman"/>
                <w:color w:val="auto"/>
                <w:sz w:val="24"/>
                <w:szCs w:val="24"/>
                <w:highlight w:val="none"/>
                <w:lang w:val="en-US" w:eastAsia="zh-CN"/>
              </w:rPr>
              <w:t>系统</w:t>
            </w:r>
            <w:r>
              <w:rPr>
                <w:rFonts w:hint="default" w:ascii="Times New Roman" w:hAnsi="Times New Roman" w:eastAsia="宋体"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0505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锅炉排污水</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1349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cs="Times New Roman"/>
                <w:color w:val="auto"/>
                <w:sz w:val="24"/>
                <w:szCs w:val="24"/>
                <w:highlight w:val="none"/>
                <w:lang w:val="en-US" w:eastAsia="zh-CN"/>
              </w:rPr>
              <w:t>1.0792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color w:val="auto"/>
                <w:sz w:val="24"/>
              </w:rPr>
              <w:t>脱胶脱磷废水</w:t>
            </w:r>
            <w:r>
              <w:rPr>
                <w:rFonts w:hint="eastAsia"/>
                <w:color w:val="auto"/>
                <w:sz w:val="24"/>
                <w:lang w:eastAsia="zh-CN"/>
              </w:rPr>
              <w:t>量为</w:t>
            </w:r>
            <w:r>
              <w:rPr>
                <w:rFonts w:hint="eastAsia"/>
                <w:color w:val="auto"/>
                <w:sz w:val="24"/>
              </w:rPr>
              <w:t>0.</w:t>
            </w:r>
            <w:r>
              <w:rPr>
                <w:rFonts w:hint="eastAsia"/>
                <w:color w:val="auto"/>
                <w:sz w:val="24"/>
                <w:lang w:val="en-US" w:eastAsia="zh-CN"/>
              </w:rPr>
              <w:t>3266</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lang w:val="en-US" w:eastAsia="zh-CN"/>
              </w:rPr>
              <w:t>97.9680</w:t>
            </w:r>
            <w:r>
              <w:rPr>
                <w:rFonts w:hint="eastAsia"/>
                <w:color w:val="auto"/>
                <w:sz w:val="24"/>
              </w:rPr>
              <w:t>m</w:t>
            </w:r>
            <w:r>
              <w:rPr>
                <w:rFonts w:hint="eastAsia"/>
                <w:color w:val="auto"/>
                <w:sz w:val="24"/>
                <w:vertAlign w:val="superscript"/>
              </w:rPr>
              <w:t>3</w:t>
            </w:r>
            <w:r>
              <w:rPr>
                <w:rFonts w:hint="eastAsia"/>
                <w:color w:val="auto"/>
                <w:sz w:val="24"/>
              </w:rPr>
              <w:t>/a</w:t>
            </w:r>
            <w:r>
              <w:rPr>
                <w:rFonts w:hint="default" w:ascii="Times New Roman" w:hAnsi="Times New Roman" w:eastAsia="宋体" w:cs="Times New Roman"/>
                <w:color w:val="auto"/>
                <w:sz w:val="24"/>
                <w:szCs w:val="24"/>
                <w:highlight w:val="none"/>
                <w:lang w:val="en-US" w:eastAsia="zh-CN"/>
              </w:rPr>
              <w:t>，</w:t>
            </w:r>
            <w:r>
              <w:rPr>
                <w:rFonts w:hint="eastAsia"/>
                <w:color w:val="auto"/>
                <w:sz w:val="24"/>
              </w:rPr>
              <w:t>车间地面清洗</w:t>
            </w:r>
            <w:r>
              <w:rPr>
                <w:rFonts w:hint="default" w:ascii="Times New Roman" w:hAnsi="Times New Roman" w:eastAsia="宋体" w:cs="Times New Roman"/>
                <w:b w:val="0"/>
                <w:bCs w:val="0"/>
                <w:color w:val="auto"/>
                <w:sz w:val="24"/>
                <w:szCs w:val="24"/>
                <w:lang w:val="en-US" w:eastAsia="zh-CN"/>
              </w:rPr>
              <w:t>废水量为</w:t>
            </w:r>
            <w:r>
              <w:rPr>
                <w:rFonts w:hint="eastAsia"/>
                <w:color w:val="auto"/>
                <w:sz w:val="24"/>
                <w:lang w:val="en-US" w:eastAsia="zh-CN"/>
              </w:rPr>
              <w:t>1.5872</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476.16</w:t>
            </w:r>
            <w:r>
              <w:rPr>
                <w:rFonts w:hint="eastAsia"/>
                <w:color w:val="auto"/>
                <w:sz w:val="24"/>
              </w:rPr>
              <w:t>m</w:t>
            </w:r>
            <w:r>
              <w:rPr>
                <w:rFonts w:hint="eastAsia"/>
                <w:color w:val="auto"/>
                <w:sz w:val="24"/>
                <w:vertAlign w:val="superscript"/>
              </w:rPr>
              <w:t>3</w:t>
            </w:r>
            <w:r>
              <w:rPr>
                <w:rFonts w:hint="eastAsia"/>
                <w:color w:val="auto"/>
                <w:sz w:val="24"/>
              </w:rPr>
              <w:t>/a</w:t>
            </w:r>
            <w:r>
              <w:rPr>
                <w:rFonts w:hint="default" w:ascii="Times New Roman" w:hAnsi="Times New Roman" w:eastAsia="宋体" w:cs="Times New Roman"/>
                <w:color w:val="auto"/>
                <w:sz w:val="24"/>
                <w:szCs w:val="24"/>
                <w:highlight w:val="none"/>
                <w:lang w:val="en-US" w:eastAsia="zh-CN" w:bidi="en-US"/>
              </w:rPr>
              <w:t>，</w:t>
            </w:r>
            <w:r>
              <w:rPr>
                <w:rFonts w:hint="eastAsia"/>
                <w:color w:val="auto"/>
                <w:sz w:val="24"/>
              </w:rPr>
              <w:t>设备清洁废水</w:t>
            </w:r>
            <w:r>
              <w:rPr>
                <w:rFonts w:hint="eastAsia"/>
                <w:color w:val="auto"/>
                <w:sz w:val="24"/>
                <w:lang w:eastAsia="zh-CN"/>
              </w:rPr>
              <w:t>量</w:t>
            </w:r>
            <w:r>
              <w:rPr>
                <w:rFonts w:hint="eastAsia"/>
                <w:color w:val="auto"/>
                <w:sz w:val="24"/>
                <w:lang w:val="en-US" w:eastAsia="zh-CN"/>
              </w:rPr>
              <w:t>1.8</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lang w:val="en-US" w:eastAsia="zh-CN"/>
              </w:rPr>
              <w:t>540</w:t>
            </w:r>
            <w:r>
              <w:rPr>
                <w:rFonts w:hint="eastAsia"/>
                <w:color w:val="auto"/>
                <w:sz w:val="24"/>
              </w:rPr>
              <w:t>m</w:t>
            </w:r>
            <w:r>
              <w:rPr>
                <w:rFonts w:hint="eastAsia"/>
                <w:color w:val="auto"/>
                <w:sz w:val="24"/>
                <w:vertAlign w:val="superscript"/>
              </w:rPr>
              <w:t>3</w:t>
            </w:r>
            <w:r>
              <w:rPr>
                <w:rFonts w:hint="eastAsia"/>
                <w:color w:val="auto"/>
                <w:sz w:val="24"/>
              </w:rPr>
              <w:t>/a</w:t>
            </w:r>
            <w:r>
              <w:rPr>
                <w:rFonts w:hint="default" w:ascii="Times New Roman" w:hAnsi="Times New Roman" w:eastAsia="宋体" w:cs="Times New Roman"/>
                <w:color w:val="auto"/>
                <w:sz w:val="24"/>
                <w:szCs w:val="24"/>
                <w:highlight w:val="none"/>
                <w:lang w:val="en-US" w:eastAsia="zh-CN" w:bidi="en-US"/>
              </w:rPr>
              <w:t>，</w:t>
            </w:r>
            <w:r>
              <w:rPr>
                <w:rFonts w:hint="eastAsia"/>
                <w:color w:val="auto"/>
                <w:sz w:val="24"/>
              </w:rPr>
              <w:t>真空泵机组</w:t>
            </w:r>
            <w:r>
              <w:rPr>
                <w:rFonts w:hint="default" w:ascii="Times New Roman" w:hAnsi="Times New Roman" w:eastAsia="宋体" w:cs="Times New Roman"/>
                <w:color w:val="auto"/>
                <w:sz w:val="24"/>
                <w:szCs w:val="24"/>
                <w:highlight w:val="none"/>
                <w:lang w:val="en-US" w:eastAsia="zh-CN" w:bidi="en-US"/>
              </w:rPr>
              <w:t>废水量为</w:t>
            </w:r>
            <w:r>
              <w:rPr>
                <w:rFonts w:hint="eastAsia"/>
                <w:bCs/>
                <w:color w:val="auto"/>
                <w:sz w:val="24"/>
              </w:rPr>
              <w:t>0.2m</w:t>
            </w:r>
            <w:r>
              <w:rPr>
                <w:rFonts w:hint="eastAsia"/>
                <w:bCs/>
                <w:color w:val="auto"/>
                <w:sz w:val="24"/>
                <w:vertAlign w:val="superscript"/>
              </w:rPr>
              <w:t>3</w:t>
            </w:r>
            <w:r>
              <w:rPr>
                <w:rFonts w:hint="eastAsia"/>
                <w:bCs/>
                <w:color w:val="auto"/>
                <w:sz w:val="24"/>
              </w:rPr>
              <w:t>/d</w:t>
            </w:r>
            <w:r>
              <w:rPr>
                <w:rFonts w:hint="eastAsia"/>
                <w:bCs/>
                <w:color w:val="auto"/>
                <w:sz w:val="24"/>
                <w:lang w:eastAsia="zh-CN"/>
              </w:rPr>
              <w:t>、</w:t>
            </w:r>
            <w:r>
              <w:rPr>
                <w:rFonts w:hint="eastAsia"/>
                <w:bCs/>
                <w:color w:val="auto"/>
                <w:sz w:val="24"/>
                <w:lang w:val="en-US" w:eastAsia="zh-CN"/>
              </w:rPr>
              <w:t>60</w:t>
            </w:r>
            <w:r>
              <w:rPr>
                <w:color w:val="auto"/>
                <w:sz w:val="24"/>
              </w:rPr>
              <w:t>m</w:t>
            </w:r>
            <w:r>
              <w:rPr>
                <w:color w:val="auto"/>
                <w:sz w:val="24"/>
                <w:vertAlign w:val="superscript"/>
              </w:rPr>
              <w:t>3</w:t>
            </w:r>
            <w:r>
              <w:rPr>
                <w:color w:val="auto"/>
                <w:sz w:val="24"/>
              </w:rPr>
              <w:t>/a</w:t>
            </w:r>
            <w:r>
              <w:rPr>
                <w:rFonts w:hint="default" w:ascii="Times New Roman" w:hAnsi="Times New Roman" w:eastAsia="宋体" w:cs="Times New Roman"/>
                <w:color w:val="auto"/>
                <w:sz w:val="24"/>
                <w:szCs w:val="24"/>
                <w:highlight w:val="none"/>
                <w:lang w:eastAsia="zh-CN"/>
              </w:rPr>
              <w:t>，</w:t>
            </w:r>
            <w:r>
              <w:rPr>
                <w:rFonts w:hint="eastAsia"/>
                <w:color w:val="auto"/>
                <w:sz w:val="24"/>
              </w:rPr>
              <w:t>熔炼冷凝废水</w:t>
            </w:r>
            <w:r>
              <w:rPr>
                <w:rFonts w:hint="eastAsia"/>
                <w:color w:val="auto"/>
                <w:sz w:val="24"/>
                <w:lang w:eastAsia="zh-CN"/>
              </w:rPr>
              <w:t>量为</w:t>
            </w:r>
            <w:r>
              <w:rPr>
                <w:rFonts w:hint="eastAsia"/>
                <w:color w:val="auto"/>
                <w:sz w:val="24"/>
                <w:lang w:val="en-US" w:eastAsia="zh-CN"/>
              </w:rPr>
              <w:t>8.929m</w:t>
            </w:r>
            <w:r>
              <w:rPr>
                <w:rFonts w:hint="eastAsia"/>
                <w:color w:val="auto"/>
                <w:sz w:val="24"/>
                <w:vertAlign w:val="superscript"/>
                <w:lang w:val="en-US" w:eastAsia="zh-CN"/>
              </w:rPr>
              <w:t>3</w:t>
            </w:r>
            <w:r>
              <w:rPr>
                <w:rFonts w:hint="eastAsia"/>
                <w:color w:val="auto"/>
                <w:sz w:val="24"/>
                <w:lang w:val="en-US" w:eastAsia="zh-CN"/>
              </w:rPr>
              <w:t>/d、2678.7311</w:t>
            </w:r>
            <w:r>
              <w:rPr>
                <w:rFonts w:hint="eastAsia"/>
                <w:color w:val="auto"/>
                <w:sz w:val="24"/>
              </w:rPr>
              <w:t>t/a</w:t>
            </w:r>
            <w:r>
              <w:rPr>
                <w:rFonts w:hint="eastAsia"/>
                <w:color w:val="auto"/>
                <w:sz w:val="24"/>
                <w:lang w:eastAsia="zh-CN"/>
              </w:rPr>
              <w:t>，腌制废水量为</w:t>
            </w:r>
            <w:r>
              <w:rPr>
                <w:rFonts w:hint="eastAsia" w:eastAsia="宋体" w:cs="Times New Roman"/>
                <w:color w:val="auto"/>
                <w:sz w:val="24"/>
                <w:szCs w:val="24"/>
                <w:highlight w:val="none"/>
                <w:lang w:val="en-US" w:eastAsia="zh-CN" w:bidi="en-US"/>
              </w:rPr>
              <w:t>2.64</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szCs w:val="24"/>
                <w:highlight w:val="none"/>
                <w:lang w:val="en-US" w:eastAsia="zh-CN" w:bidi="en-US"/>
              </w:rPr>
              <w:t>d</w:t>
            </w:r>
            <w:r>
              <w:rPr>
                <w:rFonts w:hint="eastAsia" w:ascii="Times New Roman" w:hAnsi="Times New Roman" w:eastAsia="宋体" w:cs="Times New Roman"/>
                <w:color w:val="auto"/>
                <w:sz w:val="24"/>
                <w:szCs w:val="24"/>
                <w:highlight w:val="none"/>
                <w:lang w:val="en-US" w:eastAsia="zh-CN" w:bidi="en-US"/>
              </w:rPr>
              <w:t>、</w:t>
            </w:r>
            <w:r>
              <w:rPr>
                <w:rFonts w:hint="eastAsia" w:eastAsia="宋体" w:cs="Times New Roman"/>
                <w:color w:val="auto"/>
                <w:sz w:val="24"/>
                <w:szCs w:val="24"/>
                <w:highlight w:val="none"/>
                <w:lang w:val="en-US" w:eastAsia="zh-CN" w:bidi="en-US"/>
              </w:rPr>
              <w:t>792</w:t>
            </w:r>
            <w:r>
              <w:rPr>
                <w:rFonts w:hint="default" w:ascii="Times New Roman" w:hAnsi="Times New Roman" w:eastAsia="宋体" w:cs="Times New Roman"/>
                <w:color w:val="auto"/>
                <w:sz w:val="24"/>
                <w:szCs w:val="24"/>
                <w:highlight w:val="none"/>
                <w:lang w:val="en-US" w:eastAsia="zh-CN" w:bidi="en-US"/>
              </w:rPr>
              <w:t>m</w:t>
            </w:r>
            <w:r>
              <w:rPr>
                <w:rFonts w:hint="default" w:ascii="Times New Roman" w:hAnsi="Times New Roman" w:eastAsia="宋体" w:cs="Times New Roman"/>
                <w:color w:val="auto"/>
                <w:sz w:val="24"/>
                <w:szCs w:val="24"/>
                <w:highlight w:val="none"/>
                <w:vertAlign w:val="superscript"/>
                <w:lang w:val="en-US" w:eastAsia="zh-CN" w:bidi="en-US"/>
              </w:rPr>
              <w:t>3</w:t>
            </w:r>
            <w:r>
              <w:rPr>
                <w:rFonts w:hint="default" w:ascii="Times New Roman" w:hAnsi="Times New Roman" w:eastAsia="宋体" w:cs="Times New Roman"/>
                <w:color w:val="auto"/>
                <w:sz w:val="24"/>
                <w:szCs w:val="24"/>
                <w:highlight w:val="none"/>
                <w:lang w:val="zh-CN" w:bidi="en-US"/>
              </w:rPr>
              <w:t>/a</w:t>
            </w:r>
            <w:r>
              <w:rPr>
                <w:rFonts w:hint="eastAsia" w:ascii="Times New Roman" w:hAnsi="Times New Roman" w:eastAsia="宋体" w:cs="Times New Roman"/>
                <w:color w:val="auto"/>
                <w:sz w:val="24"/>
                <w:szCs w:val="24"/>
                <w:highlight w:val="none"/>
                <w:lang w:val="zh-CN" w:bidi="en-US"/>
              </w:rPr>
              <w:t>，</w:t>
            </w:r>
            <w:r>
              <w:rPr>
                <w:rFonts w:hint="default" w:ascii="Times New Roman" w:hAnsi="Times New Roman" w:eastAsia="宋体" w:cs="Times New Roman"/>
                <w:color w:val="auto"/>
                <w:sz w:val="24"/>
              </w:rPr>
              <w:t>冷却</w:t>
            </w:r>
            <w:r>
              <w:rPr>
                <w:rFonts w:hint="eastAsia" w:ascii="Times New Roman" w:hAnsi="Times New Roman" w:eastAsia="宋体" w:cs="Times New Roman"/>
                <w:color w:val="auto"/>
                <w:sz w:val="24"/>
                <w:lang w:eastAsia="zh-CN"/>
              </w:rPr>
              <w:t>废</w:t>
            </w:r>
            <w:r>
              <w:rPr>
                <w:rFonts w:hint="default" w:ascii="Times New Roman" w:hAnsi="Times New Roman" w:eastAsia="宋体" w:cs="Times New Roman"/>
                <w:color w:val="auto"/>
                <w:sz w:val="24"/>
              </w:rPr>
              <w:t>水量为0.</w:t>
            </w:r>
            <w:r>
              <w:rPr>
                <w:rFonts w:hint="eastAsia" w:ascii="Times New Roman" w:hAnsi="Times New Roman" w:eastAsia="宋体" w:cs="Times New Roman"/>
                <w:color w:val="auto"/>
                <w:sz w:val="24"/>
                <w:lang w:val="en-US" w:eastAsia="zh-CN"/>
              </w:rPr>
              <w:t>0192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val="en-US" w:eastAsia="zh-CN"/>
              </w:rPr>
              <w:t>5.76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pacing w:val="11"/>
                <w:sz w:val="24"/>
                <w:szCs w:val="24"/>
                <w:highlight w:val="none"/>
                <w:lang w:val="en-US" w:eastAsia="zh-CN"/>
              </w:rPr>
              <w:t>本项目运营期生产废水总量为</w:t>
            </w:r>
            <w:r>
              <w:rPr>
                <w:rFonts w:hint="eastAsia" w:cs="Times New Roman"/>
                <w:color w:val="auto"/>
                <w:spacing w:val="11"/>
                <w:sz w:val="24"/>
                <w:szCs w:val="24"/>
                <w:highlight w:val="none"/>
                <w:lang w:val="en-US" w:eastAsia="zh-CN"/>
              </w:rPr>
              <w:t>16.9852</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/d</w:t>
            </w:r>
            <w:r>
              <w:rPr>
                <w:rFonts w:hint="default" w:ascii="Times New Roman" w:hAnsi="Times New Roman" w:eastAsia="宋体" w:cs="Times New Roman"/>
                <w:color w:val="auto"/>
                <w:spacing w:val="11"/>
                <w:sz w:val="24"/>
                <w:szCs w:val="24"/>
                <w:highlight w:val="none"/>
                <w:lang w:eastAsia="zh-CN"/>
              </w:rPr>
              <w:t>、</w:t>
            </w:r>
            <w:r>
              <w:rPr>
                <w:rFonts w:hint="eastAsia" w:cs="Times New Roman"/>
                <w:color w:val="auto"/>
                <w:spacing w:val="11"/>
                <w:sz w:val="24"/>
                <w:szCs w:val="24"/>
                <w:highlight w:val="none"/>
                <w:lang w:val="en-US" w:eastAsia="zh-CN"/>
              </w:rPr>
              <w:t>5095.5791</w:t>
            </w:r>
            <w:r>
              <w:rPr>
                <w:rFonts w:hint="default" w:ascii="Times New Roman" w:hAnsi="Times New Roman" w:eastAsia="宋体" w:cs="Times New Roman"/>
                <w:color w:val="auto"/>
                <w:spacing w:val="11"/>
                <w:sz w:val="24"/>
                <w:szCs w:val="24"/>
                <w:highlight w:val="none"/>
              </w:rPr>
              <w:t>m</w:t>
            </w:r>
            <w:r>
              <w:rPr>
                <w:rFonts w:hint="default" w:ascii="Times New Roman" w:hAnsi="Times New Roman" w:eastAsia="宋体" w:cs="Times New Roman"/>
                <w:color w:val="auto"/>
                <w:spacing w:val="11"/>
                <w:sz w:val="24"/>
                <w:szCs w:val="24"/>
                <w:highlight w:val="none"/>
                <w:vertAlign w:val="superscript"/>
              </w:rPr>
              <w:t>3</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11"/>
                <w:sz w:val="24"/>
                <w:szCs w:val="24"/>
                <w:highlight w:val="none"/>
                <w:lang w:val="en-US" w:eastAsia="zh-CN"/>
              </w:rPr>
              <w:t>a</w:t>
            </w:r>
            <w:r>
              <w:rPr>
                <w:rFonts w:hint="default" w:ascii="Times New Roman" w:hAnsi="Times New Roman" w:eastAsia="宋体" w:cs="Times New Roman"/>
                <w:color w:val="auto"/>
                <w:sz w:val="24"/>
                <w:szCs w:val="24"/>
                <w:lang w:eastAsia="zh-CN"/>
              </w:rPr>
              <w:t>。</w:t>
            </w:r>
          </w:p>
          <w:p w14:paraId="54F53210">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color w:val="auto"/>
              </w:rPr>
            </w:pPr>
            <w:r>
              <w:rPr>
                <w:rFonts w:hint="eastAsia" w:ascii="Times New Roman" w:hAnsi="Times New Roman" w:eastAsia="宋体" w:cs="Times New Roman"/>
                <w:color w:val="auto"/>
                <w:sz w:val="24"/>
                <w:lang w:eastAsia="zh-CN"/>
              </w:rPr>
              <w:t>本项目不进行原料清洗，废水产生浓度参照《屠</w:t>
            </w:r>
            <w:r>
              <w:rPr>
                <w:rFonts w:hint="eastAsia"/>
                <w:color w:val="auto"/>
                <w:sz w:val="24"/>
                <w:lang w:eastAsia="zh-CN"/>
              </w:rPr>
              <w:t>宰与肉类加工废水治理工程技术规范》（</w:t>
            </w:r>
            <w:r>
              <w:rPr>
                <w:rFonts w:hint="eastAsia"/>
                <w:color w:val="auto"/>
                <w:sz w:val="24"/>
                <w:lang w:val="en-US" w:eastAsia="zh-CN"/>
              </w:rPr>
              <w:t>HJ2004-2010</w:t>
            </w:r>
            <w:r>
              <w:rPr>
                <w:rFonts w:hint="eastAsia"/>
                <w:color w:val="auto"/>
                <w:sz w:val="24"/>
                <w:lang w:eastAsia="zh-CN"/>
              </w:rPr>
              <w:t>）中表</w:t>
            </w:r>
            <w:r>
              <w:rPr>
                <w:rFonts w:hint="eastAsia"/>
                <w:color w:val="auto"/>
                <w:sz w:val="24"/>
                <w:lang w:val="en-US" w:eastAsia="zh-CN"/>
              </w:rPr>
              <w:t>4中的最低值，根据项目实际动植物油参照最高值；</w:t>
            </w:r>
            <w:r>
              <w:rPr>
                <w:rFonts w:hint="eastAsia"/>
                <w:color w:val="auto"/>
                <w:sz w:val="24"/>
              </w:rPr>
              <w:t>项目废水</w:t>
            </w:r>
            <w:r>
              <w:rPr>
                <w:rFonts w:hint="eastAsia"/>
                <w:color w:val="auto"/>
                <w:sz w:val="24"/>
                <w:lang w:eastAsia="zh-CN"/>
              </w:rPr>
              <w:t>产生浓度</w:t>
            </w:r>
            <w:r>
              <w:rPr>
                <w:rFonts w:hint="eastAsia"/>
                <w:color w:val="auto"/>
                <w:sz w:val="24"/>
              </w:rPr>
              <w:t>见表4-</w:t>
            </w:r>
            <w:r>
              <w:rPr>
                <w:rFonts w:hint="eastAsia"/>
                <w:color w:val="auto"/>
                <w:sz w:val="24"/>
                <w:lang w:val="en-US" w:eastAsia="zh-CN"/>
              </w:rPr>
              <w:t>16</w:t>
            </w:r>
            <w:r>
              <w:rPr>
                <w:rFonts w:hint="eastAsia"/>
                <w:color w:val="auto"/>
                <w:sz w:val="24"/>
              </w:rPr>
              <w:t>。</w:t>
            </w:r>
          </w:p>
          <w:p w14:paraId="3EA2DBC7">
            <w:pPr>
              <w:adjustRightInd w:val="0"/>
              <w:snapToGrid w:val="0"/>
              <w:ind w:firstLine="422" w:firstLineChars="200"/>
              <w:jc w:val="center"/>
              <w:rPr>
                <w:b/>
                <w:color w:val="auto"/>
              </w:rPr>
            </w:pPr>
            <w:r>
              <w:rPr>
                <w:b/>
                <w:color w:val="auto"/>
              </w:rPr>
              <w:t>表</w:t>
            </w:r>
            <w:r>
              <w:rPr>
                <w:rFonts w:hint="eastAsia"/>
                <w:b/>
                <w:color w:val="auto"/>
              </w:rPr>
              <w:t>4</w:t>
            </w:r>
            <w:r>
              <w:rPr>
                <w:b/>
                <w:color w:val="auto"/>
              </w:rPr>
              <w:t>-</w:t>
            </w:r>
            <w:r>
              <w:rPr>
                <w:rFonts w:hint="eastAsia"/>
                <w:b/>
                <w:color w:val="auto"/>
                <w:lang w:val="en-US" w:eastAsia="zh-CN"/>
              </w:rPr>
              <w:t xml:space="preserve">16 </w:t>
            </w:r>
            <w:r>
              <w:rPr>
                <w:rFonts w:hint="eastAsia"/>
                <w:b/>
                <w:color w:val="auto"/>
              </w:rPr>
              <w:t xml:space="preserve"> 项目生产废水水质     单位：</w:t>
            </w:r>
            <w:r>
              <w:rPr>
                <w:b/>
                <w:color w:val="auto"/>
              </w:rPr>
              <w:t>mg/L</w:t>
            </w:r>
          </w:p>
          <w:tbl>
            <w:tblPr>
              <w:tblStyle w:val="26"/>
              <w:tblW w:w="845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30"/>
              <w:gridCol w:w="945"/>
              <w:gridCol w:w="1157"/>
              <w:gridCol w:w="961"/>
              <w:gridCol w:w="1032"/>
              <w:gridCol w:w="1071"/>
              <w:gridCol w:w="939"/>
              <w:gridCol w:w="1021"/>
            </w:tblGrid>
            <w:tr w14:paraId="46C6C0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330" w:type="dxa"/>
                  <w:vAlign w:val="center"/>
                </w:tcPr>
                <w:p w14:paraId="305DB079">
                  <w:pPr>
                    <w:widowControl/>
                    <w:jc w:val="center"/>
                    <w:rPr>
                      <w:color w:val="auto"/>
                      <w:kern w:val="0"/>
                      <w:szCs w:val="21"/>
                    </w:rPr>
                  </w:pPr>
                  <w:r>
                    <w:rPr>
                      <w:color w:val="auto"/>
                      <w:kern w:val="0"/>
                      <w:szCs w:val="21"/>
                    </w:rPr>
                    <w:t>pH</w:t>
                  </w:r>
                  <w:r>
                    <w:rPr>
                      <w:rFonts w:hint="eastAsia"/>
                      <w:color w:val="auto"/>
                      <w:kern w:val="0"/>
                      <w:szCs w:val="21"/>
                    </w:rPr>
                    <w:t>（无量纲）</w:t>
                  </w:r>
                </w:p>
              </w:tc>
              <w:tc>
                <w:tcPr>
                  <w:tcW w:w="945" w:type="dxa"/>
                  <w:vAlign w:val="center"/>
                </w:tcPr>
                <w:p w14:paraId="19AA2C39">
                  <w:pPr>
                    <w:widowControl/>
                    <w:jc w:val="center"/>
                    <w:rPr>
                      <w:color w:val="auto"/>
                      <w:kern w:val="0"/>
                      <w:szCs w:val="21"/>
                    </w:rPr>
                  </w:pPr>
                  <w:r>
                    <w:rPr>
                      <w:color w:val="auto"/>
                      <w:kern w:val="0"/>
                      <w:szCs w:val="21"/>
                    </w:rPr>
                    <w:t>COD</w:t>
                  </w:r>
                  <w:r>
                    <w:rPr>
                      <w:rFonts w:hint="eastAsia"/>
                      <w:color w:val="auto"/>
                      <w:kern w:val="0"/>
                      <w:szCs w:val="21"/>
                    </w:rPr>
                    <w:t>cr</w:t>
                  </w:r>
                </w:p>
              </w:tc>
              <w:tc>
                <w:tcPr>
                  <w:tcW w:w="1157" w:type="dxa"/>
                  <w:vAlign w:val="center"/>
                </w:tcPr>
                <w:p w14:paraId="6FC1C56B">
                  <w:pPr>
                    <w:widowControl/>
                    <w:jc w:val="center"/>
                    <w:rPr>
                      <w:color w:val="auto"/>
                      <w:kern w:val="0"/>
                      <w:szCs w:val="21"/>
                    </w:rPr>
                  </w:pPr>
                  <w:r>
                    <w:rPr>
                      <w:rFonts w:hint="eastAsia"/>
                      <w:color w:val="auto"/>
                      <w:szCs w:val="21"/>
                    </w:rPr>
                    <w:t>BOD</w:t>
                  </w:r>
                  <w:r>
                    <w:rPr>
                      <w:rFonts w:hint="eastAsia"/>
                      <w:color w:val="auto"/>
                      <w:szCs w:val="21"/>
                      <w:vertAlign w:val="subscript"/>
                    </w:rPr>
                    <w:t>5</w:t>
                  </w:r>
                </w:p>
              </w:tc>
              <w:tc>
                <w:tcPr>
                  <w:tcW w:w="961" w:type="dxa"/>
                  <w:vAlign w:val="center"/>
                </w:tcPr>
                <w:p w14:paraId="30685559">
                  <w:pPr>
                    <w:widowControl/>
                    <w:jc w:val="center"/>
                    <w:rPr>
                      <w:rFonts w:hint="default" w:eastAsia="宋体"/>
                      <w:color w:val="auto"/>
                      <w:kern w:val="0"/>
                      <w:szCs w:val="21"/>
                      <w:lang w:val="en-US" w:eastAsia="zh-CN"/>
                    </w:rPr>
                  </w:pPr>
                  <w:r>
                    <w:rPr>
                      <w:rFonts w:hint="eastAsia"/>
                      <w:color w:val="auto"/>
                      <w:kern w:val="0"/>
                      <w:szCs w:val="21"/>
                      <w:lang w:val="en-US" w:eastAsia="zh-CN"/>
                    </w:rPr>
                    <w:t>SS</w:t>
                  </w:r>
                </w:p>
              </w:tc>
              <w:tc>
                <w:tcPr>
                  <w:tcW w:w="1032" w:type="dxa"/>
                  <w:vAlign w:val="center"/>
                </w:tcPr>
                <w:p w14:paraId="3B31B5F2">
                  <w:pPr>
                    <w:widowControl/>
                    <w:jc w:val="center"/>
                    <w:rPr>
                      <w:color w:val="auto"/>
                      <w:kern w:val="0"/>
                      <w:szCs w:val="21"/>
                    </w:rPr>
                  </w:pPr>
                  <w:r>
                    <w:rPr>
                      <w:rFonts w:hint="eastAsia"/>
                      <w:color w:val="auto"/>
                      <w:szCs w:val="21"/>
                    </w:rPr>
                    <w:t>NH</w:t>
                  </w:r>
                  <w:r>
                    <w:rPr>
                      <w:rFonts w:hint="eastAsia"/>
                      <w:color w:val="auto"/>
                      <w:szCs w:val="21"/>
                      <w:vertAlign w:val="subscript"/>
                    </w:rPr>
                    <w:t>3</w:t>
                  </w:r>
                  <w:r>
                    <w:rPr>
                      <w:rFonts w:hint="eastAsia"/>
                      <w:color w:val="auto"/>
                      <w:szCs w:val="21"/>
                    </w:rPr>
                    <w:t>-N</w:t>
                  </w:r>
                </w:p>
              </w:tc>
              <w:tc>
                <w:tcPr>
                  <w:tcW w:w="1071" w:type="dxa"/>
                  <w:vAlign w:val="center"/>
                </w:tcPr>
                <w:p w14:paraId="62D4D7B8">
                  <w:pPr>
                    <w:widowControl/>
                    <w:jc w:val="center"/>
                    <w:rPr>
                      <w:color w:val="auto"/>
                      <w:kern w:val="0"/>
                      <w:szCs w:val="21"/>
                    </w:rPr>
                  </w:pPr>
                  <w:r>
                    <w:rPr>
                      <w:rFonts w:hint="eastAsia"/>
                      <w:color w:val="auto"/>
                      <w:szCs w:val="21"/>
                    </w:rPr>
                    <w:t>动植物油</w:t>
                  </w:r>
                </w:p>
              </w:tc>
              <w:tc>
                <w:tcPr>
                  <w:tcW w:w="939" w:type="dxa"/>
                  <w:vAlign w:val="center"/>
                </w:tcPr>
                <w:p w14:paraId="0E175C24">
                  <w:pPr>
                    <w:widowControl/>
                    <w:jc w:val="center"/>
                    <w:rPr>
                      <w:rFonts w:hint="eastAsia" w:eastAsia="宋体"/>
                      <w:color w:val="auto"/>
                      <w:szCs w:val="21"/>
                      <w:lang w:eastAsia="zh-CN"/>
                    </w:rPr>
                  </w:pPr>
                  <w:r>
                    <w:rPr>
                      <w:rFonts w:hint="eastAsia"/>
                      <w:color w:val="auto"/>
                      <w:szCs w:val="21"/>
                      <w:lang w:eastAsia="zh-CN"/>
                    </w:rPr>
                    <w:t>总氮</w:t>
                  </w:r>
                </w:p>
              </w:tc>
              <w:tc>
                <w:tcPr>
                  <w:tcW w:w="1021" w:type="dxa"/>
                  <w:vAlign w:val="center"/>
                </w:tcPr>
                <w:p w14:paraId="6B1861A2">
                  <w:pPr>
                    <w:widowControl/>
                    <w:jc w:val="center"/>
                    <w:rPr>
                      <w:rFonts w:hint="eastAsia" w:eastAsia="宋体"/>
                      <w:color w:val="auto"/>
                      <w:szCs w:val="21"/>
                      <w:lang w:eastAsia="zh-CN"/>
                    </w:rPr>
                  </w:pPr>
                  <w:r>
                    <w:rPr>
                      <w:rFonts w:hint="eastAsia"/>
                      <w:color w:val="auto"/>
                      <w:szCs w:val="21"/>
                      <w:lang w:eastAsia="zh-CN"/>
                    </w:rPr>
                    <w:t>总磷</w:t>
                  </w:r>
                </w:p>
              </w:tc>
            </w:tr>
            <w:tr w14:paraId="069B88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330" w:type="dxa"/>
                  <w:vAlign w:val="center"/>
                </w:tcPr>
                <w:p w14:paraId="377717D4">
                  <w:pPr>
                    <w:widowControl/>
                    <w:jc w:val="center"/>
                    <w:rPr>
                      <w:color w:val="auto"/>
                      <w:kern w:val="0"/>
                      <w:szCs w:val="21"/>
                    </w:rPr>
                  </w:pPr>
                  <w:r>
                    <w:rPr>
                      <w:color w:val="auto"/>
                      <w:kern w:val="0"/>
                      <w:szCs w:val="21"/>
                    </w:rPr>
                    <w:t>6.5~7.5</w:t>
                  </w:r>
                </w:p>
              </w:tc>
              <w:tc>
                <w:tcPr>
                  <w:tcW w:w="945" w:type="dxa"/>
                  <w:vAlign w:val="center"/>
                </w:tcPr>
                <w:p w14:paraId="2922B849">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800</w:t>
                  </w:r>
                </w:p>
              </w:tc>
              <w:tc>
                <w:tcPr>
                  <w:tcW w:w="1157" w:type="dxa"/>
                  <w:vAlign w:val="center"/>
                </w:tcPr>
                <w:p w14:paraId="0CDFAFB6">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500</w:t>
                  </w:r>
                </w:p>
              </w:tc>
              <w:tc>
                <w:tcPr>
                  <w:tcW w:w="961" w:type="dxa"/>
                  <w:vAlign w:val="center"/>
                </w:tcPr>
                <w:p w14:paraId="73F86454">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500</w:t>
                  </w:r>
                </w:p>
              </w:tc>
              <w:tc>
                <w:tcPr>
                  <w:tcW w:w="1032" w:type="dxa"/>
                  <w:vAlign w:val="center"/>
                </w:tcPr>
                <w:p w14:paraId="4E083744">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25</w:t>
                  </w:r>
                </w:p>
              </w:tc>
              <w:tc>
                <w:tcPr>
                  <w:tcW w:w="1071" w:type="dxa"/>
                  <w:vAlign w:val="center"/>
                </w:tcPr>
                <w:p w14:paraId="681C2D22">
                  <w:pPr>
                    <w:adjustRightInd w:val="0"/>
                    <w:snapToGrid w:val="0"/>
                    <w:jc w:val="center"/>
                    <w:rPr>
                      <w:rFonts w:hint="default" w:eastAsia="宋体"/>
                      <w:color w:val="auto"/>
                      <w:kern w:val="0"/>
                      <w:szCs w:val="21"/>
                      <w:lang w:val="en-US" w:eastAsia="zh-CN"/>
                    </w:rPr>
                  </w:pPr>
                  <w:r>
                    <w:rPr>
                      <w:rFonts w:hint="eastAsia"/>
                      <w:bCs/>
                      <w:color w:val="auto"/>
                      <w:spacing w:val="-10"/>
                      <w:szCs w:val="21"/>
                      <w:lang w:val="en-US" w:eastAsia="zh-CN"/>
                    </w:rPr>
                    <w:t>100</w:t>
                  </w:r>
                </w:p>
              </w:tc>
              <w:tc>
                <w:tcPr>
                  <w:tcW w:w="939" w:type="dxa"/>
                  <w:vAlign w:val="center"/>
                </w:tcPr>
                <w:p w14:paraId="4D1462D1">
                  <w:pPr>
                    <w:adjustRightInd w:val="0"/>
                    <w:snapToGrid w:val="0"/>
                    <w:jc w:val="center"/>
                    <w:rPr>
                      <w:rFonts w:hint="default"/>
                      <w:bCs/>
                      <w:color w:val="auto"/>
                      <w:spacing w:val="-10"/>
                      <w:szCs w:val="21"/>
                      <w:lang w:val="en-US" w:eastAsia="zh-CN"/>
                    </w:rPr>
                  </w:pPr>
                  <w:r>
                    <w:rPr>
                      <w:rFonts w:hint="eastAsia"/>
                      <w:bCs/>
                      <w:color w:val="auto"/>
                      <w:spacing w:val="-10"/>
                      <w:szCs w:val="21"/>
                      <w:lang w:val="en-US" w:eastAsia="zh-CN"/>
                    </w:rPr>
                    <w:t>140</w:t>
                  </w:r>
                </w:p>
              </w:tc>
              <w:tc>
                <w:tcPr>
                  <w:tcW w:w="1021" w:type="dxa"/>
                  <w:vAlign w:val="center"/>
                </w:tcPr>
                <w:p w14:paraId="5FDC20C2">
                  <w:pPr>
                    <w:adjustRightInd w:val="0"/>
                    <w:snapToGrid w:val="0"/>
                    <w:jc w:val="center"/>
                    <w:rPr>
                      <w:rFonts w:hint="default"/>
                      <w:bCs/>
                      <w:color w:val="auto"/>
                      <w:spacing w:val="-10"/>
                      <w:szCs w:val="21"/>
                      <w:lang w:val="en-US" w:eastAsia="zh-CN"/>
                    </w:rPr>
                  </w:pPr>
                  <w:r>
                    <w:rPr>
                      <w:rFonts w:hint="eastAsia"/>
                      <w:bCs/>
                      <w:color w:val="auto"/>
                      <w:spacing w:val="-10"/>
                      <w:szCs w:val="21"/>
                      <w:lang w:val="en-US" w:eastAsia="zh-CN"/>
                    </w:rPr>
                    <w:t>46</w:t>
                  </w:r>
                </w:p>
              </w:tc>
            </w:tr>
            <w:tr w14:paraId="0E5AE0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8456" w:type="dxa"/>
                  <w:gridSpan w:val="8"/>
                  <w:vAlign w:val="center"/>
                </w:tcPr>
                <w:p w14:paraId="01AFE157">
                  <w:pPr>
                    <w:adjustRightInd w:val="0"/>
                    <w:snapToGrid w:val="0"/>
                    <w:jc w:val="center"/>
                    <w:rPr>
                      <w:rFonts w:hint="default" w:ascii="Times New Roman" w:hAnsi="Times New Roman" w:eastAsia="宋体" w:cs="Times New Roman"/>
                      <w:color w:val="auto"/>
                      <w:sz w:val="21"/>
                      <w:szCs w:val="21"/>
                      <w:lang w:val="en-US" w:eastAsia="zh-CN"/>
                    </w:rPr>
                  </w:pPr>
                  <w:r>
                    <w:rPr>
                      <w:rFonts w:hint="eastAsia"/>
                      <w:bCs/>
                      <w:color w:val="auto"/>
                      <w:spacing w:val="-10"/>
                      <w:szCs w:val="21"/>
                      <w:lang w:val="en-US" w:eastAsia="zh-CN"/>
                    </w:rPr>
                    <w:t>注：因</w:t>
                  </w:r>
                  <w:r>
                    <w:rPr>
                      <w:rFonts w:hint="eastAsia" w:ascii="Times New Roman" w:hAnsi="Times New Roman" w:eastAsia="宋体" w:cs="Times New Roman"/>
                      <w:color w:val="auto"/>
                      <w:sz w:val="21"/>
                      <w:szCs w:val="21"/>
                      <w:lang w:eastAsia="zh-CN"/>
                    </w:rPr>
                    <w:t>《屠</w:t>
                  </w:r>
                  <w:r>
                    <w:rPr>
                      <w:rFonts w:hint="eastAsia"/>
                      <w:color w:val="auto"/>
                      <w:sz w:val="21"/>
                      <w:szCs w:val="21"/>
                      <w:lang w:eastAsia="zh-CN"/>
                    </w:rPr>
                    <w:t>宰与肉类加工废水治理工程技术规范》（</w:t>
                  </w:r>
                  <w:r>
                    <w:rPr>
                      <w:rFonts w:hint="eastAsia"/>
                      <w:color w:val="auto"/>
                      <w:sz w:val="21"/>
                      <w:szCs w:val="21"/>
                      <w:lang w:val="en-US" w:eastAsia="zh-CN"/>
                    </w:rPr>
                    <w:t>HJ2004-2010</w:t>
                  </w:r>
                  <w:r>
                    <w:rPr>
                      <w:rFonts w:hint="eastAsia"/>
                      <w:color w:val="auto"/>
                      <w:sz w:val="21"/>
                      <w:szCs w:val="21"/>
                      <w:lang w:eastAsia="zh-CN"/>
                    </w:rPr>
                    <w:t>）中无总氮、总磷取值，因此总氮、总磷参考</w:t>
                  </w:r>
                  <w:r>
                    <w:rPr>
                      <w:rFonts w:hint="eastAsia" w:ascii="Times New Roman" w:hAnsi="Times New Roman" w:eastAsia="宋体" w:cs="Times New Roman"/>
                      <w:color w:val="auto"/>
                      <w:sz w:val="21"/>
                      <w:szCs w:val="21"/>
                      <w:lang w:val="en-US" w:eastAsia="zh-CN"/>
                    </w:rPr>
                    <w:t>《排放源统计调查产排污核算方法和系数手册》（生态环境部公告</w:t>
                  </w:r>
                  <w:r>
                    <w:rPr>
                      <w:rFonts w:hint="default" w:ascii="Times New Roman" w:hAnsi="Times New Roman" w:eastAsia="宋体" w:cs="Times New Roman"/>
                      <w:color w:val="auto"/>
                      <w:sz w:val="21"/>
                      <w:szCs w:val="21"/>
                      <w:lang w:val="en-US" w:eastAsia="zh-CN"/>
                    </w:rPr>
                    <w:t>2021</w:t>
                  </w:r>
                </w:p>
                <w:p w14:paraId="430B0887">
                  <w:pPr>
                    <w:adjustRightInd w:val="0"/>
                    <w:snapToGrid w:val="0"/>
                    <w:jc w:val="both"/>
                    <w:rPr>
                      <w:rFonts w:hint="eastAsia"/>
                      <w:bCs/>
                      <w:color w:val="auto"/>
                      <w:spacing w:val="-10"/>
                      <w:szCs w:val="21"/>
                      <w:lang w:val="en-US" w:eastAsia="zh-CN"/>
                    </w:rPr>
                  </w:pPr>
                  <w:r>
                    <w:rPr>
                      <w:rFonts w:hint="eastAsia" w:ascii="Times New Roman" w:hAnsi="Times New Roman" w:eastAsia="宋体" w:cs="Times New Roman"/>
                      <w:color w:val="auto"/>
                      <w:sz w:val="21"/>
                      <w:szCs w:val="21"/>
                      <w:lang w:val="en-US" w:eastAsia="zh-CN"/>
                    </w:rPr>
                    <w:t>年第</w:t>
                  </w:r>
                  <w:r>
                    <w:rPr>
                      <w:rFonts w:hint="default" w:ascii="Times New Roman" w:hAnsi="Times New Roman" w:eastAsia="宋体" w:cs="Times New Roman"/>
                      <w:color w:val="auto"/>
                      <w:sz w:val="21"/>
                      <w:szCs w:val="21"/>
                      <w:lang w:val="en-US" w:eastAsia="zh-CN"/>
                    </w:rPr>
                    <w:t>24</w:t>
                  </w:r>
                  <w:r>
                    <w:rPr>
                      <w:rFonts w:hint="eastAsia" w:ascii="Times New Roman" w:hAnsi="Times New Roman" w:eastAsia="宋体" w:cs="Times New Roman"/>
                      <w:color w:val="auto"/>
                      <w:sz w:val="21"/>
                      <w:szCs w:val="21"/>
                      <w:lang w:val="en-US" w:eastAsia="zh-CN"/>
                    </w:rPr>
                    <w:t>号）中</w:t>
                  </w:r>
                  <w:r>
                    <w:rPr>
                      <w:rFonts w:hint="default" w:ascii="Times New Roman" w:hAnsi="Times New Roman" w:eastAsia="宋体" w:cs="Times New Roman"/>
                      <w:color w:val="auto"/>
                      <w:sz w:val="21"/>
                      <w:szCs w:val="21"/>
                      <w:lang w:val="en-US" w:eastAsia="zh-CN"/>
                    </w:rPr>
                    <w:t>135</w:t>
                  </w:r>
                  <w:r>
                    <w:rPr>
                      <w:rFonts w:hint="eastAsia" w:ascii="Times New Roman" w:hAnsi="Times New Roman" w:eastAsia="宋体" w:cs="Times New Roman"/>
                      <w:color w:val="auto"/>
                      <w:sz w:val="21"/>
                      <w:szCs w:val="21"/>
                      <w:lang w:val="en-US" w:eastAsia="zh-CN"/>
                    </w:rPr>
                    <w:t>屠宰及肉类加工行业系数手册</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干炸肉制品产污系数。</w:t>
                  </w:r>
                </w:p>
              </w:tc>
            </w:tr>
          </w:tbl>
          <w:p w14:paraId="3C1FE588">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eastAsia="宋体" w:cs="Times New Roman"/>
                <w:b/>
                <w:caps w:val="0"/>
                <w:snapToGrid w:val="0"/>
                <w:color w:val="auto"/>
                <w:spacing w:val="0"/>
                <w:w w:val="100"/>
                <w:position w:val="0"/>
                <w:sz w:val="24"/>
                <w:szCs w:val="24"/>
                <w:highlight w:val="none"/>
                <w:lang w:val="en-US" w:eastAsia="zh-CN"/>
              </w:rPr>
            </w:pPr>
            <w:r>
              <w:rPr>
                <w:rFonts w:hint="default" w:ascii="Times New Roman" w:hAnsi="Times New Roman" w:eastAsia="宋体" w:cs="Times New Roman"/>
                <w:b/>
                <w:caps w:val="0"/>
                <w:snapToGrid w:val="0"/>
                <w:color w:val="auto"/>
                <w:spacing w:val="0"/>
                <w:w w:val="100"/>
                <w:position w:val="0"/>
                <w:sz w:val="24"/>
                <w:szCs w:val="24"/>
                <w:highlight w:val="none"/>
                <w:lang w:val="en-US" w:eastAsia="zh-CN"/>
              </w:rPr>
              <w:t>③综合废水</w:t>
            </w:r>
          </w:p>
          <w:p w14:paraId="31F67946">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本次环评提出</w:t>
            </w:r>
            <w:r>
              <w:rPr>
                <w:rFonts w:hint="default" w:ascii="Times New Roman" w:hAnsi="Times New Roman" w:eastAsia="宋体" w:cs="Times New Roman"/>
                <w:b w:val="0"/>
                <w:bCs w:val="0"/>
                <w:color w:val="auto"/>
                <w:sz w:val="24"/>
                <w:szCs w:val="24"/>
                <w:highlight w:val="none"/>
                <w:lang w:val="en-US" w:eastAsia="zh-CN"/>
              </w:rPr>
              <w:t>食堂含油废水</w:t>
            </w:r>
            <w:r>
              <w:rPr>
                <w:rFonts w:hint="eastAsia" w:cs="Times New Roman"/>
                <w:b w:val="0"/>
                <w:bCs w:val="0"/>
                <w:color w:val="auto"/>
                <w:sz w:val="24"/>
                <w:szCs w:val="24"/>
                <w:highlight w:val="none"/>
                <w:lang w:val="en-US" w:eastAsia="zh-CN"/>
              </w:rPr>
              <w:t>、</w:t>
            </w:r>
            <w:r>
              <w:rPr>
                <w:rFonts w:hint="eastAsia"/>
                <w:color w:val="auto"/>
                <w:sz w:val="24"/>
              </w:rPr>
              <w:t>脱胶脱磷废水</w:t>
            </w:r>
            <w:r>
              <w:rPr>
                <w:rFonts w:hint="eastAsia"/>
                <w:color w:val="auto"/>
                <w:sz w:val="24"/>
                <w:lang w:eastAsia="zh-CN"/>
              </w:rPr>
              <w:t>、牛肉腌制废水、</w:t>
            </w:r>
            <w:r>
              <w:rPr>
                <w:rFonts w:hint="eastAsia" w:ascii="Times New Roman" w:hAnsi="Times New Roman" w:eastAsia="宋体" w:cs="Times New Roman"/>
                <w:color w:val="auto"/>
                <w:sz w:val="24"/>
                <w:lang w:val="en-US" w:eastAsia="zh-CN"/>
              </w:rPr>
              <w:t>车间地面清洗</w:t>
            </w:r>
            <w:r>
              <w:rPr>
                <w:rFonts w:hint="default" w:ascii="Times New Roman" w:hAnsi="Times New Roman" w:eastAsia="宋体" w:cs="Times New Roman"/>
                <w:color w:val="auto"/>
                <w:sz w:val="24"/>
                <w:lang w:val="en-US" w:eastAsia="zh-CN"/>
              </w:rPr>
              <w:t>废水</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设备清洗废水</w:t>
            </w:r>
            <w:r>
              <w:rPr>
                <w:rFonts w:hint="default" w:ascii="Times New Roman" w:hAnsi="Times New Roman" w:eastAsia="宋体" w:cs="Times New Roman"/>
                <w:b w:val="0"/>
                <w:bCs w:val="0"/>
                <w:color w:val="auto"/>
                <w:sz w:val="24"/>
                <w:szCs w:val="24"/>
                <w:highlight w:val="none"/>
                <w:lang w:val="en-US" w:eastAsia="zh-CN"/>
              </w:rPr>
              <w:t>经隔油池预处理后</w:t>
            </w:r>
            <w:r>
              <w:rPr>
                <w:rFonts w:hint="default" w:ascii="Times New Roman" w:hAnsi="Times New Roman" w:eastAsia="宋体" w:cs="Times New Roman"/>
                <w:color w:val="auto"/>
                <w:kern w:val="0"/>
                <w:sz w:val="24"/>
                <w:szCs w:val="20"/>
                <w:highlight w:val="none"/>
                <w:lang w:val="en-US" w:eastAsia="zh-CN"/>
              </w:rPr>
              <w:t>与其他办公生活污水、生产废水一并进入化粪池、污水处理设施进行处理。</w:t>
            </w:r>
          </w:p>
          <w:p w14:paraId="232C82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4"/>
                <w:szCs w:val="24"/>
                <w:lang w:eastAsia="zh-CN"/>
              </w:rPr>
              <w:t>综上，</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项目综合废水污染物产排情况如下表所示</w:t>
            </w:r>
            <w:r>
              <w:rPr>
                <w:rFonts w:hint="default" w:ascii="Times New Roman" w:hAnsi="Times New Roman" w:eastAsia="宋体" w:cs="Times New Roman"/>
                <w:color w:val="auto"/>
                <w:sz w:val="24"/>
                <w:szCs w:val="24"/>
              </w:rPr>
              <w:t>。</w:t>
            </w:r>
          </w:p>
          <w:p w14:paraId="5D80BC6A">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p>
          <w:p w14:paraId="51ECEE3C">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p>
          <w:p w14:paraId="5AFE4CFE">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p>
          <w:p w14:paraId="001913D0">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4-1</w:t>
            </w:r>
            <w:r>
              <w:rPr>
                <w:rFonts w:hint="eastAsia" w:cs="Times New Roman"/>
                <w:b/>
                <w:caps w:val="0"/>
                <w:snapToGrid w:val="0"/>
                <w:color w:val="auto"/>
                <w:spacing w:val="0"/>
                <w:w w:val="100"/>
                <w:position w:val="0"/>
                <w:sz w:val="21"/>
                <w:szCs w:val="21"/>
                <w:highlight w:val="none"/>
                <w:lang w:val="en-US" w:eastAsia="zh-CN"/>
              </w:rPr>
              <w:t>7</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6"/>
              <w:tblW w:w="84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16"/>
              <w:gridCol w:w="1166"/>
              <w:gridCol w:w="3282"/>
              <w:gridCol w:w="1604"/>
            </w:tblGrid>
            <w:tr w14:paraId="49513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F56CE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污染源编号</w:t>
                  </w:r>
                </w:p>
              </w:tc>
              <w:tc>
                <w:tcPr>
                  <w:tcW w:w="116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96D5B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328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DFB89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Style w:val="112"/>
                      <w:rFonts w:hint="default" w:ascii="Times New Roman" w:hAnsi="Times New Roman" w:eastAsia="宋体" w:cs="Times New Roman"/>
                      <w:color w:val="auto"/>
                      <w:sz w:val="21"/>
                      <w:szCs w:val="21"/>
                      <w:lang w:val="en-US" w:eastAsia="zh-CN" w:bidi="ar"/>
                    </w:rPr>
                    <w:t>t/a</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60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F39E8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w:t>
                  </w:r>
                  <w:r>
                    <w:rPr>
                      <w:rStyle w:val="112"/>
                      <w:rFonts w:hint="default" w:ascii="Times New Roman" w:hAnsi="Times New Roman" w:eastAsia="宋体" w:cs="Times New Roman"/>
                      <w:color w:val="auto"/>
                      <w:sz w:val="21"/>
                      <w:szCs w:val="21"/>
                      <w:lang w:val="en-US" w:eastAsia="zh-CN" w:bidi="ar"/>
                    </w:rPr>
                    <w:t>mg/L</w:t>
                  </w:r>
                </w:p>
              </w:tc>
            </w:tr>
            <w:tr w14:paraId="69458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restart"/>
                  <w:tcBorders>
                    <w:top w:val="nil"/>
                    <w:left w:val="single" w:color="000000" w:sz="8" w:space="0"/>
                    <w:bottom w:val="single" w:color="000000" w:sz="8" w:space="0"/>
                    <w:right w:val="single" w:color="000000" w:sz="8" w:space="0"/>
                  </w:tcBorders>
                  <w:shd w:val="clear" w:color="auto" w:fill="auto"/>
                  <w:vAlign w:val="center"/>
                </w:tcPr>
                <w:p w14:paraId="49A6A2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166" w:type="dxa"/>
                  <w:tcBorders>
                    <w:top w:val="nil"/>
                    <w:left w:val="single" w:color="000000" w:sz="8" w:space="0"/>
                    <w:bottom w:val="single" w:color="000000" w:sz="8" w:space="0"/>
                    <w:right w:val="single" w:color="000000" w:sz="8" w:space="0"/>
                  </w:tcBorders>
                  <w:shd w:val="clear" w:color="auto" w:fill="auto"/>
                  <w:vAlign w:val="center"/>
                </w:tcPr>
                <w:p w14:paraId="58A5A7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3282" w:type="dxa"/>
                  <w:tcBorders>
                    <w:top w:val="nil"/>
                    <w:left w:val="single" w:color="000000" w:sz="8" w:space="0"/>
                    <w:bottom w:val="single" w:color="000000" w:sz="8" w:space="0"/>
                    <w:right w:val="single" w:color="000000" w:sz="8" w:space="0"/>
                  </w:tcBorders>
                  <w:shd w:val="clear" w:color="auto" w:fill="auto"/>
                  <w:vAlign w:val="center"/>
                </w:tcPr>
                <w:p w14:paraId="0150DE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480</w:t>
                  </w:r>
                </w:p>
              </w:tc>
              <w:tc>
                <w:tcPr>
                  <w:tcW w:w="1604" w:type="dxa"/>
                  <w:tcBorders>
                    <w:top w:val="nil"/>
                    <w:left w:val="single" w:color="000000" w:sz="8" w:space="0"/>
                    <w:bottom w:val="single" w:color="000000" w:sz="8" w:space="0"/>
                    <w:right w:val="single" w:color="000000" w:sz="8" w:space="0"/>
                  </w:tcBorders>
                  <w:shd w:val="clear" w:color="auto" w:fill="auto"/>
                  <w:vAlign w:val="center"/>
                </w:tcPr>
                <w:p w14:paraId="2EB06E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F7A5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14:paraId="4AE15281">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14:paraId="3F9120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3282" w:type="dxa"/>
                  <w:tcBorders>
                    <w:top w:val="nil"/>
                    <w:left w:val="single" w:color="000000" w:sz="8" w:space="0"/>
                    <w:bottom w:val="single" w:color="000000" w:sz="8" w:space="0"/>
                    <w:right w:val="single" w:color="000000" w:sz="8" w:space="0"/>
                  </w:tcBorders>
                  <w:shd w:val="clear" w:color="auto" w:fill="auto"/>
                  <w:vAlign w:val="center"/>
                </w:tcPr>
                <w:p w14:paraId="6317CE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0.2496 </w:t>
                  </w:r>
                </w:p>
              </w:tc>
              <w:tc>
                <w:tcPr>
                  <w:tcW w:w="1604" w:type="dxa"/>
                  <w:tcBorders>
                    <w:top w:val="nil"/>
                    <w:left w:val="single" w:color="000000" w:sz="8" w:space="0"/>
                    <w:bottom w:val="single" w:color="000000" w:sz="8" w:space="0"/>
                    <w:right w:val="single" w:color="000000" w:sz="8" w:space="0"/>
                  </w:tcBorders>
                  <w:shd w:val="clear" w:color="auto" w:fill="auto"/>
                  <w:vAlign w:val="center"/>
                </w:tcPr>
                <w:p w14:paraId="5A34D9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520</w:t>
                  </w:r>
                </w:p>
              </w:tc>
            </w:tr>
            <w:tr w14:paraId="0A67A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14:paraId="1FF2CBA5">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14:paraId="173BFF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3282" w:type="dxa"/>
                  <w:tcBorders>
                    <w:top w:val="nil"/>
                    <w:left w:val="single" w:color="000000" w:sz="8" w:space="0"/>
                    <w:bottom w:val="single" w:color="000000" w:sz="8" w:space="0"/>
                    <w:right w:val="single" w:color="000000" w:sz="8" w:space="0"/>
                  </w:tcBorders>
                  <w:shd w:val="clear" w:color="auto" w:fill="auto"/>
                  <w:vAlign w:val="center"/>
                </w:tcPr>
                <w:p w14:paraId="3A2A56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0.0960 </w:t>
                  </w:r>
                </w:p>
              </w:tc>
              <w:tc>
                <w:tcPr>
                  <w:tcW w:w="1604" w:type="dxa"/>
                  <w:tcBorders>
                    <w:top w:val="nil"/>
                    <w:left w:val="single" w:color="000000" w:sz="8" w:space="0"/>
                    <w:bottom w:val="single" w:color="000000" w:sz="8" w:space="0"/>
                    <w:right w:val="single" w:color="000000" w:sz="8" w:space="0"/>
                  </w:tcBorders>
                  <w:shd w:val="clear" w:color="auto" w:fill="auto"/>
                  <w:vAlign w:val="center"/>
                </w:tcPr>
                <w:p w14:paraId="45E656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14:paraId="1EA28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14:paraId="2136137C">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14:paraId="5D4AD7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3282" w:type="dxa"/>
                  <w:tcBorders>
                    <w:top w:val="nil"/>
                    <w:left w:val="single" w:color="000000" w:sz="8" w:space="0"/>
                    <w:bottom w:val="single" w:color="000000" w:sz="8" w:space="0"/>
                    <w:right w:val="single" w:color="000000" w:sz="8" w:space="0"/>
                  </w:tcBorders>
                  <w:shd w:val="clear" w:color="auto" w:fill="auto"/>
                  <w:vAlign w:val="center"/>
                </w:tcPr>
                <w:p w14:paraId="63188E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0.0960 </w:t>
                  </w:r>
                </w:p>
              </w:tc>
              <w:tc>
                <w:tcPr>
                  <w:tcW w:w="1604" w:type="dxa"/>
                  <w:tcBorders>
                    <w:top w:val="nil"/>
                    <w:left w:val="single" w:color="000000" w:sz="8" w:space="0"/>
                    <w:bottom w:val="single" w:color="000000" w:sz="8" w:space="0"/>
                    <w:right w:val="single" w:color="000000" w:sz="8" w:space="0"/>
                  </w:tcBorders>
                  <w:shd w:val="clear" w:color="auto" w:fill="auto"/>
                  <w:vAlign w:val="center"/>
                </w:tcPr>
                <w:p w14:paraId="55FAD3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r>
            <w:tr w14:paraId="5CF34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14:paraId="77BAD4A4">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14:paraId="3EB6F6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3282" w:type="dxa"/>
                  <w:tcBorders>
                    <w:top w:val="nil"/>
                    <w:left w:val="single" w:color="000000" w:sz="8" w:space="0"/>
                    <w:bottom w:val="single" w:color="000000" w:sz="8" w:space="0"/>
                    <w:right w:val="single" w:color="000000" w:sz="8" w:space="0"/>
                  </w:tcBorders>
                  <w:shd w:val="clear" w:color="auto" w:fill="auto"/>
                  <w:vAlign w:val="center"/>
                </w:tcPr>
                <w:p w14:paraId="3BDAB3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0.0192 </w:t>
                  </w:r>
                </w:p>
              </w:tc>
              <w:tc>
                <w:tcPr>
                  <w:tcW w:w="1604" w:type="dxa"/>
                  <w:tcBorders>
                    <w:top w:val="nil"/>
                    <w:left w:val="single" w:color="000000" w:sz="8" w:space="0"/>
                    <w:bottom w:val="single" w:color="000000" w:sz="8" w:space="0"/>
                    <w:right w:val="single" w:color="000000" w:sz="8" w:space="0"/>
                  </w:tcBorders>
                  <w:shd w:val="clear" w:color="auto" w:fill="auto"/>
                  <w:vAlign w:val="center"/>
                </w:tcPr>
                <w:p w14:paraId="77956B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r>
            <w:tr w14:paraId="3D2BF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14:paraId="1C71C87A">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14:paraId="29AD48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总氮</w:t>
                  </w:r>
                </w:p>
              </w:tc>
              <w:tc>
                <w:tcPr>
                  <w:tcW w:w="3282" w:type="dxa"/>
                  <w:tcBorders>
                    <w:top w:val="nil"/>
                    <w:left w:val="single" w:color="000000" w:sz="8" w:space="0"/>
                    <w:bottom w:val="single" w:color="000000" w:sz="8" w:space="0"/>
                    <w:right w:val="single" w:color="000000" w:sz="8" w:space="0"/>
                  </w:tcBorders>
                  <w:shd w:val="clear" w:color="auto" w:fill="auto"/>
                  <w:vAlign w:val="center"/>
                </w:tcPr>
                <w:p w14:paraId="6FCA9D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0.0216 </w:t>
                  </w:r>
                </w:p>
              </w:tc>
              <w:tc>
                <w:tcPr>
                  <w:tcW w:w="1604" w:type="dxa"/>
                  <w:tcBorders>
                    <w:top w:val="nil"/>
                    <w:left w:val="single" w:color="000000" w:sz="8" w:space="0"/>
                    <w:bottom w:val="single" w:color="000000" w:sz="8" w:space="0"/>
                    <w:right w:val="single" w:color="000000" w:sz="8" w:space="0"/>
                  </w:tcBorders>
                  <w:shd w:val="clear" w:color="auto" w:fill="auto"/>
                  <w:vAlign w:val="center"/>
                </w:tcPr>
                <w:p w14:paraId="60664F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45</w:t>
                  </w:r>
                </w:p>
              </w:tc>
            </w:tr>
            <w:tr w14:paraId="305F3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 w:hRule="atLeast"/>
              </w:trPr>
              <w:tc>
                <w:tcPr>
                  <w:tcW w:w="2416" w:type="dxa"/>
                  <w:vMerge w:val="continue"/>
                  <w:tcBorders>
                    <w:top w:val="nil"/>
                    <w:left w:val="single" w:color="000000" w:sz="8" w:space="0"/>
                    <w:bottom w:val="single" w:color="000000" w:sz="8" w:space="0"/>
                    <w:right w:val="single" w:color="000000" w:sz="8" w:space="0"/>
                  </w:tcBorders>
                  <w:shd w:val="clear" w:color="auto" w:fill="auto"/>
                  <w:vAlign w:val="center"/>
                </w:tcPr>
                <w:p w14:paraId="1CB5946C">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000000" w:sz="8" w:space="0"/>
                    <w:right w:val="single" w:color="000000" w:sz="8" w:space="0"/>
                  </w:tcBorders>
                  <w:shd w:val="clear" w:color="auto" w:fill="auto"/>
                  <w:vAlign w:val="center"/>
                </w:tcPr>
                <w:p w14:paraId="68CB49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3282" w:type="dxa"/>
                  <w:tcBorders>
                    <w:top w:val="nil"/>
                    <w:left w:val="single" w:color="000000" w:sz="8" w:space="0"/>
                    <w:bottom w:val="single" w:color="000000" w:sz="8" w:space="0"/>
                    <w:right w:val="single" w:color="000000" w:sz="8" w:space="0"/>
                  </w:tcBorders>
                  <w:shd w:val="clear" w:color="auto" w:fill="auto"/>
                  <w:vAlign w:val="center"/>
                </w:tcPr>
                <w:p w14:paraId="1AD1EA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0.0038 </w:t>
                  </w:r>
                </w:p>
              </w:tc>
              <w:tc>
                <w:tcPr>
                  <w:tcW w:w="1604" w:type="dxa"/>
                  <w:tcBorders>
                    <w:top w:val="nil"/>
                    <w:left w:val="single" w:color="000000" w:sz="8" w:space="0"/>
                    <w:bottom w:val="single" w:color="000000" w:sz="8" w:space="0"/>
                    <w:right w:val="single" w:color="000000" w:sz="8" w:space="0"/>
                  </w:tcBorders>
                  <w:shd w:val="clear" w:color="auto" w:fill="auto"/>
                  <w:vAlign w:val="center"/>
                </w:tcPr>
                <w:p w14:paraId="1BACD9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r>
            <w:tr w14:paraId="328D7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continue"/>
                  <w:tcBorders>
                    <w:top w:val="nil"/>
                    <w:left w:val="single" w:color="000000" w:sz="8" w:space="0"/>
                    <w:bottom w:val="single" w:color="auto" w:sz="4" w:space="0"/>
                    <w:right w:val="single" w:color="000000" w:sz="8" w:space="0"/>
                  </w:tcBorders>
                  <w:shd w:val="clear" w:color="auto" w:fill="auto"/>
                  <w:vAlign w:val="center"/>
                </w:tcPr>
                <w:p w14:paraId="2A688B57">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auto" w:sz="4" w:space="0"/>
                    <w:right w:val="single" w:color="000000" w:sz="8" w:space="0"/>
                  </w:tcBorders>
                  <w:shd w:val="clear" w:color="auto" w:fill="auto"/>
                  <w:vAlign w:val="center"/>
                </w:tcPr>
                <w:p w14:paraId="63B41F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3282" w:type="dxa"/>
                  <w:tcBorders>
                    <w:top w:val="nil"/>
                    <w:left w:val="single" w:color="000000" w:sz="8" w:space="0"/>
                    <w:bottom w:val="single" w:color="auto" w:sz="4" w:space="0"/>
                    <w:right w:val="single" w:color="000000" w:sz="8" w:space="0"/>
                  </w:tcBorders>
                  <w:shd w:val="clear" w:color="auto" w:fill="auto"/>
                  <w:vAlign w:val="center"/>
                </w:tcPr>
                <w:p w14:paraId="1054D2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0.0168 </w:t>
                  </w:r>
                </w:p>
              </w:tc>
              <w:tc>
                <w:tcPr>
                  <w:tcW w:w="1604" w:type="dxa"/>
                  <w:tcBorders>
                    <w:top w:val="nil"/>
                    <w:left w:val="single" w:color="000000" w:sz="8" w:space="0"/>
                    <w:bottom w:val="single" w:color="auto" w:sz="4" w:space="0"/>
                    <w:right w:val="single" w:color="000000" w:sz="8" w:space="0"/>
                  </w:tcBorders>
                  <w:shd w:val="clear" w:color="auto" w:fill="auto"/>
                  <w:vAlign w:val="center"/>
                </w:tcPr>
                <w:p w14:paraId="4FE737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r>
            <w:tr w14:paraId="5A955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416" w:type="dxa"/>
                  <w:vMerge w:val="restart"/>
                  <w:tcBorders>
                    <w:top w:val="single" w:color="auto" w:sz="4" w:space="0"/>
                    <w:left w:val="single" w:color="auto" w:sz="4" w:space="0"/>
                    <w:bottom w:val="single" w:color="000000" w:sz="8" w:space="0"/>
                    <w:right w:val="single" w:color="000000" w:sz="8" w:space="0"/>
                  </w:tcBorders>
                  <w:shd w:val="clear" w:color="auto" w:fill="auto"/>
                  <w:vAlign w:val="center"/>
                </w:tcPr>
                <w:p w14:paraId="3BE928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生产废水</w:t>
                  </w:r>
                </w:p>
              </w:tc>
              <w:tc>
                <w:tcPr>
                  <w:tcW w:w="1166" w:type="dxa"/>
                  <w:tcBorders>
                    <w:top w:val="single" w:color="auto" w:sz="4" w:space="0"/>
                    <w:left w:val="single" w:color="000000" w:sz="8" w:space="0"/>
                    <w:bottom w:val="single" w:color="000000" w:sz="8" w:space="0"/>
                    <w:right w:val="single" w:color="000000" w:sz="8" w:space="0"/>
                  </w:tcBorders>
                  <w:shd w:val="clear" w:color="auto" w:fill="auto"/>
                  <w:vAlign w:val="center"/>
                </w:tcPr>
                <w:p w14:paraId="1A1B8E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3282" w:type="dxa"/>
                  <w:tcBorders>
                    <w:top w:val="single" w:color="auto" w:sz="4" w:space="0"/>
                    <w:left w:val="single" w:color="000000" w:sz="8" w:space="0"/>
                    <w:bottom w:val="single" w:color="000000" w:sz="8" w:space="0"/>
                    <w:right w:val="single" w:color="000000" w:sz="8" w:space="0"/>
                  </w:tcBorders>
                  <w:shd w:val="clear" w:color="auto" w:fill="auto"/>
                  <w:vAlign w:val="center"/>
                </w:tcPr>
                <w:p w14:paraId="4935BB8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5095.5791</w:t>
                  </w:r>
                </w:p>
              </w:tc>
              <w:tc>
                <w:tcPr>
                  <w:tcW w:w="1604" w:type="dxa"/>
                  <w:tcBorders>
                    <w:top w:val="single" w:color="auto" w:sz="4" w:space="0"/>
                    <w:left w:val="single" w:color="000000" w:sz="8" w:space="0"/>
                    <w:bottom w:val="single" w:color="000000" w:sz="8" w:space="0"/>
                    <w:right w:val="single" w:color="auto" w:sz="4" w:space="0"/>
                  </w:tcBorders>
                  <w:shd w:val="clear" w:color="auto" w:fill="auto"/>
                  <w:vAlign w:val="center"/>
                </w:tcPr>
                <w:p w14:paraId="323017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02D1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14:paraId="0690BA17">
                  <w:pPr>
                    <w:jc w:val="center"/>
                    <w:rPr>
                      <w:rFonts w:hint="default" w:ascii="Times New Roman" w:hAnsi="Times New Roman" w:eastAsia="宋体" w:cs="Times New Roman"/>
                      <w:i w:val="0"/>
                      <w:iCs w:val="0"/>
                      <w:color w:val="auto"/>
                      <w:sz w:val="21"/>
                      <w:szCs w:val="21"/>
                      <w:u w:val="none"/>
                    </w:rPr>
                  </w:pPr>
                </w:p>
              </w:tc>
              <w:tc>
                <w:tcPr>
                  <w:tcW w:w="1166" w:type="dxa"/>
                  <w:tcBorders>
                    <w:top w:val="nil"/>
                    <w:left w:val="single" w:color="000000" w:sz="8" w:space="0"/>
                    <w:bottom w:val="single" w:color="auto" w:sz="4" w:space="0"/>
                    <w:right w:val="single" w:color="000000" w:sz="8" w:space="0"/>
                  </w:tcBorders>
                  <w:shd w:val="clear" w:color="auto" w:fill="auto"/>
                  <w:vAlign w:val="center"/>
                </w:tcPr>
                <w:p w14:paraId="6E671F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3282" w:type="dxa"/>
                  <w:tcBorders>
                    <w:top w:val="nil"/>
                    <w:left w:val="single" w:color="000000" w:sz="8" w:space="0"/>
                    <w:bottom w:val="single" w:color="auto" w:sz="4" w:space="0"/>
                    <w:right w:val="single" w:color="000000" w:sz="8" w:space="0"/>
                  </w:tcBorders>
                  <w:shd w:val="clear" w:color="auto" w:fill="auto"/>
                  <w:vAlign w:val="center"/>
                </w:tcPr>
                <w:p w14:paraId="13C18E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4.0765 </w:t>
                  </w:r>
                </w:p>
              </w:tc>
              <w:tc>
                <w:tcPr>
                  <w:tcW w:w="1604" w:type="dxa"/>
                  <w:tcBorders>
                    <w:top w:val="nil"/>
                    <w:left w:val="single" w:color="000000" w:sz="8" w:space="0"/>
                    <w:bottom w:val="single" w:color="auto" w:sz="4" w:space="0"/>
                    <w:right w:val="single" w:color="auto" w:sz="4" w:space="0"/>
                  </w:tcBorders>
                  <w:shd w:val="clear" w:color="auto" w:fill="auto"/>
                  <w:vAlign w:val="center"/>
                </w:tcPr>
                <w:p w14:paraId="37D131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800</w:t>
                  </w:r>
                </w:p>
              </w:tc>
            </w:tr>
            <w:tr w14:paraId="3A1F7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14:paraId="4017B008">
                  <w:pPr>
                    <w:keepNext w:val="0"/>
                    <w:keepLines w:val="0"/>
                    <w:widowControl/>
                    <w:suppressLineNumbers w:val="0"/>
                    <w:jc w:val="center"/>
                    <w:textAlignment w:val="center"/>
                    <w:rPr>
                      <w:color w:val="auto"/>
                    </w:rPr>
                  </w:pPr>
                </w:p>
              </w:tc>
              <w:tc>
                <w:tcPr>
                  <w:tcW w:w="1166" w:type="dxa"/>
                  <w:tcBorders>
                    <w:top w:val="nil"/>
                    <w:left w:val="single" w:color="000000" w:sz="8" w:space="0"/>
                    <w:bottom w:val="single" w:color="auto" w:sz="4" w:space="0"/>
                    <w:right w:val="single" w:color="000000" w:sz="8" w:space="0"/>
                  </w:tcBorders>
                  <w:shd w:val="clear" w:color="auto" w:fill="auto"/>
                  <w:vAlign w:val="center"/>
                </w:tcPr>
                <w:p w14:paraId="44E1D6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3282" w:type="dxa"/>
                  <w:tcBorders>
                    <w:top w:val="nil"/>
                    <w:left w:val="single" w:color="000000" w:sz="8" w:space="0"/>
                    <w:bottom w:val="single" w:color="auto" w:sz="4" w:space="0"/>
                    <w:right w:val="single" w:color="000000" w:sz="8" w:space="0"/>
                  </w:tcBorders>
                  <w:shd w:val="clear" w:color="auto" w:fill="auto"/>
                  <w:vAlign w:val="center"/>
                </w:tcPr>
                <w:p w14:paraId="32AD2C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2.5478 </w:t>
                  </w:r>
                </w:p>
              </w:tc>
              <w:tc>
                <w:tcPr>
                  <w:tcW w:w="1604" w:type="dxa"/>
                  <w:tcBorders>
                    <w:top w:val="nil"/>
                    <w:left w:val="single" w:color="000000" w:sz="8" w:space="0"/>
                    <w:bottom w:val="single" w:color="auto" w:sz="4" w:space="0"/>
                    <w:right w:val="single" w:color="auto" w:sz="4" w:space="0"/>
                  </w:tcBorders>
                  <w:shd w:val="clear" w:color="auto" w:fill="auto"/>
                  <w:vAlign w:val="center"/>
                </w:tcPr>
                <w:p w14:paraId="6C5284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w:t>
                  </w:r>
                </w:p>
              </w:tc>
            </w:tr>
            <w:tr w14:paraId="7B848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14:paraId="1DCC5C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14:paraId="4EAF62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3282" w:type="dxa"/>
                  <w:tcBorders>
                    <w:top w:val="nil"/>
                    <w:left w:val="single" w:color="000000" w:sz="8" w:space="0"/>
                    <w:bottom w:val="single" w:color="auto" w:sz="4" w:space="0"/>
                    <w:right w:val="single" w:color="000000" w:sz="8" w:space="0"/>
                  </w:tcBorders>
                  <w:shd w:val="clear" w:color="auto" w:fill="auto"/>
                  <w:vAlign w:val="center"/>
                </w:tcPr>
                <w:p w14:paraId="18C8B3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2.5478 </w:t>
                  </w:r>
                </w:p>
              </w:tc>
              <w:tc>
                <w:tcPr>
                  <w:tcW w:w="1604" w:type="dxa"/>
                  <w:tcBorders>
                    <w:top w:val="nil"/>
                    <w:left w:val="single" w:color="000000" w:sz="8" w:space="0"/>
                    <w:bottom w:val="single" w:color="auto" w:sz="4" w:space="0"/>
                    <w:right w:val="single" w:color="auto" w:sz="4" w:space="0"/>
                  </w:tcBorders>
                  <w:shd w:val="clear" w:color="auto" w:fill="auto"/>
                  <w:vAlign w:val="center"/>
                </w:tcPr>
                <w:p w14:paraId="79935E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w:t>
                  </w:r>
                </w:p>
              </w:tc>
            </w:tr>
            <w:tr w14:paraId="10722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14:paraId="3B7877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14:paraId="748FD0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3282" w:type="dxa"/>
                  <w:tcBorders>
                    <w:top w:val="nil"/>
                    <w:left w:val="single" w:color="000000" w:sz="8" w:space="0"/>
                    <w:bottom w:val="single" w:color="auto" w:sz="4" w:space="0"/>
                    <w:right w:val="single" w:color="000000" w:sz="8" w:space="0"/>
                  </w:tcBorders>
                  <w:shd w:val="clear" w:color="auto" w:fill="auto"/>
                  <w:vAlign w:val="center"/>
                </w:tcPr>
                <w:p w14:paraId="3B0E27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0.1274 </w:t>
                  </w:r>
                </w:p>
              </w:tc>
              <w:tc>
                <w:tcPr>
                  <w:tcW w:w="1604" w:type="dxa"/>
                  <w:tcBorders>
                    <w:top w:val="nil"/>
                    <w:left w:val="single" w:color="000000" w:sz="8" w:space="0"/>
                    <w:bottom w:val="single" w:color="auto" w:sz="4" w:space="0"/>
                    <w:right w:val="single" w:color="auto" w:sz="4" w:space="0"/>
                  </w:tcBorders>
                  <w:shd w:val="clear" w:color="auto" w:fill="auto"/>
                  <w:vAlign w:val="center"/>
                </w:tcPr>
                <w:p w14:paraId="70B4B0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w:t>
                  </w:r>
                </w:p>
              </w:tc>
            </w:tr>
            <w:tr w14:paraId="7D86F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14:paraId="2E3223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14:paraId="512769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总氮</w:t>
                  </w:r>
                </w:p>
              </w:tc>
              <w:tc>
                <w:tcPr>
                  <w:tcW w:w="3282" w:type="dxa"/>
                  <w:tcBorders>
                    <w:top w:val="nil"/>
                    <w:left w:val="single" w:color="000000" w:sz="8" w:space="0"/>
                    <w:bottom w:val="single" w:color="auto" w:sz="4" w:space="0"/>
                    <w:right w:val="single" w:color="000000" w:sz="8" w:space="0"/>
                  </w:tcBorders>
                  <w:shd w:val="clear" w:color="auto" w:fill="auto"/>
                  <w:vAlign w:val="center"/>
                </w:tcPr>
                <w:p w14:paraId="0A5554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0.7134 </w:t>
                  </w:r>
                </w:p>
              </w:tc>
              <w:tc>
                <w:tcPr>
                  <w:tcW w:w="1604" w:type="dxa"/>
                  <w:tcBorders>
                    <w:top w:val="nil"/>
                    <w:left w:val="single" w:color="000000" w:sz="8" w:space="0"/>
                    <w:bottom w:val="single" w:color="auto" w:sz="4" w:space="0"/>
                    <w:right w:val="single" w:color="auto" w:sz="4" w:space="0"/>
                  </w:tcBorders>
                  <w:shd w:val="clear" w:color="auto" w:fill="auto"/>
                  <w:vAlign w:val="center"/>
                </w:tcPr>
                <w:p w14:paraId="4CB98C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140</w:t>
                  </w:r>
                </w:p>
              </w:tc>
            </w:tr>
            <w:tr w14:paraId="4DC34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top w:val="nil"/>
                    <w:left w:val="single" w:color="auto" w:sz="4" w:space="0"/>
                    <w:bottom w:val="single" w:color="auto" w:sz="4" w:space="0"/>
                    <w:right w:val="single" w:color="000000" w:sz="8" w:space="0"/>
                  </w:tcBorders>
                  <w:shd w:val="clear" w:color="auto" w:fill="auto"/>
                  <w:vAlign w:val="center"/>
                </w:tcPr>
                <w:p w14:paraId="120D60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14:paraId="7D95C2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TP</w:t>
                  </w:r>
                </w:p>
              </w:tc>
              <w:tc>
                <w:tcPr>
                  <w:tcW w:w="3282" w:type="dxa"/>
                  <w:tcBorders>
                    <w:top w:val="nil"/>
                    <w:left w:val="single" w:color="000000" w:sz="8" w:space="0"/>
                    <w:bottom w:val="single" w:color="auto" w:sz="4" w:space="0"/>
                    <w:right w:val="single" w:color="000000" w:sz="8" w:space="0"/>
                  </w:tcBorders>
                  <w:shd w:val="clear" w:color="auto" w:fill="auto"/>
                  <w:vAlign w:val="center"/>
                </w:tcPr>
                <w:p w14:paraId="562BDE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0.2344 </w:t>
                  </w:r>
                </w:p>
              </w:tc>
              <w:tc>
                <w:tcPr>
                  <w:tcW w:w="1604" w:type="dxa"/>
                  <w:tcBorders>
                    <w:top w:val="nil"/>
                    <w:left w:val="single" w:color="000000" w:sz="8" w:space="0"/>
                    <w:bottom w:val="single" w:color="auto" w:sz="4" w:space="0"/>
                    <w:right w:val="single" w:color="auto" w:sz="4" w:space="0"/>
                  </w:tcBorders>
                  <w:shd w:val="clear" w:color="auto" w:fill="auto"/>
                  <w:vAlign w:val="center"/>
                </w:tcPr>
                <w:p w14:paraId="3713FB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46</w:t>
                  </w:r>
                </w:p>
              </w:tc>
            </w:tr>
            <w:tr w14:paraId="42F2C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 w:hRule="atLeast"/>
              </w:trPr>
              <w:tc>
                <w:tcPr>
                  <w:tcW w:w="2416" w:type="dxa"/>
                  <w:vMerge w:val="continue"/>
                  <w:tcBorders>
                    <w:left w:val="single" w:color="auto" w:sz="4" w:space="0"/>
                    <w:bottom w:val="single" w:color="auto" w:sz="4" w:space="0"/>
                    <w:right w:val="single" w:color="000000" w:sz="8" w:space="0"/>
                  </w:tcBorders>
                  <w:shd w:val="clear" w:color="auto" w:fill="auto"/>
                  <w:vAlign w:val="center"/>
                </w:tcPr>
                <w:p w14:paraId="18233E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nil"/>
                    <w:left w:val="single" w:color="000000" w:sz="8" w:space="0"/>
                    <w:bottom w:val="single" w:color="auto" w:sz="4" w:space="0"/>
                    <w:right w:val="single" w:color="000000" w:sz="8" w:space="0"/>
                  </w:tcBorders>
                  <w:shd w:val="clear" w:color="auto" w:fill="auto"/>
                  <w:vAlign w:val="center"/>
                </w:tcPr>
                <w:p w14:paraId="1C3959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3282" w:type="dxa"/>
                  <w:tcBorders>
                    <w:top w:val="nil"/>
                    <w:left w:val="single" w:color="000000" w:sz="8" w:space="0"/>
                    <w:bottom w:val="single" w:color="auto" w:sz="4" w:space="0"/>
                    <w:right w:val="single" w:color="000000" w:sz="8" w:space="0"/>
                  </w:tcBorders>
                  <w:shd w:val="clear" w:color="auto" w:fill="auto"/>
                  <w:vAlign w:val="center"/>
                </w:tcPr>
                <w:p w14:paraId="7BA0F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0.5096 </w:t>
                  </w:r>
                </w:p>
              </w:tc>
              <w:tc>
                <w:tcPr>
                  <w:tcW w:w="1604" w:type="dxa"/>
                  <w:tcBorders>
                    <w:top w:val="nil"/>
                    <w:left w:val="single" w:color="000000" w:sz="8" w:space="0"/>
                    <w:bottom w:val="single" w:color="auto" w:sz="4" w:space="0"/>
                    <w:right w:val="single" w:color="auto" w:sz="4" w:space="0"/>
                  </w:tcBorders>
                  <w:shd w:val="clear" w:color="auto" w:fill="auto"/>
                  <w:vAlign w:val="center"/>
                </w:tcPr>
                <w:p w14:paraId="7C8D57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p>
              </w:tc>
            </w:tr>
            <w:tr w14:paraId="7ED67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restart"/>
                  <w:tcBorders>
                    <w:top w:val="single" w:color="auto" w:sz="4" w:space="0"/>
                    <w:left w:val="single" w:color="auto" w:sz="4" w:space="0"/>
                    <w:right w:val="single" w:color="000000" w:sz="8" w:space="0"/>
                  </w:tcBorders>
                  <w:shd w:val="clear" w:color="auto" w:fill="auto"/>
                  <w:vAlign w:val="center"/>
                </w:tcPr>
                <w:p w14:paraId="75FFF5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综合废水</w:t>
                  </w: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14:paraId="6BD7D8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14:paraId="5E6630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5575.5791</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14:paraId="3E7C73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r w14:paraId="3EB50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14:paraId="01F3DD5E">
                  <w:pPr>
                    <w:keepNext w:val="0"/>
                    <w:keepLines w:val="0"/>
                    <w:widowControl/>
                    <w:suppressLineNumbers w:val="0"/>
                    <w:jc w:val="center"/>
                    <w:textAlignment w:val="center"/>
                    <w:rPr>
                      <w:color w:val="auto"/>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14:paraId="03ECC1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14:paraId="716D4C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4.3261</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14:paraId="05E408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775.89</w:t>
                  </w:r>
                </w:p>
              </w:tc>
            </w:tr>
            <w:tr w14:paraId="60900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14:paraId="776BD8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14:paraId="681163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14:paraId="56A3C2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2.6438</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14:paraId="17B7E1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474.17</w:t>
                  </w:r>
                </w:p>
              </w:tc>
            </w:tr>
            <w:tr w14:paraId="1CED7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14:paraId="761D26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14:paraId="022013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14:paraId="7C8329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2.6438</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14:paraId="57A0C0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474.17</w:t>
                  </w:r>
                </w:p>
              </w:tc>
            </w:tr>
            <w:tr w14:paraId="4845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14:paraId="6AE66F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14:paraId="750AA2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14:paraId="50B25C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0.1466</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14:paraId="0D21C9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26.29</w:t>
                  </w:r>
                </w:p>
              </w:tc>
            </w:tr>
            <w:tr w14:paraId="0763A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14:paraId="1D2484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14:paraId="532B77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总氮</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14:paraId="602FEF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0.7350</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14:paraId="530B89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131.82</w:t>
                  </w:r>
                </w:p>
              </w:tc>
            </w:tr>
            <w:tr w14:paraId="4EC3C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right w:val="single" w:color="000000" w:sz="8" w:space="0"/>
                  </w:tcBorders>
                  <w:shd w:val="clear" w:color="auto" w:fill="auto"/>
                  <w:vAlign w:val="center"/>
                </w:tcPr>
                <w:p w14:paraId="7527D9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14:paraId="6AA523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TP</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14:paraId="6A37E6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0.2382</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14:paraId="6CC9C4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42.73</w:t>
                  </w:r>
                </w:p>
              </w:tc>
            </w:tr>
            <w:tr w14:paraId="31BFB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 w:hRule="atLeast"/>
              </w:trPr>
              <w:tc>
                <w:tcPr>
                  <w:tcW w:w="2416" w:type="dxa"/>
                  <w:vMerge w:val="continue"/>
                  <w:tcBorders>
                    <w:left w:val="single" w:color="auto" w:sz="4" w:space="0"/>
                    <w:bottom w:val="single" w:color="auto" w:sz="4" w:space="0"/>
                    <w:right w:val="single" w:color="000000" w:sz="8" w:space="0"/>
                  </w:tcBorders>
                  <w:shd w:val="clear" w:color="auto" w:fill="auto"/>
                  <w:vAlign w:val="center"/>
                </w:tcPr>
                <w:p w14:paraId="61B25A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66" w:type="dxa"/>
                  <w:tcBorders>
                    <w:top w:val="single" w:color="auto" w:sz="4" w:space="0"/>
                    <w:left w:val="single" w:color="000000" w:sz="8" w:space="0"/>
                    <w:bottom w:val="single" w:color="auto" w:sz="4" w:space="0"/>
                    <w:right w:val="single" w:color="000000" w:sz="8" w:space="0"/>
                  </w:tcBorders>
                  <w:shd w:val="clear" w:color="auto" w:fill="auto"/>
                  <w:vAlign w:val="center"/>
                </w:tcPr>
                <w:p w14:paraId="14D115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3282" w:type="dxa"/>
                  <w:tcBorders>
                    <w:top w:val="single" w:color="auto" w:sz="4" w:space="0"/>
                    <w:left w:val="single" w:color="000000" w:sz="8" w:space="0"/>
                    <w:bottom w:val="single" w:color="auto" w:sz="4" w:space="0"/>
                    <w:right w:val="single" w:color="000000" w:sz="8" w:space="0"/>
                  </w:tcBorders>
                  <w:shd w:val="clear" w:color="auto" w:fill="auto"/>
                  <w:vAlign w:val="center"/>
                </w:tcPr>
                <w:p w14:paraId="787E96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0.5264</w:t>
                  </w:r>
                </w:p>
              </w:tc>
              <w:tc>
                <w:tcPr>
                  <w:tcW w:w="1604" w:type="dxa"/>
                  <w:tcBorders>
                    <w:top w:val="single" w:color="auto" w:sz="4" w:space="0"/>
                    <w:left w:val="single" w:color="000000" w:sz="8" w:space="0"/>
                    <w:bottom w:val="single" w:color="auto" w:sz="4" w:space="0"/>
                    <w:right w:val="single" w:color="auto" w:sz="4" w:space="0"/>
                  </w:tcBorders>
                  <w:shd w:val="clear" w:color="auto" w:fill="auto"/>
                  <w:vAlign w:val="center"/>
                </w:tcPr>
                <w:p w14:paraId="7A1580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94.40</w:t>
                  </w:r>
                </w:p>
              </w:tc>
            </w:tr>
          </w:tbl>
          <w:p w14:paraId="59D657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zh-CN"/>
              </w:rPr>
              <w:t>综上可知，项目综合废水</w:t>
            </w:r>
            <w:r>
              <w:rPr>
                <w:rFonts w:hint="default" w:ascii="Times New Roman" w:hAnsi="Times New Roman" w:eastAsia="宋体" w:cs="Times New Roman"/>
                <w:b w:val="0"/>
                <w:bCs w:val="0"/>
                <w:color w:val="auto"/>
                <w:sz w:val="24"/>
                <w:szCs w:val="24"/>
                <w:highlight w:val="none"/>
              </w:rPr>
              <w:t>污染物浓度COD：</w:t>
            </w:r>
            <w:r>
              <w:rPr>
                <w:rFonts w:hint="eastAsia" w:cs="Times New Roman"/>
                <w:i w:val="0"/>
                <w:iCs w:val="0"/>
                <w:color w:val="auto"/>
                <w:kern w:val="0"/>
                <w:sz w:val="24"/>
                <w:szCs w:val="24"/>
                <w:highlight w:val="none"/>
                <w:u w:val="none"/>
                <w:lang w:val="en-US" w:eastAsia="zh-CN" w:bidi="ar"/>
              </w:rPr>
              <w:t>775.89</w:t>
            </w:r>
            <w:r>
              <w:rPr>
                <w:rFonts w:hint="default" w:ascii="Times New Roman" w:hAnsi="Times New Roman" w:eastAsia="宋体" w:cs="Times New Roman"/>
                <w:b w:val="0"/>
                <w:bCs w:val="0"/>
                <w:color w:val="auto"/>
                <w:sz w:val="24"/>
                <w:szCs w:val="24"/>
                <w:highlight w:val="none"/>
              </w:rPr>
              <w:t>mg/L，BOD</w:t>
            </w:r>
            <w:r>
              <w:rPr>
                <w:rFonts w:hint="default" w:ascii="Times New Roman" w:hAnsi="Times New Roman" w:eastAsia="宋体" w:cs="Times New Roman"/>
                <w:b w:val="0"/>
                <w:bCs w:val="0"/>
                <w:color w:val="auto"/>
                <w:sz w:val="24"/>
                <w:szCs w:val="24"/>
                <w:highlight w:val="none"/>
                <w:vertAlign w:val="subscript"/>
              </w:rPr>
              <w:t>5</w:t>
            </w:r>
            <w:r>
              <w:rPr>
                <w:rFonts w:hint="default" w:ascii="Times New Roman" w:hAnsi="Times New Roman" w:eastAsia="宋体" w:cs="Times New Roman"/>
                <w:b w:val="0"/>
                <w:bCs w:val="0"/>
                <w:color w:val="auto"/>
                <w:sz w:val="24"/>
                <w:szCs w:val="24"/>
                <w:highlight w:val="none"/>
              </w:rPr>
              <w:t>：</w:t>
            </w:r>
            <w:r>
              <w:rPr>
                <w:rFonts w:hint="eastAsia" w:cs="Times New Roman"/>
                <w:i w:val="0"/>
                <w:iCs w:val="0"/>
                <w:color w:val="auto"/>
                <w:kern w:val="0"/>
                <w:sz w:val="24"/>
                <w:szCs w:val="24"/>
                <w:highlight w:val="none"/>
                <w:u w:val="none"/>
                <w:lang w:val="en-US" w:eastAsia="zh-CN" w:bidi="ar"/>
              </w:rPr>
              <w:t>474.17</w:t>
            </w:r>
            <w:r>
              <w:rPr>
                <w:rFonts w:hint="default" w:ascii="Times New Roman" w:hAnsi="Times New Roman" w:eastAsia="宋体" w:cs="Times New Roman"/>
                <w:b w:val="0"/>
                <w:bCs w:val="0"/>
                <w:color w:val="auto"/>
                <w:sz w:val="24"/>
                <w:szCs w:val="24"/>
                <w:highlight w:val="none"/>
              </w:rPr>
              <w:t>mg/L，SS：</w:t>
            </w:r>
            <w:r>
              <w:rPr>
                <w:rFonts w:hint="eastAsia" w:cs="Times New Roman"/>
                <w:i w:val="0"/>
                <w:iCs w:val="0"/>
                <w:color w:val="auto"/>
                <w:kern w:val="0"/>
                <w:sz w:val="24"/>
                <w:szCs w:val="24"/>
                <w:highlight w:val="none"/>
                <w:u w:val="none"/>
                <w:lang w:val="en-US" w:eastAsia="zh-CN" w:bidi="ar"/>
              </w:rPr>
              <w:t>474.17</w:t>
            </w:r>
            <w:r>
              <w:rPr>
                <w:rFonts w:hint="default" w:ascii="Times New Roman" w:hAnsi="Times New Roman" w:eastAsia="宋体" w:cs="Times New Roman"/>
                <w:b w:val="0"/>
                <w:bCs w:val="0"/>
                <w:color w:val="auto"/>
                <w:sz w:val="24"/>
                <w:szCs w:val="24"/>
                <w:highlight w:val="none"/>
              </w:rPr>
              <w:t>mg/L，NH</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rPr>
              <w:t>-N：</w:t>
            </w:r>
            <w:r>
              <w:rPr>
                <w:rFonts w:hint="default" w:ascii="Times New Roman" w:hAnsi="Times New Roman" w:eastAsia="宋体" w:cs="Times New Roman"/>
                <w:i w:val="0"/>
                <w:iCs w:val="0"/>
                <w:color w:val="auto"/>
                <w:kern w:val="0"/>
                <w:sz w:val="24"/>
                <w:szCs w:val="24"/>
                <w:highlight w:val="none"/>
                <w:u w:val="none"/>
                <w:lang w:val="en-US" w:eastAsia="zh-CN" w:bidi="ar"/>
              </w:rPr>
              <w:t>26.</w:t>
            </w:r>
            <w:r>
              <w:rPr>
                <w:rFonts w:hint="eastAsia" w:cs="Times New Roman"/>
                <w:i w:val="0"/>
                <w:iCs w:val="0"/>
                <w:color w:val="auto"/>
                <w:kern w:val="0"/>
                <w:sz w:val="24"/>
                <w:szCs w:val="24"/>
                <w:highlight w:val="none"/>
                <w:u w:val="none"/>
                <w:lang w:val="en-US" w:eastAsia="zh-CN" w:bidi="ar"/>
              </w:rPr>
              <w:t>29</w:t>
            </w:r>
            <w:r>
              <w:rPr>
                <w:rFonts w:hint="default" w:ascii="Times New Roman" w:hAnsi="Times New Roman" w:eastAsia="宋体" w:cs="Times New Roman"/>
                <w:b w:val="0"/>
                <w:bCs w:val="0"/>
                <w:color w:val="auto"/>
                <w:sz w:val="24"/>
                <w:szCs w:val="24"/>
                <w:highlight w:val="none"/>
              </w:rPr>
              <w:t>mg/L，TP：</w:t>
            </w:r>
            <w:r>
              <w:rPr>
                <w:rFonts w:hint="eastAsia" w:cs="Times New Roman"/>
                <w:i w:val="0"/>
                <w:iCs w:val="0"/>
                <w:color w:val="auto"/>
                <w:kern w:val="0"/>
                <w:sz w:val="24"/>
                <w:szCs w:val="24"/>
                <w:highlight w:val="none"/>
                <w:u w:val="none"/>
                <w:lang w:val="en-US" w:eastAsia="zh-CN" w:bidi="ar"/>
              </w:rPr>
              <w:t>42.73</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T</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rPr>
              <w:t>：</w:t>
            </w:r>
            <w:r>
              <w:rPr>
                <w:rFonts w:hint="eastAsia" w:cs="Times New Roman"/>
                <w:i w:val="0"/>
                <w:iCs w:val="0"/>
                <w:color w:val="auto"/>
                <w:kern w:val="0"/>
                <w:sz w:val="24"/>
                <w:szCs w:val="24"/>
                <w:highlight w:val="none"/>
                <w:u w:val="none"/>
                <w:lang w:val="en-US" w:eastAsia="zh-CN" w:bidi="ar"/>
              </w:rPr>
              <w:t>131.82</w:t>
            </w:r>
            <w:r>
              <w:rPr>
                <w:rFonts w:hint="default" w:ascii="Times New Roman" w:hAnsi="Times New Roman" w:eastAsia="宋体" w:cs="Times New Roman"/>
                <w:b w:val="0"/>
                <w:bCs w:val="0"/>
                <w:color w:val="auto"/>
                <w:sz w:val="24"/>
                <w:szCs w:val="24"/>
                <w:highlight w:val="none"/>
              </w:rPr>
              <w:t>mg/L</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动植物油：</w:t>
            </w:r>
            <w:r>
              <w:rPr>
                <w:rFonts w:hint="eastAsia" w:cs="Times New Roman"/>
                <w:b w:val="0"/>
                <w:bCs w:val="0"/>
                <w:color w:val="auto"/>
                <w:sz w:val="24"/>
                <w:szCs w:val="24"/>
                <w:highlight w:val="none"/>
                <w:lang w:val="en-US" w:eastAsia="zh-CN"/>
              </w:rPr>
              <w:t>94.40</w:t>
            </w:r>
            <w:r>
              <w:rPr>
                <w:rFonts w:hint="default" w:ascii="Times New Roman" w:hAnsi="Times New Roman" w:eastAsia="宋体" w:cs="Times New Roman"/>
                <w:b w:val="0"/>
                <w:bCs w:val="0"/>
                <w:color w:val="auto"/>
                <w:sz w:val="24"/>
                <w:szCs w:val="24"/>
                <w:highlight w:val="none"/>
              </w:rPr>
              <w:t>mg/L。</w:t>
            </w:r>
          </w:p>
          <w:p w14:paraId="049C2C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根据《废水处理工程技术手册》（潘涛、田刚主编，</w:t>
            </w:r>
            <w:r>
              <w:rPr>
                <w:rFonts w:hint="default" w:ascii="Times New Roman" w:hAnsi="Times New Roman" w:eastAsia="宋体" w:cs="Times New Roman"/>
                <w:color w:val="auto"/>
                <w:kern w:val="0"/>
                <w:sz w:val="24"/>
                <w:szCs w:val="20"/>
                <w:highlight w:val="none"/>
                <w:lang w:val="zh-CN"/>
              </w:rPr>
              <w:t>化学工业出版社，</w:t>
            </w:r>
            <w:r>
              <w:rPr>
                <w:rFonts w:hint="default" w:ascii="Times New Roman" w:hAnsi="Times New Roman" w:eastAsia="宋体" w:cs="Times New Roman"/>
                <w:color w:val="auto"/>
                <w:kern w:val="0"/>
                <w:sz w:val="24"/>
                <w:szCs w:val="20"/>
                <w:highlight w:val="none"/>
                <w:lang w:val="en-US" w:eastAsia="zh-CN"/>
              </w:rPr>
              <w:t>2010年版</w:t>
            </w:r>
            <w:r>
              <w:rPr>
                <w:rFonts w:hint="default" w:ascii="Times New Roman" w:hAnsi="Times New Roman" w:eastAsia="宋体" w:cs="Times New Roman"/>
                <w:color w:val="auto"/>
                <w:sz w:val="24"/>
                <w:szCs w:val="24"/>
                <w:highlight w:val="none"/>
                <w:lang w:val="en-US" w:eastAsia="zh-CN"/>
              </w:rPr>
              <w:t>），隔油池对生活废水中动植物油去除效率为60%~80%，本项目取80%；</w:t>
            </w:r>
            <w:r>
              <w:rPr>
                <w:rFonts w:hint="default" w:ascii="Times New Roman" w:hAnsi="Times New Roman" w:eastAsia="宋体" w:cs="Times New Roman"/>
                <w:snapToGrid w:val="0"/>
                <w:color w:val="auto"/>
                <w:sz w:val="24"/>
                <w:highlight w:val="none"/>
              </w:rPr>
              <w:t>根据《常用污水处理设备及去除率》进行确定，</w:t>
            </w:r>
            <w:r>
              <w:rPr>
                <w:rFonts w:hint="default" w:ascii="Times New Roman" w:hAnsi="Times New Roman" w:eastAsia="宋体" w:cs="Times New Roman"/>
                <w:snapToGrid w:val="0"/>
                <w:color w:val="auto"/>
                <w:sz w:val="24"/>
                <w:highlight w:val="none"/>
                <w:lang w:val="en-US" w:eastAsia="zh-CN"/>
              </w:rPr>
              <w:t>化粪池处理效率</w:t>
            </w:r>
            <w:r>
              <w:rPr>
                <w:rFonts w:hint="default" w:ascii="Times New Roman" w:hAnsi="Times New Roman" w:eastAsia="宋体" w:cs="Times New Roman"/>
                <w:snapToGrid w:val="0"/>
                <w:color w:val="auto"/>
                <w:sz w:val="24"/>
                <w:highlight w:val="none"/>
              </w:rPr>
              <w:t>分别为：COD15%、BOD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rPr>
              <w:t>15%、SS30%、氨氮0%、总磷0%</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总氮0%</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的公告（公告2021年第24号）中《1453水果、蔬菜罐头制造行业系数手册》135</w:t>
            </w:r>
            <w:r>
              <w:rPr>
                <w:rFonts w:hint="eastAsia" w:ascii="Times New Roman" w:hAnsi="Times New Roman" w:eastAsia="宋体" w:cs="Times New Roman"/>
                <w:color w:val="auto"/>
                <w:sz w:val="24"/>
                <w:szCs w:val="24"/>
                <w:highlight w:val="none"/>
                <w:lang w:val="en-US" w:eastAsia="zh-CN"/>
              </w:rPr>
              <w:t>屠宰及肉类加工行业系数手册</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干炸肉制品产污系数表</w:t>
            </w:r>
            <w:r>
              <w:rPr>
                <w:rFonts w:hint="default" w:ascii="Times New Roman" w:hAnsi="Times New Roman" w:eastAsia="宋体" w:cs="Times New Roman"/>
                <w:color w:val="auto"/>
                <w:sz w:val="24"/>
                <w:szCs w:val="24"/>
                <w:highlight w:val="none"/>
                <w:lang w:val="en-US" w:eastAsia="zh-CN"/>
              </w:rPr>
              <w:t>中的去除效率进行计算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末端治理技术为</w:t>
            </w:r>
            <w:r>
              <w:rPr>
                <w:rFonts w:hint="eastAsia" w:cs="Times New Roman"/>
                <w:bCs/>
                <w:color w:val="auto"/>
                <w:spacing w:val="6"/>
                <w:sz w:val="24"/>
                <w:highlight w:val="none"/>
                <w:lang w:val="en-US" w:eastAsia="zh-CN"/>
              </w:rPr>
              <w:t>沉淀分离+厌氧生物处理法+好氧生物处理法</w:t>
            </w:r>
            <w:r>
              <w:rPr>
                <w:rFonts w:hint="default" w:ascii="Times New Roman" w:hAnsi="Times New Roman" w:eastAsia="宋体" w:cs="Times New Roman"/>
                <w:bCs/>
                <w:color w:val="auto"/>
                <w:spacing w:val="6"/>
                <w:sz w:val="24"/>
                <w:highlight w:val="none"/>
                <w:lang w:val="en-US" w:eastAsia="zh-CN"/>
              </w:rPr>
              <w:t>的</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eastAsia" w:cs="Times New Roman"/>
                <w:snapToGrid w:val="0"/>
                <w:color w:val="auto"/>
                <w:sz w:val="24"/>
                <w:highlight w:val="none"/>
                <w:lang w:val="en-US" w:eastAsia="zh-CN"/>
              </w:rPr>
              <w:t>96</w:t>
            </w:r>
            <w:r>
              <w:rPr>
                <w:rFonts w:hint="default" w:ascii="Times New Roman" w:hAnsi="Times New Roman" w:eastAsia="宋体" w:cs="Times New Roman"/>
                <w:snapToGrid w:val="0"/>
                <w:color w:val="auto"/>
                <w:sz w:val="24"/>
                <w:highlight w:val="none"/>
              </w:rPr>
              <w:t>%、氨氮</w:t>
            </w:r>
            <w:r>
              <w:rPr>
                <w:rFonts w:hint="eastAsia" w:cs="Times New Roman"/>
                <w:snapToGrid w:val="0"/>
                <w:color w:val="auto"/>
                <w:sz w:val="24"/>
                <w:highlight w:val="none"/>
                <w:lang w:val="en-US" w:eastAsia="zh-CN"/>
              </w:rPr>
              <w:t>90</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总氮</w:t>
            </w:r>
            <w:r>
              <w:rPr>
                <w:rFonts w:hint="eastAsia" w:cs="Times New Roman"/>
                <w:snapToGrid w:val="0"/>
                <w:color w:val="auto"/>
                <w:sz w:val="24"/>
                <w:highlight w:val="none"/>
                <w:lang w:val="en-US" w:eastAsia="zh-CN"/>
              </w:rPr>
              <w:t>80</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总磷</w:t>
            </w:r>
            <w:r>
              <w:rPr>
                <w:rFonts w:hint="eastAsia" w:cs="Times New Roman"/>
                <w:snapToGrid w:val="0"/>
                <w:color w:val="auto"/>
                <w:sz w:val="24"/>
                <w:highlight w:val="none"/>
                <w:lang w:val="en-US" w:eastAsia="zh-CN"/>
              </w:rPr>
              <w:t>80</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color w:val="auto"/>
                <w:sz w:val="24"/>
                <w:szCs w:val="24"/>
                <w:highlight w:val="none"/>
                <w:lang w:val="zh-CN"/>
              </w:rPr>
              <w:t>，</w:t>
            </w:r>
            <w:r>
              <w:rPr>
                <w:rFonts w:hint="eastAsia" w:cs="Times New Roman"/>
                <w:color w:val="auto"/>
                <w:sz w:val="24"/>
                <w:szCs w:val="24"/>
                <w:highlight w:val="none"/>
                <w:lang w:val="zh-CN"/>
              </w:rPr>
              <w:t>本项目</w:t>
            </w:r>
            <w:r>
              <w:rPr>
                <w:rFonts w:hint="default" w:ascii="Times New Roman" w:hAnsi="Times New Roman" w:eastAsia="宋体" w:cs="Times New Roman"/>
                <w:color w:val="auto"/>
                <w:spacing w:val="2"/>
                <w:sz w:val="24"/>
                <w:lang w:val="zh-CN"/>
              </w:rPr>
              <w:t>处理工艺拟采用</w:t>
            </w:r>
            <w:r>
              <w:rPr>
                <w:rFonts w:hint="default" w:ascii="Times New Roman" w:hAnsi="Times New Roman" w:eastAsia="宋体" w:cs="Times New Roman"/>
                <w:color w:val="auto"/>
                <w:sz w:val="24"/>
              </w:rPr>
              <w:t>“调节池+</w:t>
            </w:r>
            <w:r>
              <w:rPr>
                <w:rFonts w:hint="eastAsia" w:ascii="Times New Roman" w:hAnsi="Times New Roman" w:cs="Times New Roman"/>
                <w:color w:val="auto"/>
                <w:sz w:val="24"/>
                <w:lang w:eastAsia="zh-CN"/>
              </w:rPr>
              <w:t>气浮</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rPr>
              <w:t>A/O处理+混凝沉淀”</w:t>
            </w:r>
            <w:r>
              <w:rPr>
                <w:rFonts w:hint="eastAsia" w:ascii="Times New Roman" w:hAnsi="Times New Roman" w:cs="Times New Roman"/>
                <w:color w:val="auto"/>
                <w:sz w:val="24"/>
                <w:lang w:eastAsia="zh-CN"/>
              </w:rPr>
              <w:t>，</w:t>
            </w:r>
            <w:r>
              <w:rPr>
                <w:rFonts w:hint="eastAsia"/>
                <w:color w:val="auto"/>
                <w:sz w:val="24"/>
              </w:rPr>
              <w:t>脱胶脱磷废水</w:t>
            </w:r>
            <w:r>
              <w:rPr>
                <w:rFonts w:hint="eastAsia"/>
                <w:color w:val="auto"/>
                <w:sz w:val="24"/>
                <w:lang w:eastAsia="zh-CN"/>
              </w:rPr>
              <w:t>、牛肉腌制废水、</w:t>
            </w:r>
            <w:r>
              <w:rPr>
                <w:rFonts w:hint="eastAsia" w:ascii="Times New Roman" w:hAnsi="Times New Roman" w:eastAsia="宋体" w:cs="Times New Roman"/>
                <w:color w:val="auto"/>
                <w:sz w:val="24"/>
                <w:lang w:val="en-US" w:eastAsia="zh-CN"/>
              </w:rPr>
              <w:t>车间地面清洗</w:t>
            </w:r>
            <w:r>
              <w:rPr>
                <w:rFonts w:hint="default" w:ascii="Times New Roman" w:hAnsi="Times New Roman" w:eastAsia="宋体" w:cs="Times New Roman"/>
                <w:color w:val="auto"/>
                <w:sz w:val="24"/>
                <w:lang w:val="en-US" w:eastAsia="zh-CN"/>
              </w:rPr>
              <w:t>废水</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设备清洗废水</w:t>
            </w:r>
            <w:r>
              <w:rPr>
                <w:rFonts w:hint="default" w:ascii="Times New Roman" w:hAnsi="Times New Roman" w:eastAsia="宋体" w:cs="Times New Roman"/>
                <w:b w:val="0"/>
                <w:bCs w:val="0"/>
                <w:color w:val="auto"/>
                <w:sz w:val="24"/>
                <w:szCs w:val="24"/>
                <w:highlight w:val="none"/>
                <w:lang w:val="en-US" w:eastAsia="zh-CN"/>
              </w:rPr>
              <w:t>经隔油池预处理</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cs="Times New Roman"/>
                <w:color w:val="auto"/>
                <w:sz w:val="24"/>
                <w:lang w:eastAsia="zh-CN"/>
              </w:rPr>
              <w:t>因此</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eastAsia" w:cs="Times New Roman"/>
                <w:snapToGrid w:val="0"/>
                <w:color w:val="auto"/>
                <w:sz w:val="24"/>
                <w:highlight w:val="none"/>
                <w:lang w:val="en-US" w:eastAsia="zh-CN"/>
              </w:rPr>
              <w:t>96</w:t>
            </w:r>
            <w:r>
              <w:rPr>
                <w:rFonts w:hint="default" w:ascii="Times New Roman" w:hAnsi="Times New Roman" w:eastAsia="宋体" w:cs="Times New Roman"/>
                <w:snapToGrid w:val="0"/>
                <w:color w:val="auto"/>
                <w:sz w:val="24"/>
                <w:highlight w:val="none"/>
              </w:rPr>
              <w:t>%、氨氮</w:t>
            </w:r>
            <w:r>
              <w:rPr>
                <w:rFonts w:hint="eastAsia" w:cs="Times New Roman"/>
                <w:snapToGrid w:val="0"/>
                <w:color w:val="auto"/>
                <w:sz w:val="24"/>
                <w:highlight w:val="none"/>
                <w:lang w:val="en-US" w:eastAsia="zh-CN"/>
              </w:rPr>
              <w:t>90</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总氮</w:t>
            </w:r>
            <w:r>
              <w:rPr>
                <w:rFonts w:hint="eastAsia" w:cs="Times New Roman"/>
                <w:snapToGrid w:val="0"/>
                <w:color w:val="auto"/>
                <w:sz w:val="24"/>
                <w:highlight w:val="none"/>
                <w:lang w:val="en-US" w:eastAsia="zh-CN"/>
              </w:rPr>
              <w:t>80</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总磷</w:t>
            </w:r>
            <w:r>
              <w:rPr>
                <w:rFonts w:hint="eastAsia" w:cs="Times New Roman"/>
                <w:snapToGrid w:val="0"/>
                <w:color w:val="auto"/>
                <w:sz w:val="24"/>
                <w:highlight w:val="none"/>
                <w:lang w:val="en-US" w:eastAsia="zh-CN"/>
              </w:rPr>
              <w:t>85</w:t>
            </w:r>
            <w:r>
              <w:rPr>
                <w:rFonts w:hint="default" w:ascii="Times New Roman" w:hAnsi="Times New Roman" w:eastAsia="宋体" w:cs="Times New Roman"/>
                <w:snapToGrid w:val="0"/>
                <w:color w:val="auto"/>
                <w:sz w:val="24"/>
                <w:highlight w:val="none"/>
              </w:rPr>
              <w:t>%</w:t>
            </w:r>
            <w:r>
              <w:rPr>
                <w:rFonts w:hint="eastAsia" w:ascii="Times New Roman" w:hAnsi="Times New Roman" w:cs="Times New Roman"/>
                <w:snapToGrid w:val="0"/>
                <w:color w:val="auto"/>
                <w:sz w:val="24"/>
                <w:highlight w:val="none"/>
                <w:lang w:eastAsia="zh-CN"/>
              </w:rPr>
              <w:t>、</w:t>
            </w:r>
            <w:r>
              <w:rPr>
                <w:rFonts w:hint="default" w:ascii="Times New Roman" w:hAnsi="Times New Roman" w:cs="Times New Roman"/>
                <w:snapToGrid w:val="0"/>
                <w:color w:val="auto"/>
                <w:sz w:val="24"/>
                <w:highlight w:val="none"/>
                <w:lang w:val="en-US" w:eastAsia="zh-CN"/>
              </w:rPr>
              <w:t>BOD</w:t>
            </w:r>
            <w:r>
              <w:rPr>
                <w:rFonts w:hint="default" w:ascii="Times New Roman" w:hAnsi="Times New Roman" w:cs="Times New Roman"/>
                <w:snapToGrid w:val="0"/>
                <w:color w:val="auto"/>
                <w:sz w:val="24"/>
                <w:highlight w:val="none"/>
                <w:vertAlign w:val="subscript"/>
                <w:lang w:val="en-US" w:eastAsia="zh-CN"/>
              </w:rPr>
              <w:t>5</w:t>
            </w:r>
            <w:r>
              <w:rPr>
                <w:rFonts w:hint="eastAsia" w:ascii="Times New Roman" w:hAnsi="Times New Roman" w:cs="Times New Roman"/>
                <w:snapToGrid w:val="0"/>
                <w:color w:val="auto"/>
                <w:sz w:val="24"/>
                <w:highlight w:val="none"/>
                <w:vertAlign w:val="baseline"/>
                <w:lang w:val="en-US" w:eastAsia="zh-CN"/>
              </w:rPr>
              <w:t>为96%，SS为90%，动植物油80%</w:t>
            </w:r>
            <w:r>
              <w:rPr>
                <w:rFonts w:hint="default" w:ascii="Times New Roman" w:hAnsi="Times New Roman" w:eastAsia="宋体" w:cs="Times New Roman"/>
                <w:color w:val="auto"/>
                <w:sz w:val="24"/>
                <w:szCs w:val="24"/>
                <w:lang w:val="en-US" w:eastAsia="zh-CN"/>
              </w:rPr>
              <w:t>进行计算。</w:t>
            </w:r>
            <w:r>
              <w:rPr>
                <w:rFonts w:hint="default" w:ascii="Times New Roman" w:hAnsi="Times New Roman" w:eastAsia="宋体" w:cs="Times New Roman"/>
                <w:color w:val="auto"/>
                <w:spacing w:val="11"/>
                <w:sz w:val="24"/>
                <w:szCs w:val="24"/>
                <w:highlight w:val="none"/>
                <w:lang w:val="zh-CN"/>
              </w:rPr>
              <w:t>则项目综合废水污染物产排情况及污水处理设施削减情况见表</w:t>
            </w:r>
            <w:r>
              <w:rPr>
                <w:rFonts w:hint="default" w:ascii="Times New Roman" w:hAnsi="Times New Roman" w:eastAsia="宋体" w:cs="Times New Roman"/>
                <w:color w:val="auto"/>
                <w:spacing w:val="11"/>
                <w:sz w:val="24"/>
                <w:szCs w:val="24"/>
                <w:highlight w:val="none"/>
                <w:lang w:val="en-US" w:eastAsia="zh-CN"/>
              </w:rPr>
              <w:t>4-1</w:t>
            </w:r>
            <w:r>
              <w:rPr>
                <w:rFonts w:hint="eastAsia" w:cs="Times New Roman"/>
                <w:color w:val="auto"/>
                <w:spacing w:val="11"/>
                <w:sz w:val="24"/>
                <w:szCs w:val="24"/>
                <w:highlight w:val="none"/>
                <w:lang w:val="en-US" w:eastAsia="zh-CN"/>
              </w:rPr>
              <w:t>8</w:t>
            </w:r>
            <w:r>
              <w:rPr>
                <w:rFonts w:hint="default" w:ascii="Times New Roman" w:hAnsi="Times New Roman" w:eastAsia="宋体" w:cs="Times New Roman"/>
                <w:color w:val="auto"/>
                <w:spacing w:val="11"/>
                <w:sz w:val="24"/>
                <w:szCs w:val="24"/>
                <w:highlight w:val="none"/>
                <w:lang w:val="en-US" w:eastAsia="zh-CN"/>
              </w:rPr>
              <w:t>所示</w:t>
            </w:r>
            <w:r>
              <w:rPr>
                <w:rFonts w:hint="default" w:ascii="Times New Roman" w:hAnsi="Times New Roman" w:eastAsia="宋体" w:cs="Times New Roman"/>
                <w:color w:val="auto"/>
                <w:spacing w:val="11"/>
                <w:sz w:val="24"/>
                <w:szCs w:val="24"/>
                <w:highlight w:val="none"/>
                <w:lang w:val="zh-CN"/>
              </w:rPr>
              <w:t>。</w:t>
            </w:r>
          </w:p>
          <w:p w14:paraId="2E7A5677">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项目</w:t>
            </w:r>
            <w:r>
              <w:rPr>
                <w:rFonts w:hint="default" w:ascii="Times New Roman" w:hAnsi="Times New Roman" w:eastAsia="宋体" w:cs="Times New Roman"/>
                <w:b/>
                <w:color w:val="auto"/>
                <w:sz w:val="21"/>
                <w:szCs w:val="21"/>
                <w:highlight w:val="none"/>
                <w:lang w:eastAsia="zh-CN"/>
              </w:rPr>
              <w:t>综合废</w:t>
            </w:r>
            <w:r>
              <w:rPr>
                <w:rFonts w:hint="default" w:ascii="Times New Roman" w:hAnsi="Times New Roman" w:eastAsia="宋体" w:cs="Times New Roman"/>
                <w:b/>
                <w:color w:val="auto"/>
                <w:sz w:val="21"/>
                <w:szCs w:val="21"/>
                <w:highlight w:val="none"/>
                <w:lang w:val="en-US" w:eastAsia="zh-CN"/>
              </w:rPr>
              <w:t>水</w:t>
            </w:r>
            <w:r>
              <w:rPr>
                <w:rFonts w:hint="default" w:ascii="Times New Roman" w:hAnsi="Times New Roman" w:eastAsia="宋体" w:cs="Times New Roman"/>
                <w:b/>
                <w:color w:val="auto"/>
                <w:sz w:val="21"/>
                <w:szCs w:val="21"/>
                <w:highlight w:val="none"/>
              </w:rPr>
              <w:t>污染物产排情况汇总表</w:t>
            </w:r>
          </w:p>
          <w:tbl>
            <w:tblPr>
              <w:tblStyle w:val="26"/>
              <w:tblW w:w="83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0"/>
              <w:gridCol w:w="960"/>
              <w:gridCol w:w="1300"/>
              <w:gridCol w:w="917"/>
              <w:gridCol w:w="917"/>
              <w:gridCol w:w="760"/>
              <w:gridCol w:w="715"/>
              <w:gridCol w:w="715"/>
              <w:gridCol w:w="715"/>
              <w:gridCol w:w="720"/>
            </w:tblGrid>
            <w:tr w14:paraId="1ADB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14:paraId="79EDDA1C">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项目废水</w:t>
                  </w:r>
                </w:p>
              </w:tc>
              <w:tc>
                <w:tcPr>
                  <w:tcW w:w="1300" w:type="dxa"/>
                  <w:noWrap w:val="0"/>
                  <w:tcMar>
                    <w:top w:w="12" w:type="dxa"/>
                    <w:left w:w="12" w:type="dxa"/>
                    <w:right w:w="12" w:type="dxa"/>
                  </w:tcMar>
                  <w:vAlign w:val="center"/>
                </w:tcPr>
                <w:p w14:paraId="7B541825">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水量</w:t>
                  </w:r>
                </w:p>
              </w:tc>
              <w:tc>
                <w:tcPr>
                  <w:tcW w:w="917" w:type="dxa"/>
                  <w:noWrap w:val="0"/>
                  <w:tcMar>
                    <w:top w:w="12" w:type="dxa"/>
                    <w:left w:w="12" w:type="dxa"/>
                    <w:right w:w="12" w:type="dxa"/>
                  </w:tcMar>
                  <w:vAlign w:val="center"/>
                </w:tcPr>
                <w:p w14:paraId="43511209">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917" w:type="dxa"/>
                  <w:noWrap w:val="0"/>
                  <w:tcMar>
                    <w:top w:w="12" w:type="dxa"/>
                    <w:left w:w="12" w:type="dxa"/>
                    <w:right w:w="12" w:type="dxa"/>
                  </w:tcMar>
                  <w:vAlign w:val="center"/>
                </w:tcPr>
                <w:p w14:paraId="6527965A">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760" w:type="dxa"/>
                  <w:noWrap w:val="0"/>
                  <w:tcMar>
                    <w:top w:w="12" w:type="dxa"/>
                    <w:left w:w="12" w:type="dxa"/>
                    <w:right w:w="12" w:type="dxa"/>
                  </w:tcMar>
                  <w:vAlign w:val="center"/>
                </w:tcPr>
                <w:p w14:paraId="5E3F78F7">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715" w:type="dxa"/>
                  <w:noWrap w:val="0"/>
                  <w:tcMar>
                    <w:top w:w="12" w:type="dxa"/>
                    <w:left w:w="12" w:type="dxa"/>
                    <w:right w:w="12" w:type="dxa"/>
                  </w:tcMar>
                  <w:vAlign w:val="center"/>
                </w:tcPr>
                <w:p w14:paraId="1FFC10FA">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715" w:type="dxa"/>
                  <w:noWrap w:val="0"/>
                  <w:tcMar>
                    <w:top w:w="12" w:type="dxa"/>
                    <w:left w:w="12" w:type="dxa"/>
                    <w:right w:w="12" w:type="dxa"/>
                  </w:tcMar>
                  <w:vAlign w:val="center"/>
                </w:tcPr>
                <w:p w14:paraId="17AF41D9">
                  <w:pPr>
                    <w:keepNext w:val="0"/>
                    <w:keepLines w:val="0"/>
                    <w:widowControl/>
                    <w:suppressLineNumbers w:val="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715" w:type="dxa"/>
                  <w:noWrap w:val="0"/>
                  <w:tcMar>
                    <w:top w:w="12" w:type="dxa"/>
                    <w:left w:w="12" w:type="dxa"/>
                    <w:right w:w="12" w:type="dxa"/>
                  </w:tcMar>
                  <w:vAlign w:val="center"/>
                </w:tcPr>
                <w:p w14:paraId="101BE1A1">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720" w:type="dxa"/>
                  <w:noWrap w:val="0"/>
                  <w:tcMar>
                    <w:top w:w="12" w:type="dxa"/>
                    <w:left w:w="12" w:type="dxa"/>
                    <w:right w:w="12" w:type="dxa"/>
                  </w:tcMar>
                  <w:vAlign w:val="center"/>
                </w:tcPr>
                <w:p w14:paraId="6D61AFA8">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14:paraId="3ED8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14:paraId="733B134A">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1300" w:type="dxa"/>
                  <w:noWrap w:val="0"/>
                  <w:tcMar>
                    <w:top w:w="12" w:type="dxa"/>
                    <w:left w:w="12" w:type="dxa"/>
                    <w:right w:w="12" w:type="dxa"/>
                  </w:tcMar>
                  <w:vAlign w:val="center"/>
                </w:tcPr>
                <w:p w14:paraId="2FBB0D56">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14:paraId="2110386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775.89</w:t>
                  </w:r>
                </w:p>
              </w:tc>
              <w:tc>
                <w:tcPr>
                  <w:tcW w:w="917" w:type="dxa"/>
                  <w:noWrap w:val="0"/>
                  <w:tcMar>
                    <w:top w:w="12" w:type="dxa"/>
                    <w:left w:w="12" w:type="dxa"/>
                    <w:right w:w="12" w:type="dxa"/>
                  </w:tcMar>
                  <w:vAlign w:val="center"/>
                </w:tcPr>
                <w:p w14:paraId="29E85473">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474.17</w:t>
                  </w:r>
                </w:p>
              </w:tc>
              <w:tc>
                <w:tcPr>
                  <w:tcW w:w="760" w:type="dxa"/>
                  <w:noWrap w:val="0"/>
                  <w:tcMar>
                    <w:top w:w="12" w:type="dxa"/>
                    <w:left w:w="12" w:type="dxa"/>
                    <w:right w:w="12" w:type="dxa"/>
                  </w:tcMar>
                  <w:vAlign w:val="center"/>
                </w:tcPr>
                <w:p w14:paraId="74F032B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474.17</w:t>
                  </w:r>
                </w:p>
              </w:tc>
              <w:tc>
                <w:tcPr>
                  <w:tcW w:w="715" w:type="dxa"/>
                  <w:noWrap w:val="0"/>
                  <w:tcMar>
                    <w:top w:w="12" w:type="dxa"/>
                    <w:left w:w="12" w:type="dxa"/>
                    <w:right w:w="12" w:type="dxa"/>
                  </w:tcMar>
                  <w:vAlign w:val="center"/>
                </w:tcPr>
                <w:p w14:paraId="0E6BA7A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26.29</w:t>
                  </w:r>
                </w:p>
              </w:tc>
              <w:tc>
                <w:tcPr>
                  <w:tcW w:w="715" w:type="dxa"/>
                  <w:noWrap w:val="0"/>
                  <w:tcMar>
                    <w:top w:w="12" w:type="dxa"/>
                    <w:left w:w="12" w:type="dxa"/>
                    <w:right w:w="12" w:type="dxa"/>
                  </w:tcMar>
                  <w:vAlign w:val="center"/>
                </w:tcPr>
                <w:p w14:paraId="74F9D06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42.73</w:t>
                  </w:r>
                </w:p>
              </w:tc>
              <w:tc>
                <w:tcPr>
                  <w:tcW w:w="715" w:type="dxa"/>
                  <w:noWrap w:val="0"/>
                  <w:tcMar>
                    <w:top w:w="12" w:type="dxa"/>
                    <w:left w:w="12" w:type="dxa"/>
                    <w:right w:w="12" w:type="dxa"/>
                  </w:tcMar>
                  <w:vAlign w:val="center"/>
                </w:tcPr>
                <w:p w14:paraId="401D134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131.82</w:t>
                  </w:r>
                </w:p>
              </w:tc>
              <w:tc>
                <w:tcPr>
                  <w:tcW w:w="720" w:type="dxa"/>
                  <w:noWrap w:val="0"/>
                  <w:tcMar>
                    <w:top w:w="12" w:type="dxa"/>
                    <w:left w:w="12" w:type="dxa"/>
                    <w:right w:w="12" w:type="dxa"/>
                  </w:tcMar>
                  <w:vAlign w:val="center"/>
                </w:tcPr>
                <w:p w14:paraId="7282983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94.40</w:t>
                  </w:r>
                </w:p>
              </w:tc>
            </w:tr>
            <w:tr w14:paraId="77EA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14:paraId="52DBE44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产生量（t/a）</w:t>
                  </w:r>
                </w:p>
              </w:tc>
              <w:tc>
                <w:tcPr>
                  <w:tcW w:w="1300" w:type="dxa"/>
                  <w:noWrap w:val="0"/>
                  <w:tcMar>
                    <w:top w:w="12" w:type="dxa"/>
                    <w:left w:w="12" w:type="dxa"/>
                    <w:right w:w="12" w:type="dxa"/>
                  </w:tcMar>
                  <w:vAlign w:val="center"/>
                </w:tcPr>
                <w:p w14:paraId="3A5E1595">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5575.5791m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917" w:type="dxa"/>
                  <w:noWrap w:val="0"/>
                  <w:tcMar>
                    <w:top w:w="12" w:type="dxa"/>
                    <w:left w:w="12" w:type="dxa"/>
                    <w:right w:w="12" w:type="dxa"/>
                  </w:tcMar>
                  <w:vAlign w:val="center"/>
                </w:tcPr>
                <w:p w14:paraId="3EC92BB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4.3261</w:t>
                  </w:r>
                </w:p>
              </w:tc>
              <w:tc>
                <w:tcPr>
                  <w:tcW w:w="917" w:type="dxa"/>
                  <w:noWrap w:val="0"/>
                  <w:tcMar>
                    <w:top w:w="12" w:type="dxa"/>
                    <w:left w:w="12" w:type="dxa"/>
                    <w:right w:w="12" w:type="dxa"/>
                  </w:tcMar>
                  <w:vAlign w:val="center"/>
                </w:tcPr>
                <w:p w14:paraId="3D162381">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2.6438</w:t>
                  </w:r>
                </w:p>
              </w:tc>
              <w:tc>
                <w:tcPr>
                  <w:tcW w:w="760" w:type="dxa"/>
                  <w:noWrap w:val="0"/>
                  <w:tcMar>
                    <w:top w:w="12" w:type="dxa"/>
                    <w:left w:w="12" w:type="dxa"/>
                    <w:right w:w="12" w:type="dxa"/>
                  </w:tcMar>
                  <w:vAlign w:val="center"/>
                </w:tcPr>
                <w:p w14:paraId="5C99C31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iCs w:val="0"/>
                      <w:color w:val="auto"/>
                      <w:kern w:val="0"/>
                      <w:sz w:val="21"/>
                      <w:szCs w:val="21"/>
                      <w:u w:val="none"/>
                      <w:lang w:val="en-US" w:eastAsia="zh-CN" w:bidi="ar"/>
                    </w:rPr>
                    <w:t>2.6438</w:t>
                  </w:r>
                </w:p>
              </w:tc>
              <w:tc>
                <w:tcPr>
                  <w:tcW w:w="715" w:type="dxa"/>
                  <w:noWrap w:val="0"/>
                  <w:tcMar>
                    <w:top w:w="12" w:type="dxa"/>
                    <w:left w:w="12" w:type="dxa"/>
                    <w:right w:w="12" w:type="dxa"/>
                  </w:tcMar>
                  <w:vAlign w:val="center"/>
                </w:tcPr>
                <w:p w14:paraId="1A09352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r>
                    <w:rPr>
                      <w:rFonts w:hint="eastAsia" w:cs="Times New Roman"/>
                      <w:i w:val="0"/>
                      <w:iCs w:val="0"/>
                      <w:color w:val="auto"/>
                      <w:kern w:val="0"/>
                      <w:sz w:val="21"/>
                      <w:szCs w:val="21"/>
                      <w:u w:val="none"/>
                      <w:lang w:val="en-US" w:eastAsia="zh-CN" w:bidi="ar"/>
                    </w:rPr>
                    <w:t>466</w:t>
                  </w:r>
                </w:p>
              </w:tc>
              <w:tc>
                <w:tcPr>
                  <w:tcW w:w="715" w:type="dxa"/>
                  <w:noWrap w:val="0"/>
                  <w:tcMar>
                    <w:top w:w="12" w:type="dxa"/>
                    <w:left w:w="12" w:type="dxa"/>
                    <w:right w:w="12" w:type="dxa"/>
                  </w:tcMar>
                  <w:vAlign w:val="center"/>
                </w:tcPr>
                <w:p w14:paraId="50AA3EE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2382</w:t>
                  </w:r>
                </w:p>
              </w:tc>
              <w:tc>
                <w:tcPr>
                  <w:tcW w:w="715" w:type="dxa"/>
                  <w:noWrap w:val="0"/>
                  <w:tcMar>
                    <w:top w:w="12" w:type="dxa"/>
                    <w:left w:w="12" w:type="dxa"/>
                    <w:right w:w="12" w:type="dxa"/>
                  </w:tcMar>
                  <w:vAlign w:val="center"/>
                </w:tcPr>
                <w:p w14:paraId="520D305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7350</w:t>
                  </w:r>
                </w:p>
              </w:tc>
              <w:tc>
                <w:tcPr>
                  <w:tcW w:w="720" w:type="dxa"/>
                  <w:noWrap w:val="0"/>
                  <w:tcMar>
                    <w:top w:w="12" w:type="dxa"/>
                    <w:left w:w="12" w:type="dxa"/>
                    <w:right w:w="12" w:type="dxa"/>
                  </w:tcMar>
                  <w:vAlign w:val="center"/>
                </w:tcPr>
                <w:p w14:paraId="0FFA60A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5264</w:t>
                  </w:r>
                </w:p>
              </w:tc>
            </w:tr>
            <w:tr w14:paraId="3BA7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restart"/>
                  <w:noWrap w:val="0"/>
                  <w:tcMar>
                    <w:top w:w="12" w:type="dxa"/>
                    <w:left w:w="12" w:type="dxa"/>
                    <w:right w:w="12" w:type="dxa"/>
                  </w:tcMar>
                  <w:vAlign w:val="center"/>
                </w:tcPr>
                <w:p w14:paraId="4A7C729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化粪池/隔油池</w:t>
                  </w:r>
                </w:p>
              </w:tc>
              <w:tc>
                <w:tcPr>
                  <w:tcW w:w="960" w:type="dxa"/>
                  <w:noWrap w:val="0"/>
                  <w:tcMar>
                    <w:top w:w="12" w:type="dxa"/>
                    <w:left w:w="12" w:type="dxa"/>
                    <w:right w:w="12" w:type="dxa"/>
                  </w:tcMar>
                  <w:vAlign w:val="center"/>
                </w:tcPr>
                <w:p w14:paraId="17A267B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1300" w:type="dxa"/>
                  <w:noWrap w:val="0"/>
                  <w:tcMar>
                    <w:top w:w="12" w:type="dxa"/>
                    <w:left w:w="12" w:type="dxa"/>
                    <w:right w:w="12" w:type="dxa"/>
                  </w:tcMar>
                  <w:vAlign w:val="center"/>
                </w:tcPr>
                <w:p w14:paraId="679ECE71">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14:paraId="21E5A15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917" w:type="dxa"/>
                  <w:noWrap w:val="0"/>
                  <w:tcMar>
                    <w:top w:w="12" w:type="dxa"/>
                    <w:left w:w="12" w:type="dxa"/>
                    <w:right w:w="12" w:type="dxa"/>
                  </w:tcMar>
                  <w:vAlign w:val="center"/>
                </w:tcPr>
                <w:p w14:paraId="2E83D6E9">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60" w:type="dxa"/>
                  <w:noWrap w:val="0"/>
                  <w:tcMar>
                    <w:top w:w="12" w:type="dxa"/>
                    <w:left w:w="12" w:type="dxa"/>
                    <w:right w:w="12" w:type="dxa"/>
                  </w:tcMar>
                  <w:vAlign w:val="center"/>
                </w:tcPr>
                <w:p w14:paraId="77D997B1">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15" w:type="dxa"/>
                  <w:noWrap w:val="0"/>
                  <w:tcMar>
                    <w:top w:w="12" w:type="dxa"/>
                    <w:left w:w="12" w:type="dxa"/>
                    <w:right w:w="12" w:type="dxa"/>
                  </w:tcMar>
                  <w:vAlign w:val="center"/>
                </w:tcPr>
                <w:p w14:paraId="37B1C8C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15" w:type="dxa"/>
                  <w:noWrap w:val="0"/>
                  <w:tcMar>
                    <w:top w:w="12" w:type="dxa"/>
                    <w:left w:w="12" w:type="dxa"/>
                    <w:right w:w="12" w:type="dxa"/>
                  </w:tcMar>
                  <w:vAlign w:val="center"/>
                </w:tcPr>
                <w:p w14:paraId="00D4CE3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15" w:type="dxa"/>
                  <w:noWrap w:val="0"/>
                  <w:tcMar>
                    <w:top w:w="12" w:type="dxa"/>
                    <w:left w:w="12" w:type="dxa"/>
                    <w:right w:w="12" w:type="dxa"/>
                  </w:tcMar>
                  <w:vAlign w:val="center"/>
                </w:tcPr>
                <w:p w14:paraId="4D6021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20" w:type="dxa"/>
                  <w:noWrap w:val="0"/>
                  <w:tcMar>
                    <w:top w:w="12" w:type="dxa"/>
                    <w:left w:w="12" w:type="dxa"/>
                    <w:right w:w="12" w:type="dxa"/>
                  </w:tcMar>
                  <w:vAlign w:val="center"/>
                </w:tcPr>
                <w:p w14:paraId="529067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r>
            <w:tr w14:paraId="6D6F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continue"/>
                  <w:noWrap w:val="0"/>
                  <w:tcMar>
                    <w:top w:w="12" w:type="dxa"/>
                    <w:left w:w="12" w:type="dxa"/>
                    <w:right w:w="12" w:type="dxa"/>
                  </w:tcMar>
                  <w:vAlign w:val="center"/>
                </w:tcPr>
                <w:p w14:paraId="1562FCCD">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60" w:type="dxa"/>
                  <w:noWrap w:val="0"/>
                  <w:tcMar>
                    <w:top w:w="12" w:type="dxa"/>
                    <w:left w:w="12" w:type="dxa"/>
                    <w:right w:w="12" w:type="dxa"/>
                  </w:tcMar>
                  <w:vAlign w:val="center"/>
                </w:tcPr>
                <w:p w14:paraId="3A03DC9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1300" w:type="dxa"/>
                  <w:noWrap w:val="0"/>
                  <w:tcMar>
                    <w:top w:w="12" w:type="dxa"/>
                    <w:left w:w="12" w:type="dxa"/>
                    <w:right w:w="12" w:type="dxa"/>
                  </w:tcMar>
                  <w:vAlign w:val="center"/>
                </w:tcPr>
                <w:p w14:paraId="081D1C9E">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14:paraId="4ADCFA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659.52 </w:t>
                  </w:r>
                </w:p>
              </w:tc>
              <w:tc>
                <w:tcPr>
                  <w:tcW w:w="917" w:type="dxa"/>
                  <w:noWrap w:val="0"/>
                  <w:tcMar>
                    <w:top w:w="12" w:type="dxa"/>
                    <w:left w:w="12" w:type="dxa"/>
                    <w:right w:w="12" w:type="dxa"/>
                  </w:tcMar>
                  <w:vAlign w:val="center"/>
                </w:tcPr>
                <w:p w14:paraId="11E99F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403.05 </w:t>
                  </w:r>
                </w:p>
              </w:tc>
              <w:tc>
                <w:tcPr>
                  <w:tcW w:w="760" w:type="dxa"/>
                  <w:noWrap w:val="0"/>
                  <w:tcMar>
                    <w:top w:w="12" w:type="dxa"/>
                    <w:left w:w="12" w:type="dxa"/>
                    <w:right w:w="12" w:type="dxa"/>
                  </w:tcMar>
                  <w:vAlign w:val="center"/>
                </w:tcPr>
                <w:p w14:paraId="3FD5FC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331.92 </w:t>
                  </w:r>
                </w:p>
              </w:tc>
              <w:tc>
                <w:tcPr>
                  <w:tcW w:w="715" w:type="dxa"/>
                  <w:noWrap w:val="0"/>
                  <w:tcMar>
                    <w:top w:w="12" w:type="dxa"/>
                    <w:left w:w="12" w:type="dxa"/>
                    <w:right w:w="12" w:type="dxa"/>
                  </w:tcMar>
                  <w:vAlign w:val="center"/>
                </w:tcPr>
                <w:p w14:paraId="069342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26.29 </w:t>
                  </w:r>
                </w:p>
              </w:tc>
              <w:tc>
                <w:tcPr>
                  <w:tcW w:w="715" w:type="dxa"/>
                  <w:noWrap w:val="0"/>
                  <w:tcMar>
                    <w:top w:w="12" w:type="dxa"/>
                    <w:left w:w="12" w:type="dxa"/>
                    <w:right w:w="12" w:type="dxa"/>
                  </w:tcMar>
                  <w:vAlign w:val="center"/>
                </w:tcPr>
                <w:p w14:paraId="70FC04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42.7</w:t>
                  </w:r>
                  <w:r>
                    <w:rPr>
                      <w:rFonts w:hint="eastAsia" w:ascii="Times New Roman" w:hAnsi="Times New Roman" w:eastAsia="宋体" w:cs="Times New Roman"/>
                      <w:i w:val="0"/>
                      <w:iCs w:val="0"/>
                      <w:color w:val="auto"/>
                      <w:kern w:val="0"/>
                      <w:sz w:val="21"/>
                      <w:szCs w:val="21"/>
                      <w:u w:val="none"/>
                      <w:lang w:val="en-US" w:eastAsia="zh-CN" w:bidi="ar"/>
                    </w:rPr>
                    <w:t>3</w:t>
                  </w:r>
                </w:p>
              </w:tc>
              <w:tc>
                <w:tcPr>
                  <w:tcW w:w="715" w:type="dxa"/>
                  <w:noWrap w:val="0"/>
                  <w:tcMar>
                    <w:top w:w="12" w:type="dxa"/>
                    <w:left w:w="12" w:type="dxa"/>
                    <w:right w:w="12" w:type="dxa"/>
                  </w:tcMar>
                  <w:vAlign w:val="center"/>
                </w:tcPr>
                <w:p w14:paraId="34B0C9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131.82 </w:t>
                  </w:r>
                </w:p>
              </w:tc>
              <w:tc>
                <w:tcPr>
                  <w:tcW w:w="720" w:type="dxa"/>
                  <w:noWrap w:val="0"/>
                  <w:tcMar>
                    <w:top w:w="12" w:type="dxa"/>
                    <w:left w:w="12" w:type="dxa"/>
                    <w:right w:w="12" w:type="dxa"/>
                  </w:tcMar>
                  <w:vAlign w:val="center"/>
                </w:tcPr>
                <w:p w14:paraId="673123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17.50 </w:t>
                  </w:r>
                </w:p>
              </w:tc>
            </w:tr>
            <w:tr w14:paraId="4B48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continue"/>
                  <w:noWrap w:val="0"/>
                  <w:tcMar>
                    <w:top w:w="12" w:type="dxa"/>
                    <w:left w:w="12" w:type="dxa"/>
                    <w:right w:w="12" w:type="dxa"/>
                  </w:tcMar>
                  <w:vAlign w:val="center"/>
                </w:tcPr>
                <w:p w14:paraId="6BC94382">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60" w:type="dxa"/>
                  <w:noWrap w:val="0"/>
                  <w:tcMar>
                    <w:top w:w="12" w:type="dxa"/>
                    <w:left w:w="12" w:type="dxa"/>
                    <w:right w:w="12" w:type="dxa"/>
                  </w:tcMar>
                  <w:vAlign w:val="center"/>
                </w:tcPr>
                <w:p w14:paraId="358A8F7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1300" w:type="dxa"/>
                  <w:noWrap w:val="0"/>
                  <w:tcMar>
                    <w:top w:w="12" w:type="dxa"/>
                    <w:left w:w="12" w:type="dxa"/>
                    <w:right w:w="12" w:type="dxa"/>
                  </w:tcMar>
                  <w:vAlign w:val="center"/>
                </w:tcPr>
                <w:p w14:paraId="41EC4F7D">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5575.5791m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917" w:type="dxa"/>
                  <w:noWrap w:val="0"/>
                  <w:tcMar>
                    <w:top w:w="12" w:type="dxa"/>
                    <w:left w:w="12" w:type="dxa"/>
                    <w:right w:w="12" w:type="dxa"/>
                  </w:tcMar>
                  <w:vAlign w:val="center"/>
                </w:tcPr>
                <w:p w14:paraId="2F447DF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3.677185</w:t>
                  </w:r>
                </w:p>
              </w:tc>
              <w:tc>
                <w:tcPr>
                  <w:tcW w:w="917" w:type="dxa"/>
                  <w:noWrap w:val="0"/>
                  <w:tcMar>
                    <w:top w:w="12" w:type="dxa"/>
                    <w:left w:w="12" w:type="dxa"/>
                    <w:right w:w="12" w:type="dxa"/>
                  </w:tcMar>
                  <w:vAlign w:val="center"/>
                </w:tcPr>
                <w:p w14:paraId="021B765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2.24723</w:t>
                  </w:r>
                </w:p>
              </w:tc>
              <w:tc>
                <w:tcPr>
                  <w:tcW w:w="760" w:type="dxa"/>
                  <w:noWrap w:val="0"/>
                  <w:tcMar>
                    <w:top w:w="12" w:type="dxa"/>
                    <w:left w:w="12" w:type="dxa"/>
                    <w:right w:w="12" w:type="dxa"/>
                  </w:tcMar>
                  <w:vAlign w:val="center"/>
                </w:tcPr>
                <w:p w14:paraId="4EF3295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1.85066</w:t>
                  </w:r>
                </w:p>
              </w:tc>
              <w:tc>
                <w:tcPr>
                  <w:tcW w:w="715" w:type="dxa"/>
                  <w:noWrap w:val="0"/>
                  <w:tcMar>
                    <w:top w:w="12" w:type="dxa"/>
                    <w:left w:w="12" w:type="dxa"/>
                    <w:right w:w="12" w:type="dxa"/>
                  </w:tcMar>
                  <w:vAlign w:val="center"/>
                </w:tcPr>
                <w:p w14:paraId="004EA879">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0.1466</w:t>
                  </w:r>
                </w:p>
              </w:tc>
              <w:tc>
                <w:tcPr>
                  <w:tcW w:w="715" w:type="dxa"/>
                  <w:noWrap w:val="0"/>
                  <w:tcMar>
                    <w:top w:w="12" w:type="dxa"/>
                    <w:left w:w="12" w:type="dxa"/>
                    <w:right w:w="12" w:type="dxa"/>
                  </w:tcMar>
                  <w:vAlign w:val="center"/>
                </w:tcPr>
                <w:p w14:paraId="3A7BC169">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0.2382</w:t>
                  </w:r>
                </w:p>
              </w:tc>
              <w:tc>
                <w:tcPr>
                  <w:tcW w:w="715" w:type="dxa"/>
                  <w:noWrap w:val="0"/>
                  <w:tcMar>
                    <w:top w:w="12" w:type="dxa"/>
                    <w:left w:w="12" w:type="dxa"/>
                    <w:right w:w="12" w:type="dxa"/>
                  </w:tcMar>
                  <w:vAlign w:val="center"/>
                </w:tcPr>
                <w:p w14:paraId="6481D1E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0.735</w:t>
                  </w:r>
                  <w:r>
                    <w:rPr>
                      <w:rFonts w:hint="eastAsia" w:ascii="Times New Roman" w:hAnsi="Times New Roman" w:eastAsia="宋体" w:cs="Times New Roman"/>
                      <w:i w:val="0"/>
                      <w:iCs w:val="0"/>
                      <w:color w:val="auto"/>
                      <w:kern w:val="0"/>
                      <w:sz w:val="21"/>
                      <w:szCs w:val="21"/>
                      <w:u w:val="none"/>
                      <w:lang w:val="en-US" w:eastAsia="zh-CN" w:bidi="ar"/>
                    </w:rPr>
                    <w:t>0</w:t>
                  </w:r>
                </w:p>
              </w:tc>
              <w:tc>
                <w:tcPr>
                  <w:tcW w:w="720" w:type="dxa"/>
                  <w:noWrap w:val="0"/>
                  <w:tcMar>
                    <w:top w:w="12" w:type="dxa"/>
                    <w:left w:w="12" w:type="dxa"/>
                    <w:right w:w="12" w:type="dxa"/>
                  </w:tcMar>
                  <w:vAlign w:val="center"/>
                </w:tcPr>
                <w:p w14:paraId="016DB25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0.0976</w:t>
                  </w:r>
                </w:p>
              </w:tc>
            </w:tr>
            <w:tr w14:paraId="6708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restart"/>
                  <w:noWrap w:val="0"/>
                  <w:tcMar>
                    <w:top w:w="12" w:type="dxa"/>
                    <w:left w:w="12" w:type="dxa"/>
                    <w:right w:w="12" w:type="dxa"/>
                  </w:tcMar>
                  <w:vAlign w:val="center"/>
                </w:tcPr>
                <w:p w14:paraId="58270D7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污水处理设施</w:t>
                  </w:r>
                </w:p>
              </w:tc>
              <w:tc>
                <w:tcPr>
                  <w:tcW w:w="960" w:type="dxa"/>
                  <w:noWrap w:val="0"/>
                  <w:tcMar>
                    <w:top w:w="12" w:type="dxa"/>
                    <w:left w:w="12" w:type="dxa"/>
                    <w:right w:w="12" w:type="dxa"/>
                  </w:tcMar>
                  <w:vAlign w:val="center"/>
                </w:tcPr>
                <w:p w14:paraId="70A36BF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去除效率（%）</w:t>
                  </w:r>
                </w:p>
              </w:tc>
              <w:tc>
                <w:tcPr>
                  <w:tcW w:w="1300" w:type="dxa"/>
                  <w:noWrap w:val="0"/>
                  <w:tcMar>
                    <w:top w:w="12" w:type="dxa"/>
                    <w:left w:w="12" w:type="dxa"/>
                    <w:right w:w="12" w:type="dxa"/>
                  </w:tcMar>
                  <w:vAlign w:val="center"/>
                </w:tcPr>
                <w:p w14:paraId="23138293">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14:paraId="2260DC4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w:t>
                  </w:r>
                </w:p>
              </w:tc>
              <w:tc>
                <w:tcPr>
                  <w:tcW w:w="917" w:type="dxa"/>
                  <w:noWrap w:val="0"/>
                  <w:tcMar>
                    <w:top w:w="12" w:type="dxa"/>
                    <w:left w:w="12" w:type="dxa"/>
                    <w:right w:w="12" w:type="dxa"/>
                  </w:tcMar>
                  <w:vAlign w:val="center"/>
                </w:tcPr>
                <w:p w14:paraId="7E89AD9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w:t>
                  </w:r>
                </w:p>
              </w:tc>
              <w:tc>
                <w:tcPr>
                  <w:tcW w:w="760" w:type="dxa"/>
                  <w:noWrap w:val="0"/>
                  <w:tcMar>
                    <w:top w:w="12" w:type="dxa"/>
                    <w:left w:w="12" w:type="dxa"/>
                    <w:right w:w="12" w:type="dxa"/>
                  </w:tcMar>
                  <w:vAlign w:val="center"/>
                </w:tcPr>
                <w:p w14:paraId="1E6DA75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15" w:type="dxa"/>
                  <w:noWrap w:val="0"/>
                  <w:tcMar>
                    <w:top w:w="12" w:type="dxa"/>
                    <w:left w:w="12" w:type="dxa"/>
                    <w:right w:w="12" w:type="dxa"/>
                  </w:tcMar>
                  <w:vAlign w:val="center"/>
                </w:tcPr>
                <w:p w14:paraId="33E4596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715" w:type="dxa"/>
                  <w:noWrap w:val="0"/>
                  <w:tcMar>
                    <w:top w:w="12" w:type="dxa"/>
                    <w:left w:w="12" w:type="dxa"/>
                    <w:right w:w="12" w:type="dxa"/>
                  </w:tcMar>
                  <w:vAlign w:val="center"/>
                </w:tcPr>
                <w:p w14:paraId="186EFE0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15" w:type="dxa"/>
                  <w:noWrap w:val="0"/>
                  <w:tcMar>
                    <w:top w:w="12" w:type="dxa"/>
                    <w:left w:w="12" w:type="dxa"/>
                    <w:right w:w="12" w:type="dxa"/>
                  </w:tcMar>
                  <w:vAlign w:val="center"/>
                </w:tcPr>
                <w:p w14:paraId="1C14FE1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0" w:type="dxa"/>
                  <w:noWrap w:val="0"/>
                  <w:tcMar>
                    <w:top w:w="12" w:type="dxa"/>
                    <w:left w:w="12" w:type="dxa"/>
                    <w:right w:w="12" w:type="dxa"/>
                  </w:tcMar>
                  <w:vAlign w:val="center"/>
                </w:tcPr>
                <w:p w14:paraId="349114E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r>
            <w:tr w14:paraId="0113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continue"/>
                  <w:noWrap w:val="0"/>
                  <w:tcMar>
                    <w:top w:w="12" w:type="dxa"/>
                    <w:left w:w="12" w:type="dxa"/>
                    <w:right w:w="12" w:type="dxa"/>
                  </w:tcMar>
                  <w:vAlign w:val="center"/>
                </w:tcPr>
                <w:p w14:paraId="08B03431">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60" w:type="dxa"/>
                  <w:noWrap w:val="0"/>
                  <w:tcMar>
                    <w:top w:w="12" w:type="dxa"/>
                    <w:left w:w="12" w:type="dxa"/>
                    <w:right w:w="12" w:type="dxa"/>
                  </w:tcMar>
                  <w:vAlign w:val="center"/>
                </w:tcPr>
                <w:p w14:paraId="1AACFC5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出水浓度（mg/L）</w:t>
                  </w:r>
                </w:p>
              </w:tc>
              <w:tc>
                <w:tcPr>
                  <w:tcW w:w="1300" w:type="dxa"/>
                  <w:noWrap w:val="0"/>
                  <w:tcMar>
                    <w:top w:w="12" w:type="dxa"/>
                    <w:left w:w="12" w:type="dxa"/>
                    <w:right w:w="12" w:type="dxa"/>
                  </w:tcMar>
                  <w:vAlign w:val="center"/>
                </w:tcPr>
                <w:p w14:paraId="71929EA7">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14:paraId="11321F73">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26.38 </w:t>
                  </w:r>
                </w:p>
              </w:tc>
              <w:tc>
                <w:tcPr>
                  <w:tcW w:w="917" w:type="dxa"/>
                  <w:noWrap w:val="0"/>
                  <w:tcMar>
                    <w:top w:w="12" w:type="dxa"/>
                    <w:left w:w="12" w:type="dxa"/>
                    <w:right w:w="12" w:type="dxa"/>
                  </w:tcMar>
                  <w:vAlign w:val="center"/>
                </w:tcPr>
                <w:p w14:paraId="5003D3E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16.12 </w:t>
                  </w:r>
                </w:p>
              </w:tc>
              <w:tc>
                <w:tcPr>
                  <w:tcW w:w="760" w:type="dxa"/>
                  <w:noWrap w:val="0"/>
                  <w:tcMar>
                    <w:top w:w="12" w:type="dxa"/>
                    <w:left w:w="12" w:type="dxa"/>
                    <w:right w:w="12" w:type="dxa"/>
                  </w:tcMar>
                  <w:vAlign w:val="center"/>
                </w:tcPr>
                <w:p w14:paraId="5F5D8A7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33.19 </w:t>
                  </w:r>
                </w:p>
              </w:tc>
              <w:tc>
                <w:tcPr>
                  <w:tcW w:w="715" w:type="dxa"/>
                  <w:noWrap w:val="0"/>
                  <w:tcMar>
                    <w:top w:w="12" w:type="dxa"/>
                    <w:left w:w="12" w:type="dxa"/>
                    <w:right w:w="12" w:type="dxa"/>
                  </w:tcMar>
                  <w:vAlign w:val="center"/>
                </w:tcPr>
                <w:p w14:paraId="14B146B9">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2.63 </w:t>
                  </w:r>
                </w:p>
              </w:tc>
              <w:tc>
                <w:tcPr>
                  <w:tcW w:w="715" w:type="dxa"/>
                  <w:noWrap w:val="0"/>
                  <w:tcMar>
                    <w:top w:w="12" w:type="dxa"/>
                    <w:left w:w="12" w:type="dxa"/>
                    <w:right w:w="12" w:type="dxa"/>
                  </w:tcMar>
                  <w:vAlign w:val="center"/>
                </w:tcPr>
                <w:p w14:paraId="0B62DC53">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6.41 </w:t>
                  </w:r>
                </w:p>
              </w:tc>
              <w:tc>
                <w:tcPr>
                  <w:tcW w:w="715" w:type="dxa"/>
                  <w:noWrap w:val="0"/>
                  <w:tcMar>
                    <w:top w:w="12" w:type="dxa"/>
                    <w:left w:w="12" w:type="dxa"/>
                    <w:right w:w="12" w:type="dxa"/>
                  </w:tcMar>
                  <w:vAlign w:val="center"/>
                </w:tcPr>
                <w:p w14:paraId="7622782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26.36 </w:t>
                  </w:r>
                </w:p>
              </w:tc>
              <w:tc>
                <w:tcPr>
                  <w:tcW w:w="720" w:type="dxa"/>
                  <w:noWrap w:val="0"/>
                  <w:tcMar>
                    <w:top w:w="12" w:type="dxa"/>
                    <w:left w:w="12" w:type="dxa"/>
                    <w:right w:w="12" w:type="dxa"/>
                  </w:tcMar>
                  <w:vAlign w:val="center"/>
                </w:tcPr>
                <w:p w14:paraId="4E3B7F1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3.50 </w:t>
                  </w:r>
                </w:p>
              </w:tc>
            </w:tr>
            <w:tr w14:paraId="0F88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80" w:type="dxa"/>
                  <w:vMerge w:val="continue"/>
                  <w:noWrap w:val="0"/>
                  <w:tcMar>
                    <w:top w:w="12" w:type="dxa"/>
                    <w:left w:w="12" w:type="dxa"/>
                    <w:right w:w="12" w:type="dxa"/>
                  </w:tcMar>
                  <w:vAlign w:val="center"/>
                </w:tcPr>
                <w:p w14:paraId="7A2AD97B">
                  <w:pPr>
                    <w:jc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960" w:type="dxa"/>
                  <w:noWrap w:val="0"/>
                  <w:tcMar>
                    <w:top w:w="12" w:type="dxa"/>
                    <w:left w:w="12" w:type="dxa"/>
                    <w:right w:w="12" w:type="dxa"/>
                  </w:tcMar>
                  <w:vAlign w:val="center"/>
                </w:tcPr>
                <w:p w14:paraId="25F71B21">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出水量（t/a）</w:t>
                  </w:r>
                </w:p>
              </w:tc>
              <w:tc>
                <w:tcPr>
                  <w:tcW w:w="1300" w:type="dxa"/>
                  <w:noWrap w:val="0"/>
                  <w:tcMar>
                    <w:top w:w="12" w:type="dxa"/>
                    <w:left w:w="12" w:type="dxa"/>
                    <w:right w:w="12" w:type="dxa"/>
                  </w:tcMar>
                  <w:vAlign w:val="center"/>
                </w:tcPr>
                <w:p w14:paraId="219733F4">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5575.5791m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917" w:type="dxa"/>
                  <w:noWrap w:val="0"/>
                  <w:tcMar>
                    <w:top w:w="12" w:type="dxa"/>
                    <w:left w:w="12" w:type="dxa"/>
                    <w:right w:w="12" w:type="dxa"/>
                  </w:tcMar>
                  <w:vAlign w:val="center"/>
                </w:tcPr>
                <w:p w14:paraId="68A792AB">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0.1471 </w:t>
                  </w:r>
                </w:p>
              </w:tc>
              <w:tc>
                <w:tcPr>
                  <w:tcW w:w="917" w:type="dxa"/>
                  <w:noWrap w:val="0"/>
                  <w:tcMar>
                    <w:top w:w="12" w:type="dxa"/>
                    <w:left w:w="12" w:type="dxa"/>
                    <w:right w:w="12" w:type="dxa"/>
                  </w:tcMar>
                  <w:vAlign w:val="center"/>
                </w:tcPr>
                <w:p w14:paraId="09576D0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0.0899 </w:t>
                  </w:r>
                </w:p>
              </w:tc>
              <w:tc>
                <w:tcPr>
                  <w:tcW w:w="760" w:type="dxa"/>
                  <w:noWrap w:val="0"/>
                  <w:tcMar>
                    <w:top w:w="12" w:type="dxa"/>
                    <w:left w:w="12" w:type="dxa"/>
                    <w:right w:w="12" w:type="dxa"/>
                  </w:tcMar>
                  <w:vAlign w:val="center"/>
                </w:tcPr>
                <w:p w14:paraId="03F9DF8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0.1851 </w:t>
                  </w:r>
                </w:p>
              </w:tc>
              <w:tc>
                <w:tcPr>
                  <w:tcW w:w="715" w:type="dxa"/>
                  <w:noWrap w:val="0"/>
                  <w:tcMar>
                    <w:top w:w="12" w:type="dxa"/>
                    <w:left w:w="12" w:type="dxa"/>
                    <w:right w:w="12" w:type="dxa"/>
                  </w:tcMar>
                  <w:vAlign w:val="center"/>
                </w:tcPr>
                <w:p w14:paraId="4547B97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0.0147 </w:t>
                  </w:r>
                </w:p>
              </w:tc>
              <w:tc>
                <w:tcPr>
                  <w:tcW w:w="715" w:type="dxa"/>
                  <w:noWrap w:val="0"/>
                  <w:tcMar>
                    <w:top w:w="12" w:type="dxa"/>
                    <w:left w:w="12" w:type="dxa"/>
                    <w:right w:w="12" w:type="dxa"/>
                  </w:tcMar>
                  <w:vAlign w:val="center"/>
                </w:tcPr>
                <w:p w14:paraId="240B558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0.0357 </w:t>
                  </w:r>
                </w:p>
              </w:tc>
              <w:tc>
                <w:tcPr>
                  <w:tcW w:w="715" w:type="dxa"/>
                  <w:noWrap w:val="0"/>
                  <w:tcMar>
                    <w:top w:w="12" w:type="dxa"/>
                    <w:left w:w="12" w:type="dxa"/>
                    <w:right w:w="12" w:type="dxa"/>
                  </w:tcMar>
                  <w:vAlign w:val="center"/>
                </w:tcPr>
                <w:p w14:paraId="188EDA5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0.1470 </w:t>
                  </w:r>
                </w:p>
              </w:tc>
              <w:tc>
                <w:tcPr>
                  <w:tcW w:w="720" w:type="dxa"/>
                  <w:noWrap w:val="0"/>
                  <w:tcMar>
                    <w:top w:w="12" w:type="dxa"/>
                    <w:left w:w="12" w:type="dxa"/>
                    <w:right w:w="12" w:type="dxa"/>
                  </w:tcMar>
                  <w:vAlign w:val="center"/>
                </w:tcPr>
                <w:p w14:paraId="5DFC0EB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0.0195 </w:t>
                  </w:r>
                </w:p>
              </w:tc>
            </w:tr>
            <w:tr w14:paraId="4C46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14:paraId="51E7E1BE">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1300" w:type="dxa"/>
                  <w:noWrap w:val="0"/>
                  <w:tcMar>
                    <w:top w:w="12" w:type="dxa"/>
                    <w:left w:w="12" w:type="dxa"/>
                    <w:right w:w="12" w:type="dxa"/>
                  </w:tcMar>
                  <w:vAlign w:val="center"/>
                </w:tcPr>
                <w:p w14:paraId="06A3A92C">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17" w:type="dxa"/>
                  <w:noWrap w:val="0"/>
                  <w:tcMar>
                    <w:top w:w="12" w:type="dxa"/>
                    <w:left w:w="12" w:type="dxa"/>
                    <w:right w:w="12" w:type="dxa"/>
                  </w:tcMar>
                  <w:vAlign w:val="center"/>
                </w:tcPr>
                <w:p w14:paraId="445F771E">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500</w:t>
                  </w:r>
                </w:p>
              </w:tc>
              <w:tc>
                <w:tcPr>
                  <w:tcW w:w="917" w:type="dxa"/>
                  <w:noWrap w:val="0"/>
                  <w:tcMar>
                    <w:top w:w="12" w:type="dxa"/>
                    <w:left w:w="12" w:type="dxa"/>
                    <w:right w:w="12" w:type="dxa"/>
                  </w:tcMar>
                  <w:vAlign w:val="center"/>
                </w:tcPr>
                <w:p w14:paraId="1AF3C863">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350</w:t>
                  </w:r>
                </w:p>
              </w:tc>
              <w:tc>
                <w:tcPr>
                  <w:tcW w:w="760" w:type="dxa"/>
                  <w:noWrap w:val="0"/>
                  <w:tcMar>
                    <w:top w:w="12" w:type="dxa"/>
                    <w:left w:w="12" w:type="dxa"/>
                    <w:right w:w="12" w:type="dxa"/>
                  </w:tcMar>
                  <w:vAlign w:val="center"/>
                </w:tcPr>
                <w:p w14:paraId="2F935A3E">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400</w:t>
                  </w:r>
                </w:p>
              </w:tc>
              <w:tc>
                <w:tcPr>
                  <w:tcW w:w="715" w:type="dxa"/>
                  <w:noWrap w:val="0"/>
                  <w:tcMar>
                    <w:top w:w="12" w:type="dxa"/>
                    <w:left w:w="12" w:type="dxa"/>
                    <w:right w:w="12" w:type="dxa"/>
                  </w:tcMar>
                  <w:vAlign w:val="center"/>
                </w:tcPr>
                <w:p w14:paraId="1F300B3A">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715" w:type="dxa"/>
                  <w:noWrap w:val="0"/>
                  <w:tcMar>
                    <w:top w:w="12" w:type="dxa"/>
                    <w:left w:w="12" w:type="dxa"/>
                    <w:right w:w="12" w:type="dxa"/>
                  </w:tcMar>
                  <w:vAlign w:val="center"/>
                </w:tcPr>
                <w:p w14:paraId="0F08C0BF">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715" w:type="dxa"/>
                  <w:noWrap w:val="0"/>
                  <w:tcMar>
                    <w:top w:w="12" w:type="dxa"/>
                    <w:left w:w="12" w:type="dxa"/>
                    <w:right w:w="12" w:type="dxa"/>
                  </w:tcMar>
                  <w:vAlign w:val="center"/>
                </w:tcPr>
                <w:p w14:paraId="423DE2C2">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20" w:type="dxa"/>
                  <w:noWrap w:val="0"/>
                  <w:tcMar>
                    <w:top w:w="12" w:type="dxa"/>
                    <w:left w:w="12" w:type="dxa"/>
                    <w:right w:w="12" w:type="dxa"/>
                  </w:tcMar>
                  <w:vAlign w:val="center"/>
                </w:tcPr>
                <w:p w14:paraId="74D13CEF">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14:paraId="08FD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640" w:type="dxa"/>
                  <w:gridSpan w:val="2"/>
                  <w:noWrap w:val="0"/>
                  <w:tcMar>
                    <w:top w:w="12" w:type="dxa"/>
                    <w:left w:w="12" w:type="dxa"/>
                    <w:right w:w="12" w:type="dxa"/>
                  </w:tcMar>
                  <w:vAlign w:val="center"/>
                </w:tcPr>
                <w:p w14:paraId="1E1A5B84">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1300" w:type="dxa"/>
                  <w:noWrap w:val="0"/>
                  <w:tcMar>
                    <w:top w:w="12" w:type="dxa"/>
                    <w:left w:w="12" w:type="dxa"/>
                    <w:right w:w="12" w:type="dxa"/>
                  </w:tcMar>
                  <w:vAlign w:val="center"/>
                </w:tcPr>
                <w:p w14:paraId="74856210">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17" w:type="dxa"/>
                  <w:noWrap w:val="0"/>
                  <w:tcMar>
                    <w:top w:w="12" w:type="dxa"/>
                    <w:left w:w="12" w:type="dxa"/>
                    <w:right w:w="12" w:type="dxa"/>
                  </w:tcMar>
                  <w:vAlign w:val="center"/>
                </w:tcPr>
                <w:p w14:paraId="09C37DDB">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917" w:type="dxa"/>
                  <w:noWrap w:val="0"/>
                  <w:tcMar>
                    <w:top w:w="12" w:type="dxa"/>
                    <w:left w:w="12" w:type="dxa"/>
                    <w:right w:w="12" w:type="dxa"/>
                  </w:tcMar>
                  <w:vAlign w:val="center"/>
                </w:tcPr>
                <w:p w14:paraId="3A2384D9">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60" w:type="dxa"/>
                  <w:noWrap w:val="0"/>
                  <w:tcMar>
                    <w:top w:w="12" w:type="dxa"/>
                    <w:left w:w="12" w:type="dxa"/>
                    <w:right w:w="12" w:type="dxa"/>
                  </w:tcMar>
                  <w:vAlign w:val="center"/>
                </w:tcPr>
                <w:p w14:paraId="0C516362">
                  <w:pPr>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达标</w:t>
                  </w:r>
                </w:p>
              </w:tc>
              <w:tc>
                <w:tcPr>
                  <w:tcW w:w="715" w:type="dxa"/>
                  <w:noWrap w:val="0"/>
                  <w:tcMar>
                    <w:top w:w="12" w:type="dxa"/>
                    <w:left w:w="12" w:type="dxa"/>
                    <w:right w:w="12" w:type="dxa"/>
                  </w:tcMar>
                  <w:vAlign w:val="center"/>
                </w:tcPr>
                <w:p w14:paraId="3549E1A0">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15" w:type="dxa"/>
                  <w:noWrap w:val="0"/>
                  <w:tcMar>
                    <w:top w:w="12" w:type="dxa"/>
                    <w:left w:w="12" w:type="dxa"/>
                    <w:right w:w="12" w:type="dxa"/>
                  </w:tcMar>
                  <w:vAlign w:val="center"/>
                </w:tcPr>
                <w:p w14:paraId="08FA0C78">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达标</w:t>
                  </w:r>
                </w:p>
              </w:tc>
              <w:tc>
                <w:tcPr>
                  <w:tcW w:w="715" w:type="dxa"/>
                  <w:noWrap w:val="0"/>
                  <w:tcMar>
                    <w:top w:w="12" w:type="dxa"/>
                    <w:left w:w="12" w:type="dxa"/>
                    <w:right w:w="12" w:type="dxa"/>
                  </w:tcMar>
                  <w:vAlign w:val="center"/>
                </w:tcPr>
                <w:p w14:paraId="070B05ED">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720" w:type="dxa"/>
                  <w:noWrap w:val="0"/>
                  <w:tcMar>
                    <w:top w:w="12" w:type="dxa"/>
                    <w:left w:w="12" w:type="dxa"/>
                    <w:right w:w="12" w:type="dxa"/>
                  </w:tcMar>
                  <w:vAlign w:val="center"/>
                </w:tcPr>
                <w:p w14:paraId="640A8041">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达标</w:t>
                  </w:r>
                </w:p>
              </w:tc>
            </w:tr>
          </w:tbl>
          <w:p w14:paraId="0BDED7E3">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color w:val="auto"/>
                <w:sz w:val="24"/>
                <w:lang w:val="zh-CN"/>
              </w:rPr>
              <w:t>综上所述，项目综合废水经</w:t>
            </w:r>
            <w:r>
              <w:rPr>
                <w:rFonts w:hint="default" w:ascii="Times New Roman" w:hAnsi="Times New Roman" w:eastAsia="宋体" w:cs="Times New Roman"/>
                <w:color w:val="auto"/>
                <w:sz w:val="24"/>
                <w:lang w:val="en-US" w:eastAsia="zh-CN"/>
              </w:rPr>
              <w:t>隔油池、</w:t>
            </w:r>
            <w:r>
              <w:rPr>
                <w:rFonts w:hint="default" w:ascii="Times New Roman" w:hAnsi="Times New Roman" w:eastAsia="宋体" w:cs="Times New Roman"/>
                <w:color w:val="auto"/>
                <w:sz w:val="24"/>
                <w:lang w:val="zh-CN"/>
              </w:rPr>
              <w:t>化粪池、</w:t>
            </w:r>
            <w:r>
              <w:rPr>
                <w:rFonts w:hint="default" w:ascii="Times New Roman" w:hAnsi="Times New Roman" w:eastAsia="宋体" w:cs="Times New Roman"/>
                <w:color w:val="auto"/>
                <w:sz w:val="24"/>
                <w:lang w:val="en-US" w:eastAsia="zh-CN"/>
              </w:rPr>
              <w:t>污水处理设施</w:t>
            </w:r>
            <w:r>
              <w:rPr>
                <w:rFonts w:hint="default" w:ascii="Times New Roman" w:hAnsi="Times New Roman" w:eastAsia="宋体" w:cs="Times New Roman"/>
                <w:color w:val="auto"/>
                <w:sz w:val="24"/>
                <w:lang w:val="zh-CN"/>
              </w:rPr>
              <w:t>处理后，可保证出水水质达到</w:t>
            </w:r>
            <w:r>
              <w:rPr>
                <w:rFonts w:hint="default" w:ascii="Times New Roman" w:hAnsi="Times New Roman" w:eastAsia="宋体" w:cs="Times New Roman"/>
                <w:b w:val="0"/>
                <w:bCs w:val="0"/>
                <w:color w:val="auto"/>
                <w:sz w:val="24"/>
                <w:szCs w:val="24"/>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标准要求</w:t>
            </w:r>
            <w:r>
              <w:rPr>
                <w:rFonts w:hint="default" w:ascii="Times New Roman" w:hAnsi="Times New Roman" w:eastAsia="宋体" w:cs="Times New Roman"/>
                <w:color w:val="auto"/>
                <w:sz w:val="24"/>
                <w:highlight w:val="none"/>
                <w:lang w:val="zh-CN"/>
              </w:rPr>
              <w:t>。</w:t>
            </w:r>
          </w:p>
          <w:p w14:paraId="750081FE">
            <w:pPr>
              <w:keepNext w:val="0"/>
              <w:keepLines w:val="0"/>
              <w:pageBreakBefore w:val="0"/>
              <w:widowControl w:val="0"/>
              <w:numPr>
                <w:ilvl w:val="0"/>
                <w:numId w:val="0"/>
              </w:numPr>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color w:val="auto"/>
                <w:sz w:val="24"/>
                <w:szCs w:val="24"/>
                <w:highlight w:val="none"/>
                <w:lang w:val="en-US" w:eastAsia="zh-CN" w:bidi="ar"/>
              </w:rPr>
            </w:pPr>
            <w:r>
              <w:rPr>
                <w:rFonts w:hint="default" w:ascii="Times New Roman" w:hAnsi="Times New Roman"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r>
              <w:rPr>
                <w:rFonts w:hint="default" w:ascii="Times New Roman" w:hAnsi="Times New Roman" w:eastAsia="宋体" w:cs="Times New Roman"/>
                <w:b/>
                <w:color w:val="auto"/>
                <w:spacing w:val="-10"/>
                <w:sz w:val="24"/>
                <w:highlight w:val="none"/>
                <w:lang w:val="en-US" w:eastAsia="zh-CN"/>
              </w:rPr>
              <w:t>分析</w:t>
            </w:r>
          </w:p>
          <w:p w14:paraId="3487E62B">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隔油池</w:t>
            </w:r>
          </w:p>
          <w:p w14:paraId="44CCD3DD">
            <w:pPr>
              <w:keepNext w:val="0"/>
              <w:keepLines w:val="0"/>
              <w:pageBreakBefore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项目食堂废水产生量为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eastAsia="zh-CN"/>
              </w:rPr>
              <w:t>，</w:t>
            </w:r>
            <w:r>
              <w:rPr>
                <w:rFonts w:hint="eastAsia"/>
                <w:color w:val="auto"/>
                <w:sz w:val="24"/>
              </w:rPr>
              <w:t>脱胶脱磷废水</w:t>
            </w:r>
            <w:r>
              <w:rPr>
                <w:rFonts w:hint="eastAsia"/>
                <w:color w:val="auto"/>
                <w:sz w:val="24"/>
                <w:lang w:eastAsia="zh-CN"/>
              </w:rPr>
              <w:t>、牛肉腌制废水、</w:t>
            </w:r>
            <w:r>
              <w:rPr>
                <w:rFonts w:hint="eastAsia" w:ascii="Times New Roman" w:hAnsi="Times New Roman" w:eastAsia="宋体" w:cs="Times New Roman"/>
                <w:color w:val="auto"/>
                <w:sz w:val="24"/>
                <w:lang w:val="en-US" w:eastAsia="zh-CN"/>
              </w:rPr>
              <w:t>车间地面清洗</w:t>
            </w:r>
            <w:r>
              <w:rPr>
                <w:rFonts w:hint="default" w:ascii="Times New Roman" w:hAnsi="Times New Roman" w:eastAsia="宋体" w:cs="Times New Roman"/>
                <w:color w:val="auto"/>
                <w:sz w:val="24"/>
                <w:lang w:val="en-US" w:eastAsia="zh-CN"/>
              </w:rPr>
              <w:t>废水</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设备清洗废水</w:t>
            </w:r>
            <w:r>
              <w:rPr>
                <w:rFonts w:hint="default"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6.3538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14:paraId="2A67FE6C">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14:paraId="0A508B37">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14:paraId="7673FB2C">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14:paraId="29AD643E">
            <w:pPr>
              <w:keepNext w:val="0"/>
              <w:keepLines w:val="0"/>
              <w:pageBreakBefore w:val="0"/>
              <w:kinsoku/>
              <w:wordWrap/>
              <w:overflowPunct/>
              <w:topLinePunct w:val="0"/>
              <w:autoSpaceDE/>
              <w:autoSpaceDN/>
              <w:bidi w:val="0"/>
              <w:spacing w:line="348"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14:paraId="4D2A31F1">
            <w:pPr>
              <w:pStyle w:val="11"/>
              <w:keepNext w:val="0"/>
              <w:keepLines w:val="0"/>
              <w:pageBreakBefore w:val="0"/>
              <w:kinsoku/>
              <w:wordWrap/>
              <w:overflowPunct/>
              <w:topLinePunct w:val="0"/>
              <w:autoSpaceDE/>
              <w:autoSpaceDN/>
              <w:bidi w:val="0"/>
              <w:adjustRightInd w:val="0"/>
              <w:snapToGrid w:val="0"/>
              <w:spacing w:after="0" w:line="348" w:lineRule="auto"/>
              <w:ind w:firstLine="464"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w:t>
            </w:r>
            <w:r>
              <w:rPr>
                <w:rFonts w:hint="eastAsia" w:cs="Times New Roman"/>
                <w:color w:val="auto"/>
                <w:sz w:val="24"/>
                <w:szCs w:val="24"/>
                <w:highlight w:val="none"/>
                <w:lang w:eastAsia="zh-CN"/>
              </w:rPr>
              <w:t>；生产区</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w:t>
            </w:r>
            <w:r>
              <w:rPr>
                <w:rFonts w:hint="eastAsia"/>
                <w:color w:val="auto"/>
                <w:sz w:val="24"/>
              </w:rPr>
              <w:t>脱胶脱磷废水</w:t>
            </w:r>
            <w:r>
              <w:rPr>
                <w:rFonts w:hint="eastAsia"/>
                <w:color w:val="auto"/>
                <w:sz w:val="24"/>
                <w:lang w:eastAsia="zh-CN"/>
              </w:rPr>
              <w:t>、牛肉腌制废水、</w:t>
            </w:r>
            <w:r>
              <w:rPr>
                <w:rFonts w:hint="eastAsia" w:ascii="Times New Roman" w:hAnsi="Times New Roman" w:eastAsia="宋体" w:cs="Times New Roman"/>
                <w:color w:val="auto"/>
                <w:sz w:val="24"/>
                <w:lang w:val="en-US" w:eastAsia="zh-CN"/>
              </w:rPr>
              <w:t>车间地面清洗</w:t>
            </w:r>
            <w:r>
              <w:rPr>
                <w:rFonts w:hint="default" w:ascii="Times New Roman" w:hAnsi="Times New Roman" w:eastAsia="宋体" w:cs="Times New Roman"/>
                <w:color w:val="auto"/>
                <w:sz w:val="24"/>
                <w:lang w:val="en-US" w:eastAsia="zh-CN"/>
              </w:rPr>
              <w:t>废水</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设备清洗废水</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/d，按炊事时间4小时计算，隔油池容积大于</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按炊事时间4小时计算，隔油池容积大于</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整个</w:t>
            </w:r>
            <w:r>
              <w:rPr>
                <w:rFonts w:hint="eastAsia" w:ascii="Times New Roman" w:hAnsi="Times New Roman" w:eastAsia="宋体" w:cs="Times New Roman"/>
                <w:color w:val="auto"/>
                <w:sz w:val="24"/>
                <w:szCs w:val="24"/>
                <w:highlight w:val="none"/>
                <w:lang w:eastAsia="zh-CN"/>
              </w:rPr>
              <w:t>生产区</w:t>
            </w:r>
            <w:r>
              <w:rPr>
                <w:rFonts w:hint="default" w:ascii="Times New Roman" w:hAnsi="Times New Roman" w:eastAsia="宋体" w:cs="Times New Roman"/>
                <w:color w:val="auto"/>
                <w:sz w:val="24"/>
                <w:szCs w:val="24"/>
                <w:highlight w:val="none"/>
              </w:rPr>
              <w:t>含油废水产生量为</w:t>
            </w:r>
            <w:r>
              <w:rPr>
                <w:rFonts w:hint="eastAsia" w:ascii="Times New Roman" w:hAnsi="Times New Roman" w:eastAsia="宋体" w:cs="Times New Roman"/>
                <w:color w:val="auto"/>
                <w:sz w:val="24"/>
                <w:szCs w:val="24"/>
                <w:highlight w:val="none"/>
                <w:lang w:val="en-US" w:eastAsia="zh-CN"/>
              </w:rPr>
              <w:t>6.3538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w:t>
            </w:r>
            <w:r>
              <w:rPr>
                <w:rFonts w:hint="eastAsia" w:ascii="Times New Roman" w:hAnsi="Times New Roman" w:eastAsia="宋体" w:cs="Times New Roman"/>
                <w:color w:val="auto"/>
                <w:sz w:val="24"/>
                <w:szCs w:val="24"/>
                <w:highlight w:val="none"/>
                <w:lang w:eastAsia="zh-CN"/>
              </w:rPr>
              <w:t>生产</w:t>
            </w:r>
            <w:r>
              <w:rPr>
                <w:rFonts w:hint="default" w:ascii="Times New Roman" w:hAnsi="Times New Roman" w:eastAsia="宋体" w:cs="Times New Roman"/>
                <w:color w:val="auto"/>
                <w:sz w:val="24"/>
                <w:szCs w:val="24"/>
                <w:highlight w:val="none"/>
              </w:rPr>
              <w:t>时间4小时计算，隔油池容积大于</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79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本项</w:t>
            </w:r>
            <w:r>
              <w:rPr>
                <w:rFonts w:hint="eastAsia" w:cs="Times New Roman"/>
                <w:color w:val="auto"/>
                <w:sz w:val="24"/>
                <w:szCs w:val="24"/>
                <w:highlight w:val="none"/>
                <w:lang w:eastAsia="zh-CN"/>
              </w:rPr>
              <w:t>目食堂</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生产区</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eastAsia" w:ascii="Times New Roman" w:hAnsi="Times New Roman" w:eastAsia="宋体" w:cs="Times New Roman"/>
                <w:color w:val="auto"/>
                <w:sz w:val="24"/>
                <w:szCs w:val="24"/>
                <w:highlight w:val="none"/>
                <w:lang w:val="en-US" w:eastAsia="zh-CN"/>
              </w:rPr>
              <w:t>1.0</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14:paraId="3B227E1C">
            <w:pPr>
              <w:keepNext w:val="0"/>
              <w:keepLines w:val="0"/>
              <w:pageBreakBefore w:val="0"/>
              <w:widowControl w:val="0"/>
              <w:kinsoku/>
              <w:wordWrap/>
              <w:overflowPunct/>
              <w:topLinePunct w:val="0"/>
              <w:autoSpaceDE/>
              <w:autoSpaceDN/>
              <w:bidi w:val="0"/>
              <w:snapToGrid w:val="0"/>
              <w:spacing w:line="348"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w:t>
            </w:r>
            <w:r>
              <w:rPr>
                <w:rFonts w:hint="default" w:ascii="Times New Roman" w:hAnsi="Times New Roman" w:eastAsia="宋体" w:cs="Times New Roman"/>
                <w:b/>
                <w:bCs/>
                <w:color w:val="auto"/>
                <w:sz w:val="24"/>
                <w:szCs w:val="24"/>
                <w:highlight w:val="none"/>
                <w:shd w:val="clear" w:color="auto" w:fill="auto"/>
                <w:lang w:val="en-US" w:eastAsia="zh-CN"/>
              </w:rPr>
              <w:t>2</w:t>
            </w:r>
            <w:r>
              <w:rPr>
                <w:rFonts w:hint="default" w:ascii="Times New Roman" w:hAnsi="Times New Roman" w:eastAsia="宋体" w:cs="Times New Roman"/>
                <w:b/>
                <w:bCs/>
                <w:color w:val="auto"/>
                <w:sz w:val="24"/>
                <w:szCs w:val="24"/>
                <w:highlight w:val="none"/>
                <w:shd w:val="clear" w:color="auto" w:fill="auto"/>
                <w:lang w:val="zh-CN"/>
              </w:rPr>
              <w:t>）化粪池</w:t>
            </w:r>
          </w:p>
          <w:p w14:paraId="2D1D56FA">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项目运营过程中废水产生</w:t>
            </w:r>
            <w:r>
              <w:rPr>
                <w:rFonts w:hint="default"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rPr>
              <w:t>量为</w:t>
            </w:r>
            <w:r>
              <w:rPr>
                <w:rFonts w:hint="eastAsia" w:cs="Times New Roman"/>
                <w:color w:val="auto"/>
                <w:sz w:val="24"/>
                <w:szCs w:val="24"/>
                <w:highlight w:val="none"/>
                <w:lang w:val="en-US" w:eastAsia="zh-CN"/>
              </w:rPr>
              <w:t>18.5852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本次环评提出在项目区内设置1个</w:t>
            </w:r>
            <w:r>
              <w:rPr>
                <w:rFonts w:hint="default" w:ascii="Times New Roman" w:hAnsi="Times New Roman" w:eastAsia="宋体" w:cs="Times New Roman"/>
                <w:color w:val="auto"/>
                <w:sz w:val="24"/>
                <w:szCs w:val="24"/>
                <w:highlight w:val="none"/>
              </w:rPr>
              <w:t>容积为</w:t>
            </w: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化粪池，用于预处理项目区</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所有</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项目污水经化粪池处理</w:t>
            </w:r>
            <w:r>
              <w:rPr>
                <w:rFonts w:hint="eastAsia"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rPr>
              <w:t>可大大降低后端</w:t>
            </w:r>
            <w:r>
              <w:rPr>
                <w:rFonts w:hint="default" w:ascii="Times New Roman" w:hAnsi="Times New Roman" w:eastAsia="宋体" w:cs="Times New Roman"/>
                <w:color w:val="auto"/>
                <w:sz w:val="24"/>
                <w:szCs w:val="24"/>
                <w:highlight w:val="none"/>
                <w:lang w:eastAsia="zh-CN"/>
              </w:rPr>
              <w:t>污水处理设施</w:t>
            </w:r>
            <w:r>
              <w:rPr>
                <w:rFonts w:hint="default" w:ascii="Times New Roman" w:hAnsi="Times New Roman" w:eastAsia="宋体" w:cs="Times New Roman"/>
                <w:color w:val="auto"/>
                <w:sz w:val="24"/>
                <w:szCs w:val="24"/>
                <w:highlight w:val="none"/>
              </w:rPr>
              <w:t>的运行负荷。因此，本项目</w:t>
            </w:r>
            <w:r>
              <w:rPr>
                <w:rFonts w:hint="default" w:ascii="Times New Roman" w:hAnsi="Times New Roman" w:eastAsia="宋体" w:cs="Times New Roman"/>
                <w:color w:val="auto"/>
                <w:sz w:val="24"/>
                <w:szCs w:val="24"/>
                <w:highlight w:val="none"/>
                <w:lang w:val="en-US" w:eastAsia="zh-CN"/>
              </w:rPr>
              <w:t>拟设置的化粪池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14:paraId="202434F2">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（3）污水处理设施</w:t>
            </w:r>
          </w:p>
          <w:p w14:paraId="5FC32E1D">
            <w:pPr>
              <w:pStyle w:val="24"/>
              <w:keepNext w:val="0"/>
              <w:keepLines w:val="0"/>
              <w:pageBreakBefore w:val="0"/>
              <w:widowControl w:val="0"/>
              <w:kinsoku/>
              <w:wordWrap/>
              <w:overflowPunct/>
              <w:topLinePunct w:val="0"/>
              <w:autoSpaceDE/>
              <w:autoSpaceDN/>
              <w:bidi w:val="0"/>
              <w:spacing w:before="0" w:after="0" w:line="348"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①可行技术分析</w:t>
            </w:r>
          </w:p>
          <w:p w14:paraId="058491CE">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bidi="ar"/>
              </w:rPr>
              <w:t xml:space="preserve"> </w:t>
            </w:r>
            <w:r>
              <w:rPr>
                <w:rFonts w:hint="eastAsia" w:cs="Times New Roman"/>
                <w:color w:val="auto"/>
                <w:sz w:val="24"/>
                <w:highlight w:val="none"/>
                <w:lang w:eastAsia="zh-CN" w:bidi="ar"/>
              </w:rPr>
              <w:t>农副食品加工业</w:t>
            </w:r>
            <w:r>
              <w:rPr>
                <w:rFonts w:hint="eastAsia" w:cs="Times New Roman"/>
                <w:color w:val="auto"/>
                <w:sz w:val="24"/>
                <w:highlight w:val="none"/>
                <w:lang w:val="en-US" w:eastAsia="zh-CN" w:bidi="ar"/>
              </w:rPr>
              <w:t>-屠宰及肉类加工工业</w:t>
            </w:r>
            <w:r>
              <w:rPr>
                <w:rFonts w:hint="default" w:ascii="Times New Roman" w:hAnsi="Times New Roman" w:eastAsia="宋体" w:cs="Times New Roman"/>
                <w:color w:val="auto"/>
                <w:sz w:val="24"/>
                <w:highlight w:val="none"/>
                <w:lang w:bidi="ar"/>
              </w:rPr>
              <w:t>》（HJ</w:t>
            </w:r>
            <w:r>
              <w:rPr>
                <w:rFonts w:hint="eastAsia" w:cs="Times New Roman"/>
                <w:color w:val="auto"/>
                <w:sz w:val="24"/>
                <w:highlight w:val="none"/>
                <w:lang w:val="en-US" w:eastAsia="zh-CN" w:bidi="ar"/>
              </w:rPr>
              <w:t>860.3</w:t>
            </w:r>
            <w:r>
              <w:rPr>
                <w:rFonts w:hint="default" w:ascii="Times New Roman" w:hAnsi="Times New Roman" w:eastAsia="宋体" w:cs="Times New Roman"/>
                <w:color w:val="auto"/>
                <w:sz w:val="24"/>
                <w:highlight w:val="none"/>
                <w:lang w:bidi="ar"/>
              </w:rPr>
              <w:t>-201</w:t>
            </w:r>
            <w:r>
              <w:rPr>
                <w:rFonts w:hint="eastAsia" w:cs="Times New Roman"/>
                <w:color w:val="auto"/>
                <w:sz w:val="24"/>
                <w:highlight w:val="none"/>
                <w:lang w:val="en-US" w:eastAsia="zh-CN" w:bidi="ar"/>
              </w:rPr>
              <w:t>8</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pacing w:val="2"/>
                <w:sz w:val="24"/>
                <w:lang w:val="zh-CN"/>
              </w:rPr>
              <w:t>拟设置1套</w:t>
            </w:r>
            <w:r>
              <w:rPr>
                <w:rFonts w:hint="default" w:ascii="Times New Roman" w:hAnsi="Times New Roman" w:eastAsia="宋体" w:cs="Times New Roman"/>
                <w:color w:val="auto"/>
                <w:spacing w:val="2"/>
                <w:sz w:val="24"/>
                <w:lang w:val="en-US" w:eastAsia="zh-CN"/>
              </w:rPr>
              <w:t>综合</w:t>
            </w:r>
            <w:r>
              <w:rPr>
                <w:rFonts w:hint="default" w:ascii="Times New Roman" w:hAnsi="Times New Roman" w:eastAsia="宋体" w:cs="Times New Roman"/>
                <w:color w:val="auto"/>
                <w:spacing w:val="2"/>
                <w:sz w:val="24"/>
              </w:rPr>
              <w:t>污水</w:t>
            </w:r>
            <w:r>
              <w:rPr>
                <w:rFonts w:hint="default" w:ascii="Times New Roman" w:hAnsi="Times New Roman" w:eastAsia="宋体" w:cs="Times New Roman"/>
                <w:color w:val="auto"/>
                <w:spacing w:val="2"/>
                <w:sz w:val="24"/>
                <w:lang w:val="zh-CN"/>
              </w:rPr>
              <w:t>处理</w:t>
            </w:r>
            <w:r>
              <w:rPr>
                <w:rFonts w:hint="default" w:ascii="Times New Roman" w:hAnsi="Times New Roman" w:eastAsia="宋体" w:cs="Times New Roman"/>
                <w:color w:val="auto"/>
                <w:spacing w:val="2"/>
                <w:sz w:val="24"/>
              </w:rPr>
              <w:t>设施</w:t>
            </w:r>
            <w:r>
              <w:rPr>
                <w:rFonts w:hint="default" w:ascii="Times New Roman" w:hAnsi="Times New Roman" w:eastAsia="宋体" w:cs="Times New Roman"/>
                <w:color w:val="auto"/>
                <w:spacing w:val="2"/>
                <w:sz w:val="24"/>
                <w:lang w:val="zh-CN"/>
              </w:rPr>
              <w:t>，处理工艺拟采用</w:t>
            </w:r>
            <w:r>
              <w:rPr>
                <w:rFonts w:hint="default" w:ascii="Times New Roman" w:hAnsi="Times New Roman" w:eastAsia="宋体" w:cs="Times New Roman"/>
                <w:color w:val="auto"/>
                <w:sz w:val="24"/>
              </w:rPr>
              <w:t>“调节池</w:t>
            </w:r>
            <w:r>
              <w:rPr>
                <w:rFonts w:hint="eastAsia" w:cs="Times New Roman"/>
                <w:color w:val="auto"/>
                <w:sz w:val="24"/>
                <w:lang w:val="en-US" w:eastAsia="zh-CN"/>
              </w:rPr>
              <w:t>+</w:t>
            </w:r>
            <w:r>
              <w:rPr>
                <w:rFonts w:hint="eastAsia" w:cs="Times New Roman"/>
                <w:color w:val="auto"/>
                <w:sz w:val="24"/>
                <w:lang w:eastAsia="zh-CN"/>
              </w:rPr>
              <w:t>气浮</w:t>
            </w:r>
            <w:r>
              <w:rPr>
                <w:rFonts w:hint="default" w:ascii="Times New Roman" w:hAnsi="Times New Roman" w:eastAsia="宋体" w:cs="Times New Roman"/>
                <w:color w:val="auto"/>
                <w:sz w:val="24"/>
              </w:rPr>
              <w:t>+A/O处理+混凝沉淀”，属于可行性技术中的“</w:t>
            </w:r>
            <w:r>
              <w:rPr>
                <w:rFonts w:hint="default" w:ascii="Times New Roman" w:hAnsi="Times New Roman" w:eastAsia="宋体" w:cs="Times New Roman"/>
                <w:color w:val="auto"/>
                <w:sz w:val="24"/>
                <w:lang w:val="en-US" w:eastAsia="zh-CN"/>
              </w:rPr>
              <w:t>预处理（沉淀</w:t>
            </w:r>
            <w:r>
              <w:rPr>
                <w:rFonts w:hint="eastAsia" w:cs="Times New Roman"/>
                <w:color w:val="auto"/>
                <w:sz w:val="24"/>
                <w:lang w:val="en-US" w:eastAsia="zh-CN"/>
              </w:rPr>
              <w:t>、气浮</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生化法</w:t>
            </w:r>
            <w:r>
              <w:rPr>
                <w:rFonts w:hint="default" w:ascii="Times New Roman" w:hAnsi="Times New Roman" w:eastAsia="宋体" w:cs="Times New Roman"/>
                <w:color w:val="auto"/>
                <w:sz w:val="24"/>
                <w:lang w:val="en-US" w:eastAsia="zh-CN"/>
              </w:rPr>
              <w:t>处理（</w:t>
            </w:r>
            <w:r>
              <w:rPr>
                <w:rFonts w:hint="eastAsia" w:cs="Times New Roman"/>
                <w:color w:val="auto"/>
                <w:sz w:val="24"/>
                <w:lang w:val="en-US" w:eastAsia="zh-CN"/>
              </w:rPr>
              <w:t>A/O法</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w:t>
            </w:r>
          </w:p>
          <w:p w14:paraId="0FC42801">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②处理能力分析</w:t>
            </w:r>
          </w:p>
          <w:p w14:paraId="5A3F2DDD">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val="en-US" w:eastAsia="zh-CN"/>
              </w:rPr>
              <w:t>综合废水总量为</w:t>
            </w:r>
            <w:r>
              <w:rPr>
                <w:rFonts w:hint="eastAsia" w:cs="Times New Roman"/>
                <w:color w:val="auto"/>
                <w:sz w:val="24"/>
                <w:szCs w:val="24"/>
                <w:highlight w:val="none"/>
                <w:lang w:val="en-US" w:eastAsia="zh-CN"/>
              </w:rPr>
              <w:t>18.5852</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lang w:val="en-US" w:eastAsia="zh-CN"/>
              </w:rPr>
              <w:t>其中</w:t>
            </w:r>
            <w:r>
              <w:rPr>
                <w:rFonts w:hint="default" w:ascii="Times New Roman" w:hAnsi="Times New Roman" w:eastAsia="宋体" w:cs="Times New Roman"/>
                <w:color w:val="auto"/>
                <w:sz w:val="24"/>
                <w:szCs w:val="24"/>
                <w:highlight w:val="none"/>
                <w:lang w:eastAsia="zh-CN"/>
              </w:rPr>
              <w:t>生活</w:t>
            </w:r>
            <w:r>
              <w:rPr>
                <w:rFonts w:hint="default" w:ascii="Times New Roman" w:hAnsi="Times New Roman" w:eastAsia="宋体" w:cs="Times New Roman"/>
                <w:color w:val="auto"/>
                <w:sz w:val="24"/>
                <w:szCs w:val="24"/>
                <w:highlight w:val="none"/>
              </w:rPr>
              <w:t>废水产生量为</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生产废水量为</w:t>
            </w:r>
            <w:r>
              <w:rPr>
                <w:rFonts w:hint="eastAsia" w:cs="Times New Roman"/>
                <w:color w:val="auto"/>
                <w:spacing w:val="0"/>
                <w:sz w:val="24"/>
                <w:highlight w:val="none"/>
                <w:lang w:val="en-US" w:eastAsia="zh-CN"/>
              </w:rPr>
              <w:t>16.9852</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rPr>
              <w:t>项目拟设置的污水处理设备处理规模为2</w:t>
            </w:r>
            <w:r>
              <w:rPr>
                <w:rFonts w:hint="eastAsia" w:cs="Times New Roman"/>
                <w:color w:val="auto"/>
                <w:lang w:val="en-US" w:eastAsia="zh-CN"/>
              </w:rPr>
              <w:t>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val="en-US" w:eastAsia="zh-CN"/>
              </w:rPr>
              <w:t>同时考虑1.2的余量</w:t>
            </w:r>
            <w:r>
              <w:rPr>
                <w:rFonts w:hint="default" w:ascii="Times New Roman" w:hAnsi="Times New Roman" w:eastAsia="宋体" w:cs="Times New Roman"/>
                <w:color w:val="auto"/>
              </w:rPr>
              <w:t>可完全容纳处理项目产生的所有污水。</w:t>
            </w:r>
          </w:p>
          <w:p w14:paraId="3D1B2A41">
            <w:pPr>
              <w:pStyle w:val="24"/>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③污水处理设施工艺</w:t>
            </w:r>
          </w:p>
          <w:p w14:paraId="19CCA33E">
            <w:pPr>
              <w:pStyle w:val="24"/>
              <w:keepNext w:val="0"/>
              <w:keepLines w:val="0"/>
              <w:pageBreakBefore w:val="0"/>
              <w:widowControl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污水处理</w:t>
            </w:r>
            <w:r>
              <w:rPr>
                <w:rFonts w:hint="default" w:ascii="Times New Roman" w:hAnsi="Times New Roman" w:eastAsia="宋体" w:cs="Times New Roman"/>
                <w:color w:val="auto"/>
                <w:sz w:val="24"/>
                <w:szCs w:val="24"/>
                <w:highlight w:val="none"/>
                <w:lang w:val="en-US" w:eastAsia="zh-CN"/>
              </w:rPr>
              <w:t>设施</w:t>
            </w:r>
            <w:r>
              <w:rPr>
                <w:rFonts w:hint="default" w:ascii="Times New Roman" w:hAnsi="Times New Roman" w:eastAsia="宋体" w:cs="Times New Roman"/>
                <w:color w:val="auto"/>
                <w:lang w:val="en-US" w:eastAsia="zh-CN"/>
              </w:rPr>
              <w:t>工艺如图4-1。</w:t>
            </w:r>
          </w:p>
          <w:p w14:paraId="6989DEA0">
            <w:pPr>
              <w:pStyle w:val="25"/>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rPr>
              <w:object>
                <v:shape id="_x0000_i1036" o:spt="75" type="#_x0000_t75" style="height:389.35pt;width:318.6pt;" o:ole="t" filled="f" o:preferrelative="t" stroked="f" coordsize="21600,21600">
                  <v:path/>
                  <v:fill on="f" focussize="0,0"/>
                  <v:stroke on="f"/>
                  <v:imagedata r:id="rId36" o:title=""/>
                  <o:lock v:ext="edit" aspectratio="f"/>
                  <w10:wrap type="none"/>
                  <w10:anchorlock/>
                </v:shape>
                <o:OLEObject Type="Embed" ProgID="Visio.Drawing.11" ShapeID="_x0000_i1036" DrawAspect="Content" ObjectID="_1468075737" r:id="rId35">
                  <o:LockedField>false</o:LockedField>
                </o:OLEObject>
              </w:object>
            </w:r>
          </w:p>
          <w:p w14:paraId="16CCC42C">
            <w:pPr>
              <w:adjustRightInd w:val="0"/>
              <w:snapToGrid w:val="0"/>
              <w:ind w:firstLine="422" w:firstLineChars="20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w:t>
            </w:r>
            <w:r>
              <w:rPr>
                <w:rFonts w:hint="default" w:ascii="Times New Roman" w:hAnsi="Times New Roman" w:eastAsia="宋体" w:cs="Times New Roman"/>
                <w:b/>
                <w:bCs/>
                <w:color w:val="auto"/>
                <w:szCs w:val="21"/>
                <w:lang w:val="en-US" w:eastAsia="zh-CN"/>
              </w:rPr>
              <w:t>4-1</w:t>
            </w:r>
            <w:r>
              <w:rPr>
                <w:rFonts w:hint="default" w:ascii="Times New Roman" w:hAnsi="Times New Roman" w:eastAsia="宋体" w:cs="Times New Roman"/>
                <w:b/>
                <w:bCs/>
                <w:color w:val="auto"/>
                <w:szCs w:val="21"/>
              </w:rPr>
              <w:t xml:space="preserve">   污水处理</w:t>
            </w:r>
            <w:r>
              <w:rPr>
                <w:rFonts w:hint="default" w:ascii="Times New Roman" w:hAnsi="Times New Roman" w:eastAsia="宋体" w:cs="Times New Roman"/>
                <w:b/>
                <w:bCs/>
                <w:color w:val="auto"/>
                <w:szCs w:val="21"/>
                <w:lang w:val="en-US" w:eastAsia="zh-CN"/>
              </w:rPr>
              <w:t>设施</w:t>
            </w:r>
            <w:r>
              <w:rPr>
                <w:rFonts w:hint="default" w:ascii="Times New Roman" w:hAnsi="Times New Roman" w:eastAsia="宋体" w:cs="Times New Roman"/>
                <w:b/>
                <w:bCs/>
                <w:color w:val="auto"/>
                <w:szCs w:val="21"/>
              </w:rPr>
              <w:t>工艺流程图</w:t>
            </w:r>
          </w:p>
          <w:p w14:paraId="2BC1846B">
            <w:pPr>
              <w:pStyle w:val="75"/>
              <w:keepNext w:val="0"/>
              <w:keepLines w:val="0"/>
              <w:pageBreakBefore w:val="0"/>
              <w:kinsoku/>
              <w:wordWrap/>
              <w:overflowPunct/>
              <w:topLinePunct w:val="0"/>
              <w:autoSpaceDE/>
              <w:autoSpaceDN/>
              <w:bidi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污水处理</w:t>
            </w:r>
            <w:r>
              <w:rPr>
                <w:rFonts w:hint="default" w:ascii="Times New Roman" w:hAnsi="Times New Roman" w:eastAsia="宋体" w:cs="Times New Roman"/>
                <w:color w:val="auto"/>
                <w:lang w:val="en-US" w:eastAsia="zh-CN"/>
              </w:rPr>
              <w:t>设施</w:t>
            </w:r>
            <w:r>
              <w:rPr>
                <w:rFonts w:hint="default" w:ascii="Times New Roman" w:hAnsi="Times New Roman" w:eastAsia="宋体" w:cs="Times New Roman"/>
                <w:color w:val="auto"/>
              </w:rPr>
              <w:t>工艺分析</w:t>
            </w:r>
            <w:r>
              <w:rPr>
                <w:rFonts w:hint="default" w:ascii="Times New Roman" w:hAnsi="Times New Roman" w:eastAsia="宋体" w:cs="Times New Roman"/>
                <w:color w:val="auto"/>
                <w:lang w:eastAsia="zh-CN"/>
              </w:rPr>
              <w:t>：</w:t>
            </w:r>
          </w:p>
          <w:p w14:paraId="51FBD4B0">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kern w:val="2"/>
                <w:szCs w:val="24"/>
                <w:lang w:val="en-US" w:eastAsia="zh-CN" w:bidi="ar"/>
              </w:rPr>
              <w:t>A、预处理—格栅、调节池</w:t>
            </w:r>
          </w:p>
          <w:p w14:paraId="496E4DEF">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项目污水经化粪池处理后进入格栅井，通过格栅将较大粒径的悬浮物和漂浮物截留并去除，防止水泵被堵塞，保证后续设备的稳定运行。通过调节池充分平衡水质、水量，</w:t>
            </w:r>
            <w:r>
              <w:rPr>
                <w:rFonts w:hint="eastAsia" w:ascii="Times New Roman" w:hAnsi="Times New Roman" w:cs="Times New Roman"/>
                <w:color w:val="auto"/>
                <w:spacing w:val="2"/>
                <w:kern w:val="2"/>
                <w:szCs w:val="24"/>
                <w:lang w:val="en-US" w:eastAsia="zh-CN" w:bidi="ar"/>
              </w:rPr>
              <w:t>使</w:t>
            </w:r>
            <w:r>
              <w:rPr>
                <w:rFonts w:hint="default" w:ascii="Times New Roman" w:hAnsi="Times New Roman" w:eastAsia="宋体" w:cs="Times New Roman"/>
                <w:color w:val="auto"/>
                <w:spacing w:val="2"/>
                <w:kern w:val="2"/>
                <w:szCs w:val="24"/>
                <w:lang w:val="en-US" w:eastAsia="zh-CN" w:bidi="ar"/>
              </w:rPr>
              <w:t>污水能比较均匀进入后续处理单位，提高整个系统的抗冲击性能减少处理单元的设计规模。有利于降低运行成本和水质波动带来的影响。在调节池设置空气搅拌装置，</w:t>
            </w:r>
            <w:r>
              <w:rPr>
                <w:rFonts w:hint="eastAsia" w:ascii="Times New Roman" w:hAnsi="Times New Roman" w:cs="Times New Roman"/>
                <w:color w:val="auto"/>
                <w:spacing w:val="2"/>
                <w:kern w:val="2"/>
                <w:szCs w:val="24"/>
                <w:lang w:val="en-US" w:eastAsia="zh-CN" w:bidi="ar"/>
              </w:rPr>
              <w:t>防止</w:t>
            </w:r>
            <w:r>
              <w:rPr>
                <w:rFonts w:hint="default" w:ascii="Times New Roman" w:hAnsi="Times New Roman" w:eastAsia="宋体" w:cs="Times New Roman"/>
                <w:color w:val="auto"/>
                <w:spacing w:val="2"/>
                <w:kern w:val="2"/>
                <w:szCs w:val="24"/>
                <w:lang w:val="en-US" w:eastAsia="zh-CN" w:bidi="ar"/>
              </w:rPr>
              <w:t>发生沉淀现象，同时可以起到水质均衡的作用。</w:t>
            </w:r>
          </w:p>
          <w:p w14:paraId="4FB6BBFD">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B、</w:t>
            </w:r>
            <w:r>
              <w:rPr>
                <w:rFonts w:hint="eastAsia" w:ascii="Times New Roman" w:hAnsi="Times New Roman" w:cs="Times New Roman"/>
                <w:color w:val="auto"/>
                <w:spacing w:val="2"/>
                <w:kern w:val="2"/>
                <w:szCs w:val="24"/>
                <w:lang w:val="en-US" w:eastAsia="zh-CN" w:bidi="ar"/>
              </w:rPr>
              <w:t xml:space="preserve">絮凝、气浮、分离 </w:t>
            </w:r>
          </w:p>
          <w:p w14:paraId="15D62F21">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0" w:firstLineChars="200"/>
              <w:jc w:val="both"/>
              <w:textAlignment w:val="auto"/>
              <w:rPr>
                <w:rFonts w:hint="eastAsia" w:ascii="Times New Roman" w:hAnsi="Times New Roman" w:eastAsia="宋体" w:cs="Times New Roman"/>
                <w:color w:val="auto"/>
                <w:spacing w:val="2"/>
                <w:kern w:val="2"/>
                <w:szCs w:val="24"/>
                <w:lang w:val="en-US" w:eastAsia="zh-CN" w:bidi="ar"/>
              </w:rPr>
            </w:pPr>
            <w:r>
              <w:rPr>
                <w:color w:val="auto"/>
                <w:sz w:val="24"/>
              </w:rPr>
              <w:t>污水再通过提升泵提升进入</w:t>
            </w:r>
            <w:r>
              <w:rPr>
                <w:rFonts w:hint="eastAsia"/>
                <w:color w:val="auto"/>
                <w:sz w:val="24"/>
              </w:rPr>
              <w:t>絮凝</w:t>
            </w:r>
            <w:r>
              <w:rPr>
                <w:color w:val="auto"/>
                <w:sz w:val="24"/>
              </w:rPr>
              <w:t>池，在此进行混絮凝反应及</w:t>
            </w:r>
            <w:r>
              <w:rPr>
                <w:rFonts w:hint="eastAsia"/>
                <w:color w:val="auto"/>
                <w:sz w:val="24"/>
              </w:rPr>
              <w:t>气浮</w:t>
            </w:r>
            <w:r>
              <w:rPr>
                <w:color w:val="auto"/>
                <w:sz w:val="24"/>
              </w:rPr>
              <w:t>，</w:t>
            </w:r>
            <w:r>
              <w:rPr>
                <w:rFonts w:hint="eastAsia" w:ascii="宋体" w:hAnsi="宋体" w:eastAsia="宋体" w:cs="Times New Roman"/>
                <w:color w:val="auto"/>
                <w:sz w:val="24"/>
              </w:rPr>
              <w:t>利用气体在液体中的浮力,使物体浮在液体表面上,从而达到分离、过滤、浓缩等目的</w:t>
            </w:r>
            <w:r>
              <w:rPr>
                <w:rFonts w:hint="eastAsia" w:ascii="宋体" w:hAnsi="宋体" w:eastAsia="宋体" w:cs="Times New Roman"/>
                <w:color w:val="auto"/>
                <w:sz w:val="24"/>
                <w:lang w:eastAsia="zh-CN"/>
              </w:rPr>
              <w:t>，</w:t>
            </w:r>
            <w:r>
              <w:rPr>
                <w:color w:val="auto"/>
                <w:sz w:val="24"/>
              </w:rPr>
              <w:t>去除污水中较大部分污染物质</w:t>
            </w:r>
            <w:r>
              <w:rPr>
                <w:rFonts w:hint="eastAsia"/>
                <w:color w:val="auto"/>
                <w:sz w:val="24"/>
              </w:rPr>
              <w:t>、动植物油等</w:t>
            </w:r>
            <w:r>
              <w:rPr>
                <w:rFonts w:hint="eastAsia" w:ascii="宋体" w:hAnsi="宋体" w:eastAsia="宋体" w:cs="Times New Roman"/>
                <w:color w:val="auto"/>
                <w:sz w:val="24"/>
              </w:rPr>
              <w:t>；</w:t>
            </w:r>
            <w:r>
              <w:rPr>
                <w:color w:val="auto"/>
                <w:sz w:val="24"/>
              </w:rPr>
              <w:t>污水再通过提升泵提升进入</w:t>
            </w:r>
            <w:r>
              <w:rPr>
                <w:rFonts w:hint="eastAsia"/>
                <w:color w:val="auto"/>
                <w:sz w:val="24"/>
              </w:rPr>
              <w:t>絮凝</w:t>
            </w:r>
            <w:r>
              <w:rPr>
                <w:color w:val="auto"/>
                <w:sz w:val="24"/>
              </w:rPr>
              <w:t>池，在此进行混絮凝反应及</w:t>
            </w:r>
            <w:r>
              <w:rPr>
                <w:rFonts w:hint="eastAsia"/>
                <w:color w:val="auto"/>
                <w:sz w:val="24"/>
              </w:rPr>
              <w:t>气浮</w:t>
            </w:r>
            <w:r>
              <w:rPr>
                <w:color w:val="auto"/>
                <w:sz w:val="24"/>
              </w:rPr>
              <w:t>，去除污水中较大部分污染物质</w:t>
            </w:r>
            <w:r>
              <w:rPr>
                <w:rFonts w:hint="eastAsia"/>
                <w:color w:val="auto"/>
                <w:sz w:val="24"/>
              </w:rPr>
              <w:t>、动植物油等</w:t>
            </w:r>
            <w:r>
              <w:rPr>
                <w:color w:val="auto"/>
                <w:sz w:val="24"/>
              </w:rPr>
              <w:t>；出水自流入</w:t>
            </w:r>
            <w:r>
              <w:rPr>
                <w:rFonts w:hint="eastAsia"/>
                <w:color w:val="auto"/>
                <w:sz w:val="24"/>
              </w:rPr>
              <w:t>分离池</w:t>
            </w:r>
            <w:r>
              <w:rPr>
                <w:color w:val="auto"/>
                <w:sz w:val="24"/>
              </w:rPr>
              <w:t>，进行固液分离出水</w:t>
            </w:r>
            <w:r>
              <w:rPr>
                <w:rFonts w:hint="eastAsia"/>
                <w:color w:val="auto"/>
                <w:sz w:val="24"/>
                <w:lang w:eastAsia="zh-CN"/>
              </w:rPr>
              <w:t>。</w:t>
            </w:r>
          </w:p>
          <w:p w14:paraId="241BB91B">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eastAsia" w:ascii="Times New Roman" w:hAnsi="Times New Roman" w:cs="Times New Roman"/>
                <w:color w:val="auto"/>
                <w:spacing w:val="2"/>
                <w:kern w:val="2"/>
                <w:szCs w:val="24"/>
                <w:lang w:val="en-US" w:eastAsia="zh-CN" w:bidi="ar"/>
              </w:rPr>
              <w:t>C、</w:t>
            </w:r>
            <w:r>
              <w:rPr>
                <w:rFonts w:hint="default" w:ascii="Times New Roman" w:hAnsi="Times New Roman" w:eastAsia="宋体" w:cs="Times New Roman"/>
                <w:color w:val="auto"/>
                <w:spacing w:val="2"/>
                <w:kern w:val="2"/>
                <w:szCs w:val="24"/>
                <w:lang w:val="en-US" w:eastAsia="zh-CN" w:bidi="ar"/>
              </w:rPr>
              <w:t>缺氧池</w:t>
            </w:r>
          </w:p>
          <w:p w14:paraId="7E8C6A79">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由于废水中的有机氮含量高，在进行生物降解时会以氨氮的形式出现，所以排入水中的氨氮的指标会升高，而氨氮也是一个污染控制指标，因此在好氧池前加厌氧池，厌氧池可利用回流的混合液中带入的硝酸盐和进水中的有机物碳源进行反硝化，使进水中NO</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-、NO</w:t>
            </w:r>
            <w:r>
              <w:rPr>
                <w:rFonts w:hint="default" w:ascii="Times New Roman" w:hAnsi="Times New Roman" w:eastAsia="宋体" w:cs="Times New Roman"/>
                <w:color w:val="auto"/>
                <w:spacing w:val="2"/>
                <w:kern w:val="2"/>
                <w:szCs w:val="24"/>
                <w:vertAlign w:val="subscript"/>
                <w:lang w:val="en-US" w:eastAsia="zh-CN" w:bidi="ar"/>
              </w:rPr>
              <w:t>3</w:t>
            </w:r>
            <w:r>
              <w:rPr>
                <w:rFonts w:hint="default" w:ascii="Times New Roman" w:hAnsi="Times New Roman" w:eastAsia="宋体" w:cs="Times New Roman"/>
                <w:color w:val="auto"/>
                <w:spacing w:val="2"/>
                <w:kern w:val="2"/>
                <w:szCs w:val="24"/>
                <w:lang w:val="en-US" w:eastAsia="zh-CN" w:bidi="ar"/>
              </w:rPr>
              <w:t>-还原成N</w:t>
            </w:r>
            <w:r>
              <w:rPr>
                <w:rFonts w:hint="default" w:ascii="Times New Roman" w:hAnsi="Times New Roman" w:eastAsia="宋体" w:cs="Times New Roman"/>
                <w:color w:val="auto"/>
                <w:spacing w:val="2"/>
                <w:kern w:val="2"/>
                <w:szCs w:val="24"/>
                <w:vertAlign w:val="subscript"/>
                <w:lang w:val="en-US" w:eastAsia="zh-CN" w:bidi="ar"/>
              </w:rPr>
              <w:t>2</w:t>
            </w:r>
            <w:r>
              <w:rPr>
                <w:rFonts w:hint="default" w:ascii="Times New Roman" w:hAnsi="Times New Roman" w:eastAsia="宋体" w:cs="Times New Roman"/>
                <w:color w:val="auto"/>
                <w:spacing w:val="2"/>
                <w:kern w:val="2"/>
                <w:szCs w:val="24"/>
                <w:lang w:val="en-US" w:eastAsia="zh-CN" w:bidi="ar"/>
              </w:rPr>
              <w:t>达到脱氮作用，在去除有机物的同时降解氨氮值。</w:t>
            </w:r>
          </w:p>
          <w:p w14:paraId="7C9C6AA3">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eastAsia" w:ascii="Times New Roman" w:hAnsi="Times New Roman" w:cs="Times New Roman"/>
                <w:color w:val="auto"/>
                <w:spacing w:val="2"/>
                <w:kern w:val="2"/>
                <w:szCs w:val="24"/>
                <w:lang w:val="en-US" w:eastAsia="zh-CN" w:bidi="ar"/>
              </w:rPr>
              <w:t>D</w:t>
            </w:r>
            <w:r>
              <w:rPr>
                <w:rFonts w:hint="default" w:ascii="Times New Roman" w:hAnsi="Times New Roman" w:eastAsia="宋体" w:cs="Times New Roman"/>
                <w:color w:val="auto"/>
                <w:spacing w:val="2"/>
                <w:kern w:val="2"/>
                <w:szCs w:val="24"/>
                <w:lang w:val="en-US" w:eastAsia="zh-CN" w:bidi="ar"/>
              </w:rPr>
              <w:t>、生物接触氧化</w:t>
            </w:r>
          </w:p>
          <w:p w14:paraId="4434045C">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szCs w:val="24"/>
                <w:lang w:val="en-US" w:eastAsia="zh-CN"/>
              </w:rPr>
            </w:pPr>
            <w:r>
              <w:rPr>
                <w:rFonts w:hint="default" w:ascii="Times New Roman" w:hAnsi="Times New Roman" w:eastAsia="宋体" w:cs="Times New Roman"/>
                <w:color w:val="auto"/>
                <w:spacing w:val="2"/>
                <w:kern w:val="2"/>
                <w:szCs w:val="24"/>
                <w:lang w:val="en-US" w:eastAsia="zh-CN" w:bidi="ar"/>
              </w:rPr>
              <w:t>污水经厌氧池处理后，自流进入好氧池，从而进入接触氧化阶段，即进入好氧处理。生物接触氧化是进行好氧生化处理，在好氧过程中，大量高压的空气释放到污水中与污水混合、搅拌，微小的气泡与污水接触，氧气进入微生物细胞中，微生物进行新陈代谢降解污水中的有机物，老的微生物消亡，新的微生物诞生，生生不息周而复始，污水得到降解、净化。生物接触氧化池关键因素是设置填料，接触填料作为微生物栖息的场所，是生物膜的载体。接触层生物膜可利用氧化池出水中较高的剩余溶解氧，对水质进一步生物氧化。</w:t>
            </w:r>
          </w:p>
          <w:p w14:paraId="60B61098">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eastAsia" w:ascii="Times New Roman" w:hAnsi="Times New Roman" w:cs="Times New Roman"/>
                <w:color w:val="auto"/>
                <w:spacing w:val="2"/>
                <w:kern w:val="2"/>
                <w:szCs w:val="24"/>
                <w:lang w:val="en-US" w:eastAsia="zh-CN" w:bidi="ar"/>
              </w:rPr>
              <w:t>E</w:t>
            </w:r>
            <w:r>
              <w:rPr>
                <w:rFonts w:hint="default" w:ascii="Times New Roman" w:hAnsi="Times New Roman" w:eastAsia="宋体" w:cs="Times New Roman"/>
                <w:color w:val="auto"/>
                <w:spacing w:val="2"/>
                <w:kern w:val="2"/>
                <w:szCs w:val="24"/>
                <w:lang w:val="en-US" w:eastAsia="zh-CN" w:bidi="ar"/>
              </w:rPr>
              <w:t>、沉淀</w:t>
            </w:r>
          </w:p>
          <w:p w14:paraId="437B951B">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default" w:ascii="Times New Roman" w:hAnsi="Times New Roman" w:eastAsia="宋体" w:cs="Times New Roman"/>
                <w:color w:val="auto"/>
                <w:spacing w:val="2"/>
                <w:kern w:val="2"/>
                <w:szCs w:val="24"/>
                <w:lang w:val="en-US" w:eastAsia="zh-CN" w:bidi="ar"/>
              </w:rPr>
              <w:t>污水经过接触氧化后，夹带氧化过程中产生的少量的活性污泥及新陈代谢的生物膜，以及不能进行生物降解的少量固形物，进入沉淀池进行固液分离。使水得到澄清排出。沉淀池采用竖流式，沉淀的污泥全部回流至污泥池作进一步消化减少剩余污泥，出水槽设计成可调液位的齿形集水槽，增加沉淀效果。</w:t>
            </w:r>
          </w:p>
          <w:p w14:paraId="07DFF99A">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19" w:firstLine="488" w:firstLineChars="200"/>
              <w:jc w:val="both"/>
              <w:textAlignment w:val="auto"/>
              <w:rPr>
                <w:rFonts w:hint="default" w:ascii="Times New Roman" w:hAnsi="Times New Roman" w:eastAsia="宋体" w:cs="Times New Roman"/>
                <w:color w:val="auto"/>
                <w:spacing w:val="2"/>
                <w:kern w:val="2"/>
                <w:szCs w:val="24"/>
                <w:lang w:val="en-US" w:eastAsia="zh-CN" w:bidi="ar"/>
              </w:rPr>
            </w:pPr>
            <w:r>
              <w:rPr>
                <w:rFonts w:hint="eastAsia" w:ascii="Times New Roman" w:hAnsi="Times New Roman" w:cs="Times New Roman"/>
                <w:color w:val="auto"/>
                <w:spacing w:val="2"/>
                <w:kern w:val="2"/>
                <w:szCs w:val="24"/>
                <w:lang w:val="en-US" w:eastAsia="zh-CN" w:bidi="ar"/>
              </w:rPr>
              <w:t>F</w:t>
            </w:r>
            <w:r>
              <w:rPr>
                <w:rFonts w:hint="default" w:ascii="Times New Roman" w:hAnsi="Times New Roman" w:eastAsia="宋体" w:cs="Times New Roman"/>
                <w:color w:val="auto"/>
                <w:spacing w:val="2"/>
                <w:kern w:val="2"/>
                <w:szCs w:val="24"/>
                <w:lang w:val="en-US" w:eastAsia="zh-CN" w:bidi="ar"/>
              </w:rPr>
              <w:t>、消毒</w:t>
            </w:r>
          </w:p>
          <w:p w14:paraId="2FBCB371">
            <w:pPr>
              <w:pStyle w:val="75"/>
              <w:keepNext w:val="0"/>
              <w:keepLines w:val="0"/>
              <w:pageBreakBefore w:val="0"/>
              <w:widowControl w:val="0"/>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清水在接触消毒池内通过自动投加消毒剂进行处理，并保证有足够的消毒时间使水中各种</w:t>
            </w:r>
            <w:r>
              <w:rPr>
                <w:rFonts w:hint="default" w:ascii="Times New Roman" w:hAnsi="Times New Roman" w:eastAsia="宋体" w:cs="Times New Roman"/>
                <w:color w:val="auto"/>
                <w:spacing w:val="2"/>
                <w:szCs w:val="24"/>
                <w:highlight w:val="none"/>
                <w:lang w:bidi="ar"/>
              </w:rPr>
              <w:t>致病菌被充分杀灭，</w:t>
            </w:r>
            <w:r>
              <w:rPr>
                <w:rFonts w:hint="default" w:ascii="Times New Roman" w:hAnsi="Times New Roman" w:eastAsia="宋体" w:cs="Times New Roman"/>
                <w:color w:val="auto"/>
                <w:spacing w:val="2"/>
                <w:szCs w:val="24"/>
                <w:highlight w:val="none"/>
                <w:lang w:val="zh-CN" w:bidi="ar"/>
              </w:rPr>
              <w:t>即可满足排放要求。本项目消毒采用定量投加</w:t>
            </w:r>
            <w:r>
              <w:rPr>
                <w:rFonts w:hint="default" w:ascii="Times New Roman" w:hAnsi="Times New Roman" w:eastAsia="宋体" w:cs="Times New Roman"/>
                <w:color w:val="auto"/>
                <w:spacing w:val="2"/>
                <w:szCs w:val="24"/>
                <w:highlight w:val="none"/>
                <w:lang w:val="en-US" w:eastAsia="zh-CN" w:bidi="ar"/>
              </w:rPr>
              <w:t>氯片</w:t>
            </w:r>
            <w:r>
              <w:rPr>
                <w:rFonts w:hint="default" w:ascii="Times New Roman" w:hAnsi="Times New Roman" w:eastAsia="宋体" w:cs="Times New Roman"/>
                <w:color w:val="auto"/>
                <w:spacing w:val="2"/>
                <w:szCs w:val="24"/>
                <w:highlight w:val="none"/>
                <w:lang w:val="zh-CN" w:bidi="ar"/>
              </w:rPr>
              <w:t>的方式，可</w:t>
            </w:r>
            <w:r>
              <w:rPr>
                <w:rFonts w:hint="default" w:ascii="Times New Roman" w:hAnsi="Times New Roman" w:eastAsia="宋体" w:cs="Times New Roman"/>
                <w:color w:val="auto"/>
                <w:spacing w:val="2"/>
                <w:szCs w:val="24"/>
                <w:lang w:val="zh-CN" w:bidi="ar"/>
              </w:rPr>
              <w:t>以较彻底</w:t>
            </w:r>
            <w:r>
              <w:rPr>
                <w:rFonts w:hint="eastAsia" w:cs="Times New Roman"/>
                <w:color w:val="auto"/>
                <w:spacing w:val="2"/>
                <w:szCs w:val="24"/>
                <w:lang w:val="zh-CN" w:bidi="ar"/>
              </w:rPr>
              <w:t>地</w:t>
            </w:r>
            <w:r>
              <w:rPr>
                <w:rFonts w:hint="default" w:ascii="Times New Roman" w:hAnsi="Times New Roman" w:eastAsia="宋体" w:cs="Times New Roman"/>
                <w:color w:val="auto"/>
                <w:spacing w:val="2"/>
                <w:szCs w:val="24"/>
                <w:lang w:val="zh-CN" w:bidi="ar"/>
              </w:rPr>
              <w:t>消除细菌、臭味、色度等可能对人群造成的危害，次氯酸钠无毒、运行、管理无危险性。</w:t>
            </w:r>
          </w:p>
          <w:p w14:paraId="7BC47E41">
            <w:pPr>
              <w:pStyle w:val="75"/>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bidi="ar"/>
              </w:rPr>
            </w:pPr>
            <w:r>
              <w:rPr>
                <w:rFonts w:hint="default" w:ascii="Times New Roman" w:hAnsi="Times New Roman" w:eastAsia="宋体" w:cs="Times New Roman"/>
                <w:color w:val="auto"/>
                <w:spacing w:val="2"/>
                <w:szCs w:val="24"/>
                <w:lang w:bidi="ar"/>
              </w:rPr>
              <w:t>污泥池</w:t>
            </w:r>
          </w:p>
          <w:p w14:paraId="47630D59">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Cs w:val="24"/>
                <w:lang w:val="zh-CN" w:bidi="ar"/>
              </w:rPr>
            </w:pPr>
            <w:r>
              <w:rPr>
                <w:rFonts w:hint="default" w:ascii="Times New Roman" w:hAnsi="Times New Roman" w:eastAsia="宋体" w:cs="Times New Roman"/>
                <w:color w:val="auto"/>
                <w:spacing w:val="2"/>
                <w:szCs w:val="24"/>
                <w:lang w:bidi="ar"/>
              </w:rPr>
              <w:t>沉淀池的污泥定时排入污泥池，进行厌氧消化/同时采用间隙好氧混合的方法，通过消化可以减少剩余污泥量约70%以上。污泥池上清液夹带活化污泥回流至厌氧池内，剩余污泥定期清理。</w:t>
            </w:r>
          </w:p>
          <w:p w14:paraId="0732FE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④达标性分析</w:t>
            </w:r>
          </w:p>
          <w:p w14:paraId="376496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本项目废水进</w:t>
            </w:r>
            <w:r>
              <w:rPr>
                <w:rFonts w:hint="default" w:ascii="Times New Roman" w:hAnsi="Times New Roman" w:eastAsia="宋体" w:cs="Times New Roman"/>
                <w:b w:val="0"/>
                <w:bCs w:val="0"/>
                <w:color w:val="auto"/>
                <w:sz w:val="24"/>
                <w:szCs w:val="24"/>
                <w:highlight w:val="none"/>
              </w:rPr>
              <w:t>出水水质</w:t>
            </w:r>
            <w:r>
              <w:rPr>
                <w:rFonts w:hint="default" w:ascii="Times New Roman" w:hAnsi="Times New Roman" w:eastAsia="宋体" w:cs="Times New Roman"/>
                <w:b w:val="0"/>
                <w:bCs w:val="0"/>
                <w:color w:val="auto"/>
                <w:sz w:val="24"/>
                <w:szCs w:val="24"/>
                <w:highlight w:val="none"/>
                <w:lang w:val="en-US" w:eastAsia="zh-CN"/>
              </w:rPr>
              <w:t>如下表所示。</w:t>
            </w:r>
          </w:p>
          <w:p w14:paraId="0AC723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达标性分析一览表</w:t>
            </w:r>
          </w:p>
          <w:tbl>
            <w:tblPr>
              <w:tblStyle w:val="27"/>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042"/>
              <w:gridCol w:w="1042"/>
              <w:gridCol w:w="1042"/>
              <w:gridCol w:w="1042"/>
              <w:gridCol w:w="1042"/>
              <w:gridCol w:w="973"/>
              <w:gridCol w:w="1114"/>
            </w:tblGrid>
            <w:tr w14:paraId="5664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6E89CD60">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2"/>
                      <w:sz w:val="21"/>
                      <w:szCs w:val="21"/>
                      <w:vertAlign w:val="baseline"/>
                      <w:lang w:val="en-US" w:eastAsia="zh-CN" w:bidi="ar"/>
                    </w:rPr>
                  </w:pPr>
                  <w:r>
                    <w:rPr>
                      <w:rFonts w:hint="default" w:ascii="Times New Roman" w:hAnsi="Times New Roman" w:eastAsia="宋体" w:cs="Times New Roman"/>
                      <w:b/>
                      <w:bCs/>
                      <w:color w:val="auto"/>
                      <w:spacing w:val="2"/>
                      <w:sz w:val="21"/>
                      <w:szCs w:val="21"/>
                      <w:vertAlign w:val="baseline"/>
                      <w:lang w:val="en-US" w:eastAsia="zh-CN" w:bidi="ar"/>
                    </w:rPr>
                    <w:t>污染因子</w:t>
                  </w:r>
                </w:p>
              </w:tc>
              <w:tc>
                <w:tcPr>
                  <w:tcW w:w="1042" w:type="dxa"/>
                  <w:vAlign w:val="center"/>
                </w:tcPr>
                <w:p w14:paraId="48583172">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1042" w:type="dxa"/>
                  <w:vAlign w:val="center"/>
                </w:tcPr>
                <w:p w14:paraId="75B65952">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1042" w:type="dxa"/>
                  <w:vAlign w:val="center"/>
                </w:tcPr>
                <w:p w14:paraId="547C7DE3">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1042" w:type="dxa"/>
                  <w:vAlign w:val="center"/>
                </w:tcPr>
                <w:p w14:paraId="5159E0D7">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1042" w:type="dxa"/>
                  <w:vAlign w:val="center"/>
                </w:tcPr>
                <w:p w14:paraId="7232E7D9">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973" w:type="dxa"/>
                  <w:vAlign w:val="center"/>
                </w:tcPr>
                <w:p w14:paraId="2EBD8BBD">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1114" w:type="dxa"/>
                  <w:vAlign w:val="center"/>
                </w:tcPr>
                <w:p w14:paraId="59D7BBBE">
                  <w:pPr>
                    <w:keepNext w:val="0"/>
                    <w:keepLines w:val="0"/>
                    <w:widowControl/>
                    <w:suppressLineNumbers w:val="0"/>
                    <w:jc w:val="center"/>
                    <w:textAlignment w:val="center"/>
                    <w:rPr>
                      <w:rFonts w:hint="default" w:ascii="Times New Roman" w:hAnsi="Times New Roman" w:eastAsia="宋体" w:cs="Times New Roman"/>
                      <w:b/>
                      <w:bCs/>
                      <w:color w:val="auto"/>
                      <w:spacing w:val="2"/>
                      <w:szCs w:val="21"/>
                      <w:vertAlign w:val="baseline"/>
                      <w:lang w:bidi="ar"/>
                    </w:rPr>
                  </w:pPr>
                  <w:r>
                    <w:rPr>
                      <w:rFonts w:hint="default" w:ascii="Times New Roman" w:hAnsi="Times New Roman" w:eastAsia="宋体" w:cs="Times New Roman"/>
                      <w:b/>
                      <w:bCs/>
                      <w:i w:val="0"/>
                      <w:iCs w:val="0"/>
                      <w:color w:val="auto"/>
                      <w:kern w:val="0"/>
                      <w:sz w:val="21"/>
                      <w:szCs w:val="21"/>
                      <w:u w:val="none"/>
                      <w:lang w:val="en-US" w:eastAsia="zh-CN" w:bidi="ar"/>
                    </w:rPr>
                    <w:t>动植物油</w:t>
                  </w:r>
                </w:p>
              </w:tc>
            </w:tr>
            <w:tr w14:paraId="218D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0AF36FD9">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产生浓度（mg/L）</w:t>
                  </w:r>
                </w:p>
              </w:tc>
              <w:tc>
                <w:tcPr>
                  <w:tcW w:w="1042" w:type="dxa"/>
                  <w:vAlign w:val="center"/>
                </w:tcPr>
                <w:p w14:paraId="46302CB2">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775.89</w:t>
                  </w:r>
                </w:p>
              </w:tc>
              <w:tc>
                <w:tcPr>
                  <w:tcW w:w="1042" w:type="dxa"/>
                  <w:vAlign w:val="center"/>
                </w:tcPr>
                <w:p w14:paraId="49F7F3CC">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474.17</w:t>
                  </w:r>
                </w:p>
              </w:tc>
              <w:tc>
                <w:tcPr>
                  <w:tcW w:w="1042" w:type="dxa"/>
                  <w:vAlign w:val="center"/>
                </w:tcPr>
                <w:p w14:paraId="0B2B352F">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474.17</w:t>
                  </w:r>
                </w:p>
              </w:tc>
              <w:tc>
                <w:tcPr>
                  <w:tcW w:w="1042" w:type="dxa"/>
                  <w:vAlign w:val="center"/>
                </w:tcPr>
                <w:p w14:paraId="7D1BABCF">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26.29</w:t>
                  </w:r>
                </w:p>
              </w:tc>
              <w:tc>
                <w:tcPr>
                  <w:tcW w:w="1042" w:type="dxa"/>
                  <w:vAlign w:val="center"/>
                </w:tcPr>
                <w:p w14:paraId="79083CEF">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42.73</w:t>
                  </w:r>
                </w:p>
              </w:tc>
              <w:tc>
                <w:tcPr>
                  <w:tcW w:w="973" w:type="dxa"/>
                  <w:vAlign w:val="center"/>
                </w:tcPr>
                <w:p w14:paraId="5B4355BE">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131.82</w:t>
                  </w:r>
                </w:p>
              </w:tc>
              <w:tc>
                <w:tcPr>
                  <w:tcW w:w="1114" w:type="dxa"/>
                  <w:vAlign w:val="center"/>
                </w:tcPr>
                <w:p w14:paraId="57F084D7">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eastAsia" w:cs="Times New Roman"/>
                      <w:i w:val="0"/>
                      <w:iCs w:val="0"/>
                      <w:color w:val="auto"/>
                      <w:kern w:val="0"/>
                      <w:sz w:val="21"/>
                      <w:szCs w:val="21"/>
                      <w:u w:val="none"/>
                      <w:lang w:val="en-US" w:eastAsia="zh-CN" w:bidi="ar"/>
                    </w:rPr>
                    <w:t>94.40</w:t>
                  </w:r>
                </w:p>
              </w:tc>
            </w:tr>
            <w:tr w14:paraId="7886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7207EF9A">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治理设施</w:t>
                  </w:r>
                </w:p>
              </w:tc>
              <w:tc>
                <w:tcPr>
                  <w:tcW w:w="7297" w:type="dxa"/>
                  <w:gridSpan w:val="7"/>
                  <w:vAlign w:val="center"/>
                </w:tcPr>
                <w:p w14:paraId="4D35C06B">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val="en-US" w:eastAsia="zh-CN" w:bidi="ar"/>
                    </w:rPr>
                  </w:pPr>
                  <w:r>
                    <w:rPr>
                      <w:rFonts w:hint="default" w:ascii="Times New Roman" w:hAnsi="Times New Roman" w:eastAsia="宋体" w:cs="Times New Roman"/>
                      <w:color w:val="auto"/>
                      <w:spacing w:val="2"/>
                      <w:sz w:val="21"/>
                      <w:szCs w:val="21"/>
                      <w:vertAlign w:val="baseline"/>
                      <w:lang w:val="en-US" w:eastAsia="zh-CN" w:bidi="ar"/>
                    </w:rPr>
                    <w:t>隔油池+化粪池+污水处理设施</w:t>
                  </w:r>
                </w:p>
              </w:tc>
            </w:tr>
            <w:tr w14:paraId="44C4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73F4EAE4">
                  <w:pPr>
                    <w:pStyle w:val="7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sz w:val="21"/>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排放浓度（mg/L）</w:t>
                  </w:r>
                </w:p>
              </w:tc>
              <w:tc>
                <w:tcPr>
                  <w:tcW w:w="1042" w:type="dxa"/>
                  <w:vAlign w:val="center"/>
                </w:tcPr>
                <w:p w14:paraId="28478793">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26.38 </w:t>
                  </w:r>
                </w:p>
              </w:tc>
              <w:tc>
                <w:tcPr>
                  <w:tcW w:w="1042" w:type="dxa"/>
                  <w:vAlign w:val="center"/>
                </w:tcPr>
                <w:p w14:paraId="045F03F0">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16.12 </w:t>
                  </w:r>
                </w:p>
              </w:tc>
              <w:tc>
                <w:tcPr>
                  <w:tcW w:w="1042" w:type="dxa"/>
                  <w:vAlign w:val="center"/>
                </w:tcPr>
                <w:p w14:paraId="7B11FCB7">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33.19 </w:t>
                  </w:r>
                </w:p>
              </w:tc>
              <w:tc>
                <w:tcPr>
                  <w:tcW w:w="1042" w:type="dxa"/>
                  <w:vAlign w:val="center"/>
                </w:tcPr>
                <w:p w14:paraId="37527A7F">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2.63 </w:t>
                  </w:r>
                </w:p>
              </w:tc>
              <w:tc>
                <w:tcPr>
                  <w:tcW w:w="1042" w:type="dxa"/>
                  <w:vAlign w:val="center"/>
                </w:tcPr>
                <w:p w14:paraId="1D14E520">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6.41 </w:t>
                  </w:r>
                </w:p>
              </w:tc>
              <w:tc>
                <w:tcPr>
                  <w:tcW w:w="973" w:type="dxa"/>
                  <w:vAlign w:val="center"/>
                </w:tcPr>
                <w:p w14:paraId="73B4EAAC">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26.36 </w:t>
                  </w:r>
                </w:p>
              </w:tc>
              <w:tc>
                <w:tcPr>
                  <w:tcW w:w="1114" w:type="dxa"/>
                  <w:vAlign w:val="center"/>
                </w:tcPr>
                <w:p w14:paraId="36AA52B7">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3.50 </w:t>
                  </w:r>
                </w:p>
              </w:tc>
            </w:tr>
            <w:tr w14:paraId="1A43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vAlign w:val="center"/>
                </w:tcPr>
                <w:p w14:paraId="5EF142AF">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标准值（mg/L）</w:t>
                  </w:r>
                </w:p>
              </w:tc>
              <w:tc>
                <w:tcPr>
                  <w:tcW w:w="1042" w:type="dxa"/>
                  <w:vAlign w:val="center"/>
                </w:tcPr>
                <w:p w14:paraId="4AA9A1F1">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500</w:t>
                  </w:r>
                </w:p>
              </w:tc>
              <w:tc>
                <w:tcPr>
                  <w:tcW w:w="1042" w:type="dxa"/>
                  <w:vAlign w:val="center"/>
                </w:tcPr>
                <w:p w14:paraId="319DA49C">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350</w:t>
                  </w:r>
                </w:p>
              </w:tc>
              <w:tc>
                <w:tcPr>
                  <w:tcW w:w="1042" w:type="dxa"/>
                  <w:vAlign w:val="center"/>
                </w:tcPr>
                <w:p w14:paraId="5096D7A6">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400</w:t>
                  </w:r>
                </w:p>
              </w:tc>
              <w:tc>
                <w:tcPr>
                  <w:tcW w:w="1042" w:type="dxa"/>
                  <w:vAlign w:val="center"/>
                </w:tcPr>
                <w:p w14:paraId="302BE161">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1042" w:type="dxa"/>
                  <w:vAlign w:val="center"/>
                </w:tcPr>
                <w:p w14:paraId="14097BD5">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973" w:type="dxa"/>
                  <w:vAlign w:val="center"/>
                </w:tcPr>
                <w:p w14:paraId="3CD20874">
                  <w:pPr>
                    <w:jc w:val="center"/>
                    <w:rPr>
                      <w:rFonts w:hint="default" w:ascii="Times New Roman" w:hAnsi="Times New Roman" w:eastAsia="宋体" w:cs="Times New Roman"/>
                      <w:color w:val="auto"/>
                      <w:spacing w:val="2"/>
                      <w:szCs w:val="21"/>
                      <w:vertAlign w:val="baseli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114" w:type="dxa"/>
                  <w:vAlign w:val="center"/>
                </w:tcPr>
                <w:p w14:paraId="21D4EDE9">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14:paraId="54C7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0" w:type="dxa"/>
                  <w:vAlign w:val="center"/>
                </w:tcPr>
                <w:p w14:paraId="127B91B8">
                  <w:pPr>
                    <w:keepNext w:val="0"/>
                    <w:keepLines w:val="0"/>
                    <w:widowControl/>
                    <w:suppressLineNumbers w:val="0"/>
                    <w:jc w:val="center"/>
                    <w:textAlignment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达标情况</w:t>
                  </w:r>
                </w:p>
              </w:tc>
              <w:tc>
                <w:tcPr>
                  <w:tcW w:w="1042" w:type="dxa"/>
                  <w:vAlign w:val="center"/>
                </w:tcPr>
                <w:p w14:paraId="25497552">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14:paraId="28403CC8">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14:paraId="7D62E0E6">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14:paraId="07C6BB66">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042" w:type="dxa"/>
                  <w:vAlign w:val="center"/>
                </w:tcPr>
                <w:p w14:paraId="10BDA61F">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973" w:type="dxa"/>
                  <w:vAlign w:val="center"/>
                </w:tcPr>
                <w:p w14:paraId="4E80C3B9">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c>
                <w:tcPr>
                  <w:tcW w:w="1114" w:type="dxa"/>
                  <w:vAlign w:val="center"/>
                </w:tcPr>
                <w:p w14:paraId="7238814C">
                  <w:pPr>
                    <w:jc w:val="center"/>
                    <w:rPr>
                      <w:rFonts w:hint="default" w:ascii="Times New Roman" w:hAnsi="Times New Roman" w:eastAsia="宋体" w:cs="Times New Roman"/>
                      <w:color w:val="auto"/>
                      <w:spacing w:val="2"/>
                      <w:szCs w:val="21"/>
                      <w:vertAlign w:val="baseline"/>
                      <w:lang w:bidi="ar"/>
                    </w:rPr>
                  </w:pPr>
                  <w:r>
                    <w:rPr>
                      <w:rFonts w:hint="default" w:ascii="Times New Roman" w:hAnsi="Times New Roman" w:eastAsia="宋体" w:cs="Times New Roman"/>
                      <w:i w:val="0"/>
                      <w:color w:val="auto"/>
                      <w:sz w:val="21"/>
                      <w:szCs w:val="21"/>
                      <w:highlight w:val="none"/>
                      <w:u w:val="none"/>
                      <w:lang w:val="en-US" w:eastAsia="zh-CN"/>
                    </w:rPr>
                    <w:t>达标</w:t>
                  </w:r>
                </w:p>
              </w:tc>
            </w:tr>
          </w:tbl>
          <w:p w14:paraId="7E24CE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w:t>
            </w:r>
            <w:r>
              <w:rPr>
                <w:rFonts w:hint="default" w:ascii="Times New Roman" w:hAnsi="Times New Roman" w:eastAsia="宋体" w:cs="Times New Roman"/>
                <w:b w:val="0"/>
                <w:bCs w:val="0"/>
                <w:color w:val="auto"/>
                <w:sz w:val="24"/>
                <w:szCs w:val="24"/>
                <w:highlight w:val="none"/>
                <w:lang w:val="en-US" w:eastAsia="zh-CN"/>
              </w:rPr>
              <w:t>可知</w:t>
            </w:r>
            <w:r>
              <w:rPr>
                <w:rFonts w:hint="default" w:ascii="Times New Roman" w:hAnsi="Times New Roman" w:eastAsia="宋体" w:cs="Times New Roman"/>
                <w:b w:val="0"/>
                <w:bCs w:val="0"/>
                <w:color w:val="auto"/>
                <w:sz w:val="24"/>
                <w:szCs w:val="24"/>
                <w:highlight w:val="none"/>
                <w:lang w:val="zh-CN"/>
              </w:rPr>
              <w:t>，项目废水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隔油池、化粪池及</w:t>
            </w:r>
            <w:r>
              <w:rPr>
                <w:rFonts w:hint="default" w:ascii="Times New Roman" w:hAnsi="Times New Roman" w:eastAsia="宋体" w:cs="Times New Roman"/>
                <w:b w:val="0"/>
                <w:bCs w:val="0"/>
                <w:color w:val="auto"/>
                <w:sz w:val="24"/>
                <w:szCs w:val="24"/>
                <w:highlight w:val="none"/>
                <w:lang w:eastAsia="zh-CN"/>
              </w:rPr>
              <w:t>污水处理设施</w:t>
            </w:r>
            <w:r>
              <w:rPr>
                <w:rFonts w:hint="default" w:ascii="Times New Roman" w:hAnsi="Times New Roman" w:eastAsia="宋体" w:cs="Times New Roman"/>
                <w:b w:val="0"/>
                <w:bCs w:val="0"/>
                <w:color w:val="auto"/>
                <w:sz w:val="24"/>
                <w:szCs w:val="24"/>
                <w:highlight w:val="none"/>
                <w:lang w:val="zh-CN"/>
              </w:rPr>
              <w:t>处理后，</w:t>
            </w:r>
            <w:r>
              <w:rPr>
                <w:rFonts w:hint="default" w:ascii="Times New Roman" w:hAnsi="Times New Roman" w:eastAsia="宋体" w:cs="Times New Roman"/>
                <w:b w:val="0"/>
                <w:bCs w:val="0"/>
                <w:color w:val="auto"/>
                <w:sz w:val="24"/>
                <w:szCs w:val="24"/>
                <w:highlight w:val="none"/>
              </w:rPr>
              <w:t>能够</w:t>
            </w:r>
            <w:r>
              <w:rPr>
                <w:rFonts w:hint="default" w:ascii="Times New Roman" w:hAnsi="Times New Roman" w:eastAsia="宋体" w:cs="Times New Roman"/>
                <w:b w:val="0"/>
                <w:bCs w:val="0"/>
                <w:color w:val="auto"/>
                <w:sz w:val="24"/>
                <w:szCs w:val="24"/>
                <w:highlight w:val="none"/>
                <w:lang w:val="en-US" w:eastAsia="zh-CN"/>
              </w:rPr>
              <w:t>满足《污水排入城镇下水道水质标准》（GB/T 31962-2015）A等级及</w:t>
            </w:r>
            <w:r>
              <w:rPr>
                <w:rFonts w:hint="default" w:ascii="Times New Roman" w:hAnsi="Times New Roman" w:eastAsia="宋体" w:cs="Times New Roman"/>
                <w:b w:val="0"/>
                <w:bCs w:val="0"/>
                <w:color w:val="auto"/>
                <w:sz w:val="24"/>
                <w:szCs w:val="24"/>
              </w:rPr>
              <w:t>《工业企业废水氮、磷污染物间接排放限值》（DB5301</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T</w:t>
            </w: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rPr>
              <w:t>49-2021）</w:t>
            </w:r>
            <w:r>
              <w:rPr>
                <w:rFonts w:hint="default" w:ascii="Times New Roman" w:hAnsi="Times New Roman" w:eastAsia="宋体" w:cs="Times New Roman"/>
                <w:b w:val="0"/>
                <w:bCs w:val="0"/>
                <w:color w:val="auto"/>
                <w:sz w:val="24"/>
                <w:szCs w:val="24"/>
                <w:highlight w:val="none"/>
                <w:lang w:val="en-US" w:eastAsia="zh-CN"/>
              </w:rPr>
              <w:t>标准要求</w:t>
            </w:r>
            <w:r>
              <w:rPr>
                <w:rFonts w:hint="default" w:ascii="Times New Roman" w:hAnsi="Times New Roman" w:eastAsia="宋体" w:cs="Times New Roman"/>
                <w:color w:val="auto"/>
                <w:sz w:val="24"/>
                <w:szCs w:val="24"/>
                <w:highlight w:val="none"/>
              </w:rPr>
              <w:t>。</w:t>
            </w:r>
          </w:p>
          <w:p w14:paraId="6818E9A8">
            <w:pPr>
              <w:keepNext w:val="0"/>
              <w:keepLines w:val="0"/>
              <w:pageBreakBefore w:val="0"/>
              <w:kinsoku/>
              <w:wordWrap/>
              <w:overflowPunct/>
              <w:topLinePunct w:val="0"/>
              <w:autoSpaceDE/>
              <w:autoSpaceDN/>
              <w:bidi w:val="0"/>
              <w:adjustRightInd/>
              <w:spacing w:line="360" w:lineRule="auto"/>
              <w:ind w:firstLine="442" w:firstLineChars="200"/>
              <w:jc w:val="left"/>
              <w:textAlignment w:val="auto"/>
              <w:rPr>
                <w:rFonts w:hint="default" w:ascii="Times New Roman" w:hAnsi="Times New Roman" w:eastAsia="宋体" w:cs="Times New Roman"/>
                <w:b/>
                <w:bCs w:val="0"/>
                <w:color w:val="auto"/>
                <w:spacing w:val="-10"/>
                <w:kern w:val="2"/>
                <w:sz w:val="24"/>
                <w:szCs w:val="24"/>
                <w:highlight w:val="none"/>
                <w:lang w:val="zh-CN" w:eastAsia="zh-CN" w:bidi="ar-SA"/>
              </w:rPr>
            </w:pPr>
            <w:r>
              <w:rPr>
                <w:rFonts w:hint="default" w:ascii="Times New Roman" w:hAnsi="Times New Roman" w:eastAsia="宋体" w:cs="Times New Roman"/>
                <w:b/>
                <w:bCs w:val="0"/>
                <w:color w:val="auto"/>
                <w:spacing w:val="-10"/>
                <w:kern w:val="2"/>
                <w:sz w:val="24"/>
                <w:szCs w:val="24"/>
                <w:highlight w:val="none"/>
                <w:lang w:val="en-US" w:eastAsia="zh-CN" w:bidi="ar-SA"/>
              </w:rPr>
              <w:t>4、</w:t>
            </w:r>
            <w:r>
              <w:rPr>
                <w:rFonts w:hint="default" w:ascii="Times New Roman" w:hAnsi="Times New Roman" w:eastAsia="宋体" w:cs="Times New Roman"/>
                <w:b/>
                <w:bCs w:val="0"/>
                <w:color w:val="auto"/>
                <w:spacing w:val="-10"/>
                <w:kern w:val="2"/>
                <w:sz w:val="24"/>
                <w:szCs w:val="24"/>
                <w:highlight w:val="none"/>
                <w:lang w:val="zh-CN" w:eastAsia="zh-CN" w:bidi="ar-SA"/>
              </w:rPr>
              <w:t>废水</w:t>
            </w:r>
            <w:r>
              <w:rPr>
                <w:rFonts w:hint="default" w:ascii="Times New Roman" w:hAnsi="Times New Roman" w:eastAsia="宋体" w:cs="Times New Roman"/>
                <w:b/>
                <w:bCs w:val="0"/>
                <w:color w:val="auto"/>
                <w:spacing w:val="-10"/>
                <w:kern w:val="2"/>
                <w:sz w:val="24"/>
                <w:szCs w:val="24"/>
                <w:highlight w:val="none"/>
                <w:lang w:val="en-US" w:eastAsia="zh-CN" w:bidi="ar-SA"/>
              </w:rPr>
              <w:t>进入</w:t>
            </w:r>
            <w:r>
              <w:rPr>
                <w:rFonts w:hint="default" w:ascii="Times New Roman" w:hAnsi="Times New Roman" w:eastAsia="宋体" w:cs="Times New Roman"/>
                <w:b/>
                <w:bCs w:val="0"/>
                <w:color w:val="auto"/>
                <w:spacing w:val="-10"/>
                <w:kern w:val="2"/>
                <w:sz w:val="24"/>
                <w:szCs w:val="24"/>
                <w:highlight w:val="none"/>
                <w:lang w:val="zh-CN" w:eastAsia="zh-CN" w:bidi="ar-SA"/>
              </w:rPr>
              <w:t>寻甸产业园区羊街片区污水处理厂</w:t>
            </w:r>
            <w:r>
              <w:rPr>
                <w:rFonts w:hint="default" w:ascii="Times New Roman" w:hAnsi="Times New Roman" w:eastAsia="宋体" w:cs="Times New Roman"/>
                <w:b/>
                <w:bCs w:val="0"/>
                <w:color w:val="auto"/>
                <w:spacing w:val="-10"/>
                <w:kern w:val="2"/>
                <w:sz w:val="24"/>
                <w:szCs w:val="24"/>
                <w:highlight w:val="none"/>
                <w:lang w:val="en-US" w:eastAsia="zh-CN" w:bidi="ar-SA"/>
              </w:rPr>
              <w:t>处理的</w:t>
            </w:r>
            <w:r>
              <w:rPr>
                <w:rFonts w:hint="default" w:ascii="Times New Roman" w:hAnsi="Times New Roman" w:eastAsia="宋体" w:cs="Times New Roman"/>
                <w:b/>
                <w:bCs w:val="0"/>
                <w:color w:val="auto"/>
                <w:spacing w:val="-10"/>
                <w:kern w:val="2"/>
                <w:sz w:val="24"/>
                <w:szCs w:val="24"/>
                <w:highlight w:val="none"/>
                <w:lang w:val="zh-CN" w:eastAsia="zh-CN" w:bidi="ar-SA"/>
              </w:rPr>
              <w:t>可行性分析</w:t>
            </w:r>
          </w:p>
          <w:p w14:paraId="5ED88EE3">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w:t>
            </w:r>
            <w:r>
              <w:rPr>
                <w:rFonts w:hint="eastAsia" w:cs="Times New Roman"/>
                <w:color w:val="auto"/>
                <w:sz w:val="24"/>
                <w:szCs w:val="24"/>
                <w:highlight w:val="none"/>
                <w:u w:val="none"/>
                <w:lang w:val="en-US" w:eastAsia="zh-CN"/>
              </w:rPr>
              <w:t>业园</w:t>
            </w:r>
            <w:r>
              <w:rPr>
                <w:rFonts w:hint="default" w:ascii="Times New Roman" w:hAnsi="Times New Roman" w:eastAsia="宋体" w:cs="Times New Roman"/>
                <w:color w:val="auto"/>
                <w:sz w:val="24"/>
                <w:szCs w:val="24"/>
                <w:highlight w:val="none"/>
                <w:u w:val="none"/>
                <w:lang w:val="en-US" w:eastAsia="zh-CN"/>
              </w:rPr>
              <w:t>区内，属</w:t>
            </w:r>
            <w:r>
              <w:rPr>
                <w:rFonts w:hint="default" w:ascii="Times New Roman" w:hAnsi="Times New Roman" w:eastAsia="宋体" w:cs="Times New Roman"/>
                <w:color w:val="auto"/>
                <w:sz w:val="24"/>
                <w:szCs w:val="24"/>
                <w:highlight w:val="none"/>
                <w:u w:val="none"/>
                <w:lang w:val="zh-CN" w:eastAsia="zh-CN"/>
              </w:rPr>
              <w:t>寻甸产业园区羊街片区污水处理厂</w:t>
            </w:r>
            <w:r>
              <w:rPr>
                <w:rFonts w:hint="default" w:ascii="Times New Roman" w:hAnsi="Times New Roman" w:eastAsia="宋体" w:cs="Times New Roman"/>
                <w:color w:val="auto"/>
                <w:kern w:val="0"/>
                <w:sz w:val="24"/>
                <w:szCs w:val="24"/>
                <w:lang w:val="en-US" w:eastAsia="zh-CN" w:bidi="ar"/>
              </w:rPr>
              <w:t>纳污范围，项目废水经项目内化粪池、自建污水处理设施处理达标后可通过市政污水管网，引至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w:t>
            </w:r>
          </w:p>
          <w:p w14:paraId="72C09CB1">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概况</w:t>
            </w:r>
          </w:p>
          <w:p w14:paraId="4E2EB08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sz w:val="24"/>
                <w:szCs w:val="24"/>
              </w:rPr>
              <w:t>于2023年</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月开工，</w:t>
            </w:r>
            <w:r>
              <w:rPr>
                <w:rFonts w:hint="default" w:ascii="Times New Roman" w:hAnsi="Times New Roman" w:eastAsia="宋体" w:cs="Times New Roman"/>
                <w:color w:val="auto"/>
                <w:sz w:val="24"/>
                <w:szCs w:val="24"/>
                <w:lang w:eastAsia="zh-CN"/>
              </w:rPr>
              <w:t>预计</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月底竣工，施工期约为6个月。</w:t>
            </w:r>
            <w:r>
              <w:rPr>
                <w:rFonts w:hint="default" w:ascii="Times New Roman" w:hAnsi="Times New Roman" w:eastAsia="宋体" w:cs="Times New Roman"/>
                <w:color w:val="auto"/>
                <w:kern w:val="0"/>
                <w:sz w:val="24"/>
                <w:szCs w:val="24"/>
                <w:lang w:val="en-US" w:eastAsia="zh-CN" w:bidi="ar"/>
              </w:rPr>
              <w:t>污水处理厂占地面积3151m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，总处理规模3000m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/d（其中，</w:t>
            </w:r>
            <w:r>
              <w:rPr>
                <w:rFonts w:hint="default" w:ascii="Times New Roman" w:hAnsi="Times New Roman" w:eastAsia="宋体" w:cs="Times New Roman"/>
                <w:smallCaps w:val="0"/>
                <w:color w:val="auto"/>
                <w:sz w:val="24"/>
                <w:szCs w:val="24"/>
                <w:lang w:val="en-US" w:eastAsia="zh-CN"/>
              </w:rPr>
              <w:t>2023年实施一期</w:t>
            </w:r>
            <w:r>
              <w:rPr>
                <w:rFonts w:hint="default" w:ascii="Times New Roman" w:hAnsi="Times New Roman" w:eastAsia="宋体" w:cs="Times New Roman"/>
                <w:smallCaps w:val="0"/>
                <w:color w:val="auto"/>
                <w:sz w:val="24"/>
                <w:szCs w:val="24"/>
              </w:rPr>
              <w:t>处理规模500m</w:t>
            </w:r>
            <w:r>
              <w:rPr>
                <w:rFonts w:hint="default" w:ascii="Times New Roman" w:hAnsi="Times New Roman" w:eastAsia="宋体" w:cs="Times New Roman"/>
                <w:smallCaps w:val="0"/>
                <w:color w:val="auto"/>
                <w:sz w:val="24"/>
                <w:szCs w:val="24"/>
                <w:vertAlign w:val="superscript"/>
              </w:rPr>
              <w:t>3</w:t>
            </w:r>
            <w:r>
              <w:rPr>
                <w:rFonts w:hint="default" w:ascii="Times New Roman" w:hAnsi="Times New Roman" w:eastAsia="宋体" w:cs="Times New Roman"/>
                <w:smallCaps w:val="0"/>
                <w:color w:val="auto"/>
                <w:sz w:val="24"/>
                <w:szCs w:val="24"/>
              </w:rPr>
              <w:t>/d</w:t>
            </w:r>
            <w:r>
              <w:rPr>
                <w:rFonts w:hint="default" w:ascii="Times New Roman" w:hAnsi="Times New Roman" w:eastAsia="宋体" w:cs="Times New Roman"/>
                <w:smallCaps w:val="0"/>
                <w:color w:val="auto"/>
                <w:sz w:val="24"/>
                <w:szCs w:val="24"/>
                <w:lang w:val="en-US" w:eastAsia="zh-CN"/>
              </w:rPr>
              <w:t>的污水处理厂</w:t>
            </w:r>
            <w:r>
              <w:rPr>
                <w:rFonts w:hint="default" w:ascii="Times New Roman" w:hAnsi="Times New Roman" w:eastAsia="宋体" w:cs="Times New Roman"/>
                <w:smallCaps w:val="0"/>
                <w:color w:val="auto"/>
                <w:sz w:val="24"/>
                <w:szCs w:val="24"/>
              </w:rPr>
              <w:t>，</w:t>
            </w:r>
            <w:r>
              <w:rPr>
                <w:rFonts w:hint="default" w:ascii="Times New Roman" w:hAnsi="Times New Roman" w:eastAsia="宋体" w:cs="Times New Roman"/>
                <w:smallCaps w:val="0"/>
                <w:color w:val="auto"/>
                <w:sz w:val="24"/>
                <w:szCs w:val="24"/>
                <w:lang w:val="en-US" w:eastAsia="zh-CN"/>
              </w:rPr>
              <w:t>二</w:t>
            </w:r>
            <w:r>
              <w:rPr>
                <w:rFonts w:hint="default" w:ascii="Times New Roman" w:hAnsi="Times New Roman" w:eastAsia="宋体" w:cs="Times New Roman"/>
                <w:smallCaps w:val="0"/>
                <w:color w:val="auto"/>
                <w:sz w:val="24"/>
                <w:szCs w:val="24"/>
              </w:rPr>
              <w:t>期</w:t>
            </w:r>
            <w:r>
              <w:rPr>
                <w:rFonts w:hint="default" w:ascii="Times New Roman" w:hAnsi="Times New Roman" w:eastAsia="宋体" w:cs="Times New Roman"/>
                <w:smallCaps w:val="0"/>
                <w:color w:val="auto"/>
                <w:sz w:val="24"/>
                <w:szCs w:val="24"/>
                <w:lang w:val="en-US" w:eastAsia="zh-CN"/>
              </w:rPr>
              <w:t>2025年建成后总体</w:t>
            </w:r>
            <w:r>
              <w:rPr>
                <w:rFonts w:hint="default" w:ascii="Times New Roman" w:hAnsi="Times New Roman" w:eastAsia="宋体" w:cs="Times New Roman"/>
                <w:smallCaps w:val="0"/>
                <w:color w:val="auto"/>
                <w:sz w:val="24"/>
                <w:szCs w:val="24"/>
              </w:rPr>
              <w:t>处理规模</w:t>
            </w:r>
            <w:r>
              <w:rPr>
                <w:rFonts w:hint="default" w:ascii="Times New Roman" w:hAnsi="Times New Roman" w:eastAsia="宋体" w:cs="Times New Roman"/>
                <w:smallCaps w:val="0"/>
                <w:color w:val="auto"/>
                <w:sz w:val="24"/>
                <w:szCs w:val="24"/>
                <w:lang w:val="en-US" w:eastAsia="zh-CN"/>
              </w:rPr>
              <w:t>达30</w:t>
            </w:r>
            <w:r>
              <w:rPr>
                <w:rFonts w:hint="default" w:ascii="Times New Roman" w:hAnsi="Times New Roman" w:eastAsia="宋体" w:cs="Times New Roman"/>
                <w:smallCaps w:val="0"/>
                <w:color w:val="auto"/>
                <w:sz w:val="24"/>
                <w:szCs w:val="24"/>
              </w:rPr>
              <w:t>00m</w:t>
            </w:r>
            <w:r>
              <w:rPr>
                <w:rFonts w:hint="default" w:ascii="Times New Roman" w:hAnsi="Times New Roman" w:eastAsia="宋体" w:cs="Times New Roman"/>
                <w:smallCaps w:val="0"/>
                <w:color w:val="auto"/>
                <w:sz w:val="24"/>
                <w:szCs w:val="24"/>
                <w:vertAlign w:val="superscript"/>
              </w:rPr>
              <w:t>3</w:t>
            </w:r>
            <w:r>
              <w:rPr>
                <w:rFonts w:hint="default" w:ascii="Times New Roman" w:hAnsi="Times New Roman" w:eastAsia="宋体" w:cs="Times New Roman"/>
                <w:smallCaps w:val="0"/>
                <w:color w:val="auto"/>
                <w:sz w:val="24"/>
                <w:szCs w:val="24"/>
              </w:rPr>
              <w:t>/d</w:t>
            </w:r>
            <w:r>
              <w:rPr>
                <w:rFonts w:hint="default" w:ascii="Times New Roman" w:hAnsi="Times New Roman" w:eastAsia="宋体" w:cs="Times New Roman"/>
                <w:smallCaps w:val="0"/>
                <w:color w:val="auto"/>
                <w:sz w:val="24"/>
                <w:szCs w:val="24"/>
                <w:lang w:eastAsia="zh-CN"/>
              </w:rPr>
              <w:t>。</w:t>
            </w:r>
            <w:r>
              <w:rPr>
                <w:rFonts w:hint="default" w:ascii="Times New Roman" w:hAnsi="Times New Roman" w:eastAsia="宋体" w:cs="Times New Roman"/>
                <w:color w:val="auto"/>
                <w:kern w:val="0"/>
                <w:sz w:val="24"/>
                <w:szCs w:val="24"/>
                <w:lang w:val="en-US" w:eastAsia="zh-CN" w:bidi="ar"/>
              </w:rPr>
              <w:t>），处理工艺为</w:t>
            </w:r>
            <w:r>
              <w:rPr>
                <w:rFonts w:hint="default" w:ascii="Times New Roman" w:hAnsi="Times New Roman" w:eastAsia="宋体" w:cs="Times New Roman"/>
                <w:bCs w:val="0"/>
                <w:smallCaps w:val="0"/>
                <w:color w:val="auto"/>
                <w:kern w:val="0"/>
                <w:sz w:val="24"/>
                <w:lang w:val="en-US" w:eastAsia="zh-CN" w:bidi="ar"/>
              </w:rPr>
              <w:t>“机械格栅+调节池+初沉池/气浮池+水解酸化+A</w:t>
            </w:r>
            <w:r>
              <w:rPr>
                <w:rFonts w:hint="default" w:ascii="Times New Roman" w:hAnsi="Times New Roman" w:eastAsia="宋体" w:cs="Times New Roman"/>
                <w:bCs w:val="0"/>
                <w:smallCaps w:val="0"/>
                <w:color w:val="auto"/>
                <w:kern w:val="0"/>
                <w:sz w:val="24"/>
                <w:vertAlign w:val="superscript"/>
                <w:lang w:val="en-US" w:eastAsia="zh-CN" w:bidi="ar"/>
              </w:rPr>
              <w:t>2</w:t>
            </w:r>
            <w:r>
              <w:rPr>
                <w:rFonts w:hint="default" w:ascii="Times New Roman" w:hAnsi="Times New Roman" w:eastAsia="宋体" w:cs="Times New Roman"/>
                <w:bCs w:val="0"/>
                <w:smallCaps w:val="0"/>
                <w:color w:val="auto"/>
                <w:kern w:val="0"/>
                <w:sz w:val="24"/>
                <w:lang w:val="en-US" w:eastAsia="zh-CN" w:bidi="ar"/>
              </w:rPr>
              <w:t>/O生物反应池+A/O生物反应池+砂滤炭滤+紫外消毒”</w:t>
            </w:r>
            <w:r>
              <w:rPr>
                <w:rFonts w:hint="default" w:ascii="Times New Roman" w:hAnsi="Times New Roman" w:eastAsia="宋体" w:cs="Times New Roman"/>
                <w:color w:val="auto"/>
                <w:kern w:val="0"/>
                <w:sz w:val="24"/>
                <w:szCs w:val="24"/>
                <w:lang w:val="en-US" w:eastAsia="zh-CN" w:bidi="ar"/>
              </w:rPr>
              <w:t>。废水经处理达标后</w:t>
            </w:r>
            <w:r>
              <w:rPr>
                <w:rFonts w:hint="default" w:ascii="Times New Roman" w:hAnsi="Times New Roman" w:eastAsia="宋体" w:cs="Times New Roman"/>
                <w:smallCaps w:val="0"/>
                <w:color w:val="auto"/>
                <w:sz w:val="24"/>
                <w:lang w:val="zh-CN"/>
              </w:rPr>
              <w:t>进入中水回用工程，</w:t>
            </w:r>
            <w:r>
              <w:rPr>
                <w:rFonts w:hint="default" w:ascii="Times New Roman" w:hAnsi="Times New Roman" w:eastAsia="宋体" w:cs="Times New Roman"/>
                <w:color w:val="auto"/>
                <w:sz w:val="24"/>
                <w:szCs w:val="24"/>
                <w:vertAlign w:val="baseline"/>
                <w:lang w:val="en-US" w:eastAsia="zh-CN"/>
              </w:rPr>
              <w:t>全部回用于园区工业用水、地面清洁用水、冲厕用水、绿化及道路浇洒用水，不外排。</w:t>
            </w:r>
          </w:p>
          <w:p w14:paraId="36AD58CF">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根据现场实际调查，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eastAsia" w:ascii="Times New Roman" w:hAnsi="Times New Roman" w:eastAsia="宋体" w:cs="Times New Roman"/>
                <w:color w:val="auto"/>
                <w:kern w:val="0"/>
                <w:sz w:val="24"/>
                <w:szCs w:val="24"/>
                <w:lang w:val="zh-CN" w:eastAsia="zh-CN" w:bidi="ar"/>
              </w:rPr>
              <w:t>已于</w:t>
            </w:r>
            <w:r>
              <w:rPr>
                <w:rFonts w:hint="eastAsia" w:ascii="Times New Roman" w:hAnsi="Times New Roman" w:eastAsia="宋体" w:cs="Times New Roman"/>
                <w:color w:val="auto"/>
                <w:kern w:val="0"/>
                <w:sz w:val="24"/>
                <w:szCs w:val="24"/>
                <w:lang w:val="en-US" w:eastAsia="zh-CN" w:bidi="ar"/>
              </w:rPr>
              <w:t>2024年1月建设完成，2024年1月25日处于设备调试状态，计划于2024年3月底投入使用。</w:t>
            </w:r>
          </w:p>
          <w:p w14:paraId="066AF9BD">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②本项目污水进入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的可行性</w:t>
            </w:r>
          </w:p>
          <w:p w14:paraId="7EF8D0A7">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项目位于云南寻甸产业园区羊街片区非烟轻工产业区内，属于</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的纳污范围，根据现场踏勘，场地周围园区路网已建成，污水管网已铺设完成，项目位于园区主要道路旁，待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建设完成后本项目污水可接入园区市政污水管网并引至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进行处理。</w:t>
            </w:r>
          </w:p>
          <w:p w14:paraId="327C7501">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同时，本项目已于2023年1</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月1</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日取得了寻甸金泰投资开发有限公司（</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）的污水接纳函，接纳函中明确待污水处理厂建成投用后同意接纳本项目的生产及生活污水，详见附件10。</w:t>
            </w:r>
            <w:r>
              <w:rPr>
                <w:rFonts w:hint="eastAsia" w:cs="Times New Roman"/>
                <w:color w:val="auto"/>
                <w:kern w:val="0"/>
                <w:sz w:val="24"/>
                <w:szCs w:val="24"/>
                <w:lang w:val="en-US" w:eastAsia="zh-CN" w:bidi="ar"/>
              </w:rPr>
              <w:t>根据实际调查，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预计于2024年3月</w:t>
            </w:r>
            <w:r>
              <w:rPr>
                <w:rFonts w:hint="eastAsia" w:cs="Times New Roman"/>
                <w:color w:val="auto"/>
                <w:kern w:val="0"/>
                <w:sz w:val="24"/>
                <w:szCs w:val="24"/>
                <w:lang w:val="en-US" w:eastAsia="zh-CN" w:bidi="ar"/>
              </w:rPr>
              <w:t>底投入使用</w:t>
            </w:r>
            <w:r>
              <w:rPr>
                <w:rFonts w:hint="default" w:ascii="Times New Roman" w:hAnsi="Times New Roman" w:eastAsia="宋体" w:cs="Times New Roman"/>
                <w:color w:val="auto"/>
                <w:kern w:val="0"/>
                <w:sz w:val="24"/>
                <w:szCs w:val="24"/>
                <w:lang w:val="en-US" w:eastAsia="zh-CN" w:bidi="ar"/>
              </w:rPr>
              <w:t>，本项目预计于202</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年</w:t>
            </w:r>
            <w:r>
              <w:rPr>
                <w:rFonts w:hint="eastAsia" w:cs="Times New Roman"/>
                <w:color w:val="auto"/>
                <w:kern w:val="0"/>
                <w:sz w:val="24"/>
                <w:szCs w:val="24"/>
                <w:lang w:val="en-US" w:eastAsia="zh-CN" w:bidi="ar"/>
              </w:rPr>
              <w:t>12</w:t>
            </w:r>
            <w:r>
              <w:rPr>
                <w:rFonts w:hint="default" w:ascii="Times New Roman" w:hAnsi="Times New Roman" w:eastAsia="宋体" w:cs="Times New Roman"/>
                <w:color w:val="auto"/>
                <w:kern w:val="0"/>
                <w:sz w:val="24"/>
                <w:szCs w:val="24"/>
                <w:lang w:val="en-US" w:eastAsia="zh-CN" w:bidi="ar"/>
              </w:rPr>
              <w:t>月底建设完成，因此污水处理厂可在本项目建成前先投入运营，且项目承诺在</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建设完成并投入正式运营前不进行生产活动，详见附件11。</w:t>
            </w:r>
          </w:p>
          <w:p w14:paraId="744D87BF">
            <w:pPr>
              <w:keepNext w:val="0"/>
              <w:keepLines w:val="0"/>
              <w:pageBreakBefore w:val="0"/>
              <w:widowControl/>
              <w:suppressLineNumbers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从水质上看，项目废水</w:t>
            </w:r>
            <w:r>
              <w:rPr>
                <w:rFonts w:hint="default" w:ascii="Times New Roman" w:hAnsi="Times New Roman" w:eastAsia="宋体" w:cs="Times New Roman"/>
                <w:color w:val="auto"/>
                <w:kern w:val="0"/>
                <w:sz w:val="24"/>
                <w:szCs w:val="24"/>
                <w:highlight w:val="none"/>
              </w:rPr>
              <w:t>中含有大量的有机物质，属于高浓度有机废水</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highlight w:val="none"/>
              </w:rPr>
              <w:t>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rPr>
              <w:t>/COD约为0.4—0.65</w:t>
            </w:r>
            <w:r>
              <w:rPr>
                <w:rFonts w:hint="default" w:ascii="Times New Roman" w:hAnsi="Times New Roman" w:eastAsia="宋体" w:cs="Times New Roman"/>
                <w:color w:val="auto"/>
                <w:kern w:val="0"/>
                <w:sz w:val="24"/>
                <w:szCs w:val="24"/>
                <w:highlight w:val="none"/>
                <w:lang w:val="en-US" w:eastAsia="zh-CN"/>
              </w:rPr>
              <w:t>可</w:t>
            </w:r>
            <w:r>
              <w:rPr>
                <w:rFonts w:hint="default" w:ascii="Times New Roman" w:hAnsi="Times New Roman" w:eastAsia="宋体" w:cs="Times New Roman"/>
                <w:color w:val="auto"/>
                <w:kern w:val="0"/>
                <w:sz w:val="24"/>
                <w:szCs w:val="24"/>
                <w:lang w:val="en-US" w:eastAsia="zh-CN" w:bidi="ar"/>
              </w:rPr>
              <w:t>生化性较好</w:t>
            </w:r>
            <w:r>
              <w:rPr>
                <w:rFonts w:hint="eastAsia" w:ascii="Times New Roman" w:hAnsi="Times New Roman" w:eastAsia="宋体" w:cs="Times New Roman"/>
                <w:color w:val="auto"/>
                <w:kern w:val="0"/>
                <w:sz w:val="24"/>
                <w:szCs w:val="24"/>
                <w:lang w:val="en-US" w:eastAsia="zh-CN" w:bidi="ar"/>
              </w:rPr>
              <w:t>，本项目</w:t>
            </w:r>
            <w:r>
              <w:rPr>
                <w:rFonts w:hint="eastAsia" w:cs="Times New Roman"/>
                <w:color w:val="auto"/>
                <w:kern w:val="0"/>
                <w:sz w:val="24"/>
                <w:szCs w:val="24"/>
                <w:lang w:val="en-US" w:eastAsia="zh-CN" w:bidi="ar"/>
              </w:rPr>
              <w:t>C</w:t>
            </w:r>
            <w:r>
              <w:rPr>
                <w:rFonts w:hint="eastAsia" w:cs="Times New Roman"/>
                <w:color w:val="auto"/>
                <w:kern w:val="0"/>
                <w:sz w:val="24"/>
                <w:szCs w:val="24"/>
                <w:vertAlign w:val="subscript"/>
                <w:lang w:val="en-US" w:eastAsia="zh-CN" w:bidi="ar"/>
              </w:rPr>
              <w:t>COD</w:t>
            </w:r>
            <w:r>
              <w:rPr>
                <w:rFonts w:hint="eastAsia" w:cs="Times New Roman"/>
                <w:color w:val="auto"/>
                <w:kern w:val="0"/>
                <w:sz w:val="24"/>
                <w:szCs w:val="24"/>
                <w:lang w:val="en-US" w:eastAsia="zh-CN" w:bidi="ar"/>
              </w:rPr>
              <w:t>=775.89mg/L，C</w:t>
            </w: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eastAsia" w:cs="Times New Roman"/>
                <w:color w:val="auto"/>
                <w:kern w:val="0"/>
                <w:sz w:val="24"/>
                <w:szCs w:val="24"/>
                <w:lang w:val="en-US" w:eastAsia="zh-CN" w:bidi="ar"/>
              </w:rPr>
              <w:t>=474.17mg/L，</w:t>
            </w:r>
            <w:r>
              <w:rPr>
                <w:rFonts w:hint="default" w:ascii="Times New Roman" w:hAnsi="Times New Roman" w:eastAsia="宋体" w:cs="Times New Roman"/>
                <w:color w:val="auto"/>
                <w:kern w:val="0"/>
                <w:sz w:val="24"/>
                <w:szCs w:val="24"/>
                <w:highlight w:val="none"/>
              </w:rPr>
              <w:t>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rPr>
              <w:t>/COD</w:t>
            </w:r>
            <w:r>
              <w:rPr>
                <w:rFonts w:hint="eastAsia" w:ascii="Times New Roman" w:hAnsi="Times New Roman" w:eastAsia="宋体" w:cs="Times New Roman"/>
                <w:color w:val="auto"/>
                <w:kern w:val="0"/>
                <w:sz w:val="24"/>
                <w:szCs w:val="24"/>
                <w:highlight w:val="none"/>
                <w:lang w:val="en-US" w:eastAsia="zh-CN"/>
              </w:rPr>
              <w:t>=0.61</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本项目废水可生化性较好，</w:t>
            </w:r>
            <w:r>
              <w:rPr>
                <w:rFonts w:hint="default" w:ascii="Times New Roman" w:hAnsi="Times New Roman" w:eastAsia="宋体" w:cs="Times New Roman"/>
                <w:color w:val="auto"/>
                <w:kern w:val="0"/>
                <w:sz w:val="24"/>
                <w:szCs w:val="24"/>
                <w:lang w:val="en-US" w:eastAsia="zh-CN" w:bidi="ar"/>
              </w:rPr>
              <w:t>经项目内自建污水处理设施处理后污水水质可满足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的进水水质要求。从水量上看，</w:t>
            </w:r>
            <w:r>
              <w:rPr>
                <w:rFonts w:hint="default" w:ascii="Times New Roman" w:hAnsi="Times New Roman" w:eastAsia="宋体" w:cs="Times New Roman"/>
                <w:b w:val="0"/>
                <w:bCs w:val="0"/>
                <w:color w:val="auto"/>
                <w:kern w:val="0"/>
                <w:sz w:val="24"/>
                <w:szCs w:val="24"/>
                <w:lang w:val="en-US" w:eastAsia="zh-CN" w:bidi="ar"/>
              </w:rPr>
              <w:t>项目平均日排水量</w:t>
            </w:r>
            <w:r>
              <w:rPr>
                <w:rFonts w:hint="default" w:ascii="Times New Roman" w:hAnsi="Times New Roman" w:eastAsia="宋体" w:cs="Times New Roman"/>
                <w:b w:val="0"/>
                <w:bCs w:val="0"/>
                <w:color w:val="auto"/>
                <w:kern w:val="0"/>
                <w:sz w:val="24"/>
                <w:szCs w:val="24"/>
                <w:highlight w:val="none"/>
                <w:lang w:val="en-US" w:eastAsia="zh-CN" w:bidi="ar"/>
              </w:rPr>
              <w:t>为</w:t>
            </w:r>
            <w:r>
              <w:rPr>
                <w:rFonts w:hint="eastAsia" w:cs="Times New Roman"/>
                <w:color w:val="auto"/>
                <w:sz w:val="24"/>
                <w:szCs w:val="24"/>
                <w:highlight w:val="none"/>
                <w:lang w:val="en-US" w:eastAsia="zh-CN"/>
              </w:rPr>
              <w:t>18.5852</w:t>
            </w:r>
            <w:r>
              <w:rPr>
                <w:rFonts w:hint="default" w:ascii="Times New Roman" w:hAnsi="Times New Roman" w:eastAsia="宋体" w:cs="Times New Roman"/>
                <w:b w:val="0"/>
                <w:bCs w:val="0"/>
                <w:color w:val="auto"/>
                <w:kern w:val="0"/>
                <w:sz w:val="24"/>
                <w:szCs w:val="24"/>
                <w:highlight w:val="none"/>
                <w:lang w:val="en-US" w:eastAsia="zh-CN" w:bidi="ar"/>
              </w:rPr>
              <w:t>m³/d</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园区</w:t>
            </w:r>
            <w:r>
              <w:rPr>
                <w:rFonts w:hint="default" w:ascii="Times New Roman" w:hAnsi="Times New Roman" w:eastAsia="宋体" w:cs="Times New Roman"/>
                <w:color w:val="auto"/>
                <w:sz w:val="24"/>
                <w:szCs w:val="24"/>
              </w:rPr>
              <w:t>对片区全覆盖，最终实现园区污水100%收集，100%回用。</w:t>
            </w:r>
            <w:r>
              <w:rPr>
                <w:rFonts w:hint="default" w:ascii="Times New Roman" w:hAnsi="Times New Roman" w:eastAsia="宋体" w:cs="Times New Roman"/>
                <w:color w:val="auto"/>
                <w:kern w:val="0"/>
                <w:sz w:val="24"/>
                <w:szCs w:val="24"/>
                <w:lang w:val="en-US" w:eastAsia="zh-CN" w:bidi="ar"/>
              </w:rPr>
              <w:t>从水量上看，</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建成后可接纳食品园区内全部企业污水。</w:t>
            </w:r>
          </w:p>
          <w:p w14:paraId="6B06C6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en-US"/>
              </w:rPr>
            </w:pPr>
            <w:r>
              <w:rPr>
                <w:rFonts w:hint="default" w:ascii="Times New Roman" w:hAnsi="Times New Roman" w:eastAsia="宋体" w:cs="Times New Roman"/>
                <w:color w:val="auto"/>
                <w:kern w:val="0"/>
                <w:sz w:val="24"/>
                <w:szCs w:val="24"/>
                <w:lang w:val="en-US" w:eastAsia="zh-CN" w:bidi="ar"/>
              </w:rPr>
              <w:t>综上分析，项目属</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纳污范围，其水量水质均满足</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进水水质要求，且</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建设完成前，项目不生产，待</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建设完成后，项目废水经处理达标后，经园区污水管网进入</w:t>
            </w:r>
            <w:r>
              <w:rPr>
                <w:rFonts w:hint="default" w:ascii="Times New Roman" w:hAnsi="Times New Roman" w:eastAsia="宋体" w:cs="Times New Roman"/>
                <w:color w:val="auto"/>
                <w:kern w:val="0"/>
                <w:sz w:val="24"/>
                <w:szCs w:val="24"/>
                <w:lang w:val="zh-CN" w:eastAsia="zh-CN" w:bidi="ar"/>
              </w:rPr>
              <w:t>寻甸产业园区羊街片区污水处理厂</w:t>
            </w:r>
            <w:r>
              <w:rPr>
                <w:rFonts w:hint="default" w:ascii="Times New Roman" w:hAnsi="Times New Roman" w:eastAsia="宋体" w:cs="Times New Roman"/>
                <w:color w:val="auto"/>
                <w:kern w:val="0"/>
                <w:sz w:val="24"/>
                <w:szCs w:val="24"/>
                <w:lang w:val="en-US" w:eastAsia="zh-CN" w:bidi="ar"/>
              </w:rPr>
              <w:t>处理是可行、可靠的。</w:t>
            </w:r>
          </w:p>
          <w:p w14:paraId="15199673">
            <w:pPr>
              <w:keepNext w:val="0"/>
              <w:keepLines w:val="0"/>
              <w:pageBreakBefore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废水</w:t>
            </w:r>
            <w:r>
              <w:rPr>
                <w:rFonts w:hint="default" w:ascii="Times New Roman" w:hAnsi="Times New Roman" w:eastAsia="宋体" w:cs="Times New Roman"/>
                <w:b/>
                <w:color w:val="auto"/>
                <w:sz w:val="24"/>
                <w:szCs w:val="24"/>
                <w:lang w:eastAsia="zh-CN"/>
              </w:rPr>
              <w:t>事故排放</w:t>
            </w:r>
            <w:r>
              <w:rPr>
                <w:rFonts w:hint="default" w:ascii="Times New Roman" w:hAnsi="Times New Roman" w:eastAsia="宋体" w:cs="Times New Roman"/>
                <w:b/>
                <w:color w:val="auto"/>
                <w:sz w:val="24"/>
                <w:szCs w:val="24"/>
              </w:rPr>
              <w:t>的影响分析</w:t>
            </w:r>
          </w:p>
          <w:p w14:paraId="4B28A57C">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val="0"/>
                <w:bCs/>
                <w:color w:val="auto"/>
                <w:spacing w:val="0"/>
                <w:w w:val="100"/>
                <w:position w:val="0"/>
                <w:sz w:val="24"/>
                <w:szCs w:val="24"/>
                <w:highlight w:val="none"/>
                <w:lang w:val="en-US" w:eastAsia="zh-CN"/>
              </w:rPr>
            </w:pPr>
            <w:r>
              <w:rPr>
                <w:rFonts w:hint="default" w:ascii="Times New Roman" w:hAnsi="Times New Roman" w:eastAsia="宋体" w:cs="Times New Roman"/>
                <w:color w:val="auto"/>
                <w:sz w:val="24"/>
                <w:szCs w:val="24"/>
                <w:lang w:val="en-US" w:eastAsia="zh-CN" w:bidi="ar"/>
              </w:rPr>
              <w:t>本</w:t>
            </w:r>
            <w:r>
              <w:rPr>
                <w:rFonts w:hint="default" w:ascii="Times New Roman" w:hAnsi="Times New Roman" w:eastAsia="宋体" w:cs="Times New Roman"/>
                <w:color w:val="auto"/>
                <w:sz w:val="24"/>
                <w:szCs w:val="24"/>
                <w:lang w:bidi="ar"/>
              </w:rPr>
              <w:t>项目废水非正常排放主要为</w:t>
            </w:r>
            <w:r>
              <w:rPr>
                <w:rFonts w:hint="default" w:ascii="Times New Roman" w:hAnsi="Times New Roman" w:eastAsia="宋体" w:cs="Times New Roman"/>
                <w:color w:val="auto"/>
                <w:sz w:val="24"/>
                <w:szCs w:val="24"/>
                <w:lang w:val="en-US" w:eastAsia="zh-CN" w:bidi="ar"/>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eastAsia="zh-CN" w:bidi="ar"/>
              </w:rPr>
              <w:t>站</w:t>
            </w:r>
            <w:r>
              <w:rPr>
                <w:rFonts w:hint="default" w:ascii="Times New Roman" w:hAnsi="Times New Roman" w:eastAsia="宋体" w:cs="Times New Roman"/>
                <w:color w:val="auto"/>
                <w:sz w:val="24"/>
                <w:szCs w:val="24"/>
                <w:lang w:bidi="ar"/>
              </w:rPr>
              <w:t>发生机械设施故障或</w:t>
            </w:r>
            <w:r>
              <w:rPr>
                <w:rFonts w:hint="default" w:ascii="Times New Roman" w:hAnsi="Times New Roman" w:eastAsia="宋体" w:cs="Times New Roman"/>
                <w:color w:val="auto"/>
                <w:sz w:val="24"/>
                <w:szCs w:val="24"/>
                <w:highlight w:val="none"/>
                <w:lang w:val="en-US" w:eastAsia="zh-CN"/>
              </w:rPr>
              <w:t>污水</w:t>
            </w:r>
            <w:r>
              <w:rPr>
                <w:rFonts w:hint="default" w:ascii="Times New Roman" w:hAnsi="Times New Roman" w:eastAsia="宋体" w:cs="Times New Roman"/>
                <w:color w:val="auto"/>
                <w:sz w:val="24"/>
                <w:szCs w:val="24"/>
                <w:lang w:bidi="ar"/>
              </w:rPr>
              <w:t>处理</w:t>
            </w:r>
            <w:r>
              <w:rPr>
                <w:rFonts w:hint="default" w:ascii="Times New Roman" w:hAnsi="Times New Roman" w:eastAsia="宋体" w:cs="Times New Roman"/>
                <w:color w:val="auto"/>
                <w:sz w:val="24"/>
                <w:szCs w:val="24"/>
                <w:lang w:val="en-US" w:eastAsia="zh-CN" w:bidi="ar"/>
              </w:rPr>
              <w:t>设施</w:t>
            </w:r>
            <w:r>
              <w:rPr>
                <w:rFonts w:hint="default" w:ascii="Times New Roman" w:hAnsi="Times New Roman" w:eastAsia="宋体" w:cs="Times New Roman"/>
                <w:color w:val="auto"/>
                <w:sz w:val="24"/>
                <w:szCs w:val="24"/>
                <w:lang w:bidi="ar"/>
              </w:rPr>
              <w:t>发生运转非正常，废水未经处理直接外排，影响</w:t>
            </w:r>
            <w:r>
              <w:rPr>
                <w:rFonts w:hint="default" w:ascii="Times New Roman" w:hAnsi="Times New Roman" w:eastAsia="宋体" w:cs="Times New Roman"/>
                <w:b w:val="0"/>
                <w:bCs w:val="0"/>
                <w:color w:val="auto"/>
                <w:sz w:val="24"/>
                <w:szCs w:val="24"/>
                <w:highlight w:val="none"/>
                <w:lang w:val="en-US" w:eastAsia="zh-CN"/>
              </w:rPr>
              <w:t>寻甸产业园区羊街片区污水处理厂</w:t>
            </w:r>
            <w:r>
              <w:rPr>
                <w:rFonts w:hint="default" w:ascii="Times New Roman" w:hAnsi="Times New Roman" w:eastAsia="宋体" w:cs="Times New Roman"/>
                <w:color w:val="auto"/>
                <w:sz w:val="24"/>
                <w:szCs w:val="24"/>
                <w:lang w:bidi="ar"/>
              </w:rPr>
              <w:t>的处理效率</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又或者</w:t>
            </w:r>
            <w:r>
              <w:rPr>
                <w:rFonts w:hint="default" w:ascii="Times New Roman" w:hAnsi="Times New Roman" w:eastAsia="宋体" w:cs="Times New Roman"/>
                <w:color w:val="auto"/>
                <w:kern w:val="0"/>
                <w:sz w:val="24"/>
                <w:szCs w:val="24"/>
                <w:lang w:val="en-US" w:eastAsia="zh-CN" w:bidi="ar"/>
              </w:rPr>
              <w:t>超出设计水位，溢出水池，出现漫池现象，对厂区甚至厂外水体环境造成威胁。</w:t>
            </w:r>
            <w:r>
              <w:rPr>
                <w:rFonts w:hint="default" w:ascii="Times New Roman" w:hAnsi="Times New Roman" w:eastAsia="宋体" w:cs="Times New Roman"/>
                <w:color w:val="auto"/>
                <w:spacing w:val="-4"/>
                <w:sz w:val="24"/>
                <w:szCs w:val="24"/>
                <w:highlight w:val="none"/>
                <w:lang w:val="en-US" w:eastAsia="zh-CN"/>
              </w:rPr>
              <w:t>因此，本次环评提出在</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设施旁设置1个事故应急池，用于暂存</w:t>
            </w:r>
            <w:r>
              <w:rPr>
                <w:rFonts w:hint="default" w:ascii="Times New Roman" w:hAnsi="Times New Roman" w:eastAsia="宋体" w:cs="Times New Roman"/>
                <w:color w:val="auto"/>
                <w:spacing w:val="-4"/>
                <w:sz w:val="24"/>
                <w:szCs w:val="24"/>
                <w:highlight w:val="none"/>
              </w:rPr>
              <w:t>污水处理</w:t>
            </w:r>
            <w:r>
              <w:rPr>
                <w:rFonts w:hint="default" w:ascii="Times New Roman" w:hAnsi="Times New Roman" w:eastAsia="宋体" w:cs="Times New Roman"/>
                <w:color w:val="auto"/>
                <w:spacing w:val="-4"/>
                <w:sz w:val="24"/>
                <w:szCs w:val="24"/>
                <w:highlight w:val="none"/>
                <w:lang w:val="en-US" w:eastAsia="zh-CN"/>
              </w:rPr>
              <w:t>设施故障时的废水，</w:t>
            </w:r>
            <w:r>
              <w:rPr>
                <w:rFonts w:hint="default" w:ascii="Times New Roman" w:hAnsi="Times New Roman" w:eastAsia="宋体" w:cs="Times New Roman"/>
                <w:color w:val="auto"/>
                <w:sz w:val="24"/>
                <w:szCs w:val="24"/>
                <w:highlight w:val="none"/>
                <w:lang w:val="en-US" w:eastAsia="zh-CN" w:bidi="ar"/>
              </w:rPr>
              <w:t>事故应急池的容积按照以下公式计算：应急时间×高峰期流量来确定，本</w:t>
            </w:r>
            <w:r>
              <w:rPr>
                <w:rFonts w:hint="default" w:ascii="Times New Roman" w:hAnsi="Times New Roman" w:eastAsia="宋体" w:cs="Times New Roman"/>
                <w:b w:val="0"/>
                <w:bCs w:val="0"/>
                <w:color w:val="auto"/>
                <w:kern w:val="0"/>
                <w:sz w:val="24"/>
                <w:szCs w:val="24"/>
                <w:lang w:val="en-US" w:eastAsia="zh-CN" w:bidi="ar"/>
              </w:rPr>
              <w:t>项目</w:t>
            </w:r>
            <w:r>
              <w:rPr>
                <w:rFonts w:hint="eastAsia" w:cs="Times New Roman"/>
                <w:b w:val="0"/>
                <w:bCs w:val="0"/>
                <w:caps w:val="0"/>
                <w:snapToGrid w:val="0"/>
                <w:color w:val="auto"/>
                <w:spacing w:val="0"/>
                <w:w w:val="100"/>
                <w:position w:val="0"/>
                <w:sz w:val="24"/>
                <w:highlight w:val="none"/>
                <w:lang w:eastAsia="zh-CN"/>
              </w:rPr>
              <w:t>一次废水最大排放量为</w:t>
            </w:r>
            <w:r>
              <w:rPr>
                <w:rFonts w:hint="eastAsia" w:cs="Times New Roman"/>
                <w:color w:val="auto"/>
                <w:sz w:val="24"/>
                <w:szCs w:val="24"/>
                <w:highlight w:val="none"/>
                <w:lang w:val="en-US" w:eastAsia="zh-CN"/>
              </w:rPr>
              <w:t>18.5852</w:t>
            </w:r>
            <w:r>
              <w:rPr>
                <w:rFonts w:hint="default" w:ascii="Times New Roman" w:hAnsi="Times New Roman" w:eastAsia="宋体" w:cs="Times New Roman"/>
                <w:color w:val="auto"/>
                <w:spacing w:val="0"/>
                <w:sz w:val="24"/>
                <w:highlight w:val="none"/>
              </w:rPr>
              <w:t>m</w:t>
            </w:r>
            <w:r>
              <w:rPr>
                <w:rFonts w:hint="default" w:ascii="Times New Roman" w:hAnsi="Times New Roman" w:eastAsia="宋体" w:cs="Times New Roman"/>
                <w:color w:val="auto"/>
                <w:spacing w:val="0"/>
                <w:sz w:val="24"/>
                <w:highlight w:val="none"/>
                <w:vertAlign w:val="superscript"/>
              </w:rPr>
              <w:t>3</w:t>
            </w:r>
            <w:r>
              <w:rPr>
                <w:rFonts w:hint="default" w:ascii="Times New Roman" w:hAnsi="Times New Roman" w:eastAsia="宋体" w:cs="Times New Roman"/>
                <w:color w:val="auto"/>
                <w:spacing w:val="0"/>
                <w:sz w:val="24"/>
                <w:highlight w:val="none"/>
              </w:rPr>
              <w:t>/d</w:t>
            </w:r>
            <w:r>
              <w:rPr>
                <w:rFonts w:hint="default" w:ascii="Times New Roman" w:hAnsi="Times New Roman" w:eastAsia="宋体" w:cs="Times New Roman"/>
                <w:b w:val="0"/>
                <w:bCs w:val="0"/>
                <w:color w:val="auto"/>
                <w:kern w:val="0"/>
                <w:sz w:val="24"/>
                <w:szCs w:val="24"/>
                <w:lang w:val="en-US" w:eastAsia="zh-CN" w:bidi="ar"/>
              </w:rPr>
              <w:t>，本次评价按</w:t>
            </w:r>
            <w:r>
              <w:rPr>
                <w:rFonts w:hint="default" w:ascii="Times New Roman" w:hAnsi="Times New Roman" w:eastAsia="宋体" w:cs="Times New Roman"/>
                <w:color w:val="auto"/>
                <w:sz w:val="24"/>
                <w:szCs w:val="24"/>
                <w:highlight w:val="none"/>
                <w:lang w:val="en-US" w:eastAsia="zh-CN" w:bidi="ar"/>
              </w:rPr>
              <w:t>高峰期流量为</w:t>
            </w:r>
            <w:r>
              <w:rPr>
                <w:rFonts w:hint="eastAsia" w:cs="Times New Roman"/>
                <w:color w:val="auto"/>
                <w:sz w:val="24"/>
                <w:szCs w:val="24"/>
                <w:highlight w:val="none"/>
                <w:lang w:val="en-US" w:eastAsia="zh-CN" w:bidi="ar"/>
              </w:rPr>
              <w:t>2.3232</w:t>
            </w:r>
            <w:r>
              <w:rPr>
                <w:rFonts w:hint="default" w:ascii="Times New Roman" w:hAnsi="Times New Roman" w:eastAsia="宋体" w:cs="Times New Roman"/>
                <w:b w:val="0"/>
                <w:bCs w:val="0"/>
                <w:color w:val="auto"/>
                <w:kern w:val="0"/>
                <w:sz w:val="24"/>
                <w:szCs w:val="24"/>
                <w:lang w:val="en-US" w:eastAsia="zh-CN" w:bidi="ar"/>
              </w:rPr>
              <w:t>m³/h计（高峰时间每天8小时）</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事故排除时间</w:t>
            </w:r>
            <w:r>
              <w:rPr>
                <w:rFonts w:hint="eastAsia" w:cs="Times New Roman"/>
                <w:color w:val="auto"/>
                <w:sz w:val="24"/>
                <w:szCs w:val="24"/>
                <w:lang w:val="zh-CN" w:bidi="ar"/>
              </w:rPr>
              <w:t>参考医疗机构来执行，即为运营时间的三分之一</w:t>
            </w:r>
            <w:r>
              <w:rPr>
                <w:rFonts w:hint="default" w:ascii="Times New Roman" w:hAnsi="Times New Roman" w:eastAsia="宋体" w:cs="Times New Roman"/>
                <w:color w:val="auto"/>
                <w:sz w:val="24"/>
                <w:szCs w:val="24"/>
                <w:lang w:val="zh-CN" w:bidi="ar"/>
              </w:rPr>
              <w:t>，</w:t>
            </w:r>
            <w:r>
              <w:rPr>
                <w:rFonts w:hint="default" w:ascii="Times New Roman" w:hAnsi="Times New Roman" w:eastAsia="宋体" w:cs="Times New Roman"/>
                <w:color w:val="auto"/>
                <w:sz w:val="24"/>
                <w:szCs w:val="24"/>
                <w:highlight w:val="none"/>
                <w:lang w:val="en-US" w:eastAsia="zh-CN" w:bidi="ar"/>
              </w:rPr>
              <w:t>因此项目事故应急池的容积应不小于</w:t>
            </w:r>
            <w:r>
              <w:rPr>
                <w:rFonts w:hint="eastAsia" w:cs="Times New Roman"/>
                <w:color w:val="auto"/>
                <w:sz w:val="24"/>
                <w:szCs w:val="24"/>
                <w:highlight w:val="none"/>
                <w:lang w:val="en-US" w:eastAsia="zh-CN" w:bidi="ar"/>
              </w:rPr>
              <w:t>7</w:t>
            </w:r>
            <w:r>
              <w:rPr>
                <w:rFonts w:hint="default" w:ascii="Times New Roman" w:hAnsi="Times New Roman" w:eastAsia="宋体" w:cs="Times New Roman"/>
                <w:color w:val="auto"/>
                <w:sz w:val="24"/>
                <w:szCs w:val="24"/>
                <w:lang w:val="zh-CN" w:bidi="ar"/>
              </w:rPr>
              <w:t>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lang w:val="zh-CN" w:bidi="ar"/>
              </w:rPr>
              <w:t>本项目设置</w:t>
            </w:r>
            <w:r>
              <w:rPr>
                <w:rFonts w:hint="default" w:ascii="Times New Roman" w:hAnsi="Times New Roman" w:eastAsia="宋体" w:cs="Times New Roman"/>
                <w:color w:val="auto"/>
                <w:sz w:val="24"/>
                <w:szCs w:val="24"/>
                <w:lang w:val="en-US" w:eastAsia="zh-CN" w:bidi="ar"/>
              </w:rPr>
              <w:t>的</w:t>
            </w:r>
            <w:r>
              <w:rPr>
                <w:rFonts w:hint="default" w:ascii="Times New Roman" w:hAnsi="Times New Roman" w:eastAsia="宋体" w:cs="Times New Roman"/>
                <w:color w:val="auto"/>
                <w:sz w:val="24"/>
                <w:szCs w:val="24"/>
                <w:lang w:val="zh-CN" w:bidi="ar"/>
              </w:rPr>
              <w:t>事故池其容量完全能够满足事故处理期间临时存放废水的需要。</w:t>
            </w:r>
            <w:r>
              <w:rPr>
                <w:rFonts w:hint="default" w:ascii="Times New Roman" w:hAnsi="Times New Roman" w:eastAsia="宋体" w:cs="Times New Roman"/>
                <w:color w:val="auto"/>
                <w:spacing w:val="-4"/>
                <w:sz w:val="24"/>
                <w:szCs w:val="24"/>
                <w:highlight w:val="none"/>
                <w:lang w:val="en-US" w:eastAsia="zh-CN"/>
              </w:rPr>
              <w:t>待污水处理设施恢复正常运营时再将暂存于事故应急池内的废水进行处理达标后排入市政污水管网</w:t>
            </w:r>
            <w:r>
              <w:rPr>
                <w:rFonts w:hint="default" w:ascii="Times New Roman" w:hAnsi="Times New Roman" w:eastAsia="宋体" w:cs="Times New Roman"/>
                <w:color w:val="auto"/>
                <w:kern w:val="2"/>
                <w:sz w:val="24"/>
                <w:szCs w:val="24"/>
                <w:highlight w:val="none"/>
                <w:lang w:val="en-US" w:eastAsia="zh-CN" w:bidi="ar"/>
              </w:rPr>
              <w:t>。</w:t>
            </w:r>
          </w:p>
          <w:p w14:paraId="32D2FC5D">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综上，项目污水处理设施事故状态时可保证废水全部收集暂存，不外排，对周边地表水环境的影响较小。</w:t>
            </w:r>
          </w:p>
          <w:p w14:paraId="5A152DF2">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bidi="ar"/>
              </w:rPr>
              <w:t>6</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14:paraId="4B2BE798">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Cs/>
                <w:color w:val="auto"/>
                <w:sz w:val="24"/>
                <w:szCs w:val="24"/>
                <w:highlight w:val="none"/>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 xml:space="preserve">排污单位自行监测技术指南 </w:t>
            </w:r>
            <w:r>
              <w:rPr>
                <w:rFonts w:hint="eastAsia" w:cs="Times New Roman"/>
                <w:color w:val="auto"/>
                <w:sz w:val="24"/>
                <w:szCs w:val="24"/>
                <w:lang w:val="en-US" w:eastAsia="zh-CN" w:bidi="ar"/>
              </w:rPr>
              <w:t>农副食品加工业</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w:t>
            </w:r>
            <w:r>
              <w:rPr>
                <w:rFonts w:hint="eastAsia" w:cs="Times New Roman"/>
                <w:color w:val="auto"/>
                <w:sz w:val="24"/>
                <w:szCs w:val="24"/>
                <w:lang w:val="en-US" w:eastAsia="zh-CN" w:bidi="ar"/>
              </w:rPr>
              <w:t>986</w:t>
            </w:r>
            <w:r>
              <w:rPr>
                <w:rFonts w:hint="default" w:ascii="Times New Roman" w:hAnsi="Times New Roman" w:eastAsia="宋体" w:cs="Times New Roman"/>
                <w:color w:val="auto"/>
                <w:sz w:val="24"/>
                <w:szCs w:val="24"/>
                <w:lang w:val="en-US" w:eastAsia="zh-CN" w:bidi="ar"/>
              </w:rPr>
              <w:t>-20</w:t>
            </w:r>
            <w:r>
              <w:rPr>
                <w:rFonts w:hint="eastAsia" w:cs="Times New Roman"/>
                <w:color w:val="auto"/>
                <w:sz w:val="24"/>
                <w:szCs w:val="24"/>
                <w:lang w:val="en-US" w:eastAsia="zh-CN" w:bidi="ar"/>
              </w:rPr>
              <w:t>18</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及</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排污单位自行监测技术指南 火力发电及锅炉</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 820-2017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bCs/>
                <w:color w:val="auto"/>
                <w:sz w:val="24"/>
                <w:highlight w:val="none"/>
              </w:rPr>
              <w:t>可知，项目的废水监测计划如表</w:t>
            </w:r>
            <w:r>
              <w:rPr>
                <w:rFonts w:hint="default" w:ascii="Times New Roman" w:hAnsi="Times New Roman" w:eastAsia="宋体" w:cs="Times New Roman"/>
                <w:bCs/>
                <w:color w:val="auto"/>
                <w:sz w:val="24"/>
                <w:highlight w:val="none"/>
                <w:lang w:val="en-US" w:eastAsia="zh-CN"/>
              </w:rPr>
              <w:t>4-</w:t>
            </w:r>
            <w:r>
              <w:rPr>
                <w:rFonts w:hint="eastAsia" w:cs="Times New Roman"/>
                <w:bCs/>
                <w:color w:val="auto"/>
                <w:sz w:val="24"/>
                <w:highlight w:val="none"/>
                <w:lang w:val="en-US" w:eastAsia="zh-CN"/>
              </w:rPr>
              <w:t>20。</w:t>
            </w:r>
          </w:p>
          <w:p w14:paraId="12FA579B">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eastAsia" w:cs="Times New Roman"/>
                <w:b/>
                <w:bCs w:val="0"/>
                <w:color w:val="auto"/>
                <w:highlight w:val="none"/>
                <w:lang w:val="en-US" w:eastAsia="zh-CN"/>
              </w:rPr>
              <w:t>20</w:t>
            </w:r>
            <w:r>
              <w:rPr>
                <w:rFonts w:hint="default" w:ascii="Times New Roman" w:hAnsi="Times New Roman" w:eastAsia="宋体" w:cs="Times New Roman"/>
                <w:b/>
                <w:bCs w:val="0"/>
                <w:color w:val="auto"/>
                <w:highlight w:val="none"/>
              </w:rPr>
              <w:t xml:space="preserve">  环境监测计划一览表</w:t>
            </w:r>
          </w:p>
          <w:tbl>
            <w:tblPr>
              <w:tblStyle w:val="26"/>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1"/>
              <w:gridCol w:w="1128"/>
              <w:gridCol w:w="1787"/>
              <w:gridCol w:w="3550"/>
              <w:gridCol w:w="1136"/>
            </w:tblGrid>
            <w:tr w14:paraId="529E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91" w:type="dxa"/>
                  <w:vAlign w:val="center"/>
                </w:tcPr>
                <w:p w14:paraId="5B65897E">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128" w:type="dxa"/>
                  <w:vAlign w:val="center"/>
                </w:tcPr>
                <w:p w14:paraId="15C4BE28">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1787" w:type="dxa"/>
                  <w:vAlign w:val="center"/>
                </w:tcPr>
                <w:p w14:paraId="09A439F0">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3550" w:type="dxa"/>
                  <w:vAlign w:val="center"/>
                </w:tcPr>
                <w:p w14:paraId="4F1BA281">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136" w:type="dxa"/>
                  <w:vAlign w:val="center"/>
                </w:tcPr>
                <w:p w14:paraId="2976D861">
                  <w:pPr>
                    <w:pStyle w:val="101"/>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14:paraId="07766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1" w:type="dxa"/>
                  <w:vAlign w:val="center"/>
                </w:tcPr>
                <w:p w14:paraId="11252775">
                  <w:pPr>
                    <w:pStyle w:val="101"/>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综合</w:t>
                  </w:r>
                  <w:r>
                    <w:rPr>
                      <w:rFonts w:hint="default" w:ascii="Times New Roman" w:hAnsi="Times New Roman" w:eastAsia="宋体" w:cs="Times New Roman"/>
                      <w:color w:val="auto"/>
                      <w:sz w:val="21"/>
                      <w:szCs w:val="21"/>
                      <w:highlight w:val="none"/>
                    </w:rPr>
                    <w:t>废水</w:t>
                  </w:r>
                </w:p>
              </w:tc>
              <w:tc>
                <w:tcPr>
                  <w:tcW w:w="1128" w:type="dxa"/>
                  <w:vAlign w:val="center"/>
                </w:tcPr>
                <w:p w14:paraId="6F3F6CBC">
                  <w:pPr>
                    <w:pStyle w:val="101"/>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污水处理设施</w:t>
                  </w:r>
                  <w:r>
                    <w:rPr>
                      <w:rFonts w:hint="default" w:ascii="Times New Roman" w:hAnsi="Times New Roman" w:eastAsia="宋体" w:cs="Times New Roman"/>
                      <w:color w:val="auto"/>
                      <w:sz w:val="21"/>
                      <w:szCs w:val="21"/>
                      <w:highlight w:val="none"/>
                    </w:rPr>
                    <w:t>出口</w:t>
                  </w:r>
                </w:p>
              </w:tc>
              <w:tc>
                <w:tcPr>
                  <w:tcW w:w="1787" w:type="dxa"/>
                  <w:vAlign w:val="center"/>
                </w:tcPr>
                <w:p w14:paraId="17BFFA90">
                  <w:pPr>
                    <w:pStyle w:val="101"/>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流量、</w:t>
                  </w:r>
                  <w:r>
                    <w:rPr>
                      <w:rFonts w:hint="default" w:ascii="Times New Roman" w:hAnsi="Times New Roman" w:eastAsia="宋体" w:cs="Times New Roman"/>
                      <w:color w:val="auto"/>
                      <w:sz w:val="21"/>
                      <w:szCs w:val="21"/>
                      <w:highlight w:val="none"/>
                    </w:rPr>
                    <w:t>pH、COD、BOD、SS、NH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-N、TP</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w:t>
                  </w:r>
                </w:p>
              </w:tc>
              <w:tc>
                <w:tcPr>
                  <w:tcW w:w="3550" w:type="dxa"/>
                  <w:vAlign w:val="center"/>
                </w:tcPr>
                <w:p w14:paraId="6E1D0483">
                  <w:pPr>
                    <w:pStyle w:val="78"/>
                    <w:spacing w:before="5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p>
              </w:tc>
              <w:tc>
                <w:tcPr>
                  <w:tcW w:w="1136" w:type="dxa"/>
                  <w:vAlign w:val="center"/>
                </w:tcPr>
                <w:p w14:paraId="2C81E343">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lang w:val="en-US" w:eastAsia="zh-CN"/>
                    </w:rPr>
                    <w:t>1次/半年</w:t>
                  </w:r>
                </w:p>
              </w:tc>
            </w:tr>
          </w:tbl>
          <w:p w14:paraId="1D22A6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14:paraId="057167B0">
            <w:pPr>
              <w:pStyle w:val="25"/>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14:paraId="764DE3CC">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14:paraId="120D7CE9">
            <w:pPr>
              <w:pStyle w:val="15"/>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14:paraId="064E52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eastAsia" w:cs="Times New Roman"/>
                <w:color w:val="auto"/>
                <w:sz w:val="24"/>
                <w:highlight w:val="none"/>
                <w:lang w:val="en-US" w:eastAsia="zh-CN" w:bidi="ar"/>
              </w:rPr>
              <w:t>70</w:t>
            </w:r>
            <w:r>
              <w:rPr>
                <w:rFonts w:hint="default" w:ascii="Times New Roman" w:hAnsi="Times New Roman" w:eastAsia="宋体" w:cs="Times New Roman"/>
                <w:color w:val="auto"/>
                <w:sz w:val="24"/>
                <w:highlight w:val="none"/>
                <w:lang w:val="zh-CN" w:bidi="ar"/>
              </w:rPr>
              <w:t>～</w:t>
            </w:r>
            <w:r>
              <w:rPr>
                <w:rFonts w:hint="eastAsia" w:cs="Times New Roman"/>
                <w:color w:val="auto"/>
                <w:sz w:val="24"/>
                <w:highlight w:val="none"/>
                <w:lang w:val="en-US" w:eastAsia="zh-CN" w:bidi="ar"/>
              </w:rPr>
              <w:t>85</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21</w:t>
            </w:r>
            <w:r>
              <w:rPr>
                <w:rFonts w:hint="default" w:ascii="Times New Roman" w:hAnsi="Times New Roman" w:eastAsia="宋体" w:cs="Times New Roman"/>
                <w:color w:val="auto"/>
                <w:sz w:val="24"/>
                <w:highlight w:val="none"/>
              </w:rPr>
              <w:t>。</w:t>
            </w:r>
          </w:p>
          <w:p w14:paraId="6B2BC2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38AA5C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248FAC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4B1EA5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667D1B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6C1D8A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75E7DE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5132ED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316667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26D326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0C9DFF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3A1B13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59ED70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p>
          <w:p w14:paraId="61AE25BD">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auto"/>
                <w:spacing w:val="-10"/>
                <w:sz w:val="24"/>
                <w:szCs w:val="24"/>
                <w:highlight w:val="none"/>
                <w:lang w:val="en-US" w:eastAsia="zh-CN"/>
              </w:rPr>
            </w:pPr>
          </w:p>
          <w:p w14:paraId="4BA0D4E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auto"/>
                <w:spacing w:val="-10"/>
                <w:sz w:val="24"/>
                <w:szCs w:val="24"/>
                <w:highlight w:val="none"/>
                <w:lang w:val="en-US" w:eastAsia="zh-CN"/>
              </w:rPr>
            </w:pPr>
          </w:p>
          <w:p w14:paraId="434B19EC">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auto"/>
                <w:spacing w:val="-10"/>
                <w:sz w:val="24"/>
                <w:szCs w:val="24"/>
                <w:highlight w:val="none"/>
                <w:lang w:val="en-US" w:eastAsia="zh-CN"/>
              </w:rPr>
            </w:pPr>
          </w:p>
          <w:p w14:paraId="4DE4D2C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auto"/>
                <w:spacing w:val="-10"/>
                <w:sz w:val="24"/>
                <w:szCs w:val="24"/>
                <w:highlight w:val="none"/>
                <w:lang w:val="en-US" w:eastAsia="zh-CN"/>
              </w:rPr>
            </w:pPr>
          </w:p>
          <w:p w14:paraId="0F9DC3EF">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cs="Times New Roman"/>
                <w:bCs/>
                <w:color w:val="auto"/>
                <w:spacing w:val="-10"/>
                <w:sz w:val="24"/>
                <w:szCs w:val="24"/>
                <w:highlight w:val="none"/>
                <w:lang w:val="en-US" w:eastAsia="zh-CN"/>
              </w:rPr>
            </w:pPr>
          </w:p>
          <w:p w14:paraId="12B36D18">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eastAsia="宋体" w:cs="Times New Roman"/>
                <w:bCs/>
                <w:color w:val="auto"/>
                <w:spacing w:val="-10"/>
                <w:sz w:val="24"/>
                <w:szCs w:val="24"/>
                <w:highlight w:val="none"/>
                <w:lang w:val="en-US" w:eastAsia="zh-CN"/>
              </w:rPr>
            </w:pPr>
          </w:p>
        </w:tc>
      </w:tr>
    </w:tbl>
    <w:p w14:paraId="100AA8B6">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58E35B9">
      <w:pPr>
        <w:pStyle w:val="36"/>
        <w:keepNext w:val="0"/>
        <w:keepLines w:val="0"/>
        <w:pageBreakBefore w:val="0"/>
        <w:widowControl w:val="0"/>
        <w:kinsoku/>
        <w:wordWrap/>
        <w:overflowPunct/>
        <w:topLinePunct w:val="0"/>
        <w:autoSpaceDE/>
        <w:autoSpaceDN/>
        <w:bidi w:val="0"/>
        <w:adjustRightInd w:val="0"/>
        <w:snapToGrid w:val="0"/>
        <w:ind w:left="0" w:right="0" w:firstLine="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21</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6"/>
        <w:tblpPr w:leftFromText="180" w:rightFromText="180" w:vertAnchor="text" w:horzAnchor="page" w:tblpX="1668" w:tblpY="323"/>
        <w:tblOverlap w:val="never"/>
        <w:tblW w:w="13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3"/>
        <w:gridCol w:w="405"/>
        <w:gridCol w:w="1337"/>
        <w:gridCol w:w="693"/>
        <w:gridCol w:w="516"/>
        <w:gridCol w:w="505"/>
        <w:gridCol w:w="505"/>
        <w:gridCol w:w="505"/>
        <w:gridCol w:w="505"/>
        <w:gridCol w:w="505"/>
        <w:gridCol w:w="505"/>
        <w:gridCol w:w="505"/>
        <w:gridCol w:w="505"/>
        <w:gridCol w:w="505"/>
        <w:gridCol w:w="505"/>
        <w:gridCol w:w="515"/>
        <w:gridCol w:w="500"/>
        <w:gridCol w:w="477"/>
        <w:gridCol w:w="477"/>
        <w:gridCol w:w="477"/>
        <w:gridCol w:w="477"/>
        <w:gridCol w:w="477"/>
        <w:gridCol w:w="477"/>
        <w:gridCol w:w="477"/>
        <w:gridCol w:w="482"/>
        <w:gridCol w:w="485"/>
      </w:tblGrid>
      <w:tr w14:paraId="26EF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trPr>
        <w:tc>
          <w:tcPr>
            <w:tcW w:w="403" w:type="dxa"/>
            <w:vMerge w:val="restart"/>
            <w:shd w:val="clear" w:color="auto" w:fill="auto"/>
            <w:vAlign w:val="center"/>
          </w:tcPr>
          <w:p w14:paraId="4855F445">
            <w:pPr>
              <w:jc w:val="center"/>
              <w:rPr>
                <w:rFonts w:hint="default" w:ascii="Times New Roman" w:hAnsi="Times New Roman" w:eastAsia="宋体" w:cs="Times New Roman"/>
                <w:color w:val="auto"/>
                <w:sz w:val="21"/>
                <w:szCs w:val="21"/>
                <w:highlight w:val="none"/>
              </w:rPr>
            </w:pPr>
            <w:bookmarkStart w:id="24" w:name="PT_6"/>
            <w:r>
              <w:rPr>
                <w:rFonts w:hint="default" w:ascii="Times New Roman" w:hAnsi="Times New Roman" w:eastAsia="宋体" w:cs="Times New Roman"/>
                <w:b/>
                <w:color w:val="auto"/>
                <w:sz w:val="21"/>
                <w:szCs w:val="21"/>
                <w:highlight w:val="none"/>
              </w:rPr>
              <w:t>序号</w:t>
            </w:r>
          </w:p>
        </w:tc>
        <w:tc>
          <w:tcPr>
            <w:tcW w:w="405" w:type="dxa"/>
            <w:vMerge w:val="restart"/>
            <w:shd w:val="clear" w:color="auto" w:fill="auto"/>
            <w:vAlign w:val="center"/>
          </w:tcPr>
          <w:p w14:paraId="4DC63D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1337" w:type="dxa"/>
            <w:vMerge w:val="restart"/>
            <w:shd w:val="clear" w:color="auto" w:fill="auto"/>
            <w:vAlign w:val="center"/>
          </w:tcPr>
          <w:p w14:paraId="61B148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693" w:type="dxa"/>
            <w:shd w:val="clear" w:color="auto" w:fill="auto"/>
            <w:vAlign w:val="center"/>
          </w:tcPr>
          <w:p w14:paraId="0C4EF814">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声源源强</w:t>
            </w:r>
          </w:p>
        </w:tc>
        <w:tc>
          <w:tcPr>
            <w:tcW w:w="516" w:type="dxa"/>
            <w:vMerge w:val="restart"/>
            <w:shd w:val="clear" w:color="auto" w:fill="auto"/>
            <w:vAlign w:val="center"/>
          </w:tcPr>
          <w:p w14:paraId="4F3CB8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1515" w:type="dxa"/>
            <w:gridSpan w:val="3"/>
            <w:shd w:val="clear" w:color="auto" w:fill="auto"/>
            <w:vAlign w:val="center"/>
          </w:tcPr>
          <w:p w14:paraId="3EFA8F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2020" w:type="dxa"/>
            <w:gridSpan w:val="4"/>
            <w:shd w:val="clear" w:color="auto" w:fill="auto"/>
            <w:vAlign w:val="center"/>
          </w:tcPr>
          <w:p w14:paraId="2BE9F5A1">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2030" w:type="dxa"/>
            <w:gridSpan w:val="4"/>
            <w:shd w:val="clear" w:color="auto" w:fill="auto"/>
            <w:vAlign w:val="center"/>
          </w:tcPr>
          <w:p w14:paraId="1C5A4DFD">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室内边界声级/dB(A)</w:t>
            </w:r>
          </w:p>
        </w:tc>
        <w:tc>
          <w:tcPr>
            <w:tcW w:w="500" w:type="dxa"/>
            <w:vMerge w:val="restart"/>
            <w:shd w:val="clear" w:color="auto" w:fill="auto"/>
            <w:vAlign w:val="center"/>
          </w:tcPr>
          <w:p w14:paraId="72063A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1908" w:type="dxa"/>
            <w:gridSpan w:val="4"/>
            <w:shd w:val="clear" w:color="auto" w:fill="auto"/>
            <w:vAlign w:val="center"/>
          </w:tcPr>
          <w:p w14:paraId="5CB9D709">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建筑物插入损失 / dB(A)</w:t>
            </w:r>
            <w:bookmarkStart w:id="25" w:name="PT_10"/>
            <w:bookmarkEnd w:id="25"/>
          </w:p>
        </w:tc>
        <w:tc>
          <w:tcPr>
            <w:tcW w:w="2398" w:type="dxa"/>
            <w:gridSpan w:val="5"/>
            <w:shd w:val="clear" w:color="auto" w:fill="auto"/>
            <w:vAlign w:val="center"/>
          </w:tcPr>
          <w:p w14:paraId="430EA099">
            <w:pP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建筑物外噪声声压级/dB(A)</w:t>
            </w:r>
          </w:p>
        </w:tc>
      </w:tr>
      <w:tr w14:paraId="675A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vMerge w:val="continue"/>
            <w:shd w:val="clear" w:color="auto" w:fill="auto"/>
            <w:tcMar>
              <w:top w:w="0" w:type="dxa"/>
              <w:left w:w="0" w:type="dxa"/>
              <w:bottom w:w="0" w:type="dxa"/>
              <w:right w:w="0" w:type="dxa"/>
            </w:tcMar>
            <w:vAlign w:val="center"/>
          </w:tcPr>
          <w:p w14:paraId="12454663">
            <w:pPr>
              <w:jc w:val="center"/>
              <w:rPr>
                <w:rFonts w:hint="default" w:ascii="Times New Roman" w:hAnsi="Times New Roman" w:eastAsia="宋体" w:cs="Times New Roman"/>
                <w:color w:val="auto"/>
                <w:sz w:val="21"/>
                <w:szCs w:val="21"/>
                <w:highlight w:val="none"/>
                <w:lang w:val="en-US" w:eastAsia="zh-CN"/>
              </w:rPr>
            </w:pPr>
          </w:p>
        </w:tc>
        <w:tc>
          <w:tcPr>
            <w:tcW w:w="405" w:type="dxa"/>
            <w:vMerge w:val="continue"/>
            <w:shd w:val="clear" w:color="auto" w:fill="auto"/>
            <w:tcMar>
              <w:top w:w="0" w:type="dxa"/>
              <w:left w:w="0" w:type="dxa"/>
              <w:bottom w:w="0" w:type="dxa"/>
              <w:right w:w="0" w:type="dxa"/>
            </w:tcMar>
            <w:vAlign w:val="center"/>
          </w:tcPr>
          <w:p w14:paraId="0AB07385">
            <w:pPr>
              <w:jc w:val="center"/>
              <w:rPr>
                <w:rFonts w:hint="default" w:ascii="Times New Roman" w:hAnsi="Times New Roman" w:eastAsia="宋体" w:cs="Times New Roman"/>
                <w:color w:val="auto"/>
                <w:sz w:val="21"/>
                <w:szCs w:val="21"/>
                <w:highlight w:val="none"/>
              </w:rPr>
            </w:pPr>
          </w:p>
        </w:tc>
        <w:tc>
          <w:tcPr>
            <w:tcW w:w="1337" w:type="dxa"/>
            <w:vMerge w:val="continue"/>
            <w:shd w:val="clear" w:color="auto" w:fill="auto"/>
            <w:tcMar>
              <w:top w:w="0" w:type="dxa"/>
              <w:left w:w="0" w:type="dxa"/>
              <w:bottom w:w="0" w:type="dxa"/>
              <w:right w:w="0" w:type="dxa"/>
            </w:tcMar>
            <w:vAlign w:val="center"/>
          </w:tcPr>
          <w:p w14:paraId="412123D9">
            <w:pPr>
              <w:jc w:val="center"/>
              <w:rPr>
                <w:rFonts w:hint="default" w:ascii="Times New Roman" w:hAnsi="Times New Roman" w:eastAsia="宋体" w:cs="Times New Roman"/>
                <w:color w:val="auto"/>
                <w:sz w:val="21"/>
                <w:szCs w:val="21"/>
                <w:highlight w:val="none"/>
              </w:rPr>
            </w:pPr>
          </w:p>
        </w:tc>
        <w:tc>
          <w:tcPr>
            <w:tcW w:w="693" w:type="dxa"/>
            <w:shd w:val="clear" w:color="auto" w:fill="auto"/>
            <w:tcMar>
              <w:top w:w="0" w:type="dxa"/>
              <w:left w:w="0" w:type="dxa"/>
              <w:bottom w:w="0" w:type="dxa"/>
              <w:right w:w="0" w:type="dxa"/>
            </w:tcMar>
            <w:vAlign w:val="center"/>
          </w:tcPr>
          <w:p w14:paraId="57DCFA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516" w:type="dxa"/>
            <w:vMerge w:val="continue"/>
            <w:shd w:val="clear" w:color="auto" w:fill="auto"/>
            <w:tcMar>
              <w:top w:w="0" w:type="dxa"/>
              <w:left w:w="0" w:type="dxa"/>
              <w:bottom w:w="0" w:type="dxa"/>
              <w:right w:w="0" w:type="dxa"/>
            </w:tcMar>
            <w:vAlign w:val="center"/>
          </w:tcPr>
          <w:p w14:paraId="02681DFE">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86481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05" w:type="dxa"/>
            <w:shd w:val="clear" w:color="auto" w:fill="auto"/>
            <w:tcMar>
              <w:top w:w="0" w:type="dxa"/>
              <w:left w:w="0" w:type="dxa"/>
              <w:bottom w:w="0" w:type="dxa"/>
              <w:right w:w="0" w:type="dxa"/>
            </w:tcMar>
            <w:vAlign w:val="center"/>
          </w:tcPr>
          <w:p w14:paraId="4E5E32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05" w:type="dxa"/>
            <w:shd w:val="clear" w:color="auto" w:fill="auto"/>
            <w:tcMar>
              <w:top w:w="0" w:type="dxa"/>
              <w:left w:w="0" w:type="dxa"/>
              <w:bottom w:w="0" w:type="dxa"/>
              <w:right w:w="0" w:type="dxa"/>
            </w:tcMar>
            <w:vAlign w:val="center"/>
          </w:tcPr>
          <w:p w14:paraId="3C3AFB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05" w:type="dxa"/>
            <w:shd w:val="clear" w:color="auto" w:fill="auto"/>
            <w:tcMar>
              <w:top w:w="0" w:type="dxa"/>
              <w:left w:w="0" w:type="dxa"/>
              <w:bottom w:w="0" w:type="dxa"/>
              <w:right w:w="0" w:type="dxa"/>
            </w:tcMar>
            <w:vAlign w:val="center"/>
          </w:tcPr>
          <w:p w14:paraId="5223E8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14:paraId="3EFD00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14:paraId="2AE37B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05" w:type="dxa"/>
            <w:shd w:val="clear" w:color="auto" w:fill="auto"/>
            <w:tcMar>
              <w:top w:w="0" w:type="dxa"/>
              <w:left w:w="0" w:type="dxa"/>
              <w:bottom w:w="0" w:type="dxa"/>
              <w:right w:w="0" w:type="dxa"/>
            </w:tcMar>
            <w:vAlign w:val="center"/>
          </w:tcPr>
          <w:p w14:paraId="73FE52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5" w:type="dxa"/>
            <w:shd w:val="clear" w:color="auto" w:fill="auto"/>
            <w:tcMar>
              <w:top w:w="0" w:type="dxa"/>
              <w:left w:w="0" w:type="dxa"/>
              <w:bottom w:w="0" w:type="dxa"/>
              <w:right w:w="0" w:type="dxa"/>
            </w:tcMar>
            <w:vAlign w:val="center"/>
          </w:tcPr>
          <w:p w14:paraId="085662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505" w:type="dxa"/>
            <w:shd w:val="clear" w:color="auto" w:fill="auto"/>
            <w:tcMar>
              <w:top w:w="0" w:type="dxa"/>
              <w:left w:w="0" w:type="dxa"/>
              <w:bottom w:w="0" w:type="dxa"/>
              <w:right w:w="0" w:type="dxa"/>
            </w:tcMar>
            <w:vAlign w:val="center"/>
          </w:tcPr>
          <w:p w14:paraId="2D2171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505" w:type="dxa"/>
            <w:shd w:val="clear" w:color="auto" w:fill="auto"/>
            <w:tcMar>
              <w:top w:w="0" w:type="dxa"/>
              <w:left w:w="0" w:type="dxa"/>
              <w:bottom w:w="0" w:type="dxa"/>
              <w:right w:w="0" w:type="dxa"/>
            </w:tcMar>
            <w:vAlign w:val="center"/>
          </w:tcPr>
          <w:p w14:paraId="2FD04B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515" w:type="dxa"/>
            <w:shd w:val="clear" w:color="auto" w:fill="auto"/>
            <w:tcMar>
              <w:top w:w="0" w:type="dxa"/>
              <w:left w:w="0" w:type="dxa"/>
              <w:bottom w:w="0" w:type="dxa"/>
              <w:right w:w="0" w:type="dxa"/>
            </w:tcMar>
            <w:vAlign w:val="center"/>
          </w:tcPr>
          <w:p w14:paraId="27BA00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500" w:type="dxa"/>
            <w:vMerge w:val="continue"/>
            <w:shd w:val="clear" w:color="auto" w:fill="auto"/>
            <w:tcMar>
              <w:top w:w="0" w:type="dxa"/>
              <w:left w:w="0" w:type="dxa"/>
              <w:bottom w:w="0" w:type="dxa"/>
              <w:right w:w="0" w:type="dxa"/>
            </w:tcMar>
            <w:vAlign w:val="center"/>
          </w:tcPr>
          <w:p w14:paraId="0A7CEF5A">
            <w:pPr>
              <w:jc w:val="center"/>
              <w:rPr>
                <w:rFonts w:hint="default" w:ascii="Times New Roman" w:hAnsi="Times New Roman" w:eastAsia="宋体" w:cs="Times New Roman"/>
                <w:color w:val="auto"/>
                <w:sz w:val="21"/>
                <w:szCs w:val="21"/>
                <w:highlight w:val="none"/>
              </w:rPr>
            </w:pPr>
          </w:p>
        </w:tc>
        <w:tc>
          <w:tcPr>
            <w:tcW w:w="477" w:type="dxa"/>
            <w:shd w:val="clear" w:color="auto" w:fill="auto"/>
            <w:tcMar>
              <w:top w:w="0" w:type="dxa"/>
              <w:left w:w="0" w:type="dxa"/>
              <w:bottom w:w="0" w:type="dxa"/>
              <w:right w:w="0" w:type="dxa"/>
            </w:tcMar>
            <w:vAlign w:val="center"/>
          </w:tcPr>
          <w:p w14:paraId="2F5644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14:paraId="510049F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14:paraId="6B0415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77" w:type="dxa"/>
            <w:shd w:val="clear" w:color="auto" w:fill="auto"/>
            <w:tcMar>
              <w:top w:w="0" w:type="dxa"/>
              <w:left w:w="0" w:type="dxa"/>
              <w:bottom w:w="0" w:type="dxa"/>
              <w:right w:w="0" w:type="dxa"/>
            </w:tcMar>
            <w:vAlign w:val="center"/>
          </w:tcPr>
          <w:p w14:paraId="04AACF2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77" w:type="dxa"/>
            <w:shd w:val="clear" w:color="auto" w:fill="auto"/>
            <w:tcMar>
              <w:top w:w="0" w:type="dxa"/>
              <w:left w:w="0" w:type="dxa"/>
              <w:bottom w:w="0" w:type="dxa"/>
              <w:right w:w="0" w:type="dxa"/>
            </w:tcMar>
            <w:vAlign w:val="center"/>
          </w:tcPr>
          <w:p w14:paraId="4D8CC45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p>
        </w:tc>
        <w:tc>
          <w:tcPr>
            <w:tcW w:w="477" w:type="dxa"/>
            <w:shd w:val="clear" w:color="auto" w:fill="auto"/>
            <w:tcMar>
              <w:top w:w="0" w:type="dxa"/>
              <w:left w:w="0" w:type="dxa"/>
              <w:bottom w:w="0" w:type="dxa"/>
              <w:right w:w="0" w:type="dxa"/>
            </w:tcMar>
            <w:vAlign w:val="center"/>
          </w:tcPr>
          <w:p w14:paraId="520089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南</w:t>
            </w:r>
          </w:p>
        </w:tc>
        <w:tc>
          <w:tcPr>
            <w:tcW w:w="477" w:type="dxa"/>
            <w:shd w:val="clear" w:color="auto" w:fill="auto"/>
            <w:tcMar>
              <w:top w:w="0" w:type="dxa"/>
              <w:left w:w="0" w:type="dxa"/>
              <w:bottom w:w="0" w:type="dxa"/>
              <w:right w:w="0" w:type="dxa"/>
            </w:tcMar>
            <w:vAlign w:val="center"/>
          </w:tcPr>
          <w:p w14:paraId="1FE6CD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西</w:t>
            </w:r>
          </w:p>
        </w:tc>
        <w:tc>
          <w:tcPr>
            <w:tcW w:w="482" w:type="dxa"/>
            <w:shd w:val="clear" w:color="auto" w:fill="auto"/>
            <w:tcMar>
              <w:top w:w="0" w:type="dxa"/>
              <w:left w:w="0" w:type="dxa"/>
              <w:bottom w:w="0" w:type="dxa"/>
              <w:right w:w="0" w:type="dxa"/>
            </w:tcMar>
            <w:vAlign w:val="center"/>
          </w:tcPr>
          <w:p w14:paraId="22A827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p>
        </w:tc>
        <w:tc>
          <w:tcPr>
            <w:tcW w:w="485" w:type="dxa"/>
            <w:shd w:val="clear" w:color="auto" w:fill="auto"/>
            <w:tcMar>
              <w:top w:w="0" w:type="dxa"/>
              <w:left w:w="0" w:type="dxa"/>
              <w:bottom w:w="0" w:type="dxa"/>
              <w:right w:w="0" w:type="dxa"/>
            </w:tcMar>
            <w:vAlign w:val="center"/>
          </w:tcPr>
          <w:p w14:paraId="4604E48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14:paraId="4BBE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77535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05" w:type="dxa"/>
            <w:vMerge w:val="restart"/>
            <w:shd w:val="clear" w:color="auto" w:fill="auto"/>
            <w:tcMar>
              <w:top w:w="0" w:type="dxa"/>
              <w:left w:w="0" w:type="dxa"/>
              <w:bottom w:w="0" w:type="dxa"/>
              <w:right w:w="0" w:type="dxa"/>
            </w:tcMar>
            <w:vAlign w:val="center"/>
          </w:tcPr>
          <w:p w14:paraId="71B50646">
            <w:pPr>
              <w:jc w:val="center"/>
              <w:rPr>
                <w:rFonts w:ascii="Arial" w:hAnsi="Arial" w:eastAsia="Arial" w:cs="Arial"/>
                <w:color w:val="auto"/>
                <w:sz w:val="20"/>
              </w:rPr>
            </w:pPr>
          </w:p>
          <w:p w14:paraId="7B51AB2D">
            <w:pPr>
              <w:jc w:val="center"/>
              <w:rPr>
                <w:rFonts w:ascii="Arial" w:hAnsi="Arial" w:eastAsia="Arial" w:cs="Arial"/>
                <w:color w:val="auto"/>
                <w:sz w:val="20"/>
              </w:rPr>
            </w:pPr>
          </w:p>
          <w:p w14:paraId="5DE41BCF">
            <w:pPr>
              <w:jc w:val="center"/>
              <w:rPr>
                <w:rFonts w:ascii="Arial" w:hAnsi="Arial" w:eastAsia="Arial" w:cs="Arial"/>
                <w:color w:val="auto"/>
                <w:sz w:val="20"/>
              </w:rPr>
            </w:pPr>
          </w:p>
          <w:p w14:paraId="50C89CD4">
            <w:pPr>
              <w:jc w:val="center"/>
              <w:rPr>
                <w:rFonts w:ascii="Arial" w:hAnsi="Arial" w:eastAsia="Arial" w:cs="Arial"/>
                <w:color w:val="auto"/>
                <w:sz w:val="20"/>
              </w:rPr>
            </w:pPr>
          </w:p>
          <w:p w14:paraId="20D1309C">
            <w:pPr>
              <w:jc w:val="center"/>
              <w:rPr>
                <w:rFonts w:ascii="Arial" w:hAnsi="Arial" w:eastAsia="Arial" w:cs="Arial"/>
                <w:color w:val="auto"/>
                <w:sz w:val="20"/>
              </w:rPr>
            </w:pPr>
          </w:p>
          <w:p w14:paraId="7B751EDC">
            <w:pPr>
              <w:jc w:val="center"/>
              <w:rPr>
                <w:rFonts w:ascii="Arial" w:hAnsi="Arial" w:eastAsia="Arial" w:cs="Arial"/>
                <w:color w:val="auto"/>
                <w:sz w:val="20"/>
              </w:rPr>
            </w:pPr>
          </w:p>
          <w:p w14:paraId="2D56AE8C">
            <w:pPr>
              <w:jc w:val="center"/>
              <w:rPr>
                <w:rFonts w:ascii="Arial" w:hAnsi="Arial" w:eastAsia="Arial" w:cs="Arial"/>
                <w:color w:val="auto"/>
                <w:sz w:val="20"/>
              </w:rPr>
            </w:pPr>
          </w:p>
          <w:p w14:paraId="42901B66">
            <w:pPr>
              <w:jc w:val="center"/>
              <w:rPr>
                <w:rFonts w:ascii="Arial" w:hAnsi="Arial" w:eastAsia="Arial" w:cs="Arial"/>
                <w:color w:val="auto"/>
                <w:sz w:val="20"/>
              </w:rPr>
            </w:pPr>
          </w:p>
          <w:p w14:paraId="02E258F5">
            <w:pPr>
              <w:jc w:val="center"/>
              <w:rPr>
                <w:rFonts w:ascii="Arial" w:hAnsi="Arial" w:eastAsia="Arial" w:cs="Arial"/>
                <w:color w:val="auto"/>
                <w:sz w:val="20"/>
              </w:rPr>
            </w:pPr>
          </w:p>
          <w:p w14:paraId="22C3A85D">
            <w:pPr>
              <w:jc w:val="center"/>
              <w:rPr>
                <w:rFonts w:ascii="Arial" w:hAnsi="Arial" w:eastAsia="Arial" w:cs="Arial"/>
                <w:color w:val="auto"/>
                <w:sz w:val="20"/>
              </w:rPr>
            </w:pPr>
          </w:p>
          <w:p w14:paraId="73114E44">
            <w:pPr>
              <w:jc w:val="center"/>
              <w:rPr>
                <w:rFonts w:ascii="Arial" w:hAnsi="Arial" w:eastAsia="Arial" w:cs="Arial"/>
                <w:color w:val="auto"/>
                <w:sz w:val="20"/>
              </w:rPr>
            </w:pPr>
          </w:p>
          <w:p w14:paraId="375EEF82">
            <w:pPr>
              <w:jc w:val="center"/>
              <w:rPr>
                <w:rFonts w:ascii="Arial" w:hAnsi="Arial" w:eastAsia="Arial" w:cs="Arial"/>
                <w:color w:val="auto"/>
                <w:sz w:val="20"/>
              </w:rPr>
            </w:pPr>
          </w:p>
          <w:p w14:paraId="66A14B49">
            <w:pPr>
              <w:jc w:val="center"/>
              <w:rPr>
                <w:rFonts w:ascii="Arial" w:hAnsi="Arial" w:eastAsia="Arial" w:cs="Arial"/>
                <w:color w:val="auto"/>
                <w:sz w:val="20"/>
              </w:rPr>
            </w:pPr>
          </w:p>
          <w:p w14:paraId="339204D2">
            <w:pPr>
              <w:jc w:val="center"/>
              <w:rPr>
                <w:rFonts w:ascii="Arial" w:hAnsi="Arial" w:eastAsia="Arial" w:cs="Arial"/>
                <w:color w:val="auto"/>
                <w:sz w:val="20"/>
              </w:rPr>
            </w:pPr>
          </w:p>
          <w:p w14:paraId="3BED8CAD">
            <w:pPr>
              <w:jc w:val="center"/>
              <w:rPr>
                <w:rFonts w:ascii="Arial" w:hAnsi="Arial" w:eastAsia="Arial" w:cs="Arial"/>
                <w:color w:val="auto"/>
                <w:sz w:val="20"/>
              </w:rPr>
            </w:pPr>
          </w:p>
          <w:p w14:paraId="705DBBAE">
            <w:pPr>
              <w:jc w:val="center"/>
              <w:rPr>
                <w:rFonts w:ascii="Arial" w:hAnsi="Arial" w:eastAsia="Arial" w:cs="Arial"/>
                <w:color w:val="auto"/>
                <w:sz w:val="20"/>
              </w:rPr>
            </w:pPr>
          </w:p>
          <w:p w14:paraId="5575C5D1">
            <w:pPr>
              <w:jc w:val="center"/>
              <w:rPr>
                <w:rFonts w:ascii="Arial" w:hAnsi="Arial" w:eastAsia="Arial" w:cs="Arial"/>
                <w:color w:val="auto"/>
                <w:sz w:val="20"/>
              </w:rPr>
            </w:pPr>
          </w:p>
          <w:p w14:paraId="4729DFCF">
            <w:pPr>
              <w:jc w:val="center"/>
              <w:rPr>
                <w:rFonts w:ascii="Arial" w:hAnsi="Arial" w:eastAsia="Arial" w:cs="Arial"/>
                <w:color w:val="auto"/>
                <w:sz w:val="20"/>
              </w:rPr>
            </w:pPr>
          </w:p>
          <w:p w14:paraId="2F27D456">
            <w:pPr>
              <w:jc w:val="center"/>
              <w:rPr>
                <w:rFonts w:hint="default" w:ascii="Times New Roman" w:hAnsi="Times New Roman" w:eastAsia="宋体" w:cs="Times New Roman"/>
                <w:color w:val="auto"/>
                <w:sz w:val="21"/>
                <w:szCs w:val="21"/>
                <w:highlight w:val="none"/>
              </w:rPr>
            </w:pPr>
            <w:r>
              <w:rPr>
                <w:rFonts w:ascii="Arial" w:hAnsi="Arial" w:eastAsia="Arial" w:cs="Arial"/>
                <w:color w:val="auto"/>
                <w:sz w:val="20"/>
              </w:rPr>
              <w:t>寻甸县瀛瑞综合型农产品加工项目-精炼牛油声屏障</w:t>
            </w:r>
          </w:p>
        </w:tc>
        <w:tc>
          <w:tcPr>
            <w:tcW w:w="1337" w:type="dxa"/>
            <w:shd w:val="clear" w:color="auto" w:fill="auto"/>
            <w:tcMar>
              <w:top w:w="0" w:type="dxa"/>
              <w:left w:w="0" w:type="dxa"/>
              <w:bottom w:w="0" w:type="dxa"/>
              <w:right w:w="0" w:type="dxa"/>
            </w:tcMar>
            <w:vAlign w:val="center"/>
          </w:tcPr>
          <w:p w14:paraId="1EDAA42D">
            <w:pPr>
              <w:jc w:val="center"/>
              <w:rPr>
                <w:rFonts w:hint="eastAsia"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链板</w:t>
            </w:r>
            <w:r>
              <w:rPr>
                <w:rFonts w:ascii="宋体" w:hAnsi="宋体" w:cs="宋体"/>
                <w:color w:val="auto"/>
                <w:szCs w:val="21"/>
              </w:rPr>
              <w:t>输送机</w:t>
            </w:r>
            <w:r>
              <w:rPr>
                <w:rFonts w:hint="eastAsia" w:ascii="宋体" w:hAnsi="宋体" w:cs="宋体"/>
                <w:color w:val="auto"/>
                <w:szCs w:val="21"/>
                <w:lang w:val="en-US" w:eastAsia="zh-CN"/>
              </w:rPr>
              <w:t>1</w:t>
            </w:r>
          </w:p>
        </w:tc>
        <w:tc>
          <w:tcPr>
            <w:tcW w:w="693" w:type="dxa"/>
            <w:shd w:val="clear" w:color="auto" w:fill="auto"/>
            <w:tcMar>
              <w:top w:w="0" w:type="dxa"/>
              <w:left w:w="0" w:type="dxa"/>
              <w:bottom w:w="0" w:type="dxa"/>
              <w:right w:w="0" w:type="dxa"/>
            </w:tcMar>
            <w:vAlign w:val="center"/>
          </w:tcPr>
          <w:p w14:paraId="0E50FC4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restart"/>
            <w:shd w:val="clear" w:color="auto" w:fill="auto"/>
            <w:tcMar>
              <w:top w:w="0" w:type="dxa"/>
              <w:left w:w="0" w:type="dxa"/>
              <w:bottom w:w="0" w:type="dxa"/>
              <w:right w:w="0" w:type="dxa"/>
            </w:tcMar>
            <w:vAlign w:val="center"/>
          </w:tcPr>
          <w:p w14:paraId="4630C9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505" w:type="dxa"/>
            <w:shd w:val="clear" w:color="auto" w:fill="auto"/>
            <w:tcMar>
              <w:top w:w="0" w:type="dxa"/>
              <w:left w:w="0" w:type="dxa"/>
              <w:bottom w:w="0" w:type="dxa"/>
              <w:right w:w="0" w:type="dxa"/>
            </w:tcMar>
            <w:vAlign w:val="center"/>
          </w:tcPr>
          <w:p w14:paraId="69BBE0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505" w:type="dxa"/>
            <w:shd w:val="clear" w:color="auto" w:fill="auto"/>
            <w:tcMar>
              <w:top w:w="0" w:type="dxa"/>
              <w:left w:w="0" w:type="dxa"/>
              <w:bottom w:w="0" w:type="dxa"/>
              <w:right w:w="0" w:type="dxa"/>
            </w:tcMar>
            <w:vAlign w:val="center"/>
          </w:tcPr>
          <w:p w14:paraId="145E03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505" w:type="dxa"/>
            <w:shd w:val="clear" w:color="auto" w:fill="auto"/>
            <w:tcMar>
              <w:top w:w="0" w:type="dxa"/>
              <w:left w:w="0" w:type="dxa"/>
              <w:bottom w:w="0" w:type="dxa"/>
              <w:right w:w="0" w:type="dxa"/>
            </w:tcMar>
            <w:vAlign w:val="center"/>
          </w:tcPr>
          <w:p w14:paraId="08D8B9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73D2B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505" w:type="dxa"/>
            <w:shd w:val="clear" w:color="auto" w:fill="auto"/>
            <w:tcMar>
              <w:top w:w="0" w:type="dxa"/>
              <w:left w:w="0" w:type="dxa"/>
              <w:bottom w:w="0" w:type="dxa"/>
              <w:right w:w="0" w:type="dxa"/>
            </w:tcMar>
            <w:vAlign w:val="center"/>
          </w:tcPr>
          <w:p w14:paraId="758446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68.8</w:t>
            </w:r>
          </w:p>
        </w:tc>
        <w:tc>
          <w:tcPr>
            <w:tcW w:w="505" w:type="dxa"/>
            <w:shd w:val="clear" w:color="auto" w:fill="auto"/>
            <w:tcMar>
              <w:top w:w="0" w:type="dxa"/>
              <w:left w:w="0" w:type="dxa"/>
              <w:bottom w:w="0" w:type="dxa"/>
              <w:right w:w="0" w:type="dxa"/>
            </w:tcMar>
            <w:vAlign w:val="center"/>
          </w:tcPr>
          <w:p w14:paraId="3B5DAA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85.1</w:t>
            </w:r>
          </w:p>
        </w:tc>
        <w:tc>
          <w:tcPr>
            <w:tcW w:w="505" w:type="dxa"/>
            <w:shd w:val="clear" w:color="auto" w:fill="auto"/>
            <w:tcMar>
              <w:top w:w="0" w:type="dxa"/>
              <w:left w:w="0" w:type="dxa"/>
              <w:bottom w:w="0" w:type="dxa"/>
              <w:right w:w="0" w:type="dxa"/>
            </w:tcMar>
            <w:vAlign w:val="center"/>
          </w:tcPr>
          <w:p w14:paraId="26A9B3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05" w:type="dxa"/>
            <w:shd w:val="clear" w:color="auto" w:fill="auto"/>
            <w:tcMar>
              <w:top w:w="0" w:type="dxa"/>
              <w:left w:w="0" w:type="dxa"/>
              <w:bottom w:w="0" w:type="dxa"/>
              <w:right w:w="0" w:type="dxa"/>
            </w:tcMar>
            <w:vAlign w:val="center"/>
          </w:tcPr>
          <w:p w14:paraId="1F48B62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14:paraId="4E3C2D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0CD9D4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09231A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57.6</w:t>
            </w:r>
          </w:p>
        </w:tc>
        <w:tc>
          <w:tcPr>
            <w:tcW w:w="500" w:type="dxa"/>
            <w:shd w:val="clear" w:color="auto" w:fill="auto"/>
            <w:tcMar>
              <w:top w:w="0" w:type="dxa"/>
              <w:left w:w="0" w:type="dxa"/>
              <w:bottom w:w="0" w:type="dxa"/>
              <w:right w:w="0" w:type="dxa"/>
            </w:tcMar>
            <w:vAlign w:val="center"/>
          </w:tcPr>
          <w:p w14:paraId="5D5F2D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02D8E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55C9C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32FD9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615CC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6B2E9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14:paraId="77F5B6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2F79C0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7A5FD0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31.1</w:t>
            </w:r>
          </w:p>
        </w:tc>
        <w:tc>
          <w:tcPr>
            <w:tcW w:w="485" w:type="dxa"/>
            <w:shd w:val="clear" w:color="auto" w:fill="auto"/>
            <w:tcMar>
              <w:top w:w="0" w:type="dxa"/>
              <w:left w:w="0" w:type="dxa"/>
              <w:bottom w:w="0" w:type="dxa"/>
              <w:right w:w="0" w:type="dxa"/>
            </w:tcMar>
            <w:vAlign w:val="center"/>
          </w:tcPr>
          <w:p w14:paraId="142E72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6BF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F391E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05" w:type="dxa"/>
            <w:vMerge w:val="continue"/>
            <w:shd w:val="clear" w:color="auto" w:fill="auto"/>
            <w:tcMar>
              <w:top w:w="0" w:type="dxa"/>
              <w:left w:w="0" w:type="dxa"/>
              <w:bottom w:w="0" w:type="dxa"/>
              <w:right w:w="0" w:type="dxa"/>
            </w:tcMar>
            <w:vAlign w:val="center"/>
          </w:tcPr>
          <w:p w14:paraId="23636518">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162C63C5">
            <w:pPr>
              <w:jc w:val="center"/>
              <w:rPr>
                <w:rFonts w:hint="eastAsia" w:ascii="Times New Roman" w:hAnsi="Times New Roman" w:eastAsia="宋体" w:cs="Times New Roman"/>
                <w:color w:val="auto"/>
                <w:sz w:val="21"/>
                <w:szCs w:val="21"/>
                <w:highlight w:val="none"/>
                <w:lang w:val="en-US" w:eastAsia="zh-CN"/>
              </w:rPr>
            </w:pPr>
            <w:r>
              <w:rPr>
                <w:rFonts w:ascii="宋体" w:hAnsi="宋体" w:cs="宋体"/>
                <w:color w:val="auto"/>
                <w:spacing w:val="-1"/>
                <w:szCs w:val="21"/>
              </w:rPr>
              <w:t>链板</w:t>
            </w:r>
            <w:r>
              <w:rPr>
                <w:rFonts w:ascii="宋体" w:hAnsi="宋体" w:cs="宋体"/>
                <w:color w:val="auto"/>
                <w:szCs w:val="21"/>
              </w:rPr>
              <w:t>输送机</w:t>
            </w:r>
            <w:r>
              <w:rPr>
                <w:rFonts w:hint="eastAsia" w:ascii="宋体" w:hAnsi="宋体" w:cs="宋体"/>
                <w:color w:val="auto"/>
                <w:szCs w:val="21"/>
                <w:lang w:val="en-US" w:eastAsia="zh-CN"/>
              </w:rPr>
              <w:t>2</w:t>
            </w:r>
          </w:p>
        </w:tc>
        <w:tc>
          <w:tcPr>
            <w:tcW w:w="693" w:type="dxa"/>
            <w:shd w:val="clear" w:color="auto" w:fill="auto"/>
            <w:tcMar>
              <w:top w:w="0" w:type="dxa"/>
              <w:left w:w="0" w:type="dxa"/>
              <w:bottom w:w="0" w:type="dxa"/>
              <w:right w:w="0" w:type="dxa"/>
            </w:tcMar>
            <w:vAlign w:val="center"/>
          </w:tcPr>
          <w:p w14:paraId="0F4DAF5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4D743121">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2AA0EC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505" w:type="dxa"/>
            <w:shd w:val="clear" w:color="auto" w:fill="auto"/>
            <w:tcMar>
              <w:top w:w="0" w:type="dxa"/>
              <w:left w:w="0" w:type="dxa"/>
              <w:bottom w:w="0" w:type="dxa"/>
              <w:right w:w="0" w:type="dxa"/>
            </w:tcMar>
            <w:vAlign w:val="center"/>
          </w:tcPr>
          <w:p w14:paraId="06C44F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505" w:type="dxa"/>
            <w:shd w:val="clear" w:color="auto" w:fill="auto"/>
            <w:tcMar>
              <w:top w:w="0" w:type="dxa"/>
              <w:left w:w="0" w:type="dxa"/>
              <w:bottom w:w="0" w:type="dxa"/>
              <w:right w:w="0" w:type="dxa"/>
            </w:tcMar>
            <w:vAlign w:val="center"/>
          </w:tcPr>
          <w:p w14:paraId="72F969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1CDC9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505" w:type="dxa"/>
            <w:shd w:val="clear" w:color="auto" w:fill="auto"/>
            <w:tcMar>
              <w:top w:w="0" w:type="dxa"/>
              <w:left w:w="0" w:type="dxa"/>
              <w:bottom w:w="0" w:type="dxa"/>
              <w:right w:w="0" w:type="dxa"/>
            </w:tcMar>
            <w:vAlign w:val="center"/>
          </w:tcPr>
          <w:p w14:paraId="6E9C3F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59.0</w:t>
            </w:r>
          </w:p>
        </w:tc>
        <w:tc>
          <w:tcPr>
            <w:tcW w:w="505" w:type="dxa"/>
            <w:shd w:val="clear" w:color="auto" w:fill="auto"/>
            <w:tcMar>
              <w:top w:w="0" w:type="dxa"/>
              <w:left w:w="0" w:type="dxa"/>
              <w:bottom w:w="0" w:type="dxa"/>
              <w:right w:w="0" w:type="dxa"/>
            </w:tcMar>
            <w:vAlign w:val="center"/>
          </w:tcPr>
          <w:p w14:paraId="601E9A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86.1</w:t>
            </w:r>
          </w:p>
        </w:tc>
        <w:tc>
          <w:tcPr>
            <w:tcW w:w="505" w:type="dxa"/>
            <w:shd w:val="clear" w:color="auto" w:fill="auto"/>
            <w:tcMar>
              <w:top w:w="0" w:type="dxa"/>
              <w:left w:w="0" w:type="dxa"/>
              <w:bottom w:w="0" w:type="dxa"/>
              <w:right w:w="0" w:type="dxa"/>
            </w:tcMar>
            <w:vAlign w:val="center"/>
          </w:tcPr>
          <w:p w14:paraId="376062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15.6</w:t>
            </w:r>
          </w:p>
        </w:tc>
        <w:tc>
          <w:tcPr>
            <w:tcW w:w="505" w:type="dxa"/>
            <w:shd w:val="clear" w:color="auto" w:fill="auto"/>
            <w:tcMar>
              <w:top w:w="0" w:type="dxa"/>
              <w:left w:w="0" w:type="dxa"/>
              <w:bottom w:w="0" w:type="dxa"/>
              <w:right w:w="0" w:type="dxa"/>
            </w:tcMar>
            <w:vAlign w:val="center"/>
          </w:tcPr>
          <w:p w14:paraId="006124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57.4</w:t>
            </w:r>
          </w:p>
        </w:tc>
        <w:tc>
          <w:tcPr>
            <w:tcW w:w="505" w:type="dxa"/>
            <w:shd w:val="clear" w:color="auto" w:fill="auto"/>
            <w:tcMar>
              <w:top w:w="0" w:type="dxa"/>
              <w:left w:w="0" w:type="dxa"/>
              <w:bottom w:w="0" w:type="dxa"/>
              <w:right w:w="0" w:type="dxa"/>
            </w:tcMar>
            <w:vAlign w:val="center"/>
          </w:tcPr>
          <w:p w14:paraId="520F15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164756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6C45F2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57.1</w:t>
            </w:r>
          </w:p>
        </w:tc>
        <w:tc>
          <w:tcPr>
            <w:tcW w:w="500" w:type="dxa"/>
            <w:shd w:val="clear" w:color="auto" w:fill="auto"/>
            <w:tcMar>
              <w:top w:w="0" w:type="dxa"/>
              <w:left w:w="0" w:type="dxa"/>
              <w:bottom w:w="0" w:type="dxa"/>
              <w:right w:w="0" w:type="dxa"/>
            </w:tcMar>
            <w:vAlign w:val="center"/>
          </w:tcPr>
          <w:p w14:paraId="5E547A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BABFD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73CD0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7AA64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37ABD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44E356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477" w:type="dxa"/>
            <w:shd w:val="clear" w:color="auto" w:fill="auto"/>
            <w:tcMar>
              <w:top w:w="0" w:type="dxa"/>
              <w:left w:w="0" w:type="dxa"/>
              <w:bottom w:w="0" w:type="dxa"/>
              <w:right w:w="0" w:type="dxa"/>
            </w:tcMar>
            <w:vAlign w:val="center"/>
          </w:tcPr>
          <w:p w14:paraId="45432E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465B34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39E619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85" w:type="dxa"/>
            <w:shd w:val="clear" w:color="auto" w:fill="auto"/>
            <w:tcMar>
              <w:top w:w="0" w:type="dxa"/>
              <w:left w:w="0" w:type="dxa"/>
              <w:bottom w:w="0" w:type="dxa"/>
              <w:right w:w="0" w:type="dxa"/>
            </w:tcMar>
            <w:vAlign w:val="center"/>
          </w:tcPr>
          <w:p w14:paraId="44D3FE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57B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80BE8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05" w:type="dxa"/>
            <w:vMerge w:val="continue"/>
            <w:shd w:val="clear" w:color="auto" w:fill="auto"/>
            <w:tcMar>
              <w:top w:w="0" w:type="dxa"/>
              <w:left w:w="0" w:type="dxa"/>
              <w:bottom w:w="0" w:type="dxa"/>
              <w:right w:w="0" w:type="dxa"/>
            </w:tcMar>
            <w:vAlign w:val="center"/>
          </w:tcPr>
          <w:p w14:paraId="2FB4C992">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1AC26B2F">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Cs w:val="21"/>
              </w:rPr>
              <w:t>绞肉机</w:t>
            </w:r>
          </w:p>
        </w:tc>
        <w:tc>
          <w:tcPr>
            <w:tcW w:w="693" w:type="dxa"/>
            <w:shd w:val="clear" w:color="auto" w:fill="auto"/>
            <w:tcMar>
              <w:top w:w="0" w:type="dxa"/>
              <w:left w:w="0" w:type="dxa"/>
              <w:bottom w:w="0" w:type="dxa"/>
              <w:right w:w="0" w:type="dxa"/>
            </w:tcMar>
            <w:vAlign w:val="center"/>
          </w:tcPr>
          <w:p w14:paraId="1CE85D2C">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eastAsia" w:cs="Times New Roman"/>
                <w:color w:val="auto"/>
                <w:sz w:val="21"/>
                <w:szCs w:val="21"/>
                <w:highlight w:val="none"/>
                <w:lang w:val="en-US" w:eastAsia="zh-CN"/>
              </w:rPr>
              <w:t>5</w:t>
            </w:r>
          </w:p>
        </w:tc>
        <w:tc>
          <w:tcPr>
            <w:tcW w:w="516" w:type="dxa"/>
            <w:vMerge w:val="continue"/>
            <w:shd w:val="clear" w:color="auto" w:fill="auto"/>
            <w:tcMar>
              <w:top w:w="0" w:type="dxa"/>
              <w:left w:w="0" w:type="dxa"/>
              <w:bottom w:w="0" w:type="dxa"/>
              <w:right w:w="0" w:type="dxa"/>
            </w:tcMar>
            <w:vAlign w:val="center"/>
          </w:tcPr>
          <w:p w14:paraId="0B1D1C1F">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DE2E7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505" w:type="dxa"/>
            <w:shd w:val="clear" w:color="auto" w:fill="auto"/>
            <w:tcMar>
              <w:top w:w="0" w:type="dxa"/>
              <w:left w:w="0" w:type="dxa"/>
              <w:bottom w:w="0" w:type="dxa"/>
              <w:right w:w="0" w:type="dxa"/>
            </w:tcMar>
            <w:vAlign w:val="center"/>
          </w:tcPr>
          <w:p w14:paraId="6F33CA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505" w:type="dxa"/>
            <w:shd w:val="clear" w:color="auto" w:fill="auto"/>
            <w:tcMar>
              <w:top w:w="0" w:type="dxa"/>
              <w:left w:w="0" w:type="dxa"/>
              <w:bottom w:w="0" w:type="dxa"/>
              <w:right w:w="0" w:type="dxa"/>
            </w:tcMar>
            <w:vAlign w:val="center"/>
          </w:tcPr>
          <w:p w14:paraId="6427B2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92FE0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505" w:type="dxa"/>
            <w:shd w:val="clear" w:color="auto" w:fill="auto"/>
            <w:tcMar>
              <w:top w:w="0" w:type="dxa"/>
              <w:left w:w="0" w:type="dxa"/>
              <w:bottom w:w="0" w:type="dxa"/>
              <w:right w:w="0" w:type="dxa"/>
            </w:tcMar>
            <w:vAlign w:val="center"/>
          </w:tcPr>
          <w:p w14:paraId="4CC238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62.9</w:t>
            </w:r>
          </w:p>
        </w:tc>
        <w:tc>
          <w:tcPr>
            <w:tcW w:w="505" w:type="dxa"/>
            <w:shd w:val="clear" w:color="auto" w:fill="auto"/>
            <w:tcMar>
              <w:top w:w="0" w:type="dxa"/>
              <w:left w:w="0" w:type="dxa"/>
              <w:bottom w:w="0" w:type="dxa"/>
              <w:right w:w="0" w:type="dxa"/>
            </w:tcMar>
            <w:vAlign w:val="center"/>
          </w:tcPr>
          <w:p w14:paraId="163793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74.5</w:t>
            </w:r>
          </w:p>
        </w:tc>
        <w:tc>
          <w:tcPr>
            <w:tcW w:w="505" w:type="dxa"/>
            <w:shd w:val="clear" w:color="auto" w:fill="auto"/>
            <w:tcMar>
              <w:top w:w="0" w:type="dxa"/>
              <w:left w:w="0" w:type="dxa"/>
              <w:bottom w:w="0" w:type="dxa"/>
              <w:right w:w="0" w:type="dxa"/>
            </w:tcMar>
            <w:vAlign w:val="center"/>
          </w:tcPr>
          <w:p w14:paraId="304C25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w:t>
            </w:r>
          </w:p>
        </w:tc>
        <w:tc>
          <w:tcPr>
            <w:tcW w:w="505" w:type="dxa"/>
            <w:shd w:val="clear" w:color="auto" w:fill="auto"/>
            <w:tcMar>
              <w:top w:w="0" w:type="dxa"/>
              <w:left w:w="0" w:type="dxa"/>
              <w:bottom w:w="0" w:type="dxa"/>
              <w:right w:w="0" w:type="dxa"/>
            </w:tcMar>
            <w:vAlign w:val="center"/>
          </w:tcPr>
          <w:p w14:paraId="17A7CC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659BB9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0257AD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0DCA3D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0" w:type="dxa"/>
            <w:shd w:val="clear" w:color="auto" w:fill="auto"/>
            <w:tcMar>
              <w:top w:w="0" w:type="dxa"/>
              <w:left w:w="0" w:type="dxa"/>
              <w:bottom w:w="0" w:type="dxa"/>
              <w:right w:w="0" w:type="dxa"/>
            </w:tcMar>
            <w:vAlign w:val="center"/>
          </w:tcPr>
          <w:p w14:paraId="44D984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B0702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579B0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5958D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99DD6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9EE89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281EF3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39D034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32529E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5" w:type="dxa"/>
            <w:shd w:val="clear" w:color="auto" w:fill="auto"/>
            <w:tcMar>
              <w:top w:w="0" w:type="dxa"/>
              <w:left w:w="0" w:type="dxa"/>
              <w:bottom w:w="0" w:type="dxa"/>
              <w:right w:w="0" w:type="dxa"/>
            </w:tcMar>
            <w:vAlign w:val="center"/>
          </w:tcPr>
          <w:p w14:paraId="510A30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9FB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01823D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05" w:type="dxa"/>
            <w:vMerge w:val="continue"/>
            <w:shd w:val="clear" w:color="auto" w:fill="auto"/>
            <w:tcMar>
              <w:top w:w="0" w:type="dxa"/>
              <w:left w:w="0" w:type="dxa"/>
              <w:bottom w:w="0" w:type="dxa"/>
              <w:right w:w="0" w:type="dxa"/>
            </w:tcMar>
            <w:vAlign w:val="center"/>
          </w:tcPr>
          <w:p w14:paraId="4C73182C">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590D24D1">
            <w:pPr>
              <w:jc w:val="center"/>
              <w:rPr>
                <w:rFonts w:hint="default" w:ascii="Times New Roman" w:hAnsi="Times New Roman" w:eastAsia="宋体" w:cs="Times New Roman"/>
                <w:color w:val="auto"/>
                <w:sz w:val="21"/>
                <w:szCs w:val="21"/>
                <w:highlight w:val="none"/>
              </w:rPr>
            </w:pPr>
            <w:r>
              <w:rPr>
                <w:rFonts w:ascii="宋体" w:hAnsi="宋体" w:cs="宋体"/>
                <w:color w:val="auto"/>
                <w:spacing w:val="-1"/>
                <w:szCs w:val="21"/>
              </w:rPr>
              <w:t>无轴分料</w:t>
            </w:r>
            <w:r>
              <w:rPr>
                <w:rFonts w:ascii="宋体" w:hAnsi="宋体" w:cs="宋体"/>
                <w:color w:val="auto"/>
                <w:szCs w:val="21"/>
              </w:rPr>
              <w:t>绞龙</w:t>
            </w:r>
          </w:p>
        </w:tc>
        <w:tc>
          <w:tcPr>
            <w:tcW w:w="693" w:type="dxa"/>
            <w:shd w:val="clear" w:color="auto" w:fill="auto"/>
            <w:tcMar>
              <w:top w:w="0" w:type="dxa"/>
              <w:left w:w="0" w:type="dxa"/>
              <w:bottom w:w="0" w:type="dxa"/>
              <w:right w:w="0" w:type="dxa"/>
            </w:tcMar>
            <w:vAlign w:val="center"/>
          </w:tcPr>
          <w:p w14:paraId="3ED91D51">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eastAsia" w:cs="Times New Roman"/>
                <w:color w:val="auto"/>
                <w:sz w:val="21"/>
                <w:szCs w:val="21"/>
                <w:highlight w:val="none"/>
                <w:lang w:val="en-US" w:eastAsia="zh-CN"/>
              </w:rPr>
              <w:t>0</w:t>
            </w:r>
          </w:p>
        </w:tc>
        <w:tc>
          <w:tcPr>
            <w:tcW w:w="516" w:type="dxa"/>
            <w:vMerge w:val="continue"/>
            <w:shd w:val="clear" w:color="auto" w:fill="auto"/>
            <w:tcMar>
              <w:top w:w="0" w:type="dxa"/>
              <w:left w:w="0" w:type="dxa"/>
              <w:bottom w:w="0" w:type="dxa"/>
              <w:right w:w="0" w:type="dxa"/>
            </w:tcMar>
            <w:vAlign w:val="center"/>
          </w:tcPr>
          <w:p w14:paraId="1F66A1E9">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5D512B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05" w:type="dxa"/>
            <w:shd w:val="clear" w:color="auto" w:fill="auto"/>
            <w:tcMar>
              <w:top w:w="0" w:type="dxa"/>
              <w:left w:w="0" w:type="dxa"/>
              <w:bottom w:w="0" w:type="dxa"/>
              <w:right w:w="0" w:type="dxa"/>
            </w:tcMar>
            <w:vAlign w:val="center"/>
          </w:tcPr>
          <w:p w14:paraId="32E209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505" w:type="dxa"/>
            <w:shd w:val="clear" w:color="auto" w:fill="auto"/>
            <w:tcMar>
              <w:top w:w="0" w:type="dxa"/>
              <w:left w:w="0" w:type="dxa"/>
              <w:bottom w:w="0" w:type="dxa"/>
              <w:right w:w="0" w:type="dxa"/>
            </w:tcMar>
            <w:vAlign w:val="center"/>
          </w:tcPr>
          <w:p w14:paraId="01C313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87DBB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25.8</w:t>
            </w:r>
          </w:p>
        </w:tc>
        <w:tc>
          <w:tcPr>
            <w:tcW w:w="505" w:type="dxa"/>
            <w:shd w:val="clear" w:color="auto" w:fill="auto"/>
            <w:tcMar>
              <w:top w:w="0" w:type="dxa"/>
              <w:left w:w="0" w:type="dxa"/>
              <w:bottom w:w="0" w:type="dxa"/>
              <w:right w:w="0" w:type="dxa"/>
            </w:tcMar>
            <w:vAlign w:val="center"/>
          </w:tcPr>
          <w:p w14:paraId="463AFA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3BB638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013119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w:t>
            </w:r>
          </w:p>
        </w:tc>
        <w:tc>
          <w:tcPr>
            <w:tcW w:w="505" w:type="dxa"/>
            <w:shd w:val="clear" w:color="auto" w:fill="auto"/>
            <w:tcMar>
              <w:top w:w="0" w:type="dxa"/>
              <w:left w:w="0" w:type="dxa"/>
              <w:bottom w:w="0" w:type="dxa"/>
              <w:right w:w="0" w:type="dxa"/>
            </w:tcMar>
            <w:vAlign w:val="center"/>
          </w:tcPr>
          <w:p w14:paraId="4A7AAC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6FDB1D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0072AD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14:paraId="2DE483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62.1</w:t>
            </w:r>
          </w:p>
        </w:tc>
        <w:tc>
          <w:tcPr>
            <w:tcW w:w="500" w:type="dxa"/>
            <w:shd w:val="clear" w:color="auto" w:fill="auto"/>
            <w:tcMar>
              <w:top w:w="0" w:type="dxa"/>
              <w:left w:w="0" w:type="dxa"/>
              <w:bottom w:w="0" w:type="dxa"/>
              <w:right w:w="0" w:type="dxa"/>
            </w:tcMar>
            <w:vAlign w:val="center"/>
          </w:tcPr>
          <w:p w14:paraId="697E29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EE0EC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159C5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9BACC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A33DD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F9870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368633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5809F8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14:paraId="67832F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35.6</w:t>
            </w:r>
          </w:p>
        </w:tc>
        <w:tc>
          <w:tcPr>
            <w:tcW w:w="485" w:type="dxa"/>
            <w:shd w:val="clear" w:color="auto" w:fill="auto"/>
            <w:tcMar>
              <w:top w:w="0" w:type="dxa"/>
              <w:left w:w="0" w:type="dxa"/>
              <w:bottom w:w="0" w:type="dxa"/>
              <w:right w:w="0" w:type="dxa"/>
            </w:tcMar>
            <w:vAlign w:val="center"/>
          </w:tcPr>
          <w:p w14:paraId="435212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DE1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308BA1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05" w:type="dxa"/>
            <w:vMerge w:val="continue"/>
            <w:shd w:val="clear" w:color="auto" w:fill="auto"/>
            <w:tcMar>
              <w:top w:w="0" w:type="dxa"/>
              <w:left w:w="0" w:type="dxa"/>
              <w:bottom w:w="0" w:type="dxa"/>
              <w:right w:w="0" w:type="dxa"/>
            </w:tcMar>
            <w:vAlign w:val="center"/>
          </w:tcPr>
          <w:p w14:paraId="0CD9DD59">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7FC869E8">
            <w:pPr>
              <w:jc w:val="center"/>
              <w:rPr>
                <w:rFonts w:hint="eastAsia"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负压熔炼</w:t>
            </w:r>
            <w:r>
              <w:rPr>
                <w:rFonts w:ascii="宋体" w:hAnsi="宋体" w:cs="宋体"/>
                <w:color w:val="auto"/>
                <w:spacing w:val="-1"/>
                <w:szCs w:val="21"/>
              </w:rPr>
              <w:t>锅</w:t>
            </w:r>
            <w:r>
              <w:rPr>
                <w:rFonts w:hint="eastAsia" w:ascii="宋体" w:hAnsi="宋体" w:cs="宋体"/>
                <w:color w:val="auto"/>
                <w:spacing w:val="-1"/>
                <w:szCs w:val="21"/>
                <w:lang w:val="en-US" w:eastAsia="zh-CN"/>
              </w:rPr>
              <w:t>1</w:t>
            </w:r>
          </w:p>
        </w:tc>
        <w:tc>
          <w:tcPr>
            <w:tcW w:w="693" w:type="dxa"/>
            <w:shd w:val="clear" w:color="auto" w:fill="auto"/>
            <w:tcMar>
              <w:top w:w="0" w:type="dxa"/>
              <w:left w:w="0" w:type="dxa"/>
              <w:bottom w:w="0" w:type="dxa"/>
              <w:right w:w="0" w:type="dxa"/>
            </w:tcMar>
            <w:vAlign w:val="center"/>
          </w:tcPr>
          <w:p w14:paraId="2CC12A22">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8</w:t>
            </w:r>
            <w:r>
              <w:rPr>
                <w:rFonts w:hint="eastAsia" w:cs="Times New Roman"/>
                <w:color w:val="auto"/>
                <w:sz w:val="21"/>
                <w:szCs w:val="21"/>
                <w:highlight w:val="none"/>
                <w:lang w:val="en-US" w:eastAsia="zh-CN"/>
              </w:rPr>
              <w:t>0</w:t>
            </w:r>
          </w:p>
        </w:tc>
        <w:tc>
          <w:tcPr>
            <w:tcW w:w="516" w:type="dxa"/>
            <w:vMerge w:val="continue"/>
            <w:shd w:val="clear" w:color="auto" w:fill="auto"/>
            <w:tcMar>
              <w:top w:w="0" w:type="dxa"/>
              <w:left w:w="0" w:type="dxa"/>
              <w:bottom w:w="0" w:type="dxa"/>
              <w:right w:w="0" w:type="dxa"/>
            </w:tcMar>
            <w:vAlign w:val="center"/>
          </w:tcPr>
          <w:p w14:paraId="3DDB326D">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97AE4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05" w:type="dxa"/>
            <w:shd w:val="clear" w:color="auto" w:fill="auto"/>
            <w:tcMar>
              <w:top w:w="0" w:type="dxa"/>
              <w:left w:w="0" w:type="dxa"/>
              <w:bottom w:w="0" w:type="dxa"/>
              <w:right w:w="0" w:type="dxa"/>
            </w:tcMar>
            <w:vAlign w:val="center"/>
          </w:tcPr>
          <w:p w14:paraId="767A84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w:t>
            </w:r>
          </w:p>
        </w:tc>
        <w:tc>
          <w:tcPr>
            <w:tcW w:w="505" w:type="dxa"/>
            <w:shd w:val="clear" w:color="auto" w:fill="auto"/>
            <w:tcMar>
              <w:top w:w="0" w:type="dxa"/>
              <w:left w:w="0" w:type="dxa"/>
              <w:bottom w:w="0" w:type="dxa"/>
              <w:right w:w="0" w:type="dxa"/>
            </w:tcMar>
            <w:vAlign w:val="center"/>
          </w:tcPr>
          <w:p w14:paraId="2A7DD0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4AB10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22.0</w:t>
            </w:r>
          </w:p>
        </w:tc>
        <w:tc>
          <w:tcPr>
            <w:tcW w:w="505" w:type="dxa"/>
            <w:shd w:val="clear" w:color="auto" w:fill="auto"/>
            <w:tcMar>
              <w:top w:w="0" w:type="dxa"/>
              <w:left w:w="0" w:type="dxa"/>
              <w:bottom w:w="0" w:type="dxa"/>
              <w:right w:w="0" w:type="dxa"/>
            </w:tcMar>
            <w:vAlign w:val="center"/>
          </w:tcPr>
          <w:p w14:paraId="5883DA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56.1</w:t>
            </w:r>
          </w:p>
        </w:tc>
        <w:tc>
          <w:tcPr>
            <w:tcW w:w="505" w:type="dxa"/>
            <w:shd w:val="clear" w:color="auto" w:fill="auto"/>
            <w:tcMar>
              <w:top w:w="0" w:type="dxa"/>
              <w:left w:w="0" w:type="dxa"/>
              <w:bottom w:w="0" w:type="dxa"/>
              <w:right w:w="0" w:type="dxa"/>
            </w:tcMar>
            <w:vAlign w:val="center"/>
          </w:tcPr>
          <w:p w14:paraId="39D262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70.7</w:t>
            </w:r>
          </w:p>
        </w:tc>
        <w:tc>
          <w:tcPr>
            <w:tcW w:w="505" w:type="dxa"/>
            <w:shd w:val="clear" w:color="auto" w:fill="auto"/>
            <w:tcMar>
              <w:top w:w="0" w:type="dxa"/>
              <w:left w:w="0" w:type="dxa"/>
              <w:bottom w:w="0" w:type="dxa"/>
              <w:right w:w="0" w:type="dxa"/>
            </w:tcMar>
            <w:vAlign w:val="center"/>
          </w:tcPr>
          <w:p w14:paraId="46499A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18.1</w:t>
            </w:r>
          </w:p>
        </w:tc>
        <w:tc>
          <w:tcPr>
            <w:tcW w:w="505" w:type="dxa"/>
            <w:shd w:val="clear" w:color="auto" w:fill="auto"/>
            <w:tcMar>
              <w:top w:w="0" w:type="dxa"/>
              <w:left w:w="0" w:type="dxa"/>
              <w:bottom w:w="0" w:type="dxa"/>
              <w:right w:w="0" w:type="dxa"/>
            </w:tcMar>
            <w:vAlign w:val="center"/>
          </w:tcPr>
          <w:p w14:paraId="3E73F6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7AD6C8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0FB900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14:paraId="19EF09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14:paraId="704285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3684E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D2A3A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B3906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23657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762DD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309E2A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2BB380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14:paraId="3B3CB8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14:paraId="22DEAC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343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4702E3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05" w:type="dxa"/>
            <w:vMerge w:val="continue"/>
            <w:shd w:val="clear" w:color="auto" w:fill="auto"/>
            <w:tcMar>
              <w:top w:w="0" w:type="dxa"/>
              <w:left w:w="0" w:type="dxa"/>
              <w:bottom w:w="0" w:type="dxa"/>
              <w:right w:w="0" w:type="dxa"/>
            </w:tcMar>
            <w:vAlign w:val="center"/>
          </w:tcPr>
          <w:p w14:paraId="736A90FF">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075BDFBF">
            <w:pPr>
              <w:jc w:val="center"/>
              <w:rPr>
                <w:rFonts w:hint="eastAsia" w:ascii="Times New Roman" w:hAnsi="Times New Roman" w:eastAsia="宋体" w:cs="Times New Roman"/>
                <w:color w:val="auto"/>
                <w:sz w:val="21"/>
                <w:szCs w:val="21"/>
                <w:highlight w:val="none"/>
                <w:lang w:val="en-US" w:eastAsia="zh-CN"/>
              </w:rPr>
            </w:pPr>
            <w:r>
              <w:rPr>
                <w:rFonts w:ascii="宋体" w:hAnsi="宋体" w:cs="宋体"/>
                <w:color w:val="auto"/>
                <w:spacing w:val="-2"/>
                <w:szCs w:val="21"/>
              </w:rPr>
              <w:t>负压熔炼</w:t>
            </w:r>
            <w:r>
              <w:rPr>
                <w:rFonts w:ascii="宋体" w:hAnsi="宋体" w:cs="宋体"/>
                <w:color w:val="auto"/>
                <w:spacing w:val="-1"/>
                <w:szCs w:val="21"/>
              </w:rPr>
              <w:t>锅</w:t>
            </w:r>
            <w:r>
              <w:rPr>
                <w:rFonts w:hint="eastAsia" w:ascii="宋体" w:hAnsi="宋体" w:cs="宋体"/>
                <w:color w:val="auto"/>
                <w:spacing w:val="-1"/>
                <w:szCs w:val="21"/>
                <w:lang w:val="en-US" w:eastAsia="zh-CN"/>
              </w:rPr>
              <w:t>2</w:t>
            </w:r>
          </w:p>
        </w:tc>
        <w:tc>
          <w:tcPr>
            <w:tcW w:w="693" w:type="dxa"/>
            <w:shd w:val="clear" w:color="auto" w:fill="auto"/>
            <w:tcMar>
              <w:top w:w="0" w:type="dxa"/>
              <w:left w:w="0" w:type="dxa"/>
              <w:bottom w:w="0" w:type="dxa"/>
              <w:right w:w="0" w:type="dxa"/>
            </w:tcMar>
            <w:vAlign w:val="center"/>
          </w:tcPr>
          <w:p w14:paraId="64552EFE">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w:t>
            </w:r>
            <w:r>
              <w:rPr>
                <w:rFonts w:hint="eastAsia" w:cs="Times New Roman"/>
                <w:color w:val="auto"/>
                <w:sz w:val="21"/>
                <w:szCs w:val="21"/>
                <w:highlight w:val="none"/>
                <w:lang w:val="en-US" w:eastAsia="zh-CN"/>
              </w:rPr>
              <w:t>0</w:t>
            </w:r>
          </w:p>
        </w:tc>
        <w:tc>
          <w:tcPr>
            <w:tcW w:w="516" w:type="dxa"/>
            <w:vMerge w:val="continue"/>
            <w:shd w:val="clear" w:color="auto" w:fill="auto"/>
            <w:tcMar>
              <w:top w:w="0" w:type="dxa"/>
              <w:left w:w="0" w:type="dxa"/>
              <w:bottom w:w="0" w:type="dxa"/>
              <w:right w:w="0" w:type="dxa"/>
            </w:tcMar>
            <w:vAlign w:val="center"/>
          </w:tcPr>
          <w:p w14:paraId="2D1CB931">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35B0CA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-24.1</w:t>
            </w:r>
          </w:p>
        </w:tc>
        <w:tc>
          <w:tcPr>
            <w:tcW w:w="505" w:type="dxa"/>
            <w:shd w:val="clear" w:color="auto" w:fill="auto"/>
            <w:tcMar>
              <w:top w:w="0" w:type="dxa"/>
              <w:left w:w="0" w:type="dxa"/>
              <w:bottom w:w="0" w:type="dxa"/>
              <w:right w:w="0" w:type="dxa"/>
            </w:tcMar>
            <w:vAlign w:val="center"/>
          </w:tcPr>
          <w:p w14:paraId="10CE0C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05" w:type="dxa"/>
            <w:shd w:val="clear" w:color="auto" w:fill="auto"/>
            <w:tcMar>
              <w:top w:w="0" w:type="dxa"/>
              <w:left w:w="0" w:type="dxa"/>
              <w:bottom w:w="0" w:type="dxa"/>
              <w:right w:w="0" w:type="dxa"/>
            </w:tcMar>
            <w:vAlign w:val="center"/>
          </w:tcPr>
          <w:p w14:paraId="35C375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16C0E2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26.8</w:t>
            </w:r>
          </w:p>
        </w:tc>
        <w:tc>
          <w:tcPr>
            <w:tcW w:w="505" w:type="dxa"/>
            <w:shd w:val="clear" w:color="auto" w:fill="auto"/>
            <w:tcMar>
              <w:top w:w="0" w:type="dxa"/>
              <w:left w:w="0" w:type="dxa"/>
              <w:bottom w:w="0" w:type="dxa"/>
              <w:right w:w="0" w:type="dxa"/>
            </w:tcMar>
            <w:vAlign w:val="center"/>
          </w:tcPr>
          <w:p w14:paraId="7E68C8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56.0</w:t>
            </w:r>
          </w:p>
        </w:tc>
        <w:tc>
          <w:tcPr>
            <w:tcW w:w="505" w:type="dxa"/>
            <w:shd w:val="clear" w:color="auto" w:fill="auto"/>
            <w:tcMar>
              <w:top w:w="0" w:type="dxa"/>
              <w:left w:w="0" w:type="dxa"/>
              <w:bottom w:w="0" w:type="dxa"/>
              <w:right w:w="0" w:type="dxa"/>
            </w:tcMar>
            <w:vAlign w:val="center"/>
          </w:tcPr>
          <w:p w14:paraId="310803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05" w:type="dxa"/>
            <w:shd w:val="clear" w:color="auto" w:fill="auto"/>
            <w:tcMar>
              <w:top w:w="0" w:type="dxa"/>
              <w:left w:w="0" w:type="dxa"/>
              <w:bottom w:w="0" w:type="dxa"/>
              <w:right w:w="0" w:type="dxa"/>
            </w:tcMar>
            <w:vAlign w:val="center"/>
          </w:tcPr>
          <w:p w14:paraId="0784D4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w:t>
            </w:r>
          </w:p>
        </w:tc>
        <w:tc>
          <w:tcPr>
            <w:tcW w:w="505" w:type="dxa"/>
            <w:shd w:val="clear" w:color="auto" w:fill="auto"/>
            <w:tcMar>
              <w:top w:w="0" w:type="dxa"/>
              <w:left w:w="0" w:type="dxa"/>
              <w:bottom w:w="0" w:type="dxa"/>
              <w:right w:w="0" w:type="dxa"/>
            </w:tcMar>
            <w:vAlign w:val="center"/>
          </w:tcPr>
          <w:p w14:paraId="7DCC53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122626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5654B6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14:paraId="31A132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14:paraId="329DF8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396C5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CFE6B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ED9F9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FA71D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CA4C8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049D70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3F492A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14:paraId="3BC231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14:paraId="1D5120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C32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dxa"/>
            <w:shd w:val="clear" w:color="auto" w:fill="auto"/>
            <w:tcMar>
              <w:top w:w="0" w:type="dxa"/>
              <w:left w:w="0" w:type="dxa"/>
              <w:bottom w:w="0" w:type="dxa"/>
              <w:right w:w="0" w:type="dxa"/>
            </w:tcMar>
            <w:vAlign w:val="center"/>
          </w:tcPr>
          <w:p w14:paraId="078E20A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405" w:type="dxa"/>
            <w:vMerge w:val="continue"/>
            <w:shd w:val="clear" w:color="auto" w:fill="auto"/>
            <w:tcMar>
              <w:top w:w="0" w:type="dxa"/>
              <w:left w:w="0" w:type="dxa"/>
              <w:bottom w:w="0" w:type="dxa"/>
              <w:right w:w="0" w:type="dxa"/>
            </w:tcMar>
            <w:vAlign w:val="center"/>
          </w:tcPr>
          <w:p w14:paraId="3DED9D74">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59D47E7D">
            <w:pPr>
              <w:jc w:val="center"/>
              <w:rPr>
                <w:rFonts w:ascii="宋体" w:hAnsi="宋体" w:cs="宋体"/>
                <w:color w:val="auto"/>
                <w:spacing w:val="-2"/>
                <w:szCs w:val="21"/>
              </w:rPr>
            </w:pPr>
            <w:r>
              <w:rPr>
                <w:rFonts w:ascii="宋体" w:hAnsi="宋体" w:cs="宋体"/>
                <w:color w:val="auto"/>
                <w:spacing w:val="-2"/>
                <w:szCs w:val="21"/>
              </w:rPr>
              <w:t>负压熔炼</w:t>
            </w:r>
            <w:r>
              <w:rPr>
                <w:rFonts w:ascii="宋体" w:hAnsi="宋体" w:cs="宋体"/>
                <w:color w:val="auto"/>
                <w:spacing w:val="-1"/>
                <w:szCs w:val="21"/>
              </w:rPr>
              <w:t>锅</w:t>
            </w:r>
            <w:r>
              <w:rPr>
                <w:rFonts w:hint="eastAsia" w:ascii="宋体" w:hAnsi="宋体" w:cs="宋体"/>
                <w:color w:val="auto"/>
                <w:spacing w:val="-1"/>
                <w:szCs w:val="21"/>
                <w:lang w:val="en-US" w:eastAsia="zh-CN"/>
              </w:rPr>
              <w:t>3</w:t>
            </w:r>
          </w:p>
        </w:tc>
        <w:tc>
          <w:tcPr>
            <w:tcW w:w="693" w:type="dxa"/>
            <w:shd w:val="clear" w:color="auto" w:fill="auto"/>
            <w:tcMar>
              <w:top w:w="0" w:type="dxa"/>
              <w:left w:w="0" w:type="dxa"/>
              <w:bottom w:w="0" w:type="dxa"/>
              <w:right w:w="0" w:type="dxa"/>
            </w:tcMar>
            <w:vAlign w:val="center"/>
          </w:tcPr>
          <w:p w14:paraId="41FDFAC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25BD6091">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CABE7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-27.9</w:t>
            </w:r>
          </w:p>
        </w:tc>
        <w:tc>
          <w:tcPr>
            <w:tcW w:w="505" w:type="dxa"/>
            <w:shd w:val="clear" w:color="auto" w:fill="auto"/>
            <w:tcMar>
              <w:top w:w="0" w:type="dxa"/>
              <w:left w:w="0" w:type="dxa"/>
              <w:bottom w:w="0" w:type="dxa"/>
              <w:right w:w="0" w:type="dxa"/>
            </w:tcMar>
            <w:vAlign w:val="center"/>
          </w:tcPr>
          <w:p w14:paraId="160F16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w:t>
            </w:r>
          </w:p>
        </w:tc>
        <w:tc>
          <w:tcPr>
            <w:tcW w:w="505" w:type="dxa"/>
            <w:shd w:val="clear" w:color="auto" w:fill="auto"/>
            <w:tcMar>
              <w:top w:w="0" w:type="dxa"/>
              <w:left w:w="0" w:type="dxa"/>
              <w:bottom w:w="0" w:type="dxa"/>
              <w:right w:w="0" w:type="dxa"/>
            </w:tcMar>
            <w:vAlign w:val="center"/>
          </w:tcPr>
          <w:p w14:paraId="00D08B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6E7AB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31.0</w:t>
            </w:r>
          </w:p>
        </w:tc>
        <w:tc>
          <w:tcPr>
            <w:tcW w:w="505" w:type="dxa"/>
            <w:shd w:val="clear" w:color="auto" w:fill="auto"/>
            <w:tcMar>
              <w:top w:w="0" w:type="dxa"/>
              <w:left w:w="0" w:type="dxa"/>
              <w:bottom w:w="0" w:type="dxa"/>
              <w:right w:w="0" w:type="dxa"/>
            </w:tcMar>
            <w:vAlign w:val="center"/>
          </w:tcPr>
          <w:p w14:paraId="3B0FD1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55.6</w:t>
            </w:r>
          </w:p>
        </w:tc>
        <w:tc>
          <w:tcPr>
            <w:tcW w:w="505" w:type="dxa"/>
            <w:shd w:val="clear" w:color="auto" w:fill="auto"/>
            <w:tcMar>
              <w:top w:w="0" w:type="dxa"/>
              <w:left w:w="0" w:type="dxa"/>
              <w:bottom w:w="0" w:type="dxa"/>
              <w:right w:w="0" w:type="dxa"/>
            </w:tcMar>
            <w:vAlign w:val="center"/>
          </w:tcPr>
          <w:p w14:paraId="09FACF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61.7</w:t>
            </w:r>
          </w:p>
        </w:tc>
        <w:tc>
          <w:tcPr>
            <w:tcW w:w="505" w:type="dxa"/>
            <w:shd w:val="clear" w:color="auto" w:fill="auto"/>
            <w:tcMar>
              <w:top w:w="0" w:type="dxa"/>
              <w:left w:w="0" w:type="dxa"/>
              <w:bottom w:w="0" w:type="dxa"/>
              <w:right w:w="0" w:type="dxa"/>
            </w:tcMar>
            <w:vAlign w:val="center"/>
          </w:tcPr>
          <w:p w14:paraId="372A46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05" w:type="dxa"/>
            <w:shd w:val="clear" w:color="auto" w:fill="auto"/>
            <w:tcMar>
              <w:top w:w="0" w:type="dxa"/>
              <w:left w:w="0" w:type="dxa"/>
              <w:bottom w:w="0" w:type="dxa"/>
              <w:right w:w="0" w:type="dxa"/>
            </w:tcMar>
            <w:vAlign w:val="center"/>
          </w:tcPr>
          <w:p w14:paraId="498481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72360C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6A5ED7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14:paraId="51A107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14:paraId="55140173">
            <w:pPr>
              <w:jc w:val="center"/>
              <w:rPr>
                <w:rFonts w:hint="default" w:ascii="Times New Roman" w:hAnsi="Times New Roman" w:eastAsia="宋体" w:cs="Times New Roman"/>
                <w:color w:val="auto"/>
                <w:sz w:val="21"/>
                <w:szCs w:val="21"/>
                <w:highlight w:val="none"/>
                <w:lang w:val="en-US" w:eastAsia="zh-CN"/>
              </w:rPr>
            </w:pPr>
          </w:p>
        </w:tc>
        <w:tc>
          <w:tcPr>
            <w:tcW w:w="477" w:type="dxa"/>
            <w:shd w:val="clear" w:color="auto" w:fill="auto"/>
            <w:tcMar>
              <w:top w:w="0" w:type="dxa"/>
              <w:left w:w="0" w:type="dxa"/>
              <w:bottom w:w="0" w:type="dxa"/>
              <w:right w:w="0" w:type="dxa"/>
            </w:tcMar>
            <w:vAlign w:val="center"/>
          </w:tcPr>
          <w:p w14:paraId="3883556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8C7EF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1DC34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7E40E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45351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52E873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11B95D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14:paraId="75C291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14:paraId="37FB4373">
            <w:pPr>
              <w:jc w:val="center"/>
              <w:rPr>
                <w:rFonts w:hint="default" w:ascii="Times New Roman" w:hAnsi="Times New Roman" w:eastAsia="宋体" w:cs="Times New Roman"/>
                <w:color w:val="auto"/>
                <w:sz w:val="21"/>
                <w:szCs w:val="21"/>
                <w:highlight w:val="none"/>
              </w:rPr>
            </w:pPr>
          </w:p>
        </w:tc>
      </w:tr>
      <w:tr w14:paraId="0178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493F2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405" w:type="dxa"/>
            <w:vMerge w:val="continue"/>
            <w:shd w:val="clear" w:color="auto" w:fill="auto"/>
            <w:tcMar>
              <w:top w:w="0" w:type="dxa"/>
              <w:left w:w="0" w:type="dxa"/>
              <w:bottom w:w="0" w:type="dxa"/>
              <w:right w:w="0" w:type="dxa"/>
            </w:tcMar>
            <w:vAlign w:val="center"/>
          </w:tcPr>
          <w:p w14:paraId="3362C3B8">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DD5CD2C">
            <w:pPr>
              <w:spacing w:before="69" w:line="220" w:lineRule="auto"/>
              <w:jc w:val="center"/>
              <w:rPr>
                <w:rFonts w:hint="default" w:ascii="Times New Roman" w:hAnsi="Times New Roman" w:eastAsia="宋体" w:cs="Times New Roman"/>
                <w:color w:val="auto"/>
                <w:sz w:val="21"/>
                <w:szCs w:val="21"/>
                <w:highlight w:val="none"/>
              </w:rPr>
            </w:pPr>
            <w:r>
              <w:rPr>
                <w:rFonts w:hint="eastAsia" w:ascii="宋体" w:hAnsi="宋体" w:cs="宋体"/>
                <w:color w:val="auto"/>
                <w:spacing w:val="-2"/>
                <w:szCs w:val="21"/>
                <w:lang w:eastAsia="zh-CN"/>
              </w:rPr>
              <w:t>油气</w:t>
            </w:r>
            <w:r>
              <w:rPr>
                <w:rFonts w:ascii="宋体" w:hAnsi="宋体" w:cs="宋体"/>
                <w:color w:val="auto"/>
                <w:spacing w:val="-1"/>
                <w:szCs w:val="21"/>
              </w:rPr>
              <w:t>分离器机组</w:t>
            </w:r>
          </w:p>
        </w:tc>
        <w:tc>
          <w:tcPr>
            <w:tcW w:w="693" w:type="dxa"/>
            <w:shd w:val="clear" w:color="auto" w:fill="auto"/>
            <w:tcMar>
              <w:top w:w="0" w:type="dxa"/>
              <w:left w:w="0" w:type="dxa"/>
              <w:bottom w:w="0" w:type="dxa"/>
              <w:right w:w="0" w:type="dxa"/>
            </w:tcMar>
            <w:vAlign w:val="center"/>
          </w:tcPr>
          <w:p w14:paraId="1DBD10F4">
            <w:pPr>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6A767216">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06D5E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505" w:type="dxa"/>
            <w:shd w:val="clear" w:color="auto" w:fill="auto"/>
            <w:tcMar>
              <w:top w:w="0" w:type="dxa"/>
              <w:left w:w="0" w:type="dxa"/>
              <w:bottom w:w="0" w:type="dxa"/>
              <w:right w:w="0" w:type="dxa"/>
            </w:tcMar>
            <w:vAlign w:val="center"/>
          </w:tcPr>
          <w:p w14:paraId="5A09FE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505" w:type="dxa"/>
            <w:shd w:val="clear" w:color="auto" w:fill="auto"/>
            <w:tcMar>
              <w:top w:w="0" w:type="dxa"/>
              <w:left w:w="0" w:type="dxa"/>
              <w:bottom w:w="0" w:type="dxa"/>
              <w:right w:w="0" w:type="dxa"/>
            </w:tcMar>
            <w:vAlign w:val="center"/>
          </w:tcPr>
          <w:p w14:paraId="3E33E9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EC3E6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w:t>
            </w:r>
          </w:p>
        </w:tc>
        <w:tc>
          <w:tcPr>
            <w:tcW w:w="505" w:type="dxa"/>
            <w:shd w:val="clear" w:color="auto" w:fill="auto"/>
            <w:tcMar>
              <w:top w:w="0" w:type="dxa"/>
              <w:left w:w="0" w:type="dxa"/>
              <w:bottom w:w="0" w:type="dxa"/>
              <w:right w:w="0" w:type="dxa"/>
            </w:tcMar>
            <w:vAlign w:val="center"/>
          </w:tcPr>
          <w:p w14:paraId="0E17C8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50.2</w:t>
            </w:r>
          </w:p>
        </w:tc>
        <w:tc>
          <w:tcPr>
            <w:tcW w:w="505" w:type="dxa"/>
            <w:shd w:val="clear" w:color="auto" w:fill="auto"/>
            <w:tcMar>
              <w:top w:w="0" w:type="dxa"/>
              <w:left w:w="0" w:type="dxa"/>
              <w:bottom w:w="0" w:type="dxa"/>
              <w:right w:w="0" w:type="dxa"/>
            </w:tcMar>
            <w:vAlign w:val="center"/>
          </w:tcPr>
          <w:p w14:paraId="651F92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05" w:type="dxa"/>
            <w:shd w:val="clear" w:color="auto" w:fill="auto"/>
            <w:tcMar>
              <w:top w:w="0" w:type="dxa"/>
              <w:left w:w="0" w:type="dxa"/>
              <w:bottom w:w="0" w:type="dxa"/>
              <w:right w:w="0" w:type="dxa"/>
            </w:tcMar>
            <w:vAlign w:val="center"/>
          </w:tcPr>
          <w:p w14:paraId="57E976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23.8</w:t>
            </w:r>
          </w:p>
        </w:tc>
        <w:tc>
          <w:tcPr>
            <w:tcW w:w="505" w:type="dxa"/>
            <w:shd w:val="clear" w:color="auto" w:fill="auto"/>
            <w:tcMar>
              <w:top w:w="0" w:type="dxa"/>
              <w:left w:w="0" w:type="dxa"/>
              <w:bottom w:w="0" w:type="dxa"/>
              <w:right w:w="0" w:type="dxa"/>
            </w:tcMar>
            <w:vAlign w:val="center"/>
          </w:tcPr>
          <w:p w14:paraId="7A3428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4DC577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6C70CA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626C86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38F605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41761C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30003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3AD10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261ED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2E4B1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48D97C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3A4255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247F17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49D1C0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0A2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3138A6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405" w:type="dxa"/>
            <w:vMerge w:val="continue"/>
            <w:shd w:val="clear" w:color="auto" w:fill="auto"/>
            <w:tcMar>
              <w:top w:w="0" w:type="dxa"/>
              <w:left w:w="0" w:type="dxa"/>
              <w:bottom w:w="0" w:type="dxa"/>
              <w:right w:w="0" w:type="dxa"/>
            </w:tcMar>
            <w:vAlign w:val="center"/>
          </w:tcPr>
          <w:p w14:paraId="761C3FD6">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2A4ED4D1">
            <w:pPr>
              <w:spacing w:before="68" w:line="220" w:lineRule="auto"/>
              <w:jc w:val="center"/>
              <w:rPr>
                <w:rFonts w:hint="default" w:ascii="Times New Roman" w:hAnsi="Times New Roman" w:eastAsia="宋体" w:cs="Times New Roman"/>
                <w:color w:val="auto"/>
                <w:sz w:val="21"/>
                <w:szCs w:val="21"/>
                <w:highlight w:val="none"/>
              </w:rPr>
            </w:pPr>
            <w:r>
              <w:rPr>
                <w:rFonts w:ascii="宋体" w:hAnsi="宋体" w:cs="宋体"/>
                <w:color w:val="auto"/>
                <w:spacing w:val="-2"/>
                <w:szCs w:val="21"/>
              </w:rPr>
              <w:t>列</w:t>
            </w:r>
            <w:r>
              <w:rPr>
                <w:rFonts w:ascii="宋体" w:hAnsi="宋体" w:cs="宋体"/>
                <w:color w:val="auto"/>
                <w:spacing w:val="-1"/>
                <w:szCs w:val="21"/>
              </w:rPr>
              <w:t>管冷凝器机组</w:t>
            </w:r>
          </w:p>
        </w:tc>
        <w:tc>
          <w:tcPr>
            <w:tcW w:w="693" w:type="dxa"/>
            <w:shd w:val="clear" w:color="auto" w:fill="auto"/>
            <w:tcMar>
              <w:top w:w="0" w:type="dxa"/>
              <w:left w:w="0" w:type="dxa"/>
              <w:bottom w:w="0" w:type="dxa"/>
              <w:right w:w="0" w:type="dxa"/>
            </w:tcMar>
            <w:vAlign w:val="center"/>
          </w:tcPr>
          <w:p w14:paraId="268F013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546FD4F0">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020284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w:t>
            </w:r>
          </w:p>
        </w:tc>
        <w:tc>
          <w:tcPr>
            <w:tcW w:w="505" w:type="dxa"/>
            <w:shd w:val="clear" w:color="auto" w:fill="auto"/>
            <w:tcMar>
              <w:top w:w="0" w:type="dxa"/>
              <w:left w:w="0" w:type="dxa"/>
              <w:bottom w:w="0" w:type="dxa"/>
              <w:right w:w="0" w:type="dxa"/>
            </w:tcMar>
            <w:vAlign w:val="center"/>
          </w:tcPr>
          <w:p w14:paraId="0592FE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505" w:type="dxa"/>
            <w:shd w:val="clear" w:color="auto" w:fill="auto"/>
            <w:tcMar>
              <w:top w:w="0" w:type="dxa"/>
              <w:left w:w="0" w:type="dxa"/>
              <w:bottom w:w="0" w:type="dxa"/>
              <w:right w:w="0" w:type="dxa"/>
            </w:tcMar>
            <w:vAlign w:val="center"/>
          </w:tcPr>
          <w:p w14:paraId="57DF0B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32574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505" w:type="dxa"/>
            <w:shd w:val="clear" w:color="auto" w:fill="auto"/>
            <w:tcMar>
              <w:top w:w="0" w:type="dxa"/>
              <w:left w:w="0" w:type="dxa"/>
              <w:bottom w:w="0" w:type="dxa"/>
              <w:right w:w="0" w:type="dxa"/>
            </w:tcMar>
            <w:vAlign w:val="center"/>
          </w:tcPr>
          <w:p w14:paraId="6C1F3D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50.3</w:t>
            </w:r>
          </w:p>
        </w:tc>
        <w:tc>
          <w:tcPr>
            <w:tcW w:w="505" w:type="dxa"/>
            <w:shd w:val="clear" w:color="auto" w:fill="auto"/>
            <w:tcMar>
              <w:top w:w="0" w:type="dxa"/>
              <w:left w:w="0" w:type="dxa"/>
              <w:bottom w:w="0" w:type="dxa"/>
              <w:right w:w="0" w:type="dxa"/>
            </w:tcMar>
            <w:vAlign w:val="center"/>
          </w:tcPr>
          <w:p w14:paraId="5ECB87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505" w:type="dxa"/>
            <w:shd w:val="clear" w:color="auto" w:fill="auto"/>
            <w:tcMar>
              <w:top w:w="0" w:type="dxa"/>
              <w:left w:w="0" w:type="dxa"/>
              <w:bottom w:w="0" w:type="dxa"/>
              <w:right w:w="0" w:type="dxa"/>
            </w:tcMar>
            <w:vAlign w:val="center"/>
          </w:tcPr>
          <w:p w14:paraId="2877F5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23.8</w:t>
            </w:r>
          </w:p>
        </w:tc>
        <w:tc>
          <w:tcPr>
            <w:tcW w:w="505" w:type="dxa"/>
            <w:shd w:val="clear" w:color="auto" w:fill="auto"/>
            <w:tcMar>
              <w:top w:w="0" w:type="dxa"/>
              <w:left w:w="0" w:type="dxa"/>
              <w:bottom w:w="0" w:type="dxa"/>
              <w:right w:w="0" w:type="dxa"/>
            </w:tcMar>
            <w:vAlign w:val="center"/>
          </w:tcPr>
          <w:p w14:paraId="3BE1B1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174573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4B693E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16F50F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0651E8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422BA7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4AE97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9B3DE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0AF6E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B3154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7DB2EB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14A174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0F644A4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152FB64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413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4DFD1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05" w:type="dxa"/>
            <w:vMerge w:val="continue"/>
            <w:shd w:val="clear" w:color="auto" w:fill="auto"/>
            <w:tcMar>
              <w:top w:w="0" w:type="dxa"/>
              <w:left w:w="0" w:type="dxa"/>
              <w:bottom w:w="0" w:type="dxa"/>
              <w:right w:w="0" w:type="dxa"/>
            </w:tcMar>
            <w:vAlign w:val="center"/>
          </w:tcPr>
          <w:p w14:paraId="524E1D0F">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320C99A2">
            <w:pPr>
              <w:spacing w:before="68" w:line="220" w:lineRule="auto"/>
              <w:jc w:val="center"/>
              <w:rPr>
                <w:rFonts w:hint="default" w:ascii="Times New Roman" w:hAnsi="Times New Roman" w:eastAsia="宋体" w:cs="Times New Roman"/>
                <w:color w:val="auto"/>
                <w:sz w:val="21"/>
                <w:szCs w:val="21"/>
                <w:highlight w:val="none"/>
              </w:rPr>
            </w:pPr>
            <w:r>
              <w:rPr>
                <w:rFonts w:ascii="宋体" w:hAnsi="宋体" w:cs="宋体"/>
                <w:color w:val="auto"/>
                <w:spacing w:val="-1"/>
                <w:szCs w:val="21"/>
              </w:rPr>
              <w:t>真空泵机</w:t>
            </w:r>
            <w:r>
              <w:rPr>
                <w:rFonts w:ascii="宋体" w:hAnsi="宋体" w:cs="宋体"/>
                <w:color w:val="auto"/>
                <w:szCs w:val="21"/>
              </w:rPr>
              <w:t>组</w:t>
            </w:r>
          </w:p>
        </w:tc>
        <w:tc>
          <w:tcPr>
            <w:tcW w:w="693" w:type="dxa"/>
            <w:shd w:val="clear" w:color="auto" w:fill="auto"/>
            <w:tcMar>
              <w:top w:w="0" w:type="dxa"/>
              <w:left w:w="0" w:type="dxa"/>
              <w:bottom w:w="0" w:type="dxa"/>
              <w:right w:w="0" w:type="dxa"/>
            </w:tcMar>
            <w:vAlign w:val="center"/>
          </w:tcPr>
          <w:p w14:paraId="3E1E34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14:paraId="5B73FCA3">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1E5085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-29.9</w:t>
            </w:r>
          </w:p>
        </w:tc>
        <w:tc>
          <w:tcPr>
            <w:tcW w:w="505" w:type="dxa"/>
            <w:shd w:val="clear" w:color="auto" w:fill="auto"/>
            <w:tcMar>
              <w:top w:w="0" w:type="dxa"/>
              <w:left w:w="0" w:type="dxa"/>
              <w:bottom w:w="0" w:type="dxa"/>
              <w:right w:w="0" w:type="dxa"/>
            </w:tcMar>
            <w:vAlign w:val="center"/>
          </w:tcPr>
          <w:p w14:paraId="059729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w:t>
            </w:r>
          </w:p>
        </w:tc>
        <w:tc>
          <w:tcPr>
            <w:tcW w:w="505" w:type="dxa"/>
            <w:shd w:val="clear" w:color="auto" w:fill="auto"/>
            <w:tcMar>
              <w:top w:w="0" w:type="dxa"/>
              <w:left w:w="0" w:type="dxa"/>
              <w:bottom w:w="0" w:type="dxa"/>
              <w:right w:w="0" w:type="dxa"/>
            </w:tcMar>
            <w:vAlign w:val="center"/>
          </w:tcPr>
          <w:p w14:paraId="7C6A9F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41EC6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36.2</w:t>
            </w:r>
          </w:p>
        </w:tc>
        <w:tc>
          <w:tcPr>
            <w:tcW w:w="505" w:type="dxa"/>
            <w:shd w:val="clear" w:color="auto" w:fill="auto"/>
            <w:tcMar>
              <w:top w:w="0" w:type="dxa"/>
              <w:left w:w="0" w:type="dxa"/>
              <w:bottom w:w="0" w:type="dxa"/>
              <w:right w:w="0" w:type="dxa"/>
            </w:tcMar>
            <w:vAlign w:val="center"/>
          </w:tcPr>
          <w:p w14:paraId="04B549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60.1</w:t>
            </w:r>
          </w:p>
        </w:tc>
        <w:tc>
          <w:tcPr>
            <w:tcW w:w="505" w:type="dxa"/>
            <w:shd w:val="clear" w:color="auto" w:fill="auto"/>
            <w:tcMar>
              <w:top w:w="0" w:type="dxa"/>
              <w:left w:w="0" w:type="dxa"/>
              <w:bottom w:w="0" w:type="dxa"/>
              <w:right w:w="0" w:type="dxa"/>
            </w:tcMar>
            <w:vAlign w:val="center"/>
          </w:tcPr>
          <w:p w14:paraId="31D027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56.6</w:t>
            </w:r>
          </w:p>
        </w:tc>
        <w:tc>
          <w:tcPr>
            <w:tcW w:w="505" w:type="dxa"/>
            <w:shd w:val="clear" w:color="auto" w:fill="auto"/>
            <w:tcMar>
              <w:top w:w="0" w:type="dxa"/>
              <w:left w:w="0" w:type="dxa"/>
              <w:bottom w:w="0" w:type="dxa"/>
              <w:right w:w="0" w:type="dxa"/>
            </w:tcMar>
            <w:vAlign w:val="center"/>
          </w:tcPr>
          <w:p w14:paraId="52736E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13.7</w:t>
            </w:r>
          </w:p>
        </w:tc>
        <w:tc>
          <w:tcPr>
            <w:tcW w:w="505" w:type="dxa"/>
            <w:shd w:val="clear" w:color="auto" w:fill="auto"/>
            <w:tcMar>
              <w:top w:w="0" w:type="dxa"/>
              <w:left w:w="0" w:type="dxa"/>
              <w:bottom w:w="0" w:type="dxa"/>
              <w:right w:w="0" w:type="dxa"/>
            </w:tcMar>
            <w:vAlign w:val="center"/>
          </w:tcPr>
          <w:p w14:paraId="2FBC17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1208BB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194BC8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0168AF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0" w:type="dxa"/>
            <w:shd w:val="clear" w:color="auto" w:fill="auto"/>
            <w:tcMar>
              <w:top w:w="0" w:type="dxa"/>
              <w:left w:w="0" w:type="dxa"/>
              <w:bottom w:w="0" w:type="dxa"/>
              <w:right w:w="0" w:type="dxa"/>
            </w:tcMar>
            <w:vAlign w:val="center"/>
          </w:tcPr>
          <w:p w14:paraId="23D5B8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151C4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B2705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E6A3B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56EC0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0CE6E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305EAE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31CD6F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3DD958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5" w:type="dxa"/>
            <w:shd w:val="clear" w:color="auto" w:fill="auto"/>
            <w:tcMar>
              <w:top w:w="0" w:type="dxa"/>
              <w:left w:w="0" w:type="dxa"/>
              <w:bottom w:w="0" w:type="dxa"/>
              <w:right w:w="0" w:type="dxa"/>
            </w:tcMar>
            <w:vAlign w:val="center"/>
          </w:tcPr>
          <w:p w14:paraId="1331BF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16D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B381D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405" w:type="dxa"/>
            <w:vMerge w:val="continue"/>
            <w:shd w:val="clear" w:color="auto" w:fill="auto"/>
            <w:tcMar>
              <w:top w:w="0" w:type="dxa"/>
              <w:left w:w="0" w:type="dxa"/>
              <w:bottom w:w="0" w:type="dxa"/>
              <w:right w:w="0" w:type="dxa"/>
            </w:tcMar>
            <w:vAlign w:val="center"/>
          </w:tcPr>
          <w:p w14:paraId="7AD51234">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7B61836A">
            <w:pPr>
              <w:spacing w:before="68" w:line="220" w:lineRule="auto"/>
              <w:jc w:val="center"/>
              <w:rPr>
                <w:rFonts w:hint="default" w:ascii="Times New Roman" w:hAnsi="Times New Roman" w:eastAsia="宋体" w:cs="Times New Roman"/>
                <w:color w:val="auto"/>
                <w:sz w:val="21"/>
                <w:szCs w:val="21"/>
                <w:highlight w:val="none"/>
              </w:rPr>
            </w:pPr>
            <w:r>
              <w:rPr>
                <w:rFonts w:ascii="宋体" w:hAnsi="宋体" w:cs="宋体"/>
                <w:color w:val="auto"/>
                <w:spacing w:val="-2"/>
                <w:szCs w:val="21"/>
              </w:rPr>
              <w:t>油</w:t>
            </w:r>
            <w:r>
              <w:rPr>
                <w:rFonts w:ascii="宋体" w:hAnsi="宋体" w:cs="宋体"/>
                <w:color w:val="auto"/>
                <w:spacing w:val="-1"/>
                <w:szCs w:val="21"/>
              </w:rPr>
              <w:t>渣刮板机</w:t>
            </w:r>
          </w:p>
        </w:tc>
        <w:tc>
          <w:tcPr>
            <w:tcW w:w="693" w:type="dxa"/>
            <w:shd w:val="clear" w:color="auto" w:fill="auto"/>
            <w:tcMar>
              <w:top w:w="0" w:type="dxa"/>
              <w:left w:w="0" w:type="dxa"/>
              <w:bottom w:w="0" w:type="dxa"/>
              <w:right w:w="0" w:type="dxa"/>
            </w:tcMar>
            <w:vAlign w:val="center"/>
          </w:tcPr>
          <w:p w14:paraId="501173D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2CFE6F5B">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267B85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-34.8</w:t>
            </w:r>
          </w:p>
        </w:tc>
        <w:tc>
          <w:tcPr>
            <w:tcW w:w="505" w:type="dxa"/>
            <w:shd w:val="clear" w:color="auto" w:fill="auto"/>
            <w:tcMar>
              <w:top w:w="0" w:type="dxa"/>
              <w:left w:w="0" w:type="dxa"/>
              <w:bottom w:w="0" w:type="dxa"/>
              <w:right w:w="0" w:type="dxa"/>
            </w:tcMar>
            <w:vAlign w:val="center"/>
          </w:tcPr>
          <w:p w14:paraId="2BB888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w:t>
            </w:r>
          </w:p>
        </w:tc>
        <w:tc>
          <w:tcPr>
            <w:tcW w:w="505" w:type="dxa"/>
            <w:shd w:val="clear" w:color="auto" w:fill="auto"/>
            <w:tcMar>
              <w:top w:w="0" w:type="dxa"/>
              <w:left w:w="0" w:type="dxa"/>
              <w:bottom w:w="0" w:type="dxa"/>
              <w:right w:w="0" w:type="dxa"/>
            </w:tcMar>
            <w:vAlign w:val="center"/>
          </w:tcPr>
          <w:p w14:paraId="29C271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6CBD1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39.8</w:t>
            </w:r>
          </w:p>
        </w:tc>
        <w:tc>
          <w:tcPr>
            <w:tcW w:w="505" w:type="dxa"/>
            <w:shd w:val="clear" w:color="auto" w:fill="auto"/>
            <w:tcMar>
              <w:top w:w="0" w:type="dxa"/>
              <w:left w:w="0" w:type="dxa"/>
              <w:bottom w:w="0" w:type="dxa"/>
              <w:right w:w="0" w:type="dxa"/>
            </w:tcMar>
            <w:vAlign w:val="center"/>
          </w:tcPr>
          <w:p w14:paraId="00C014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56.8</w:t>
            </w:r>
          </w:p>
        </w:tc>
        <w:tc>
          <w:tcPr>
            <w:tcW w:w="505" w:type="dxa"/>
            <w:shd w:val="clear" w:color="auto" w:fill="auto"/>
            <w:tcMar>
              <w:top w:w="0" w:type="dxa"/>
              <w:left w:w="0" w:type="dxa"/>
              <w:bottom w:w="0" w:type="dxa"/>
              <w:right w:w="0" w:type="dxa"/>
            </w:tcMar>
            <w:vAlign w:val="center"/>
          </w:tcPr>
          <w:p w14:paraId="419675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52.8</w:t>
            </w:r>
          </w:p>
        </w:tc>
        <w:tc>
          <w:tcPr>
            <w:tcW w:w="505" w:type="dxa"/>
            <w:shd w:val="clear" w:color="auto" w:fill="auto"/>
            <w:tcMar>
              <w:top w:w="0" w:type="dxa"/>
              <w:left w:w="0" w:type="dxa"/>
              <w:bottom w:w="0" w:type="dxa"/>
              <w:right w:w="0" w:type="dxa"/>
            </w:tcMar>
            <w:vAlign w:val="center"/>
          </w:tcPr>
          <w:p w14:paraId="7262E1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16.9</w:t>
            </w:r>
          </w:p>
        </w:tc>
        <w:tc>
          <w:tcPr>
            <w:tcW w:w="505" w:type="dxa"/>
            <w:shd w:val="clear" w:color="auto" w:fill="auto"/>
            <w:tcMar>
              <w:top w:w="0" w:type="dxa"/>
              <w:left w:w="0" w:type="dxa"/>
              <w:bottom w:w="0" w:type="dxa"/>
              <w:right w:w="0" w:type="dxa"/>
            </w:tcMar>
            <w:vAlign w:val="center"/>
          </w:tcPr>
          <w:p w14:paraId="73E34E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50D01E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5121E3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14:paraId="046A16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14:paraId="1E809A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B3F66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62D27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91AA0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68CB2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A9C6B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3DB485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6621013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14:paraId="7D66C36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14:paraId="68614A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5CE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4C68A9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405" w:type="dxa"/>
            <w:vMerge w:val="continue"/>
            <w:shd w:val="clear" w:color="auto" w:fill="auto"/>
            <w:tcMar>
              <w:top w:w="0" w:type="dxa"/>
              <w:left w:w="0" w:type="dxa"/>
              <w:bottom w:w="0" w:type="dxa"/>
              <w:right w:w="0" w:type="dxa"/>
            </w:tcMar>
            <w:vAlign w:val="center"/>
          </w:tcPr>
          <w:p w14:paraId="677D38E6">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E12AF17">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Cs w:val="21"/>
              </w:rPr>
              <w:t>过滤油泵</w:t>
            </w:r>
          </w:p>
        </w:tc>
        <w:tc>
          <w:tcPr>
            <w:tcW w:w="693" w:type="dxa"/>
            <w:shd w:val="clear" w:color="auto" w:fill="auto"/>
            <w:tcMar>
              <w:top w:w="0" w:type="dxa"/>
              <w:left w:w="0" w:type="dxa"/>
              <w:bottom w:w="0" w:type="dxa"/>
              <w:right w:w="0" w:type="dxa"/>
            </w:tcMar>
            <w:vAlign w:val="center"/>
          </w:tcPr>
          <w:p w14:paraId="178160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6" w:type="dxa"/>
            <w:vMerge w:val="continue"/>
            <w:shd w:val="clear" w:color="auto" w:fill="auto"/>
            <w:tcMar>
              <w:top w:w="0" w:type="dxa"/>
              <w:left w:w="0" w:type="dxa"/>
              <w:bottom w:w="0" w:type="dxa"/>
              <w:right w:w="0" w:type="dxa"/>
            </w:tcMar>
            <w:vAlign w:val="center"/>
          </w:tcPr>
          <w:p w14:paraId="08DE78B8">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3F4422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505" w:type="dxa"/>
            <w:shd w:val="clear" w:color="auto" w:fill="auto"/>
            <w:tcMar>
              <w:top w:w="0" w:type="dxa"/>
              <w:left w:w="0" w:type="dxa"/>
              <w:bottom w:w="0" w:type="dxa"/>
              <w:right w:w="0" w:type="dxa"/>
            </w:tcMar>
            <w:vAlign w:val="center"/>
          </w:tcPr>
          <w:p w14:paraId="3C7A20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w:t>
            </w:r>
          </w:p>
        </w:tc>
        <w:tc>
          <w:tcPr>
            <w:tcW w:w="505" w:type="dxa"/>
            <w:shd w:val="clear" w:color="auto" w:fill="auto"/>
            <w:tcMar>
              <w:top w:w="0" w:type="dxa"/>
              <w:left w:w="0" w:type="dxa"/>
              <w:bottom w:w="0" w:type="dxa"/>
              <w:right w:w="0" w:type="dxa"/>
            </w:tcMar>
            <w:vAlign w:val="center"/>
          </w:tcPr>
          <w:p w14:paraId="579003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48AED3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505" w:type="dxa"/>
            <w:shd w:val="clear" w:color="auto" w:fill="auto"/>
            <w:tcMar>
              <w:top w:w="0" w:type="dxa"/>
              <w:left w:w="0" w:type="dxa"/>
              <w:bottom w:w="0" w:type="dxa"/>
              <w:right w:w="0" w:type="dxa"/>
            </w:tcMar>
            <w:vAlign w:val="center"/>
          </w:tcPr>
          <w:p w14:paraId="604D70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55.9</w:t>
            </w:r>
          </w:p>
        </w:tc>
        <w:tc>
          <w:tcPr>
            <w:tcW w:w="505" w:type="dxa"/>
            <w:shd w:val="clear" w:color="auto" w:fill="auto"/>
            <w:tcMar>
              <w:top w:w="0" w:type="dxa"/>
              <w:left w:w="0" w:type="dxa"/>
              <w:bottom w:w="0" w:type="dxa"/>
              <w:right w:w="0" w:type="dxa"/>
            </w:tcMar>
            <w:vAlign w:val="center"/>
          </w:tcPr>
          <w:p w14:paraId="69DA49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43.9</w:t>
            </w:r>
          </w:p>
        </w:tc>
        <w:tc>
          <w:tcPr>
            <w:tcW w:w="505" w:type="dxa"/>
            <w:shd w:val="clear" w:color="auto" w:fill="auto"/>
            <w:tcMar>
              <w:top w:w="0" w:type="dxa"/>
              <w:left w:w="0" w:type="dxa"/>
              <w:bottom w:w="0" w:type="dxa"/>
              <w:right w:w="0" w:type="dxa"/>
            </w:tcMar>
            <w:vAlign w:val="center"/>
          </w:tcPr>
          <w:p w14:paraId="03DD9B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05" w:type="dxa"/>
            <w:shd w:val="clear" w:color="auto" w:fill="auto"/>
            <w:tcMar>
              <w:top w:w="0" w:type="dxa"/>
              <w:left w:w="0" w:type="dxa"/>
              <w:bottom w:w="0" w:type="dxa"/>
              <w:right w:w="0" w:type="dxa"/>
            </w:tcMar>
            <w:vAlign w:val="center"/>
          </w:tcPr>
          <w:p w14:paraId="1B5EFB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2F2EC1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31C7FB2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3E92AB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198952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D575D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49BC1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00DD1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4F135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EF5E28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55FFD9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45E43F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6C526D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74D36D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449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194F0851">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3</w:t>
            </w:r>
          </w:p>
        </w:tc>
        <w:tc>
          <w:tcPr>
            <w:tcW w:w="405" w:type="dxa"/>
            <w:vMerge w:val="continue"/>
            <w:shd w:val="clear" w:color="auto" w:fill="auto"/>
            <w:tcMar>
              <w:top w:w="0" w:type="dxa"/>
              <w:left w:w="0" w:type="dxa"/>
              <w:bottom w:w="0" w:type="dxa"/>
              <w:right w:w="0" w:type="dxa"/>
            </w:tcMar>
            <w:vAlign w:val="center"/>
          </w:tcPr>
          <w:p w14:paraId="0FE977D5">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656AAEF7">
            <w:pPr>
              <w:spacing w:before="69" w:line="220" w:lineRule="auto"/>
              <w:jc w:val="center"/>
              <w:rPr>
                <w:rFonts w:hint="default" w:ascii="Times New Roman" w:hAnsi="Times New Roman" w:eastAsia="宋体" w:cs="Times New Roman"/>
                <w:color w:val="auto"/>
                <w:sz w:val="21"/>
                <w:szCs w:val="21"/>
                <w:highlight w:val="none"/>
              </w:rPr>
            </w:pPr>
            <w:r>
              <w:rPr>
                <w:rFonts w:ascii="宋体" w:hAnsi="宋体" w:cs="宋体"/>
                <w:color w:val="auto"/>
                <w:spacing w:val="-3"/>
                <w:szCs w:val="21"/>
              </w:rPr>
              <w:t>叶片过</w:t>
            </w:r>
            <w:r>
              <w:rPr>
                <w:rFonts w:ascii="宋体" w:hAnsi="宋体" w:cs="宋体"/>
                <w:color w:val="auto"/>
                <w:spacing w:val="-2"/>
                <w:szCs w:val="21"/>
              </w:rPr>
              <w:t>滤机</w:t>
            </w:r>
          </w:p>
        </w:tc>
        <w:tc>
          <w:tcPr>
            <w:tcW w:w="693" w:type="dxa"/>
            <w:shd w:val="clear" w:color="auto" w:fill="auto"/>
            <w:tcMar>
              <w:top w:w="0" w:type="dxa"/>
              <w:left w:w="0" w:type="dxa"/>
              <w:bottom w:w="0" w:type="dxa"/>
              <w:right w:w="0" w:type="dxa"/>
            </w:tcMar>
            <w:vAlign w:val="center"/>
          </w:tcPr>
          <w:p w14:paraId="11EB9C7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2F914C77">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5687FD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05" w:type="dxa"/>
            <w:shd w:val="clear" w:color="auto" w:fill="auto"/>
            <w:tcMar>
              <w:top w:w="0" w:type="dxa"/>
              <w:left w:w="0" w:type="dxa"/>
              <w:bottom w:w="0" w:type="dxa"/>
              <w:right w:w="0" w:type="dxa"/>
            </w:tcMar>
            <w:vAlign w:val="center"/>
          </w:tcPr>
          <w:p w14:paraId="11A8F98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18.7</w:t>
            </w:r>
          </w:p>
        </w:tc>
        <w:tc>
          <w:tcPr>
            <w:tcW w:w="505" w:type="dxa"/>
            <w:shd w:val="clear" w:color="auto" w:fill="auto"/>
            <w:tcMar>
              <w:top w:w="0" w:type="dxa"/>
              <w:left w:w="0" w:type="dxa"/>
              <w:bottom w:w="0" w:type="dxa"/>
              <w:right w:w="0" w:type="dxa"/>
            </w:tcMar>
            <w:vAlign w:val="center"/>
          </w:tcPr>
          <w:p w14:paraId="3F6945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70B982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48.8</w:t>
            </w:r>
          </w:p>
        </w:tc>
        <w:tc>
          <w:tcPr>
            <w:tcW w:w="505" w:type="dxa"/>
            <w:shd w:val="clear" w:color="auto" w:fill="auto"/>
            <w:tcMar>
              <w:top w:w="0" w:type="dxa"/>
              <w:left w:w="0" w:type="dxa"/>
              <w:bottom w:w="0" w:type="dxa"/>
              <w:right w:w="0" w:type="dxa"/>
            </w:tcMar>
            <w:vAlign w:val="center"/>
          </w:tcPr>
          <w:p w14:paraId="0EB5BB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62.4</w:t>
            </w:r>
          </w:p>
        </w:tc>
        <w:tc>
          <w:tcPr>
            <w:tcW w:w="505" w:type="dxa"/>
            <w:shd w:val="clear" w:color="auto" w:fill="auto"/>
            <w:tcMar>
              <w:top w:w="0" w:type="dxa"/>
              <w:left w:w="0" w:type="dxa"/>
              <w:bottom w:w="0" w:type="dxa"/>
              <w:right w:w="0" w:type="dxa"/>
            </w:tcMar>
            <w:vAlign w:val="center"/>
          </w:tcPr>
          <w:p w14:paraId="3FA272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44.0</w:t>
            </w:r>
          </w:p>
        </w:tc>
        <w:tc>
          <w:tcPr>
            <w:tcW w:w="505" w:type="dxa"/>
            <w:shd w:val="clear" w:color="auto" w:fill="auto"/>
            <w:tcMar>
              <w:top w:w="0" w:type="dxa"/>
              <w:left w:w="0" w:type="dxa"/>
              <w:bottom w:w="0" w:type="dxa"/>
              <w:right w:w="0" w:type="dxa"/>
            </w:tcMar>
            <w:vAlign w:val="center"/>
          </w:tcPr>
          <w:p w14:paraId="2C5B00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w:t>
            </w:r>
          </w:p>
        </w:tc>
        <w:tc>
          <w:tcPr>
            <w:tcW w:w="505" w:type="dxa"/>
            <w:shd w:val="clear" w:color="auto" w:fill="auto"/>
            <w:tcMar>
              <w:top w:w="0" w:type="dxa"/>
              <w:left w:w="0" w:type="dxa"/>
              <w:bottom w:w="0" w:type="dxa"/>
              <w:right w:w="0" w:type="dxa"/>
            </w:tcMar>
            <w:vAlign w:val="center"/>
          </w:tcPr>
          <w:p w14:paraId="49B139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58B4D8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01A6B4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266378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57.1</w:t>
            </w:r>
          </w:p>
        </w:tc>
        <w:tc>
          <w:tcPr>
            <w:tcW w:w="500" w:type="dxa"/>
            <w:shd w:val="clear" w:color="auto" w:fill="auto"/>
            <w:tcMar>
              <w:top w:w="0" w:type="dxa"/>
              <w:left w:w="0" w:type="dxa"/>
              <w:bottom w:w="0" w:type="dxa"/>
              <w:right w:w="0" w:type="dxa"/>
            </w:tcMar>
            <w:vAlign w:val="center"/>
          </w:tcPr>
          <w:p w14:paraId="451F64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7E189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2FB3A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CC256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2C3AF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756A8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6329DF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5477A4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51B131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85" w:type="dxa"/>
            <w:shd w:val="clear" w:color="auto" w:fill="auto"/>
            <w:tcMar>
              <w:top w:w="0" w:type="dxa"/>
              <w:left w:w="0" w:type="dxa"/>
              <w:bottom w:w="0" w:type="dxa"/>
              <w:right w:w="0" w:type="dxa"/>
            </w:tcMar>
            <w:vAlign w:val="center"/>
          </w:tcPr>
          <w:p w14:paraId="0C363A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3E9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2EA6EC5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405" w:type="dxa"/>
            <w:vMerge w:val="continue"/>
            <w:shd w:val="clear" w:color="auto" w:fill="auto"/>
            <w:tcMar>
              <w:top w:w="0" w:type="dxa"/>
              <w:left w:w="0" w:type="dxa"/>
              <w:bottom w:w="0" w:type="dxa"/>
              <w:right w:w="0" w:type="dxa"/>
            </w:tcMar>
            <w:vAlign w:val="center"/>
          </w:tcPr>
          <w:p w14:paraId="20CA2FC3">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49948B0F">
            <w:pPr>
              <w:spacing w:before="27" w:line="216" w:lineRule="auto"/>
              <w:jc w:val="center"/>
              <w:rPr>
                <w:rFonts w:ascii="宋体" w:hAnsi="宋体" w:cs="宋体"/>
                <w:color w:val="auto"/>
                <w:spacing w:val="-3"/>
                <w:szCs w:val="21"/>
              </w:rPr>
            </w:pPr>
            <w:r>
              <w:rPr>
                <w:rFonts w:ascii="宋体" w:hAnsi="宋体" w:cs="宋体"/>
                <w:color w:val="auto"/>
                <w:spacing w:val="-2"/>
                <w:szCs w:val="21"/>
              </w:rPr>
              <w:t>成品</w:t>
            </w:r>
            <w:r>
              <w:rPr>
                <w:rFonts w:ascii="宋体" w:hAnsi="宋体" w:cs="宋体"/>
                <w:color w:val="auto"/>
                <w:spacing w:val="-1"/>
                <w:szCs w:val="21"/>
              </w:rPr>
              <w:t>油泵</w:t>
            </w:r>
          </w:p>
        </w:tc>
        <w:tc>
          <w:tcPr>
            <w:tcW w:w="693" w:type="dxa"/>
            <w:shd w:val="clear" w:color="auto" w:fill="auto"/>
            <w:tcMar>
              <w:top w:w="0" w:type="dxa"/>
              <w:left w:w="0" w:type="dxa"/>
              <w:bottom w:w="0" w:type="dxa"/>
              <w:right w:w="0" w:type="dxa"/>
            </w:tcMar>
            <w:vAlign w:val="center"/>
          </w:tcPr>
          <w:p w14:paraId="3BE824B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387A2F5E">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45E921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-49.6</w:t>
            </w:r>
          </w:p>
        </w:tc>
        <w:tc>
          <w:tcPr>
            <w:tcW w:w="505" w:type="dxa"/>
            <w:shd w:val="clear" w:color="auto" w:fill="auto"/>
            <w:tcMar>
              <w:top w:w="0" w:type="dxa"/>
              <w:left w:w="0" w:type="dxa"/>
              <w:bottom w:w="0" w:type="dxa"/>
              <w:right w:w="0" w:type="dxa"/>
            </w:tcMar>
            <w:vAlign w:val="center"/>
          </w:tcPr>
          <w:p w14:paraId="58DD40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20.4</w:t>
            </w:r>
          </w:p>
        </w:tc>
        <w:tc>
          <w:tcPr>
            <w:tcW w:w="505" w:type="dxa"/>
            <w:shd w:val="clear" w:color="auto" w:fill="auto"/>
            <w:tcMar>
              <w:top w:w="0" w:type="dxa"/>
              <w:left w:w="0" w:type="dxa"/>
              <w:bottom w:w="0" w:type="dxa"/>
              <w:right w:w="0" w:type="dxa"/>
            </w:tcMar>
            <w:vAlign w:val="center"/>
          </w:tcPr>
          <w:p w14:paraId="2A1671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7C22A0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58.3</w:t>
            </w:r>
          </w:p>
        </w:tc>
        <w:tc>
          <w:tcPr>
            <w:tcW w:w="505" w:type="dxa"/>
            <w:shd w:val="clear" w:color="auto" w:fill="auto"/>
            <w:tcMar>
              <w:top w:w="0" w:type="dxa"/>
              <w:left w:w="0" w:type="dxa"/>
              <w:bottom w:w="0" w:type="dxa"/>
              <w:right w:w="0" w:type="dxa"/>
            </w:tcMar>
            <w:vAlign w:val="center"/>
          </w:tcPr>
          <w:p w14:paraId="7E457E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58.5</w:t>
            </w:r>
          </w:p>
        </w:tc>
        <w:tc>
          <w:tcPr>
            <w:tcW w:w="505" w:type="dxa"/>
            <w:shd w:val="clear" w:color="auto" w:fill="auto"/>
            <w:tcMar>
              <w:top w:w="0" w:type="dxa"/>
              <w:left w:w="0" w:type="dxa"/>
              <w:bottom w:w="0" w:type="dxa"/>
              <w:right w:w="0" w:type="dxa"/>
            </w:tcMar>
            <w:vAlign w:val="center"/>
          </w:tcPr>
          <w:p w14:paraId="32E341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34.4</w:t>
            </w:r>
          </w:p>
        </w:tc>
        <w:tc>
          <w:tcPr>
            <w:tcW w:w="505" w:type="dxa"/>
            <w:shd w:val="clear" w:color="auto" w:fill="auto"/>
            <w:tcMar>
              <w:top w:w="0" w:type="dxa"/>
              <w:left w:w="0" w:type="dxa"/>
              <w:bottom w:w="0" w:type="dxa"/>
              <w:right w:w="0" w:type="dxa"/>
            </w:tcMar>
            <w:vAlign w:val="center"/>
          </w:tcPr>
          <w:p w14:paraId="081340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w:t>
            </w:r>
          </w:p>
        </w:tc>
        <w:tc>
          <w:tcPr>
            <w:tcW w:w="505" w:type="dxa"/>
            <w:shd w:val="clear" w:color="auto" w:fill="auto"/>
            <w:tcMar>
              <w:top w:w="0" w:type="dxa"/>
              <w:left w:w="0" w:type="dxa"/>
              <w:bottom w:w="0" w:type="dxa"/>
              <w:right w:w="0" w:type="dxa"/>
            </w:tcMar>
            <w:vAlign w:val="center"/>
          </w:tcPr>
          <w:p w14:paraId="405D81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229E02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7600DE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5B70A7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0" w:type="dxa"/>
            <w:shd w:val="clear" w:color="auto" w:fill="auto"/>
            <w:tcMar>
              <w:top w:w="0" w:type="dxa"/>
              <w:left w:w="0" w:type="dxa"/>
              <w:bottom w:w="0" w:type="dxa"/>
              <w:right w:w="0" w:type="dxa"/>
            </w:tcMar>
            <w:vAlign w:val="center"/>
          </w:tcPr>
          <w:p w14:paraId="1899920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31C05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26166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00D1D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22C21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11247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3A03C2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367E26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7074E1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5" w:type="dxa"/>
            <w:shd w:val="clear" w:color="auto" w:fill="auto"/>
            <w:tcMar>
              <w:top w:w="0" w:type="dxa"/>
              <w:left w:w="0" w:type="dxa"/>
              <w:bottom w:w="0" w:type="dxa"/>
              <w:right w:w="0" w:type="dxa"/>
            </w:tcMar>
            <w:vAlign w:val="center"/>
          </w:tcPr>
          <w:p w14:paraId="56E312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A0E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dxa"/>
            <w:shd w:val="clear" w:color="auto" w:fill="auto"/>
            <w:tcMar>
              <w:top w:w="0" w:type="dxa"/>
              <w:left w:w="0" w:type="dxa"/>
              <w:bottom w:w="0" w:type="dxa"/>
              <w:right w:w="0" w:type="dxa"/>
            </w:tcMar>
            <w:vAlign w:val="center"/>
          </w:tcPr>
          <w:p w14:paraId="212D6A5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05" w:type="dxa"/>
            <w:vMerge w:val="continue"/>
            <w:shd w:val="clear" w:color="auto" w:fill="auto"/>
            <w:tcMar>
              <w:top w:w="0" w:type="dxa"/>
              <w:left w:w="0" w:type="dxa"/>
              <w:bottom w:w="0" w:type="dxa"/>
              <w:right w:w="0" w:type="dxa"/>
            </w:tcMar>
            <w:vAlign w:val="center"/>
          </w:tcPr>
          <w:p w14:paraId="06E50908">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315E237C">
            <w:pPr>
              <w:spacing w:before="69" w:line="221" w:lineRule="auto"/>
              <w:jc w:val="center"/>
              <w:rPr>
                <w:rFonts w:ascii="宋体" w:hAnsi="宋体" w:cs="宋体"/>
                <w:color w:val="auto"/>
                <w:spacing w:val="-3"/>
                <w:szCs w:val="21"/>
              </w:rPr>
            </w:pPr>
            <w:r>
              <w:rPr>
                <w:rFonts w:ascii="宋体" w:hAnsi="宋体" w:cs="宋体"/>
                <w:color w:val="auto"/>
                <w:spacing w:val="-2"/>
                <w:szCs w:val="21"/>
              </w:rPr>
              <w:t>油</w:t>
            </w:r>
            <w:r>
              <w:rPr>
                <w:rFonts w:ascii="宋体" w:hAnsi="宋体" w:cs="宋体"/>
                <w:color w:val="auto"/>
                <w:spacing w:val="-1"/>
                <w:szCs w:val="21"/>
              </w:rPr>
              <w:t>渣喂料锅</w:t>
            </w:r>
          </w:p>
        </w:tc>
        <w:tc>
          <w:tcPr>
            <w:tcW w:w="693" w:type="dxa"/>
            <w:shd w:val="clear" w:color="auto" w:fill="auto"/>
            <w:tcMar>
              <w:top w:w="0" w:type="dxa"/>
              <w:left w:w="0" w:type="dxa"/>
              <w:bottom w:w="0" w:type="dxa"/>
              <w:right w:w="0" w:type="dxa"/>
            </w:tcMar>
            <w:vAlign w:val="center"/>
          </w:tcPr>
          <w:p w14:paraId="7960A95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14:paraId="37EEBFE0">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3E05B0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505" w:type="dxa"/>
            <w:shd w:val="clear" w:color="auto" w:fill="auto"/>
            <w:tcMar>
              <w:top w:w="0" w:type="dxa"/>
              <w:left w:w="0" w:type="dxa"/>
              <w:bottom w:w="0" w:type="dxa"/>
              <w:right w:w="0" w:type="dxa"/>
            </w:tcMar>
            <w:vAlign w:val="center"/>
          </w:tcPr>
          <w:p w14:paraId="4C3AF7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26.6</w:t>
            </w:r>
          </w:p>
        </w:tc>
        <w:tc>
          <w:tcPr>
            <w:tcW w:w="505" w:type="dxa"/>
            <w:shd w:val="clear" w:color="auto" w:fill="auto"/>
            <w:tcMar>
              <w:top w:w="0" w:type="dxa"/>
              <w:left w:w="0" w:type="dxa"/>
              <w:bottom w:w="0" w:type="dxa"/>
              <w:right w:w="0" w:type="dxa"/>
            </w:tcMar>
            <w:vAlign w:val="center"/>
          </w:tcPr>
          <w:p w14:paraId="5313C8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1DF097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70.3</w:t>
            </w:r>
          </w:p>
        </w:tc>
        <w:tc>
          <w:tcPr>
            <w:tcW w:w="505" w:type="dxa"/>
            <w:shd w:val="clear" w:color="auto" w:fill="auto"/>
            <w:tcMar>
              <w:top w:w="0" w:type="dxa"/>
              <w:left w:w="0" w:type="dxa"/>
              <w:bottom w:w="0" w:type="dxa"/>
              <w:right w:w="0" w:type="dxa"/>
            </w:tcMar>
            <w:vAlign w:val="center"/>
          </w:tcPr>
          <w:p w14:paraId="52CB92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58.3</w:t>
            </w:r>
          </w:p>
        </w:tc>
        <w:tc>
          <w:tcPr>
            <w:tcW w:w="505" w:type="dxa"/>
            <w:shd w:val="clear" w:color="auto" w:fill="auto"/>
            <w:tcMar>
              <w:top w:w="0" w:type="dxa"/>
              <w:left w:w="0" w:type="dxa"/>
              <w:bottom w:w="0" w:type="dxa"/>
              <w:right w:w="0" w:type="dxa"/>
            </w:tcMar>
            <w:vAlign w:val="center"/>
          </w:tcPr>
          <w:p w14:paraId="5EE155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22.4</w:t>
            </w:r>
          </w:p>
        </w:tc>
        <w:tc>
          <w:tcPr>
            <w:tcW w:w="505" w:type="dxa"/>
            <w:shd w:val="clear" w:color="auto" w:fill="auto"/>
            <w:tcMar>
              <w:top w:w="0" w:type="dxa"/>
              <w:left w:w="0" w:type="dxa"/>
              <w:bottom w:w="0" w:type="dxa"/>
              <w:right w:w="0" w:type="dxa"/>
            </w:tcMar>
            <w:vAlign w:val="center"/>
          </w:tcPr>
          <w:p w14:paraId="0EF104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14.5</w:t>
            </w:r>
          </w:p>
        </w:tc>
        <w:tc>
          <w:tcPr>
            <w:tcW w:w="505" w:type="dxa"/>
            <w:shd w:val="clear" w:color="auto" w:fill="auto"/>
            <w:tcMar>
              <w:top w:w="0" w:type="dxa"/>
              <w:left w:w="0" w:type="dxa"/>
              <w:bottom w:w="0" w:type="dxa"/>
              <w:right w:w="0" w:type="dxa"/>
            </w:tcMar>
            <w:vAlign w:val="center"/>
          </w:tcPr>
          <w:p w14:paraId="1BB023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420CAB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01777E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14:paraId="2F633D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52.1</w:t>
            </w:r>
          </w:p>
        </w:tc>
        <w:tc>
          <w:tcPr>
            <w:tcW w:w="500" w:type="dxa"/>
            <w:shd w:val="clear" w:color="auto" w:fill="auto"/>
            <w:tcMar>
              <w:top w:w="0" w:type="dxa"/>
              <w:left w:w="0" w:type="dxa"/>
              <w:bottom w:w="0" w:type="dxa"/>
              <w:right w:w="0" w:type="dxa"/>
            </w:tcMar>
            <w:vAlign w:val="center"/>
          </w:tcPr>
          <w:p w14:paraId="0C0F086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BA33D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7E360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40623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418C2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EC22B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166B96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2A6647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14:paraId="4391BD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485" w:type="dxa"/>
            <w:shd w:val="clear" w:color="auto" w:fill="auto"/>
            <w:tcMar>
              <w:top w:w="0" w:type="dxa"/>
              <w:left w:w="0" w:type="dxa"/>
              <w:bottom w:w="0" w:type="dxa"/>
              <w:right w:w="0" w:type="dxa"/>
            </w:tcMar>
            <w:vAlign w:val="center"/>
          </w:tcPr>
          <w:p w14:paraId="171F89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93C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1DFE0F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05" w:type="dxa"/>
            <w:vMerge w:val="continue"/>
            <w:shd w:val="clear" w:color="auto" w:fill="auto"/>
            <w:tcMar>
              <w:top w:w="0" w:type="dxa"/>
              <w:left w:w="0" w:type="dxa"/>
              <w:bottom w:w="0" w:type="dxa"/>
              <w:right w:w="0" w:type="dxa"/>
            </w:tcMar>
            <w:vAlign w:val="center"/>
          </w:tcPr>
          <w:p w14:paraId="6514B11B">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59DD6256">
            <w:pPr>
              <w:jc w:val="center"/>
              <w:rPr>
                <w:rFonts w:ascii="宋体" w:hAnsi="宋体" w:cs="宋体"/>
                <w:color w:val="auto"/>
                <w:spacing w:val="-3"/>
                <w:szCs w:val="21"/>
              </w:rPr>
            </w:pPr>
            <w:r>
              <w:rPr>
                <w:rFonts w:hint="eastAsia"/>
                <w:bCs/>
                <w:color w:val="auto"/>
                <w:szCs w:val="21"/>
              </w:rPr>
              <w:t>螺旋榨油机</w:t>
            </w:r>
          </w:p>
        </w:tc>
        <w:tc>
          <w:tcPr>
            <w:tcW w:w="693" w:type="dxa"/>
            <w:shd w:val="clear" w:color="auto" w:fill="auto"/>
            <w:tcMar>
              <w:top w:w="0" w:type="dxa"/>
              <w:left w:w="0" w:type="dxa"/>
              <w:bottom w:w="0" w:type="dxa"/>
              <w:right w:w="0" w:type="dxa"/>
            </w:tcMar>
            <w:vAlign w:val="center"/>
          </w:tcPr>
          <w:p w14:paraId="72E188E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5C56F0BF">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57C492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505" w:type="dxa"/>
            <w:shd w:val="clear" w:color="auto" w:fill="auto"/>
            <w:tcMar>
              <w:top w:w="0" w:type="dxa"/>
              <w:left w:w="0" w:type="dxa"/>
              <w:bottom w:w="0" w:type="dxa"/>
              <w:right w:w="0" w:type="dxa"/>
            </w:tcMar>
            <w:vAlign w:val="center"/>
          </w:tcPr>
          <w:p w14:paraId="62B3D7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505" w:type="dxa"/>
            <w:shd w:val="clear" w:color="auto" w:fill="auto"/>
            <w:tcMar>
              <w:top w:w="0" w:type="dxa"/>
              <w:left w:w="0" w:type="dxa"/>
              <w:bottom w:w="0" w:type="dxa"/>
              <w:right w:w="0" w:type="dxa"/>
            </w:tcMar>
            <w:vAlign w:val="center"/>
          </w:tcPr>
          <w:p w14:paraId="591E77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64436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80.9</w:t>
            </w:r>
          </w:p>
        </w:tc>
        <w:tc>
          <w:tcPr>
            <w:tcW w:w="505" w:type="dxa"/>
            <w:shd w:val="clear" w:color="auto" w:fill="auto"/>
            <w:tcMar>
              <w:top w:w="0" w:type="dxa"/>
              <w:left w:w="0" w:type="dxa"/>
              <w:bottom w:w="0" w:type="dxa"/>
              <w:right w:w="0" w:type="dxa"/>
            </w:tcMar>
            <w:vAlign w:val="center"/>
          </w:tcPr>
          <w:p w14:paraId="5C6797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58.1</w:t>
            </w:r>
          </w:p>
        </w:tc>
        <w:tc>
          <w:tcPr>
            <w:tcW w:w="505" w:type="dxa"/>
            <w:shd w:val="clear" w:color="auto" w:fill="auto"/>
            <w:tcMar>
              <w:top w:w="0" w:type="dxa"/>
              <w:left w:w="0" w:type="dxa"/>
              <w:bottom w:w="0" w:type="dxa"/>
              <w:right w:w="0" w:type="dxa"/>
            </w:tcMar>
            <w:vAlign w:val="center"/>
          </w:tcPr>
          <w:p w14:paraId="1F4434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w:t>
            </w:r>
          </w:p>
        </w:tc>
        <w:tc>
          <w:tcPr>
            <w:tcW w:w="505" w:type="dxa"/>
            <w:shd w:val="clear" w:color="auto" w:fill="auto"/>
            <w:tcMar>
              <w:top w:w="0" w:type="dxa"/>
              <w:left w:w="0" w:type="dxa"/>
              <w:bottom w:w="0" w:type="dxa"/>
              <w:right w:w="0" w:type="dxa"/>
            </w:tcMar>
            <w:vAlign w:val="center"/>
          </w:tcPr>
          <w:p w14:paraId="672843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14.4</w:t>
            </w:r>
          </w:p>
        </w:tc>
        <w:tc>
          <w:tcPr>
            <w:tcW w:w="505" w:type="dxa"/>
            <w:shd w:val="clear" w:color="auto" w:fill="auto"/>
            <w:tcMar>
              <w:top w:w="0" w:type="dxa"/>
              <w:left w:w="0" w:type="dxa"/>
              <w:bottom w:w="0" w:type="dxa"/>
              <w:right w:w="0" w:type="dxa"/>
            </w:tcMar>
            <w:vAlign w:val="center"/>
          </w:tcPr>
          <w:p w14:paraId="7CB7AD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753810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0BF620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62.1</w:t>
            </w:r>
          </w:p>
        </w:tc>
        <w:tc>
          <w:tcPr>
            <w:tcW w:w="515" w:type="dxa"/>
            <w:shd w:val="clear" w:color="auto" w:fill="auto"/>
            <w:tcMar>
              <w:top w:w="0" w:type="dxa"/>
              <w:left w:w="0" w:type="dxa"/>
              <w:bottom w:w="0" w:type="dxa"/>
              <w:right w:w="0" w:type="dxa"/>
            </w:tcMar>
            <w:vAlign w:val="center"/>
          </w:tcPr>
          <w:p w14:paraId="32B17B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62.1</w:t>
            </w:r>
          </w:p>
        </w:tc>
        <w:tc>
          <w:tcPr>
            <w:tcW w:w="500" w:type="dxa"/>
            <w:shd w:val="clear" w:color="auto" w:fill="auto"/>
            <w:tcMar>
              <w:top w:w="0" w:type="dxa"/>
              <w:left w:w="0" w:type="dxa"/>
              <w:bottom w:w="0" w:type="dxa"/>
              <w:right w:w="0" w:type="dxa"/>
            </w:tcMar>
            <w:vAlign w:val="center"/>
          </w:tcPr>
          <w:p w14:paraId="25023C3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05CBA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7263D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6FE01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43750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D53E3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34384E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0E7743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35.6</w:t>
            </w:r>
          </w:p>
        </w:tc>
        <w:tc>
          <w:tcPr>
            <w:tcW w:w="482" w:type="dxa"/>
            <w:shd w:val="clear" w:color="auto" w:fill="auto"/>
            <w:tcMar>
              <w:top w:w="0" w:type="dxa"/>
              <w:left w:w="0" w:type="dxa"/>
              <w:bottom w:w="0" w:type="dxa"/>
              <w:right w:w="0" w:type="dxa"/>
            </w:tcMar>
            <w:vAlign w:val="center"/>
          </w:tcPr>
          <w:p w14:paraId="65E0F5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35.6</w:t>
            </w:r>
          </w:p>
        </w:tc>
        <w:tc>
          <w:tcPr>
            <w:tcW w:w="485" w:type="dxa"/>
            <w:shd w:val="clear" w:color="auto" w:fill="auto"/>
            <w:tcMar>
              <w:top w:w="0" w:type="dxa"/>
              <w:left w:w="0" w:type="dxa"/>
              <w:bottom w:w="0" w:type="dxa"/>
              <w:right w:w="0" w:type="dxa"/>
            </w:tcMar>
            <w:vAlign w:val="center"/>
          </w:tcPr>
          <w:p w14:paraId="34F7D5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985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4DC5845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05" w:type="dxa"/>
            <w:vMerge w:val="continue"/>
            <w:shd w:val="clear" w:color="auto" w:fill="auto"/>
            <w:tcMar>
              <w:top w:w="0" w:type="dxa"/>
              <w:left w:w="0" w:type="dxa"/>
              <w:bottom w:w="0" w:type="dxa"/>
              <w:right w:w="0" w:type="dxa"/>
            </w:tcMar>
            <w:vAlign w:val="center"/>
          </w:tcPr>
          <w:p w14:paraId="6D8374E9">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0D2854C">
            <w:pPr>
              <w:spacing w:before="69" w:line="220" w:lineRule="auto"/>
              <w:jc w:val="center"/>
              <w:rPr>
                <w:rFonts w:hint="eastAsia" w:ascii="宋体" w:hAnsi="宋体" w:eastAsia="宋体" w:cs="宋体"/>
                <w:color w:val="auto"/>
                <w:spacing w:val="-3"/>
                <w:szCs w:val="21"/>
                <w:lang w:val="en-US" w:eastAsia="zh-CN"/>
              </w:rPr>
            </w:pPr>
            <w:r>
              <w:rPr>
                <w:rFonts w:hint="eastAsia" w:ascii="Times New Roman" w:hAnsi="Times New Roman" w:eastAsia="宋体" w:cs="Times New Roman"/>
                <w:bCs/>
                <w:color w:val="auto"/>
                <w:szCs w:val="21"/>
              </w:rPr>
              <w:t>精炼锅</w:t>
            </w:r>
            <w:r>
              <w:rPr>
                <w:rFonts w:hint="eastAsia" w:ascii="Times New Roman" w:hAnsi="Times New Roman" w:eastAsia="宋体" w:cs="Times New Roman"/>
                <w:bCs/>
                <w:color w:val="auto"/>
                <w:szCs w:val="21"/>
                <w:lang w:val="en-US" w:eastAsia="zh-CN"/>
              </w:rPr>
              <w:t>1</w:t>
            </w:r>
          </w:p>
        </w:tc>
        <w:tc>
          <w:tcPr>
            <w:tcW w:w="693" w:type="dxa"/>
            <w:shd w:val="clear" w:color="auto" w:fill="auto"/>
            <w:tcMar>
              <w:top w:w="0" w:type="dxa"/>
              <w:left w:w="0" w:type="dxa"/>
              <w:bottom w:w="0" w:type="dxa"/>
              <w:right w:w="0" w:type="dxa"/>
            </w:tcMar>
            <w:vAlign w:val="center"/>
          </w:tcPr>
          <w:p w14:paraId="196F147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3DB870C6">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5ADD99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-75.8</w:t>
            </w:r>
          </w:p>
        </w:tc>
        <w:tc>
          <w:tcPr>
            <w:tcW w:w="505" w:type="dxa"/>
            <w:shd w:val="clear" w:color="auto" w:fill="auto"/>
            <w:tcMar>
              <w:top w:w="0" w:type="dxa"/>
              <w:left w:w="0" w:type="dxa"/>
              <w:bottom w:w="0" w:type="dxa"/>
              <w:right w:w="0" w:type="dxa"/>
            </w:tcMar>
            <w:vAlign w:val="center"/>
          </w:tcPr>
          <w:p w14:paraId="6AE992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22.5</w:t>
            </w:r>
          </w:p>
        </w:tc>
        <w:tc>
          <w:tcPr>
            <w:tcW w:w="505" w:type="dxa"/>
            <w:shd w:val="clear" w:color="auto" w:fill="auto"/>
            <w:tcMar>
              <w:top w:w="0" w:type="dxa"/>
              <w:left w:w="0" w:type="dxa"/>
              <w:bottom w:w="0" w:type="dxa"/>
              <w:right w:w="0" w:type="dxa"/>
            </w:tcMar>
            <w:vAlign w:val="center"/>
          </w:tcPr>
          <w:p w14:paraId="403582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125AA6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81.5</w:t>
            </w:r>
          </w:p>
        </w:tc>
        <w:tc>
          <w:tcPr>
            <w:tcW w:w="505" w:type="dxa"/>
            <w:shd w:val="clear" w:color="auto" w:fill="auto"/>
            <w:tcMar>
              <w:top w:w="0" w:type="dxa"/>
              <w:left w:w="0" w:type="dxa"/>
              <w:bottom w:w="0" w:type="dxa"/>
              <w:right w:w="0" w:type="dxa"/>
            </w:tcMar>
            <w:vAlign w:val="center"/>
          </w:tcPr>
          <w:p w14:paraId="02BE2C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46.5</w:t>
            </w:r>
          </w:p>
        </w:tc>
        <w:tc>
          <w:tcPr>
            <w:tcW w:w="505" w:type="dxa"/>
            <w:shd w:val="clear" w:color="auto" w:fill="auto"/>
            <w:tcMar>
              <w:top w:w="0" w:type="dxa"/>
              <w:left w:w="0" w:type="dxa"/>
              <w:bottom w:w="0" w:type="dxa"/>
              <w:right w:w="0" w:type="dxa"/>
            </w:tcMar>
            <w:vAlign w:val="center"/>
          </w:tcPr>
          <w:p w14:paraId="3EB0CC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w:t>
            </w:r>
          </w:p>
        </w:tc>
        <w:tc>
          <w:tcPr>
            <w:tcW w:w="505" w:type="dxa"/>
            <w:shd w:val="clear" w:color="auto" w:fill="auto"/>
            <w:tcMar>
              <w:top w:w="0" w:type="dxa"/>
              <w:left w:w="0" w:type="dxa"/>
              <w:bottom w:w="0" w:type="dxa"/>
              <w:right w:w="0" w:type="dxa"/>
            </w:tcMar>
            <w:vAlign w:val="center"/>
          </w:tcPr>
          <w:p w14:paraId="394E02A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505" w:type="dxa"/>
            <w:shd w:val="clear" w:color="auto" w:fill="auto"/>
            <w:tcMar>
              <w:top w:w="0" w:type="dxa"/>
              <w:left w:w="0" w:type="dxa"/>
              <w:bottom w:w="0" w:type="dxa"/>
              <w:right w:w="0" w:type="dxa"/>
            </w:tcMar>
            <w:vAlign w:val="center"/>
          </w:tcPr>
          <w:p w14:paraId="4ECBA1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6E3288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3817ED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14:paraId="173BA2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14:paraId="7FCED4B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C3594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4DC13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2C5A0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4F5FB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B5696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0A3F1F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3F7AD5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14:paraId="79FF6A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14:paraId="251223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3AA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49EDC3B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405" w:type="dxa"/>
            <w:vMerge w:val="continue"/>
            <w:shd w:val="clear" w:color="auto" w:fill="auto"/>
            <w:tcMar>
              <w:top w:w="0" w:type="dxa"/>
              <w:left w:w="0" w:type="dxa"/>
              <w:bottom w:w="0" w:type="dxa"/>
              <w:right w:w="0" w:type="dxa"/>
            </w:tcMar>
            <w:vAlign w:val="center"/>
          </w:tcPr>
          <w:p w14:paraId="3A4DE753">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6F9CFA05">
            <w:pPr>
              <w:spacing w:before="69" w:line="220" w:lineRule="auto"/>
              <w:jc w:val="center"/>
              <w:rPr>
                <w:rFonts w:ascii="宋体" w:hAnsi="宋体" w:cs="宋体"/>
                <w:color w:val="auto"/>
                <w:spacing w:val="-3"/>
                <w:szCs w:val="21"/>
              </w:rPr>
            </w:pPr>
            <w:r>
              <w:rPr>
                <w:rFonts w:hint="eastAsia" w:ascii="Times New Roman" w:hAnsi="Times New Roman" w:eastAsia="宋体" w:cs="Times New Roman"/>
                <w:bCs/>
                <w:color w:val="auto"/>
                <w:szCs w:val="21"/>
              </w:rPr>
              <w:t>精炼锅</w:t>
            </w:r>
            <w:r>
              <w:rPr>
                <w:rFonts w:hint="eastAsia" w:ascii="Times New Roman" w:hAnsi="Times New Roman" w:eastAsia="宋体" w:cs="Times New Roman"/>
                <w:bCs/>
                <w:color w:val="auto"/>
                <w:szCs w:val="21"/>
                <w:lang w:val="en-US" w:eastAsia="zh-CN"/>
              </w:rPr>
              <w:t>2</w:t>
            </w:r>
          </w:p>
        </w:tc>
        <w:tc>
          <w:tcPr>
            <w:tcW w:w="693" w:type="dxa"/>
            <w:shd w:val="clear" w:color="auto" w:fill="auto"/>
            <w:tcMar>
              <w:top w:w="0" w:type="dxa"/>
              <w:left w:w="0" w:type="dxa"/>
              <w:bottom w:w="0" w:type="dxa"/>
              <w:right w:w="0" w:type="dxa"/>
            </w:tcMar>
            <w:vAlign w:val="center"/>
          </w:tcPr>
          <w:p w14:paraId="1B17525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75F19CBB">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88034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-64.7</w:t>
            </w:r>
          </w:p>
        </w:tc>
        <w:tc>
          <w:tcPr>
            <w:tcW w:w="505" w:type="dxa"/>
            <w:shd w:val="clear" w:color="auto" w:fill="auto"/>
            <w:tcMar>
              <w:top w:w="0" w:type="dxa"/>
              <w:left w:w="0" w:type="dxa"/>
              <w:bottom w:w="0" w:type="dxa"/>
              <w:right w:w="0" w:type="dxa"/>
            </w:tcMar>
            <w:vAlign w:val="center"/>
          </w:tcPr>
          <w:p w14:paraId="7DCAFF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505" w:type="dxa"/>
            <w:shd w:val="clear" w:color="auto" w:fill="auto"/>
            <w:tcMar>
              <w:top w:w="0" w:type="dxa"/>
              <w:left w:w="0" w:type="dxa"/>
              <w:bottom w:w="0" w:type="dxa"/>
              <w:right w:w="0" w:type="dxa"/>
            </w:tcMar>
            <w:vAlign w:val="center"/>
          </w:tcPr>
          <w:p w14:paraId="4EE203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77F1B2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68.6</w:t>
            </w:r>
          </w:p>
        </w:tc>
        <w:tc>
          <w:tcPr>
            <w:tcW w:w="505" w:type="dxa"/>
            <w:shd w:val="clear" w:color="auto" w:fill="auto"/>
            <w:tcMar>
              <w:top w:w="0" w:type="dxa"/>
              <w:left w:w="0" w:type="dxa"/>
              <w:bottom w:w="0" w:type="dxa"/>
              <w:right w:w="0" w:type="dxa"/>
            </w:tcMar>
            <w:vAlign w:val="center"/>
          </w:tcPr>
          <w:p w14:paraId="11D577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46.8</w:t>
            </w:r>
          </w:p>
        </w:tc>
        <w:tc>
          <w:tcPr>
            <w:tcW w:w="505" w:type="dxa"/>
            <w:shd w:val="clear" w:color="auto" w:fill="auto"/>
            <w:tcMar>
              <w:top w:w="0" w:type="dxa"/>
              <w:left w:w="0" w:type="dxa"/>
              <w:bottom w:w="0" w:type="dxa"/>
              <w:right w:w="0" w:type="dxa"/>
            </w:tcMar>
            <w:vAlign w:val="center"/>
          </w:tcPr>
          <w:p w14:paraId="6DB72E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23.9</w:t>
            </w:r>
          </w:p>
        </w:tc>
        <w:tc>
          <w:tcPr>
            <w:tcW w:w="505" w:type="dxa"/>
            <w:shd w:val="clear" w:color="auto" w:fill="auto"/>
            <w:tcMar>
              <w:top w:w="0" w:type="dxa"/>
              <w:left w:w="0" w:type="dxa"/>
              <w:bottom w:w="0" w:type="dxa"/>
              <w:right w:w="0" w:type="dxa"/>
            </w:tcMar>
            <w:vAlign w:val="center"/>
          </w:tcPr>
          <w:p w14:paraId="08A877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w:t>
            </w:r>
          </w:p>
        </w:tc>
        <w:tc>
          <w:tcPr>
            <w:tcW w:w="505" w:type="dxa"/>
            <w:shd w:val="clear" w:color="auto" w:fill="auto"/>
            <w:tcMar>
              <w:top w:w="0" w:type="dxa"/>
              <w:left w:w="0" w:type="dxa"/>
              <w:bottom w:w="0" w:type="dxa"/>
              <w:right w:w="0" w:type="dxa"/>
            </w:tcMar>
            <w:vAlign w:val="center"/>
          </w:tcPr>
          <w:p w14:paraId="497780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767C69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500DA9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14:paraId="55EDB0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14:paraId="51FA0DE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43689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9953D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56DB6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B6DC0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435643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2AD9B2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1C3A1F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14:paraId="1BDB99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14:paraId="15C298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D69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31DA9BB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405" w:type="dxa"/>
            <w:vMerge w:val="continue"/>
            <w:shd w:val="clear" w:color="auto" w:fill="auto"/>
            <w:tcMar>
              <w:top w:w="0" w:type="dxa"/>
              <w:left w:w="0" w:type="dxa"/>
              <w:bottom w:w="0" w:type="dxa"/>
              <w:right w:w="0" w:type="dxa"/>
            </w:tcMar>
            <w:vAlign w:val="center"/>
          </w:tcPr>
          <w:p w14:paraId="3AB6AF47">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650AD65D">
            <w:pPr>
              <w:jc w:val="center"/>
              <w:rPr>
                <w:rFonts w:ascii="宋体" w:hAnsi="宋体" w:cs="宋体"/>
                <w:color w:val="auto"/>
                <w:spacing w:val="-3"/>
                <w:szCs w:val="21"/>
              </w:rPr>
            </w:pPr>
            <w:r>
              <w:rPr>
                <w:rFonts w:hint="eastAsia" w:ascii="Times New Roman" w:hAnsi="Times New Roman" w:eastAsia="宋体" w:cs="Times New Roman"/>
                <w:bCs/>
                <w:color w:val="auto"/>
                <w:szCs w:val="21"/>
              </w:rPr>
              <w:t>油脚泵</w:t>
            </w:r>
          </w:p>
        </w:tc>
        <w:tc>
          <w:tcPr>
            <w:tcW w:w="693" w:type="dxa"/>
            <w:shd w:val="clear" w:color="auto" w:fill="auto"/>
            <w:tcMar>
              <w:top w:w="0" w:type="dxa"/>
              <w:left w:w="0" w:type="dxa"/>
              <w:bottom w:w="0" w:type="dxa"/>
              <w:right w:w="0" w:type="dxa"/>
            </w:tcMar>
            <w:vAlign w:val="center"/>
          </w:tcPr>
          <w:p w14:paraId="58AE255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07CEE6C6">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333CD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-75.8</w:t>
            </w:r>
          </w:p>
        </w:tc>
        <w:tc>
          <w:tcPr>
            <w:tcW w:w="505" w:type="dxa"/>
            <w:shd w:val="clear" w:color="auto" w:fill="auto"/>
            <w:tcMar>
              <w:top w:w="0" w:type="dxa"/>
              <w:left w:w="0" w:type="dxa"/>
              <w:bottom w:w="0" w:type="dxa"/>
              <w:right w:w="0" w:type="dxa"/>
            </w:tcMar>
            <w:vAlign w:val="center"/>
          </w:tcPr>
          <w:p w14:paraId="3A7182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06BCF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696CE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75.7</w:t>
            </w:r>
          </w:p>
        </w:tc>
        <w:tc>
          <w:tcPr>
            <w:tcW w:w="505" w:type="dxa"/>
            <w:shd w:val="clear" w:color="auto" w:fill="auto"/>
            <w:tcMar>
              <w:top w:w="0" w:type="dxa"/>
              <w:left w:w="0" w:type="dxa"/>
              <w:bottom w:w="0" w:type="dxa"/>
              <w:right w:w="0" w:type="dxa"/>
            </w:tcMar>
            <w:vAlign w:val="center"/>
          </w:tcPr>
          <w:p w14:paraId="052939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37.5</w:t>
            </w:r>
          </w:p>
        </w:tc>
        <w:tc>
          <w:tcPr>
            <w:tcW w:w="505" w:type="dxa"/>
            <w:shd w:val="clear" w:color="auto" w:fill="auto"/>
            <w:tcMar>
              <w:top w:w="0" w:type="dxa"/>
              <w:left w:w="0" w:type="dxa"/>
              <w:bottom w:w="0" w:type="dxa"/>
              <w:right w:w="0" w:type="dxa"/>
            </w:tcMar>
            <w:vAlign w:val="center"/>
          </w:tcPr>
          <w:p w14:paraId="668E24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16.5</w:t>
            </w:r>
          </w:p>
        </w:tc>
        <w:tc>
          <w:tcPr>
            <w:tcW w:w="505" w:type="dxa"/>
            <w:shd w:val="clear" w:color="auto" w:fill="auto"/>
            <w:tcMar>
              <w:top w:w="0" w:type="dxa"/>
              <w:left w:w="0" w:type="dxa"/>
              <w:bottom w:w="0" w:type="dxa"/>
              <w:right w:w="0" w:type="dxa"/>
            </w:tcMar>
            <w:vAlign w:val="center"/>
          </w:tcPr>
          <w:p w14:paraId="2634C2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35.1</w:t>
            </w:r>
          </w:p>
        </w:tc>
        <w:tc>
          <w:tcPr>
            <w:tcW w:w="505" w:type="dxa"/>
            <w:shd w:val="clear" w:color="auto" w:fill="auto"/>
            <w:tcMar>
              <w:top w:w="0" w:type="dxa"/>
              <w:left w:w="0" w:type="dxa"/>
              <w:bottom w:w="0" w:type="dxa"/>
              <w:right w:w="0" w:type="dxa"/>
            </w:tcMar>
            <w:vAlign w:val="center"/>
          </w:tcPr>
          <w:p w14:paraId="25644C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7E9EB8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39459C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15" w:type="dxa"/>
            <w:shd w:val="clear" w:color="auto" w:fill="auto"/>
            <w:tcMar>
              <w:top w:w="0" w:type="dxa"/>
              <w:left w:w="0" w:type="dxa"/>
              <w:bottom w:w="0" w:type="dxa"/>
              <w:right w:w="0" w:type="dxa"/>
            </w:tcMar>
            <w:vAlign w:val="center"/>
          </w:tcPr>
          <w:p w14:paraId="76453D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6175B74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49323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BF8FF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DC779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86B19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DF21C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57C9C6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604EFB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2" w:type="dxa"/>
            <w:shd w:val="clear" w:color="auto" w:fill="auto"/>
            <w:tcMar>
              <w:top w:w="0" w:type="dxa"/>
              <w:left w:w="0" w:type="dxa"/>
              <w:bottom w:w="0" w:type="dxa"/>
              <w:right w:w="0" w:type="dxa"/>
            </w:tcMar>
            <w:vAlign w:val="center"/>
          </w:tcPr>
          <w:p w14:paraId="0C1C6B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0DEB4B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5BC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36D20C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405" w:type="dxa"/>
            <w:vMerge w:val="continue"/>
            <w:shd w:val="clear" w:color="auto" w:fill="auto"/>
            <w:tcMar>
              <w:top w:w="0" w:type="dxa"/>
              <w:left w:w="0" w:type="dxa"/>
              <w:bottom w:w="0" w:type="dxa"/>
              <w:right w:w="0" w:type="dxa"/>
            </w:tcMar>
            <w:vAlign w:val="center"/>
          </w:tcPr>
          <w:p w14:paraId="3371FBF4">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2C031B76">
            <w:pPr>
              <w:jc w:val="center"/>
              <w:rPr>
                <w:rFonts w:ascii="宋体" w:hAnsi="宋体" w:cs="宋体"/>
                <w:color w:val="auto"/>
                <w:spacing w:val="-3"/>
                <w:szCs w:val="21"/>
              </w:rPr>
            </w:pPr>
            <w:r>
              <w:rPr>
                <w:rFonts w:hint="eastAsia" w:ascii="Times New Roman" w:hAnsi="Times New Roman" w:eastAsia="宋体" w:cs="Times New Roman"/>
                <w:bCs/>
                <w:color w:val="auto"/>
                <w:szCs w:val="21"/>
              </w:rPr>
              <w:t>油脚锅</w:t>
            </w:r>
          </w:p>
        </w:tc>
        <w:tc>
          <w:tcPr>
            <w:tcW w:w="693" w:type="dxa"/>
            <w:shd w:val="clear" w:color="auto" w:fill="auto"/>
            <w:tcMar>
              <w:top w:w="0" w:type="dxa"/>
              <w:left w:w="0" w:type="dxa"/>
              <w:bottom w:w="0" w:type="dxa"/>
              <w:right w:w="0" w:type="dxa"/>
            </w:tcMar>
            <w:vAlign w:val="center"/>
          </w:tcPr>
          <w:p w14:paraId="268DE3B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3F1A988E">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628EC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-67.4</w:t>
            </w:r>
          </w:p>
        </w:tc>
        <w:tc>
          <w:tcPr>
            <w:tcW w:w="505" w:type="dxa"/>
            <w:shd w:val="clear" w:color="auto" w:fill="auto"/>
            <w:tcMar>
              <w:top w:w="0" w:type="dxa"/>
              <w:left w:w="0" w:type="dxa"/>
              <w:bottom w:w="0" w:type="dxa"/>
              <w:right w:w="0" w:type="dxa"/>
            </w:tcMar>
            <w:vAlign w:val="center"/>
          </w:tcPr>
          <w:p w14:paraId="49240A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505" w:type="dxa"/>
            <w:shd w:val="clear" w:color="auto" w:fill="auto"/>
            <w:tcMar>
              <w:top w:w="0" w:type="dxa"/>
              <w:left w:w="0" w:type="dxa"/>
              <w:bottom w:w="0" w:type="dxa"/>
              <w:right w:w="0" w:type="dxa"/>
            </w:tcMar>
            <w:vAlign w:val="center"/>
          </w:tcPr>
          <w:p w14:paraId="663C4D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AC35D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66.5</w:t>
            </w:r>
          </w:p>
        </w:tc>
        <w:tc>
          <w:tcPr>
            <w:tcW w:w="505" w:type="dxa"/>
            <w:shd w:val="clear" w:color="auto" w:fill="auto"/>
            <w:tcMar>
              <w:top w:w="0" w:type="dxa"/>
              <w:left w:w="0" w:type="dxa"/>
              <w:bottom w:w="0" w:type="dxa"/>
              <w:right w:w="0" w:type="dxa"/>
            </w:tcMar>
            <w:vAlign w:val="center"/>
          </w:tcPr>
          <w:p w14:paraId="3D6EEE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38.6</w:t>
            </w:r>
          </w:p>
        </w:tc>
        <w:tc>
          <w:tcPr>
            <w:tcW w:w="505" w:type="dxa"/>
            <w:shd w:val="clear" w:color="auto" w:fill="auto"/>
            <w:tcMar>
              <w:top w:w="0" w:type="dxa"/>
              <w:left w:w="0" w:type="dxa"/>
              <w:bottom w:w="0" w:type="dxa"/>
              <w:right w:w="0" w:type="dxa"/>
            </w:tcMar>
            <w:vAlign w:val="center"/>
          </w:tcPr>
          <w:p w14:paraId="705045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25.8</w:t>
            </w:r>
          </w:p>
        </w:tc>
        <w:tc>
          <w:tcPr>
            <w:tcW w:w="505" w:type="dxa"/>
            <w:shd w:val="clear" w:color="auto" w:fill="auto"/>
            <w:tcMar>
              <w:top w:w="0" w:type="dxa"/>
              <w:left w:w="0" w:type="dxa"/>
              <w:bottom w:w="0" w:type="dxa"/>
              <w:right w:w="0" w:type="dxa"/>
            </w:tcMar>
            <w:vAlign w:val="center"/>
          </w:tcPr>
          <w:p w14:paraId="02D4D1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34.3</w:t>
            </w:r>
          </w:p>
        </w:tc>
        <w:tc>
          <w:tcPr>
            <w:tcW w:w="505" w:type="dxa"/>
            <w:shd w:val="clear" w:color="auto" w:fill="auto"/>
            <w:tcMar>
              <w:top w:w="0" w:type="dxa"/>
              <w:left w:w="0" w:type="dxa"/>
              <w:bottom w:w="0" w:type="dxa"/>
              <w:right w:w="0" w:type="dxa"/>
            </w:tcMar>
            <w:vAlign w:val="center"/>
          </w:tcPr>
          <w:p w14:paraId="4462D4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189B26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7466C1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4657F3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126D44E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729C8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50A04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F0250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5A9B9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9DF41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0EDF54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78D2E2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46B1E6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272E33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D98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1BAE864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405" w:type="dxa"/>
            <w:vMerge w:val="continue"/>
            <w:shd w:val="clear" w:color="auto" w:fill="auto"/>
            <w:tcMar>
              <w:top w:w="0" w:type="dxa"/>
              <w:left w:w="0" w:type="dxa"/>
              <w:bottom w:w="0" w:type="dxa"/>
              <w:right w:w="0" w:type="dxa"/>
            </w:tcMar>
            <w:vAlign w:val="center"/>
          </w:tcPr>
          <w:p w14:paraId="4D9B1745">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481B13A2">
            <w:pPr>
              <w:jc w:val="center"/>
              <w:rPr>
                <w:rFonts w:ascii="宋体" w:hAnsi="宋体" w:cs="宋体"/>
                <w:color w:val="auto"/>
                <w:spacing w:val="-3"/>
                <w:szCs w:val="21"/>
              </w:rPr>
            </w:pPr>
            <w:r>
              <w:rPr>
                <w:rFonts w:hint="eastAsia" w:ascii="Times New Roman" w:hAnsi="Times New Roman" w:eastAsia="宋体" w:cs="Times New Roman"/>
                <w:bCs/>
                <w:color w:val="auto"/>
                <w:szCs w:val="21"/>
              </w:rPr>
              <w:t>齿轮油泵</w:t>
            </w:r>
          </w:p>
        </w:tc>
        <w:tc>
          <w:tcPr>
            <w:tcW w:w="693" w:type="dxa"/>
            <w:shd w:val="clear" w:color="auto" w:fill="auto"/>
            <w:tcMar>
              <w:top w:w="0" w:type="dxa"/>
              <w:left w:w="0" w:type="dxa"/>
              <w:bottom w:w="0" w:type="dxa"/>
              <w:right w:w="0" w:type="dxa"/>
            </w:tcMar>
            <w:vAlign w:val="center"/>
          </w:tcPr>
          <w:p w14:paraId="68F8701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268CF8D3">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544340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-79.3</w:t>
            </w:r>
          </w:p>
        </w:tc>
        <w:tc>
          <w:tcPr>
            <w:tcW w:w="505" w:type="dxa"/>
            <w:shd w:val="clear" w:color="auto" w:fill="auto"/>
            <w:tcMar>
              <w:top w:w="0" w:type="dxa"/>
              <w:left w:w="0" w:type="dxa"/>
              <w:bottom w:w="0" w:type="dxa"/>
              <w:right w:w="0" w:type="dxa"/>
            </w:tcMar>
            <w:vAlign w:val="center"/>
          </w:tcPr>
          <w:p w14:paraId="4F77B7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05" w:type="dxa"/>
            <w:shd w:val="clear" w:color="auto" w:fill="auto"/>
            <w:tcMar>
              <w:top w:w="0" w:type="dxa"/>
              <w:left w:w="0" w:type="dxa"/>
              <w:bottom w:w="0" w:type="dxa"/>
              <w:right w:w="0" w:type="dxa"/>
            </w:tcMar>
            <w:vAlign w:val="center"/>
          </w:tcPr>
          <w:p w14:paraId="68F685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CE202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73.2</w:t>
            </w:r>
          </w:p>
        </w:tc>
        <w:tc>
          <w:tcPr>
            <w:tcW w:w="505" w:type="dxa"/>
            <w:shd w:val="clear" w:color="auto" w:fill="auto"/>
            <w:tcMar>
              <w:top w:w="0" w:type="dxa"/>
              <w:left w:w="0" w:type="dxa"/>
              <w:bottom w:w="0" w:type="dxa"/>
              <w:right w:w="0" w:type="dxa"/>
            </w:tcMar>
            <w:vAlign w:val="center"/>
          </w:tcPr>
          <w:p w14:paraId="5285B4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w:t>
            </w:r>
          </w:p>
        </w:tc>
        <w:tc>
          <w:tcPr>
            <w:tcW w:w="505" w:type="dxa"/>
            <w:shd w:val="clear" w:color="auto" w:fill="auto"/>
            <w:tcMar>
              <w:top w:w="0" w:type="dxa"/>
              <w:left w:w="0" w:type="dxa"/>
              <w:bottom w:w="0" w:type="dxa"/>
              <w:right w:w="0" w:type="dxa"/>
            </w:tcMar>
            <w:vAlign w:val="center"/>
          </w:tcPr>
          <w:p w14:paraId="499F86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18.8</w:t>
            </w:r>
          </w:p>
        </w:tc>
        <w:tc>
          <w:tcPr>
            <w:tcW w:w="505" w:type="dxa"/>
            <w:shd w:val="clear" w:color="auto" w:fill="auto"/>
            <w:tcMar>
              <w:top w:w="0" w:type="dxa"/>
              <w:left w:w="0" w:type="dxa"/>
              <w:bottom w:w="0" w:type="dxa"/>
              <w:right w:w="0" w:type="dxa"/>
            </w:tcMar>
            <w:vAlign w:val="center"/>
          </w:tcPr>
          <w:p w14:paraId="5BF68F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45.5</w:t>
            </w:r>
          </w:p>
        </w:tc>
        <w:tc>
          <w:tcPr>
            <w:tcW w:w="505" w:type="dxa"/>
            <w:shd w:val="clear" w:color="auto" w:fill="auto"/>
            <w:tcMar>
              <w:top w:w="0" w:type="dxa"/>
              <w:left w:w="0" w:type="dxa"/>
              <w:bottom w:w="0" w:type="dxa"/>
              <w:right w:w="0" w:type="dxa"/>
            </w:tcMar>
            <w:vAlign w:val="center"/>
          </w:tcPr>
          <w:p w14:paraId="775F9B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6FCD12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1AEC48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70B341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76FF4D5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044E8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4ED32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207F4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9BEAA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9B873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17AA0B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5D3394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54D07F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59E4F5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4C8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4F22B45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405" w:type="dxa"/>
            <w:vMerge w:val="continue"/>
            <w:shd w:val="clear" w:color="auto" w:fill="auto"/>
            <w:tcMar>
              <w:top w:w="0" w:type="dxa"/>
              <w:left w:w="0" w:type="dxa"/>
              <w:bottom w:w="0" w:type="dxa"/>
              <w:right w:w="0" w:type="dxa"/>
            </w:tcMar>
            <w:vAlign w:val="center"/>
          </w:tcPr>
          <w:p w14:paraId="393E60E7">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2C84F92C">
            <w:pPr>
              <w:jc w:val="center"/>
              <w:rPr>
                <w:rFonts w:ascii="宋体" w:hAnsi="宋体" w:cs="宋体"/>
                <w:color w:val="auto"/>
                <w:spacing w:val="-3"/>
                <w:szCs w:val="21"/>
              </w:rPr>
            </w:pPr>
            <w:r>
              <w:rPr>
                <w:rFonts w:hint="eastAsia" w:ascii="Times New Roman" w:hAnsi="Times New Roman" w:eastAsia="宋体" w:cs="Times New Roman"/>
                <w:bCs/>
                <w:color w:val="auto"/>
                <w:szCs w:val="21"/>
              </w:rPr>
              <w:t>干燥脱色锅</w:t>
            </w:r>
          </w:p>
        </w:tc>
        <w:tc>
          <w:tcPr>
            <w:tcW w:w="693" w:type="dxa"/>
            <w:shd w:val="clear" w:color="auto" w:fill="auto"/>
            <w:tcMar>
              <w:top w:w="0" w:type="dxa"/>
              <w:left w:w="0" w:type="dxa"/>
              <w:bottom w:w="0" w:type="dxa"/>
              <w:right w:w="0" w:type="dxa"/>
            </w:tcMar>
            <w:vAlign w:val="center"/>
          </w:tcPr>
          <w:p w14:paraId="01665F8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1E009267">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4582E0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-70.6</w:t>
            </w:r>
          </w:p>
        </w:tc>
        <w:tc>
          <w:tcPr>
            <w:tcW w:w="505" w:type="dxa"/>
            <w:shd w:val="clear" w:color="auto" w:fill="auto"/>
            <w:tcMar>
              <w:top w:w="0" w:type="dxa"/>
              <w:left w:w="0" w:type="dxa"/>
              <w:bottom w:w="0" w:type="dxa"/>
              <w:right w:w="0" w:type="dxa"/>
            </w:tcMar>
            <w:vAlign w:val="center"/>
          </w:tcPr>
          <w:p w14:paraId="261F09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505" w:type="dxa"/>
            <w:shd w:val="clear" w:color="auto" w:fill="auto"/>
            <w:tcMar>
              <w:top w:w="0" w:type="dxa"/>
              <w:left w:w="0" w:type="dxa"/>
              <w:bottom w:w="0" w:type="dxa"/>
              <w:right w:w="0" w:type="dxa"/>
            </w:tcMar>
            <w:vAlign w:val="center"/>
          </w:tcPr>
          <w:p w14:paraId="360C30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585A3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63.9</w:t>
            </w:r>
          </w:p>
        </w:tc>
        <w:tc>
          <w:tcPr>
            <w:tcW w:w="505" w:type="dxa"/>
            <w:shd w:val="clear" w:color="auto" w:fill="auto"/>
            <w:tcMar>
              <w:top w:w="0" w:type="dxa"/>
              <w:left w:w="0" w:type="dxa"/>
              <w:bottom w:w="0" w:type="dxa"/>
              <w:right w:w="0" w:type="dxa"/>
            </w:tcMar>
            <w:vAlign w:val="center"/>
          </w:tcPr>
          <w:p w14:paraId="695C22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28.5</w:t>
            </w:r>
          </w:p>
        </w:tc>
        <w:tc>
          <w:tcPr>
            <w:tcW w:w="505" w:type="dxa"/>
            <w:shd w:val="clear" w:color="auto" w:fill="auto"/>
            <w:tcMar>
              <w:top w:w="0" w:type="dxa"/>
              <w:left w:w="0" w:type="dxa"/>
              <w:bottom w:w="0" w:type="dxa"/>
              <w:right w:w="0" w:type="dxa"/>
            </w:tcMar>
            <w:vAlign w:val="center"/>
          </w:tcPr>
          <w:p w14:paraId="74C6A6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28.2</w:t>
            </w:r>
          </w:p>
        </w:tc>
        <w:tc>
          <w:tcPr>
            <w:tcW w:w="505" w:type="dxa"/>
            <w:shd w:val="clear" w:color="auto" w:fill="auto"/>
            <w:tcMar>
              <w:top w:w="0" w:type="dxa"/>
              <w:left w:w="0" w:type="dxa"/>
              <w:bottom w:w="0" w:type="dxa"/>
              <w:right w:w="0" w:type="dxa"/>
            </w:tcMar>
            <w:vAlign w:val="center"/>
          </w:tcPr>
          <w:p w14:paraId="3D05A31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505" w:type="dxa"/>
            <w:shd w:val="clear" w:color="auto" w:fill="auto"/>
            <w:tcMar>
              <w:top w:w="0" w:type="dxa"/>
              <w:left w:w="0" w:type="dxa"/>
              <w:bottom w:w="0" w:type="dxa"/>
              <w:right w:w="0" w:type="dxa"/>
            </w:tcMar>
            <w:vAlign w:val="center"/>
          </w:tcPr>
          <w:p w14:paraId="554262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05F5FC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48725B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64EE48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76D3F1B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80197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DD19E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6BDB5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BAC859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F4422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2143FC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54CF72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1A102B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20A5CB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80A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3CE01CF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405" w:type="dxa"/>
            <w:vMerge w:val="continue"/>
            <w:shd w:val="clear" w:color="auto" w:fill="auto"/>
            <w:tcMar>
              <w:top w:w="0" w:type="dxa"/>
              <w:left w:w="0" w:type="dxa"/>
              <w:bottom w:w="0" w:type="dxa"/>
              <w:right w:w="0" w:type="dxa"/>
            </w:tcMar>
            <w:vAlign w:val="center"/>
          </w:tcPr>
          <w:p w14:paraId="1F341653">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47E3E283">
            <w:pPr>
              <w:jc w:val="center"/>
              <w:rPr>
                <w:rFonts w:ascii="宋体" w:hAnsi="宋体" w:cs="宋体"/>
                <w:color w:val="auto"/>
                <w:spacing w:val="-3"/>
                <w:szCs w:val="21"/>
              </w:rPr>
            </w:pPr>
            <w:r>
              <w:rPr>
                <w:rFonts w:hint="eastAsia" w:cs="Times New Roman"/>
                <w:bCs/>
                <w:color w:val="auto"/>
                <w:szCs w:val="21"/>
                <w:lang w:eastAsia="zh-CN"/>
              </w:rPr>
              <w:t>油气</w:t>
            </w:r>
            <w:r>
              <w:rPr>
                <w:rFonts w:hint="eastAsia" w:ascii="Times New Roman" w:hAnsi="Times New Roman" w:eastAsia="宋体" w:cs="Times New Roman"/>
                <w:bCs/>
                <w:color w:val="auto"/>
                <w:szCs w:val="21"/>
              </w:rPr>
              <w:t>分离器</w:t>
            </w:r>
          </w:p>
        </w:tc>
        <w:tc>
          <w:tcPr>
            <w:tcW w:w="693" w:type="dxa"/>
            <w:shd w:val="clear" w:color="auto" w:fill="auto"/>
            <w:tcMar>
              <w:top w:w="0" w:type="dxa"/>
              <w:left w:w="0" w:type="dxa"/>
              <w:bottom w:w="0" w:type="dxa"/>
              <w:right w:w="0" w:type="dxa"/>
            </w:tcMar>
            <w:vAlign w:val="center"/>
          </w:tcPr>
          <w:p w14:paraId="46198D8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037458AF">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FC3EE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-58.5</w:t>
            </w:r>
          </w:p>
        </w:tc>
        <w:tc>
          <w:tcPr>
            <w:tcW w:w="505" w:type="dxa"/>
            <w:shd w:val="clear" w:color="auto" w:fill="auto"/>
            <w:tcMar>
              <w:top w:w="0" w:type="dxa"/>
              <w:left w:w="0" w:type="dxa"/>
              <w:bottom w:w="0" w:type="dxa"/>
              <w:right w:w="0" w:type="dxa"/>
            </w:tcMar>
            <w:vAlign w:val="center"/>
          </w:tcPr>
          <w:p w14:paraId="7C7F15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05" w:type="dxa"/>
            <w:shd w:val="clear" w:color="auto" w:fill="auto"/>
            <w:tcMar>
              <w:top w:w="0" w:type="dxa"/>
              <w:left w:w="0" w:type="dxa"/>
              <w:bottom w:w="0" w:type="dxa"/>
              <w:right w:w="0" w:type="dxa"/>
            </w:tcMar>
            <w:vAlign w:val="center"/>
          </w:tcPr>
          <w:p w14:paraId="26C198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66EE5C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55.8</w:t>
            </w:r>
          </w:p>
        </w:tc>
        <w:tc>
          <w:tcPr>
            <w:tcW w:w="505" w:type="dxa"/>
            <w:shd w:val="clear" w:color="auto" w:fill="auto"/>
            <w:tcMar>
              <w:top w:w="0" w:type="dxa"/>
              <w:left w:w="0" w:type="dxa"/>
              <w:bottom w:w="0" w:type="dxa"/>
              <w:right w:w="0" w:type="dxa"/>
            </w:tcMar>
            <w:vAlign w:val="center"/>
          </w:tcPr>
          <w:p w14:paraId="775172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38.1</w:t>
            </w:r>
          </w:p>
        </w:tc>
        <w:tc>
          <w:tcPr>
            <w:tcW w:w="505" w:type="dxa"/>
            <w:shd w:val="clear" w:color="auto" w:fill="auto"/>
            <w:tcMar>
              <w:top w:w="0" w:type="dxa"/>
              <w:left w:w="0" w:type="dxa"/>
              <w:bottom w:w="0" w:type="dxa"/>
              <w:right w:w="0" w:type="dxa"/>
            </w:tcMar>
            <w:vAlign w:val="center"/>
          </w:tcPr>
          <w:p w14:paraId="07165E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w:t>
            </w:r>
          </w:p>
        </w:tc>
        <w:tc>
          <w:tcPr>
            <w:tcW w:w="505" w:type="dxa"/>
            <w:shd w:val="clear" w:color="auto" w:fill="auto"/>
            <w:tcMar>
              <w:top w:w="0" w:type="dxa"/>
              <w:left w:w="0" w:type="dxa"/>
              <w:bottom w:w="0" w:type="dxa"/>
              <w:right w:w="0" w:type="dxa"/>
            </w:tcMar>
            <w:vAlign w:val="center"/>
          </w:tcPr>
          <w:p w14:paraId="2E28E5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35.1</w:t>
            </w:r>
          </w:p>
        </w:tc>
        <w:tc>
          <w:tcPr>
            <w:tcW w:w="505" w:type="dxa"/>
            <w:shd w:val="clear" w:color="auto" w:fill="auto"/>
            <w:tcMar>
              <w:top w:w="0" w:type="dxa"/>
              <w:left w:w="0" w:type="dxa"/>
              <w:bottom w:w="0" w:type="dxa"/>
              <w:right w:w="0" w:type="dxa"/>
            </w:tcMar>
            <w:vAlign w:val="center"/>
          </w:tcPr>
          <w:p w14:paraId="212E0C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5102E7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46FAD1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6E668D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64D12A4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75755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25396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9B229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5543F5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10074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274108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70248C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176389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00B724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267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3CD58D3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405" w:type="dxa"/>
            <w:vMerge w:val="continue"/>
            <w:shd w:val="clear" w:color="auto" w:fill="auto"/>
            <w:tcMar>
              <w:top w:w="0" w:type="dxa"/>
              <w:left w:w="0" w:type="dxa"/>
              <w:bottom w:w="0" w:type="dxa"/>
              <w:right w:w="0" w:type="dxa"/>
            </w:tcMar>
            <w:vAlign w:val="center"/>
          </w:tcPr>
          <w:p w14:paraId="169B19B3">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1CE941A8">
            <w:pPr>
              <w:jc w:val="center"/>
              <w:rPr>
                <w:rFonts w:ascii="宋体" w:hAnsi="宋体" w:cs="宋体"/>
                <w:color w:val="auto"/>
                <w:spacing w:val="-3"/>
                <w:szCs w:val="21"/>
              </w:rPr>
            </w:pPr>
            <w:r>
              <w:rPr>
                <w:rFonts w:hint="eastAsia" w:ascii="Times New Roman" w:hAnsi="Times New Roman" w:eastAsia="宋体" w:cs="Times New Roman"/>
                <w:bCs/>
                <w:color w:val="auto"/>
                <w:szCs w:val="21"/>
              </w:rPr>
              <w:t>真空泵机组</w:t>
            </w:r>
          </w:p>
        </w:tc>
        <w:tc>
          <w:tcPr>
            <w:tcW w:w="693" w:type="dxa"/>
            <w:shd w:val="clear" w:color="auto" w:fill="auto"/>
            <w:tcMar>
              <w:top w:w="0" w:type="dxa"/>
              <w:left w:w="0" w:type="dxa"/>
              <w:bottom w:w="0" w:type="dxa"/>
              <w:right w:w="0" w:type="dxa"/>
            </w:tcMar>
            <w:vAlign w:val="center"/>
          </w:tcPr>
          <w:p w14:paraId="1AAA461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110DE30E">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20E875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-49.6</w:t>
            </w:r>
          </w:p>
        </w:tc>
        <w:tc>
          <w:tcPr>
            <w:tcW w:w="505" w:type="dxa"/>
            <w:shd w:val="clear" w:color="auto" w:fill="auto"/>
            <w:tcMar>
              <w:top w:w="0" w:type="dxa"/>
              <w:left w:w="0" w:type="dxa"/>
              <w:bottom w:w="0" w:type="dxa"/>
              <w:right w:w="0" w:type="dxa"/>
            </w:tcMar>
            <w:vAlign w:val="center"/>
          </w:tcPr>
          <w:p w14:paraId="613508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505" w:type="dxa"/>
            <w:shd w:val="clear" w:color="auto" w:fill="auto"/>
            <w:tcMar>
              <w:top w:w="0" w:type="dxa"/>
              <w:left w:w="0" w:type="dxa"/>
              <w:bottom w:w="0" w:type="dxa"/>
              <w:right w:w="0" w:type="dxa"/>
            </w:tcMar>
            <w:vAlign w:val="center"/>
          </w:tcPr>
          <w:p w14:paraId="1EE1C5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BEA16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44.8</w:t>
            </w:r>
          </w:p>
        </w:tc>
        <w:tc>
          <w:tcPr>
            <w:tcW w:w="505" w:type="dxa"/>
            <w:shd w:val="clear" w:color="auto" w:fill="auto"/>
            <w:tcMar>
              <w:top w:w="0" w:type="dxa"/>
              <w:left w:w="0" w:type="dxa"/>
              <w:bottom w:w="0" w:type="dxa"/>
              <w:right w:w="0" w:type="dxa"/>
            </w:tcMar>
            <w:vAlign w:val="center"/>
          </w:tcPr>
          <w:p w14:paraId="7AE05F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37.4</w:t>
            </w:r>
          </w:p>
        </w:tc>
        <w:tc>
          <w:tcPr>
            <w:tcW w:w="505" w:type="dxa"/>
            <w:shd w:val="clear" w:color="auto" w:fill="auto"/>
            <w:tcMar>
              <w:top w:w="0" w:type="dxa"/>
              <w:left w:w="0" w:type="dxa"/>
              <w:bottom w:w="0" w:type="dxa"/>
              <w:right w:w="0" w:type="dxa"/>
            </w:tcMar>
            <w:vAlign w:val="center"/>
          </w:tcPr>
          <w:p w14:paraId="43CF80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47.4</w:t>
            </w:r>
          </w:p>
        </w:tc>
        <w:tc>
          <w:tcPr>
            <w:tcW w:w="505" w:type="dxa"/>
            <w:shd w:val="clear" w:color="auto" w:fill="auto"/>
            <w:tcMar>
              <w:top w:w="0" w:type="dxa"/>
              <w:left w:w="0" w:type="dxa"/>
              <w:bottom w:w="0" w:type="dxa"/>
              <w:right w:w="0" w:type="dxa"/>
            </w:tcMar>
            <w:vAlign w:val="center"/>
          </w:tcPr>
          <w:p w14:paraId="61B3B2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36.1</w:t>
            </w:r>
          </w:p>
        </w:tc>
        <w:tc>
          <w:tcPr>
            <w:tcW w:w="505" w:type="dxa"/>
            <w:shd w:val="clear" w:color="auto" w:fill="auto"/>
            <w:tcMar>
              <w:top w:w="0" w:type="dxa"/>
              <w:left w:w="0" w:type="dxa"/>
              <w:bottom w:w="0" w:type="dxa"/>
              <w:right w:w="0" w:type="dxa"/>
            </w:tcMar>
            <w:vAlign w:val="center"/>
          </w:tcPr>
          <w:p w14:paraId="4DBF6F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75AED0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0A64CD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161028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3AEF834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14E976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01BD5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A14D3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57B6F9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0C46E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2CD057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2F4151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3C7CB1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7D63DB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BE8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1A61F62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405" w:type="dxa"/>
            <w:vMerge w:val="continue"/>
            <w:shd w:val="clear" w:color="auto" w:fill="auto"/>
            <w:tcMar>
              <w:top w:w="0" w:type="dxa"/>
              <w:left w:w="0" w:type="dxa"/>
              <w:bottom w:w="0" w:type="dxa"/>
              <w:right w:w="0" w:type="dxa"/>
            </w:tcMar>
            <w:vAlign w:val="center"/>
          </w:tcPr>
          <w:p w14:paraId="0A1AE4A1">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7B190867">
            <w:pPr>
              <w:jc w:val="center"/>
              <w:rPr>
                <w:rFonts w:ascii="宋体" w:hAnsi="宋体" w:cs="宋体"/>
                <w:color w:val="auto"/>
                <w:spacing w:val="-3"/>
                <w:szCs w:val="21"/>
              </w:rPr>
            </w:pPr>
            <w:r>
              <w:rPr>
                <w:rFonts w:hint="eastAsia" w:ascii="Times New Roman" w:hAnsi="Times New Roman" w:eastAsia="宋体" w:cs="Times New Roman"/>
                <w:bCs/>
                <w:color w:val="auto"/>
                <w:szCs w:val="21"/>
              </w:rPr>
              <w:t>脱色油泵</w:t>
            </w:r>
          </w:p>
        </w:tc>
        <w:tc>
          <w:tcPr>
            <w:tcW w:w="693" w:type="dxa"/>
            <w:shd w:val="clear" w:color="auto" w:fill="auto"/>
            <w:tcMar>
              <w:top w:w="0" w:type="dxa"/>
              <w:left w:w="0" w:type="dxa"/>
              <w:bottom w:w="0" w:type="dxa"/>
              <w:right w:w="0" w:type="dxa"/>
            </w:tcMar>
            <w:vAlign w:val="center"/>
          </w:tcPr>
          <w:p w14:paraId="2210F73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3A5410D0">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0EEB92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-60.7</w:t>
            </w:r>
          </w:p>
        </w:tc>
        <w:tc>
          <w:tcPr>
            <w:tcW w:w="505" w:type="dxa"/>
            <w:shd w:val="clear" w:color="auto" w:fill="auto"/>
            <w:tcMar>
              <w:top w:w="0" w:type="dxa"/>
              <w:left w:w="0" w:type="dxa"/>
              <w:bottom w:w="0" w:type="dxa"/>
              <w:right w:w="0" w:type="dxa"/>
            </w:tcMar>
            <w:vAlign w:val="center"/>
          </w:tcPr>
          <w:p w14:paraId="7E785F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05" w:type="dxa"/>
            <w:shd w:val="clear" w:color="auto" w:fill="auto"/>
            <w:tcMar>
              <w:top w:w="0" w:type="dxa"/>
              <w:left w:w="0" w:type="dxa"/>
              <w:bottom w:w="0" w:type="dxa"/>
              <w:right w:w="0" w:type="dxa"/>
            </w:tcMar>
            <w:vAlign w:val="center"/>
          </w:tcPr>
          <w:p w14:paraId="69583B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4DC5E1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53.4</w:t>
            </w:r>
          </w:p>
        </w:tc>
        <w:tc>
          <w:tcPr>
            <w:tcW w:w="505" w:type="dxa"/>
            <w:shd w:val="clear" w:color="auto" w:fill="auto"/>
            <w:tcMar>
              <w:top w:w="0" w:type="dxa"/>
              <w:left w:w="0" w:type="dxa"/>
              <w:bottom w:w="0" w:type="dxa"/>
              <w:right w:w="0" w:type="dxa"/>
            </w:tcMar>
            <w:vAlign w:val="center"/>
          </w:tcPr>
          <w:p w14:paraId="57C447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30.3</w:t>
            </w:r>
          </w:p>
        </w:tc>
        <w:tc>
          <w:tcPr>
            <w:tcW w:w="505" w:type="dxa"/>
            <w:shd w:val="clear" w:color="auto" w:fill="auto"/>
            <w:tcMar>
              <w:top w:w="0" w:type="dxa"/>
              <w:left w:w="0" w:type="dxa"/>
              <w:bottom w:w="0" w:type="dxa"/>
              <w:right w:w="0" w:type="dxa"/>
            </w:tcMar>
            <w:vAlign w:val="center"/>
          </w:tcPr>
          <w:p w14:paraId="0CC429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38.7</w:t>
            </w:r>
          </w:p>
        </w:tc>
        <w:tc>
          <w:tcPr>
            <w:tcW w:w="505" w:type="dxa"/>
            <w:shd w:val="clear" w:color="auto" w:fill="auto"/>
            <w:tcMar>
              <w:top w:w="0" w:type="dxa"/>
              <w:left w:w="0" w:type="dxa"/>
              <w:bottom w:w="0" w:type="dxa"/>
              <w:right w:w="0" w:type="dxa"/>
            </w:tcMar>
            <w:vAlign w:val="center"/>
          </w:tcPr>
          <w:p w14:paraId="4AF5ED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505" w:type="dxa"/>
            <w:shd w:val="clear" w:color="auto" w:fill="auto"/>
            <w:tcMar>
              <w:top w:w="0" w:type="dxa"/>
              <w:left w:w="0" w:type="dxa"/>
              <w:bottom w:w="0" w:type="dxa"/>
              <w:right w:w="0" w:type="dxa"/>
            </w:tcMar>
            <w:vAlign w:val="center"/>
          </w:tcPr>
          <w:p w14:paraId="5F7BA7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65FB89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302CA9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0FC616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6BD5AF0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C4D9D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488CE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B2F18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3AFF1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04A54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3B598C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625E55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13FF21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7FF715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A00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1253837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405" w:type="dxa"/>
            <w:vMerge w:val="continue"/>
            <w:shd w:val="clear" w:color="auto" w:fill="auto"/>
            <w:tcMar>
              <w:top w:w="0" w:type="dxa"/>
              <w:left w:w="0" w:type="dxa"/>
              <w:bottom w:w="0" w:type="dxa"/>
              <w:right w:w="0" w:type="dxa"/>
            </w:tcMar>
            <w:vAlign w:val="center"/>
          </w:tcPr>
          <w:p w14:paraId="17BBFA89">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3A7B2A4F">
            <w:pPr>
              <w:jc w:val="center"/>
              <w:rPr>
                <w:rFonts w:ascii="宋体" w:hAnsi="宋体" w:cs="宋体"/>
                <w:color w:val="auto"/>
                <w:spacing w:val="-3"/>
                <w:szCs w:val="21"/>
              </w:rPr>
            </w:pPr>
            <w:r>
              <w:rPr>
                <w:rFonts w:hint="eastAsia" w:ascii="Times New Roman" w:hAnsi="Times New Roman" w:eastAsia="宋体" w:cs="Times New Roman"/>
                <w:bCs/>
                <w:color w:val="auto"/>
                <w:szCs w:val="21"/>
              </w:rPr>
              <w:t>叶片过滤机</w:t>
            </w:r>
          </w:p>
        </w:tc>
        <w:tc>
          <w:tcPr>
            <w:tcW w:w="693" w:type="dxa"/>
            <w:shd w:val="clear" w:color="auto" w:fill="auto"/>
            <w:tcMar>
              <w:top w:w="0" w:type="dxa"/>
              <w:left w:w="0" w:type="dxa"/>
              <w:bottom w:w="0" w:type="dxa"/>
              <w:right w:w="0" w:type="dxa"/>
            </w:tcMar>
            <w:vAlign w:val="center"/>
          </w:tcPr>
          <w:p w14:paraId="3B33882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7DC695D0">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293867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-53.9</w:t>
            </w:r>
          </w:p>
        </w:tc>
        <w:tc>
          <w:tcPr>
            <w:tcW w:w="505" w:type="dxa"/>
            <w:shd w:val="clear" w:color="auto" w:fill="auto"/>
            <w:tcMar>
              <w:top w:w="0" w:type="dxa"/>
              <w:left w:w="0" w:type="dxa"/>
              <w:bottom w:w="0" w:type="dxa"/>
              <w:right w:w="0" w:type="dxa"/>
            </w:tcMar>
            <w:vAlign w:val="center"/>
          </w:tcPr>
          <w:p w14:paraId="0F475F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w:t>
            </w:r>
          </w:p>
        </w:tc>
        <w:tc>
          <w:tcPr>
            <w:tcW w:w="505" w:type="dxa"/>
            <w:shd w:val="clear" w:color="auto" w:fill="auto"/>
            <w:tcMar>
              <w:top w:w="0" w:type="dxa"/>
              <w:left w:w="0" w:type="dxa"/>
              <w:bottom w:w="0" w:type="dxa"/>
              <w:right w:w="0" w:type="dxa"/>
            </w:tcMar>
            <w:vAlign w:val="center"/>
          </w:tcPr>
          <w:p w14:paraId="608A8D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133DED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45.5</w:t>
            </w:r>
          </w:p>
        </w:tc>
        <w:tc>
          <w:tcPr>
            <w:tcW w:w="505" w:type="dxa"/>
            <w:shd w:val="clear" w:color="auto" w:fill="auto"/>
            <w:tcMar>
              <w:top w:w="0" w:type="dxa"/>
              <w:left w:w="0" w:type="dxa"/>
              <w:bottom w:w="0" w:type="dxa"/>
              <w:right w:w="0" w:type="dxa"/>
            </w:tcMar>
            <w:vAlign w:val="center"/>
          </w:tcPr>
          <w:p w14:paraId="057AC6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14:paraId="0AA229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46.6</w:t>
            </w:r>
          </w:p>
        </w:tc>
        <w:tc>
          <w:tcPr>
            <w:tcW w:w="505" w:type="dxa"/>
            <w:shd w:val="clear" w:color="auto" w:fill="auto"/>
            <w:tcMar>
              <w:top w:w="0" w:type="dxa"/>
              <w:left w:w="0" w:type="dxa"/>
              <w:bottom w:w="0" w:type="dxa"/>
              <w:right w:w="0" w:type="dxa"/>
            </w:tcMar>
            <w:vAlign w:val="center"/>
          </w:tcPr>
          <w:p w14:paraId="78BAAA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43.0</w:t>
            </w:r>
          </w:p>
        </w:tc>
        <w:tc>
          <w:tcPr>
            <w:tcW w:w="505" w:type="dxa"/>
            <w:shd w:val="clear" w:color="auto" w:fill="auto"/>
            <w:tcMar>
              <w:top w:w="0" w:type="dxa"/>
              <w:left w:w="0" w:type="dxa"/>
              <w:bottom w:w="0" w:type="dxa"/>
              <w:right w:w="0" w:type="dxa"/>
            </w:tcMar>
            <w:vAlign w:val="center"/>
          </w:tcPr>
          <w:p w14:paraId="216C17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748E5A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1C2624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14:paraId="11C621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14:paraId="1FDD3AF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0B9C81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BF0E4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96B10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51455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9BBA5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4187FA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17E27E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14:paraId="5BA427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14:paraId="6219EA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AA0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756CD4D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405" w:type="dxa"/>
            <w:vMerge w:val="continue"/>
            <w:shd w:val="clear" w:color="auto" w:fill="auto"/>
            <w:tcMar>
              <w:top w:w="0" w:type="dxa"/>
              <w:left w:w="0" w:type="dxa"/>
              <w:bottom w:w="0" w:type="dxa"/>
              <w:right w:w="0" w:type="dxa"/>
            </w:tcMar>
            <w:vAlign w:val="center"/>
          </w:tcPr>
          <w:p w14:paraId="6D78FD86">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65FCF9CF">
            <w:pPr>
              <w:jc w:val="center"/>
              <w:rPr>
                <w:rFonts w:ascii="宋体" w:hAnsi="宋体" w:cs="宋体"/>
                <w:color w:val="auto"/>
                <w:spacing w:val="-3"/>
                <w:szCs w:val="21"/>
              </w:rPr>
            </w:pPr>
            <w:r>
              <w:rPr>
                <w:rFonts w:hint="eastAsia" w:ascii="Times New Roman" w:hAnsi="Times New Roman" w:eastAsia="宋体" w:cs="Times New Roman"/>
                <w:bCs/>
                <w:color w:val="auto"/>
                <w:szCs w:val="21"/>
              </w:rPr>
              <w:t>蒸汽过热器</w:t>
            </w:r>
          </w:p>
        </w:tc>
        <w:tc>
          <w:tcPr>
            <w:tcW w:w="693" w:type="dxa"/>
            <w:shd w:val="clear" w:color="auto" w:fill="auto"/>
            <w:tcMar>
              <w:top w:w="0" w:type="dxa"/>
              <w:left w:w="0" w:type="dxa"/>
              <w:bottom w:w="0" w:type="dxa"/>
              <w:right w:w="0" w:type="dxa"/>
            </w:tcMar>
            <w:vAlign w:val="center"/>
          </w:tcPr>
          <w:p w14:paraId="09412FA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14:paraId="2D177A8F">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50A112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-43.1</w:t>
            </w:r>
          </w:p>
        </w:tc>
        <w:tc>
          <w:tcPr>
            <w:tcW w:w="505" w:type="dxa"/>
            <w:shd w:val="clear" w:color="auto" w:fill="auto"/>
            <w:tcMar>
              <w:top w:w="0" w:type="dxa"/>
              <w:left w:w="0" w:type="dxa"/>
              <w:bottom w:w="0" w:type="dxa"/>
              <w:right w:w="0" w:type="dxa"/>
            </w:tcMar>
            <w:vAlign w:val="center"/>
          </w:tcPr>
          <w:p w14:paraId="1E31BB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p>
        </w:tc>
        <w:tc>
          <w:tcPr>
            <w:tcW w:w="505" w:type="dxa"/>
            <w:shd w:val="clear" w:color="auto" w:fill="auto"/>
            <w:tcMar>
              <w:top w:w="0" w:type="dxa"/>
              <w:left w:w="0" w:type="dxa"/>
              <w:bottom w:w="0" w:type="dxa"/>
              <w:right w:w="0" w:type="dxa"/>
            </w:tcMar>
            <w:vAlign w:val="center"/>
          </w:tcPr>
          <w:p w14:paraId="001C72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E2B64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35.4</w:t>
            </w:r>
          </w:p>
        </w:tc>
        <w:tc>
          <w:tcPr>
            <w:tcW w:w="505" w:type="dxa"/>
            <w:shd w:val="clear" w:color="auto" w:fill="auto"/>
            <w:tcMar>
              <w:top w:w="0" w:type="dxa"/>
              <w:left w:w="0" w:type="dxa"/>
              <w:bottom w:w="0" w:type="dxa"/>
              <w:right w:w="0" w:type="dxa"/>
            </w:tcMar>
            <w:vAlign w:val="center"/>
          </w:tcPr>
          <w:p w14:paraId="378E62D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34.6</w:t>
            </w:r>
          </w:p>
        </w:tc>
        <w:tc>
          <w:tcPr>
            <w:tcW w:w="505" w:type="dxa"/>
            <w:shd w:val="clear" w:color="auto" w:fill="auto"/>
            <w:tcMar>
              <w:top w:w="0" w:type="dxa"/>
              <w:left w:w="0" w:type="dxa"/>
              <w:bottom w:w="0" w:type="dxa"/>
              <w:right w:w="0" w:type="dxa"/>
            </w:tcMar>
            <w:vAlign w:val="center"/>
          </w:tcPr>
          <w:p w14:paraId="1562D4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56.8</w:t>
            </w:r>
          </w:p>
        </w:tc>
        <w:tc>
          <w:tcPr>
            <w:tcW w:w="505" w:type="dxa"/>
            <w:shd w:val="clear" w:color="auto" w:fill="auto"/>
            <w:tcMar>
              <w:top w:w="0" w:type="dxa"/>
              <w:left w:w="0" w:type="dxa"/>
              <w:bottom w:w="0" w:type="dxa"/>
              <w:right w:w="0" w:type="dxa"/>
            </w:tcMar>
            <w:vAlign w:val="center"/>
          </w:tcPr>
          <w:p w14:paraId="3A628B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39.2</w:t>
            </w:r>
          </w:p>
        </w:tc>
        <w:tc>
          <w:tcPr>
            <w:tcW w:w="505" w:type="dxa"/>
            <w:shd w:val="clear" w:color="auto" w:fill="auto"/>
            <w:tcMar>
              <w:top w:w="0" w:type="dxa"/>
              <w:left w:w="0" w:type="dxa"/>
              <w:bottom w:w="0" w:type="dxa"/>
              <w:right w:w="0" w:type="dxa"/>
            </w:tcMar>
            <w:vAlign w:val="center"/>
          </w:tcPr>
          <w:p w14:paraId="48F7F6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207D90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2533A4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1E0FF0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087952C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CE652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4BA9B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AA8B0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0658D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05716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01FAD4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2277FE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7D6E73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0150B7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C14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8E733A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405" w:type="dxa"/>
            <w:vMerge w:val="continue"/>
            <w:shd w:val="clear" w:color="auto" w:fill="auto"/>
            <w:tcMar>
              <w:top w:w="0" w:type="dxa"/>
              <w:left w:w="0" w:type="dxa"/>
              <w:bottom w:w="0" w:type="dxa"/>
              <w:right w:w="0" w:type="dxa"/>
            </w:tcMar>
            <w:vAlign w:val="center"/>
          </w:tcPr>
          <w:p w14:paraId="3C2F5BEA">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65E0966F">
            <w:pPr>
              <w:jc w:val="center"/>
              <w:rPr>
                <w:rFonts w:ascii="宋体" w:hAnsi="宋体" w:cs="宋体"/>
                <w:color w:val="auto"/>
                <w:spacing w:val="-3"/>
                <w:szCs w:val="21"/>
              </w:rPr>
            </w:pPr>
            <w:r>
              <w:rPr>
                <w:rFonts w:hint="eastAsia" w:ascii="Times New Roman" w:hAnsi="Times New Roman" w:eastAsia="宋体" w:cs="Times New Roman"/>
                <w:bCs/>
                <w:color w:val="auto"/>
                <w:szCs w:val="21"/>
              </w:rPr>
              <w:t>脱臭塔进油泵</w:t>
            </w:r>
          </w:p>
        </w:tc>
        <w:tc>
          <w:tcPr>
            <w:tcW w:w="693" w:type="dxa"/>
            <w:shd w:val="clear" w:color="auto" w:fill="auto"/>
            <w:tcMar>
              <w:top w:w="0" w:type="dxa"/>
              <w:left w:w="0" w:type="dxa"/>
              <w:bottom w:w="0" w:type="dxa"/>
              <w:right w:w="0" w:type="dxa"/>
            </w:tcMar>
            <w:vAlign w:val="center"/>
          </w:tcPr>
          <w:p w14:paraId="37F20DDC">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358FBD97">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78271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-34.2</w:t>
            </w:r>
          </w:p>
        </w:tc>
        <w:tc>
          <w:tcPr>
            <w:tcW w:w="505" w:type="dxa"/>
            <w:shd w:val="clear" w:color="auto" w:fill="auto"/>
            <w:tcMar>
              <w:top w:w="0" w:type="dxa"/>
              <w:left w:w="0" w:type="dxa"/>
              <w:bottom w:w="0" w:type="dxa"/>
              <w:right w:w="0" w:type="dxa"/>
            </w:tcMar>
            <w:vAlign w:val="center"/>
          </w:tcPr>
          <w:p w14:paraId="496EEA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w:t>
            </w:r>
          </w:p>
        </w:tc>
        <w:tc>
          <w:tcPr>
            <w:tcW w:w="505" w:type="dxa"/>
            <w:shd w:val="clear" w:color="auto" w:fill="auto"/>
            <w:tcMar>
              <w:top w:w="0" w:type="dxa"/>
              <w:left w:w="0" w:type="dxa"/>
              <w:bottom w:w="0" w:type="dxa"/>
              <w:right w:w="0" w:type="dxa"/>
            </w:tcMar>
            <w:vAlign w:val="center"/>
          </w:tcPr>
          <w:p w14:paraId="488DD8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CB50B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505" w:type="dxa"/>
            <w:shd w:val="clear" w:color="auto" w:fill="auto"/>
            <w:tcMar>
              <w:top w:w="0" w:type="dxa"/>
              <w:left w:w="0" w:type="dxa"/>
              <w:bottom w:w="0" w:type="dxa"/>
              <w:right w:w="0" w:type="dxa"/>
            </w:tcMar>
            <w:vAlign w:val="center"/>
          </w:tcPr>
          <w:p w14:paraId="6BB350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36.3</w:t>
            </w:r>
          </w:p>
        </w:tc>
        <w:tc>
          <w:tcPr>
            <w:tcW w:w="505" w:type="dxa"/>
            <w:shd w:val="clear" w:color="auto" w:fill="auto"/>
            <w:tcMar>
              <w:top w:w="0" w:type="dxa"/>
              <w:left w:w="0" w:type="dxa"/>
              <w:bottom w:w="0" w:type="dxa"/>
              <w:right w:w="0" w:type="dxa"/>
            </w:tcMar>
            <w:vAlign w:val="center"/>
          </w:tcPr>
          <w:p w14:paraId="310B50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66.2</w:t>
            </w:r>
          </w:p>
        </w:tc>
        <w:tc>
          <w:tcPr>
            <w:tcW w:w="505" w:type="dxa"/>
            <w:shd w:val="clear" w:color="auto" w:fill="auto"/>
            <w:tcMar>
              <w:top w:w="0" w:type="dxa"/>
              <w:left w:w="0" w:type="dxa"/>
              <w:bottom w:w="0" w:type="dxa"/>
              <w:right w:w="0" w:type="dxa"/>
            </w:tcMar>
            <w:vAlign w:val="center"/>
          </w:tcPr>
          <w:p w14:paraId="0B95E8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w:t>
            </w:r>
          </w:p>
        </w:tc>
        <w:tc>
          <w:tcPr>
            <w:tcW w:w="505" w:type="dxa"/>
            <w:shd w:val="clear" w:color="auto" w:fill="auto"/>
            <w:tcMar>
              <w:top w:w="0" w:type="dxa"/>
              <w:left w:w="0" w:type="dxa"/>
              <w:bottom w:w="0" w:type="dxa"/>
              <w:right w:w="0" w:type="dxa"/>
            </w:tcMar>
            <w:vAlign w:val="center"/>
          </w:tcPr>
          <w:p w14:paraId="173821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34177C9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0237F3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14:paraId="0B20F1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14:paraId="6CCF398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C570E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8A3EF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3AF4A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C5F1C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9E18F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4C42D2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742879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14:paraId="46B34B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14:paraId="6756EF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78D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98B4F6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405" w:type="dxa"/>
            <w:vMerge w:val="continue"/>
            <w:shd w:val="clear" w:color="auto" w:fill="auto"/>
            <w:tcMar>
              <w:top w:w="0" w:type="dxa"/>
              <w:left w:w="0" w:type="dxa"/>
              <w:bottom w:w="0" w:type="dxa"/>
              <w:right w:w="0" w:type="dxa"/>
            </w:tcMar>
            <w:vAlign w:val="center"/>
          </w:tcPr>
          <w:p w14:paraId="31508F46">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77845B64">
            <w:pPr>
              <w:jc w:val="center"/>
              <w:rPr>
                <w:rFonts w:ascii="宋体" w:hAnsi="宋体" w:cs="宋体"/>
                <w:color w:val="auto"/>
                <w:spacing w:val="-3"/>
                <w:szCs w:val="21"/>
              </w:rPr>
            </w:pPr>
            <w:r>
              <w:rPr>
                <w:rFonts w:hint="eastAsia" w:ascii="Times New Roman" w:hAnsi="Times New Roman" w:eastAsia="宋体" w:cs="Times New Roman"/>
                <w:bCs/>
                <w:color w:val="auto"/>
                <w:szCs w:val="21"/>
              </w:rPr>
              <w:t>转子流量计</w:t>
            </w:r>
          </w:p>
        </w:tc>
        <w:tc>
          <w:tcPr>
            <w:tcW w:w="693" w:type="dxa"/>
            <w:shd w:val="clear" w:color="auto" w:fill="auto"/>
            <w:tcMar>
              <w:top w:w="0" w:type="dxa"/>
              <w:left w:w="0" w:type="dxa"/>
              <w:bottom w:w="0" w:type="dxa"/>
              <w:right w:w="0" w:type="dxa"/>
            </w:tcMar>
            <w:vAlign w:val="center"/>
          </w:tcPr>
          <w:p w14:paraId="6342D2F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14:paraId="73303AC1">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18EFEF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-26.2</w:t>
            </w:r>
          </w:p>
        </w:tc>
        <w:tc>
          <w:tcPr>
            <w:tcW w:w="505" w:type="dxa"/>
            <w:shd w:val="clear" w:color="auto" w:fill="auto"/>
            <w:tcMar>
              <w:top w:w="0" w:type="dxa"/>
              <w:left w:w="0" w:type="dxa"/>
              <w:bottom w:w="0" w:type="dxa"/>
              <w:right w:w="0" w:type="dxa"/>
            </w:tcMar>
            <w:vAlign w:val="center"/>
          </w:tcPr>
          <w:p w14:paraId="2FD52B0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-19.5</w:t>
            </w:r>
          </w:p>
        </w:tc>
        <w:tc>
          <w:tcPr>
            <w:tcW w:w="505" w:type="dxa"/>
            <w:shd w:val="clear" w:color="auto" w:fill="auto"/>
            <w:tcMar>
              <w:top w:w="0" w:type="dxa"/>
              <w:left w:w="0" w:type="dxa"/>
              <w:bottom w:w="0" w:type="dxa"/>
              <w:right w:w="0" w:type="dxa"/>
            </w:tcMar>
            <w:vAlign w:val="center"/>
          </w:tcPr>
          <w:p w14:paraId="502873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7E4122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505" w:type="dxa"/>
            <w:shd w:val="clear" w:color="auto" w:fill="auto"/>
            <w:tcMar>
              <w:top w:w="0" w:type="dxa"/>
              <w:left w:w="0" w:type="dxa"/>
              <w:bottom w:w="0" w:type="dxa"/>
              <w:right w:w="0" w:type="dxa"/>
            </w:tcMar>
            <w:vAlign w:val="center"/>
          </w:tcPr>
          <w:p w14:paraId="461328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36.8</w:t>
            </w:r>
          </w:p>
        </w:tc>
        <w:tc>
          <w:tcPr>
            <w:tcW w:w="505" w:type="dxa"/>
            <w:shd w:val="clear" w:color="auto" w:fill="auto"/>
            <w:tcMar>
              <w:top w:w="0" w:type="dxa"/>
              <w:left w:w="0" w:type="dxa"/>
              <w:bottom w:w="0" w:type="dxa"/>
              <w:right w:w="0" w:type="dxa"/>
            </w:tcMar>
            <w:vAlign w:val="center"/>
          </w:tcPr>
          <w:p w14:paraId="76B145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75.2</w:t>
            </w:r>
          </w:p>
        </w:tc>
        <w:tc>
          <w:tcPr>
            <w:tcW w:w="505" w:type="dxa"/>
            <w:shd w:val="clear" w:color="auto" w:fill="auto"/>
            <w:tcMar>
              <w:top w:w="0" w:type="dxa"/>
              <w:left w:w="0" w:type="dxa"/>
              <w:bottom w:w="0" w:type="dxa"/>
              <w:right w:w="0" w:type="dxa"/>
            </w:tcMar>
            <w:vAlign w:val="center"/>
          </w:tcPr>
          <w:p w14:paraId="7FF264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37.5</w:t>
            </w:r>
          </w:p>
        </w:tc>
        <w:tc>
          <w:tcPr>
            <w:tcW w:w="505" w:type="dxa"/>
            <w:shd w:val="clear" w:color="auto" w:fill="auto"/>
            <w:tcMar>
              <w:top w:w="0" w:type="dxa"/>
              <w:left w:w="0" w:type="dxa"/>
              <w:bottom w:w="0" w:type="dxa"/>
              <w:right w:w="0" w:type="dxa"/>
            </w:tcMar>
            <w:vAlign w:val="center"/>
          </w:tcPr>
          <w:p w14:paraId="56F45F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19A3F7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46216B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14:paraId="465A56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14:paraId="68EB31D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43B915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16096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AA98D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D418D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A65C2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5241C4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34A0D4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14:paraId="2619BB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14:paraId="2885F7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8CB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6727BF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405" w:type="dxa"/>
            <w:vMerge w:val="continue"/>
            <w:shd w:val="clear" w:color="auto" w:fill="auto"/>
            <w:tcMar>
              <w:top w:w="0" w:type="dxa"/>
              <w:left w:w="0" w:type="dxa"/>
              <w:bottom w:w="0" w:type="dxa"/>
              <w:right w:w="0" w:type="dxa"/>
            </w:tcMar>
            <w:vAlign w:val="center"/>
          </w:tcPr>
          <w:p w14:paraId="73D669AC">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7484617B">
            <w:pPr>
              <w:jc w:val="center"/>
              <w:rPr>
                <w:rFonts w:ascii="宋体" w:hAnsi="宋体" w:cs="宋体"/>
                <w:color w:val="auto"/>
                <w:spacing w:val="-3"/>
                <w:szCs w:val="21"/>
              </w:rPr>
            </w:pPr>
            <w:r>
              <w:rPr>
                <w:rFonts w:hint="eastAsia" w:ascii="Times New Roman" w:hAnsi="Times New Roman" w:eastAsia="宋体" w:cs="Times New Roman"/>
                <w:bCs/>
                <w:color w:val="auto"/>
                <w:szCs w:val="21"/>
              </w:rPr>
              <w:t>1号油-油换热器</w:t>
            </w:r>
          </w:p>
        </w:tc>
        <w:tc>
          <w:tcPr>
            <w:tcW w:w="693" w:type="dxa"/>
            <w:shd w:val="clear" w:color="auto" w:fill="auto"/>
            <w:tcMar>
              <w:top w:w="0" w:type="dxa"/>
              <w:left w:w="0" w:type="dxa"/>
              <w:bottom w:w="0" w:type="dxa"/>
              <w:right w:w="0" w:type="dxa"/>
            </w:tcMar>
            <w:vAlign w:val="center"/>
          </w:tcPr>
          <w:p w14:paraId="398E5BE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14:paraId="305AEFBE">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020B2D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-29.4</w:t>
            </w:r>
          </w:p>
        </w:tc>
        <w:tc>
          <w:tcPr>
            <w:tcW w:w="505" w:type="dxa"/>
            <w:shd w:val="clear" w:color="auto" w:fill="auto"/>
            <w:tcMar>
              <w:top w:w="0" w:type="dxa"/>
              <w:left w:w="0" w:type="dxa"/>
              <w:bottom w:w="0" w:type="dxa"/>
              <w:right w:w="0" w:type="dxa"/>
            </w:tcMar>
            <w:vAlign w:val="center"/>
          </w:tcPr>
          <w:p w14:paraId="3FAA85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-26.3</w:t>
            </w:r>
          </w:p>
        </w:tc>
        <w:tc>
          <w:tcPr>
            <w:tcW w:w="505" w:type="dxa"/>
            <w:shd w:val="clear" w:color="auto" w:fill="auto"/>
            <w:tcMar>
              <w:top w:w="0" w:type="dxa"/>
              <w:left w:w="0" w:type="dxa"/>
              <w:bottom w:w="0" w:type="dxa"/>
              <w:right w:w="0" w:type="dxa"/>
            </w:tcMar>
            <w:vAlign w:val="center"/>
          </w:tcPr>
          <w:p w14:paraId="1C927B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16FACC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15.9</w:t>
            </w:r>
          </w:p>
        </w:tc>
        <w:tc>
          <w:tcPr>
            <w:tcW w:w="505" w:type="dxa"/>
            <w:shd w:val="clear" w:color="auto" w:fill="auto"/>
            <w:tcMar>
              <w:top w:w="0" w:type="dxa"/>
              <w:left w:w="0" w:type="dxa"/>
              <w:bottom w:w="0" w:type="dxa"/>
              <w:right w:w="0" w:type="dxa"/>
            </w:tcMar>
            <w:vAlign w:val="center"/>
          </w:tcPr>
          <w:p w14:paraId="34733E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29.3</w:t>
            </w:r>
          </w:p>
        </w:tc>
        <w:tc>
          <w:tcPr>
            <w:tcW w:w="505" w:type="dxa"/>
            <w:shd w:val="clear" w:color="auto" w:fill="auto"/>
            <w:tcMar>
              <w:top w:w="0" w:type="dxa"/>
              <w:left w:w="0" w:type="dxa"/>
              <w:bottom w:w="0" w:type="dxa"/>
              <w:right w:w="0" w:type="dxa"/>
            </w:tcMar>
            <w:vAlign w:val="center"/>
          </w:tcPr>
          <w:p w14:paraId="4AA2CF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76.1</w:t>
            </w:r>
          </w:p>
        </w:tc>
        <w:tc>
          <w:tcPr>
            <w:tcW w:w="505" w:type="dxa"/>
            <w:shd w:val="clear" w:color="auto" w:fill="auto"/>
            <w:tcMar>
              <w:top w:w="0" w:type="dxa"/>
              <w:left w:w="0" w:type="dxa"/>
              <w:bottom w:w="0" w:type="dxa"/>
              <w:right w:w="0" w:type="dxa"/>
            </w:tcMar>
            <w:vAlign w:val="center"/>
          </w:tcPr>
          <w:p w14:paraId="139AF0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45.0</w:t>
            </w:r>
          </w:p>
        </w:tc>
        <w:tc>
          <w:tcPr>
            <w:tcW w:w="505" w:type="dxa"/>
            <w:shd w:val="clear" w:color="auto" w:fill="auto"/>
            <w:tcMar>
              <w:top w:w="0" w:type="dxa"/>
              <w:left w:w="0" w:type="dxa"/>
              <w:bottom w:w="0" w:type="dxa"/>
              <w:right w:w="0" w:type="dxa"/>
            </w:tcMar>
            <w:vAlign w:val="center"/>
          </w:tcPr>
          <w:p w14:paraId="3D800D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52.1</w:t>
            </w:r>
          </w:p>
        </w:tc>
        <w:tc>
          <w:tcPr>
            <w:tcW w:w="505" w:type="dxa"/>
            <w:shd w:val="clear" w:color="auto" w:fill="auto"/>
            <w:tcMar>
              <w:top w:w="0" w:type="dxa"/>
              <w:left w:w="0" w:type="dxa"/>
              <w:bottom w:w="0" w:type="dxa"/>
              <w:right w:w="0" w:type="dxa"/>
            </w:tcMar>
            <w:vAlign w:val="center"/>
          </w:tcPr>
          <w:p w14:paraId="38D24D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3547958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14:paraId="297EA0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14:paraId="79AE0F7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72923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6C96F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73673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A4A21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BD885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477" w:type="dxa"/>
            <w:shd w:val="clear" w:color="auto" w:fill="auto"/>
            <w:tcMar>
              <w:top w:w="0" w:type="dxa"/>
              <w:left w:w="0" w:type="dxa"/>
              <w:bottom w:w="0" w:type="dxa"/>
              <w:right w:w="0" w:type="dxa"/>
            </w:tcMar>
            <w:vAlign w:val="center"/>
          </w:tcPr>
          <w:p w14:paraId="4F81CA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48AB9A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14:paraId="7207AB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14:paraId="282A6B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6F2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73CF4B1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w:t>
            </w:r>
          </w:p>
        </w:tc>
        <w:tc>
          <w:tcPr>
            <w:tcW w:w="405" w:type="dxa"/>
            <w:vMerge w:val="continue"/>
            <w:shd w:val="clear" w:color="auto" w:fill="auto"/>
            <w:tcMar>
              <w:top w:w="0" w:type="dxa"/>
              <w:left w:w="0" w:type="dxa"/>
              <w:bottom w:w="0" w:type="dxa"/>
              <w:right w:w="0" w:type="dxa"/>
            </w:tcMar>
            <w:vAlign w:val="center"/>
          </w:tcPr>
          <w:p w14:paraId="15D9BEC9">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54C25A5">
            <w:pPr>
              <w:jc w:val="center"/>
              <w:rPr>
                <w:rFonts w:ascii="宋体" w:hAnsi="宋体" w:cs="宋体"/>
                <w:color w:val="auto"/>
                <w:spacing w:val="-3"/>
                <w:szCs w:val="21"/>
              </w:rPr>
            </w:pPr>
            <w:r>
              <w:rPr>
                <w:rFonts w:hint="eastAsia" w:ascii="Times New Roman" w:hAnsi="Times New Roman" w:eastAsia="宋体" w:cs="Times New Roman"/>
                <w:bCs/>
                <w:color w:val="auto"/>
                <w:szCs w:val="21"/>
              </w:rPr>
              <w:t>析气器</w:t>
            </w:r>
          </w:p>
        </w:tc>
        <w:tc>
          <w:tcPr>
            <w:tcW w:w="693" w:type="dxa"/>
            <w:shd w:val="clear" w:color="auto" w:fill="auto"/>
            <w:tcMar>
              <w:top w:w="0" w:type="dxa"/>
              <w:left w:w="0" w:type="dxa"/>
              <w:bottom w:w="0" w:type="dxa"/>
              <w:right w:w="0" w:type="dxa"/>
            </w:tcMar>
            <w:vAlign w:val="center"/>
          </w:tcPr>
          <w:p w14:paraId="7442980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14:paraId="10F51608">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41A3782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505" w:type="dxa"/>
            <w:shd w:val="clear" w:color="auto" w:fill="auto"/>
            <w:tcMar>
              <w:top w:w="0" w:type="dxa"/>
              <w:left w:w="0" w:type="dxa"/>
              <w:bottom w:w="0" w:type="dxa"/>
              <w:right w:w="0" w:type="dxa"/>
            </w:tcMar>
            <w:vAlign w:val="center"/>
          </w:tcPr>
          <w:p w14:paraId="07C90D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505" w:type="dxa"/>
            <w:shd w:val="clear" w:color="auto" w:fill="auto"/>
            <w:tcMar>
              <w:top w:w="0" w:type="dxa"/>
              <w:left w:w="0" w:type="dxa"/>
              <w:bottom w:w="0" w:type="dxa"/>
              <w:right w:w="0" w:type="dxa"/>
            </w:tcMar>
            <w:vAlign w:val="center"/>
          </w:tcPr>
          <w:p w14:paraId="5822D0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4B5B79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w:t>
            </w:r>
          </w:p>
        </w:tc>
        <w:tc>
          <w:tcPr>
            <w:tcW w:w="505" w:type="dxa"/>
            <w:shd w:val="clear" w:color="auto" w:fill="auto"/>
            <w:tcMar>
              <w:top w:w="0" w:type="dxa"/>
              <w:left w:w="0" w:type="dxa"/>
              <w:bottom w:w="0" w:type="dxa"/>
              <w:right w:w="0" w:type="dxa"/>
            </w:tcMar>
            <w:vAlign w:val="center"/>
          </w:tcPr>
          <w:p w14:paraId="7ED857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32.9</w:t>
            </w:r>
          </w:p>
        </w:tc>
        <w:tc>
          <w:tcPr>
            <w:tcW w:w="505" w:type="dxa"/>
            <w:shd w:val="clear" w:color="auto" w:fill="auto"/>
            <w:tcMar>
              <w:top w:w="0" w:type="dxa"/>
              <w:left w:w="0" w:type="dxa"/>
              <w:bottom w:w="0" w:type="dxa"/>
              <w:right w:w="0" w:type="dxa"/>
            </w:tcMar>
            <w:vAlign w:val="center"/>
          </w:tcPr>
          <w:p w14:paraId="38E428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81.2</w:t>
            </w:r>
          </w:p>
        </w:tc>
        <w:tc>
          <w:tcPr>
            <w:tcW w:w="505" w:type="dxa"/>
            <w:shd w:val="clear" w:color="auto" w:fill="auto"/>
            <w:tcMar>
              <w:top w:w="0" w:type="dxa"/>
              <w:left w:w="0" w:type="dxa"/>
              <w:bottom w:w="0" w:type="dxa"/>
              <w:right w:w="0" w:type="dxa"/>
            </w:tcMar>
            <w:vAlign w:val="center"/>
          </w:tcPr>
          <w:p w14:paraId="35EDB9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41.6</w:t>
            </w:r>
          </w:p>
        </w:tc>
        <w:tc>
          <w:tcPr>
            <w:tcW w:w="505" w:type="dxa"/>
            <w:shd w:val="clear" w:color="auto" w:fill="auto"/>
            <w:tcMar>
              <w:top w:w="0" w:type="dxa"/>
              <w:left w:w="0" w:type="dxa"/>
              <w:bottom w:w="0" w:type="dxa"/>
              <w:right w:w="0" w:type="dxa"/>
            </w:tcMar>
            <w:vAlign w:val="center"/>
          </w:tcPr>
          <w:p w14:paraId="2EC21B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14:paraId="0EB5A9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2FFD1A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42E66A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35B3F3D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44DD21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A1407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DB887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E8D59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351DD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14:paraId="2E5204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7698CAE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6516C4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11DE64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A3E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30B9F51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405" w:type="dxa"/>
            <w:vMerge w:val="continue"/>
            <w:shd w:val="clear" w:color="auto" w:fill="auto"/>
            <w:tcMar>
              <w:top w:w="0" w:type="dxa"/>
              <w:left w:w="0" w:type="dxa"/>
              <w:bottom w:w="0" w:type="dxa"/>
              <w:right w:w="0" w:type="dxa"/>
            </w:tcMar>
            <w:vAlign w:val="center"/>
          </w:tcPr>
          <w:p w14:paraId="0725FD54">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0A02C1C">
            <w:pPr>
              <w:jc w:val="center"/>
              <w:rPr>
                <w:rFonts w:ascii="宋体" w:hAnsi="宋体" w:cs="宋体"/>
                <w:color w:val="auto"/>
                <w:spacing w:val="-3"/>
                <w:szCs w:val="21"/>
              </w:rPr>
            </w:pPr>
            <w:r>
              <w:rPr>
                <w:rFonts w:hint="eastAsia" w:ascii="Times New Roman" w:hAnsi="Times New Roman" w:eastAsia="宋体" w:cs="Times New Roman"/>
                <w:bCs/>
                <w:color w:val="auto"/>
                <w:szCs w:val="21"/>
              </w:rPr>
              <w:t>析气抽出泵</w:t>
            </w:r>
          </w:p>
        </w:tc>
        <w:tc>
          <w:tcPr>
            <w:tcW w:w="693" w:type="dxa"/>
            <w:shd w:val="clear" w:color="auto" w:fill="auto"/>
            <w:tcMar>
              <w:top w:w="0" w:type="dxa"/>
              <w:left w:w="0" w:type="dxa"/>
              <w:bottom w:w="0" w:type="dxa"/>
              <w:right w:w="0" w:type="dxa"/>
            </w:tcMar>
            <w:vAlign w:val="center"/>
          </w:tcPr>
          <w:p w14:paraId="00A4C8F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2333B597">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F3F57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-16.7</w:t>
            </w:r>
          </w:p>
        </w:tc>
        <w:tc>
          <w:tcPr>
            <w:tcW w:w="505" w:type="dxa"/>
            <w:shd w:val="clear" w:color="auto" w:fill="auto"/>
            <w:tcMar>
              <w:top w:w="0" w:type="dxa"/>
              <w:left w:w="0" w:type="dxa"/>
              <w:bottom w:w="0" w:type="dxa"/>
              <w:right w:w="0" w:type="dxa"/>
            </w:tcMar>
            <w:vAlign w:val="center"/>
          </w:tcPr>
          <w:p w14:paraId="1C7920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505" w:type="dxa"/>
            <w:shd w:val="clear" w:color="auto" w:fill="auto"/>
            <w:tcMar>
              <w:top w:w="0" w:type="dxa"/>
              <w:left w:w="0" w:type="dxa"/>
              <w:bottom w:w="0" w:type="dxa"/>
              <w:right w:w="0" w:type="dxa"/>
            </w:tcMar>
            <w:vAlign w:val="center"/>
          </w:tcPr>
          <w:p w14:paraId="35907C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672D6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505" w:type="dxa"/>
            <w:shd w:val="clear" w:color="auto" w:fill="auto"/>
            <w:tcMar>
              <w:top w:w="0" w:type="dxa"/>
              <w:left w:w="0" w:type="dxa"/>
              <w:bottom w:w="0" w:type="dxa"/>
              <w:right w:w="0" w:type="dxa"/>
            </w:tcMar>
            <w:vAlign w:val="center"/>
          </w:tcPr>
          <w:p w14:paraId="4C8051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505" w:type="dxa"/>
            <w:shd w:val="clear" w:color="auto" w:fill="auto"/>
            <w:tcMar>
              <w:top w:w="0" w:type="dxa"/>
              <w:left w:w="0" w:type="dxa"/>
              <w:bottom w:w="0" w:type="dxa"/>
              <w:right w:w="0" w:type="dxa"/>
            </w:tcMar>
            <w:vAlign w:val="center"/>
          </w:tcPr>
          <w:p w14:paraId="7C8F18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85.7</w:t>
            </w:r>
          </w:p>
        </w:tc>
        <w:tc>
          <w:tcPr>
            <w:tcW w:w="505" w:type="dxa"/>
            <w:shd w:val="clear" w:color="auto" w:fill="auto"/>
            <w:tcMar>
              <w:top w:w="0" w:type="dxa"/>
              <w:left w:w="0" w:type="dxa"/>
              <w:bottom w:w="0" w:type="dxa"/>
              <w:right w:w="0" w:type="dxa"/>
            </w:tcMar>
            <w:vAlign w:val="center"/>
          </w:tcPr>
          <w:p w14:paraId="6320EC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36.6</w:t>
            </w:r>
          </w:p>
        </w:tc>
        <w:tc>
          <w:tcPr>
            <w:tcW w:w="505" w:type="dxa"/>
            <w:shd w:val="clear" w:color="auto" w:fill="auto"/>
            <w:tcMar>
              <w:top w:w="0" w:type="dxa"/>
              <w:left w:w="0" w:type="dxa"/>
              <w:bottom w:w="0" w:type="dxa"/>
              <w:right w:w="0" w:type="dxa"/>
            </w:tcMar>
            <w:vAlign w:val="center"/>
          </w:tcPr>
          <w:p w14:paraId="775D78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52.5</w:t>
            </w:r>
          </w:p>
        </w:tc>
        <w:tc>
          <w:tcPr>
            <w:tcW w:w="505" w:type="dxa"/>
            <w:shd w:val="clear" w:color="auto" w:fill="auto"/>
            <w:tcMar>
              <w:top w:w="0" w:type="dxa"/>
              <w:left w:w="0" w:type="dxa"/>
              <w:bottom w:w="0" w:type="dxa"/>
              <w:right w:w="0" w:type="dxa"/>
            </w:tcMar>
            <w:vAlign w:val="center"/>
          </w:tcPr>
          <w:p w14:paraId="34EDDF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4AD9E79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14:paraId="21BA36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14:paraId="6F0A965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5FF54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9EF7B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41881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5180E3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E09CB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477" w:type="dxa"/>
            <w:shd w:val="clear" w:color="auto" w:fill="auto"/>
            <w:tcMar>
              <w:top w:w="0" w:type="dxa"/>
              <w:left w:w="0" w:type="dxa"/>
              <w:bottom w:w="0" w:type="dxa"/>
              <w:right w:w="0" w:type="dxa"/>
            </w:tcMar>
            <w:vAlign w:val="center"/>
          </w:tcPr>
          <w:p w14:paraId="7C8EC4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1C7F34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14:paraId="51FC0A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14:paraId="1CF67B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68F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2B443F9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405" w:type="dxa"/>
            <w:vMerge w:val="continue"/>
            <w:shd w:val="clear" w:color="auto" w:fill="auto"/>
            <w:tcMar>
              <w:top w:w="0" w:type="dxa"/>
              <w:left w:w="0" w:type="dxa"/>
              <w:bottom w:w="0" w:type="dxa"/>
              <w:right w:w="0" w:type="dxa"/>
            </w:tcMar>
            <w:vAlign w:val="center"/>
          </w:tcPr>
          <w:p w14:paraId="464BA88D">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1AB049B3">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2号油-油换热器</w:t>
            </w:r>
          </w:p>
        </w:tc>
        <w:tc>
          <w:tcPr>
            <w:tcW w:w="693" w:type="dxa"/>
            <w:shd w:val="clear" w:color="auto" w:fill="auto"/>
            <w:tcMar>
              <w:top w:w="0" w:type="dxa"/>
              <w:left w:w="0" w:type="dxa"/>
              <w:bottom w:w="0" w:type="dxa"/>
              <w:right w:w="0" w:type="dxa"/>
            </w:tcMar>
            <w:vAlign w:val="center"/>
          </w:tcPr>
          <w:p w14:paraId="217ED46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14:paraId="7416C7DA">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A80B6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-29.9</w:t>
            </w:r>
          </w:p>
        </w:tc>
        <w:tc>
          <w:tcPr>
            <w:tcW w:w="505" w:type="dxa"/>
            <w:shd w:val="clear" w:color="auto" w:fill="auto"/>
            <w:tcMar>
              <w:top w:w="0" w:type="dxa"/>
              <w:left w:w="0" w:type="dxa"/>
              <w:bottom w:w="0" w:type="dxa"/>
              <w:right w:w="0" w:type="dxa"/>
            </w:tcMar>
            <w:vAlign w:val="center"/>
          </w:tcPr>
          <w:p w14:paraId="4D2D3E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-35.2</w:t>
            </w:r>
          </w:p>
        </w:tc>
        <w:tc>
          <w:tcPr>
            <w:tcW w:w="505" w:type="dxa"/>
            <w:shd w:val="clear" w:color="auto" w:fill="auto"/>
            <w:tcMar>
              <w:top w:w="0" w:type="dxa"/>
              <w:left w:w="0" w:type="dxa"/>
              <w:bottom w:w="0" w:type="dxa"/>
              <w:right w:w="0" w:type="dxa"/>
            </w:tcMar>
            <w:vAlign w:val="center"/>
          </w:tcPr>
          <w:p w14:paraId="3B13D0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C7DE9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w:t>
            </w:r>
          </w:p>
        </w:tc>
        <w:tc>
          <w:tcPr>
            <w:tcW w:w="505" w:type="dxa"/>
            <w:shd w:val="clear" w:color="auto" w:fill="auto"/>
            <w:tcMar>
              <w:top w:w="0" w:type="dxa"/>
              <w:left w:w="0" w:type="dxa"/>
              <w:bottom w:w="0" w:type="dxa"/>
              <w:right w:w="0" w:type="dxa"/>
            </w:tcMar>
            <w:vAlign w:val="center"/>
          </w:tcPr>
          <w:p w14:paraId="063413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21.5</w:t>
            </w:r>
          </w:p>
        </w:tc>
        <w:tc>
          <w:tcPr>
            <w:tcW w:w="505" w:type="dxa"/>
            <w:shd w:val="clear" w:color="auto" w:fill="auto"/>
            <w:tcMar>
              <w:top w:w="0" w:type="dxa"/>
              <w:left w:w="0" w:type="dxa"/>
              <w:bottom w:w="0" w:type="dxa"/>
              <w:right w:w="0" w:type="dxa"/>
            </w:tcMar>
            <w:vAlign w:val="center"/>
          </w:tcPr>
          <w:p w14:paraId="560332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80.3</w:t>
            </w:r>
          </w:p>
        </w:tc>
        <w:tc>
          <w:tcPr>
            <w:tcW w:w="505" w:type="dxa"/>
            <w:shd w:val="clear" w:color="auto" w:fill="auto"/>
            <w:tcMar>
              <w:top w:w="0" w:type="dxa"/>
              <w:left w:w="0" w:type="dxa"/>
              <w:bottom w:w="0" w:type="dxa"/>
              <w:right w:w="0" w:type="dxa"/>
            </w:tcMar>
            <w:vAlign w:val="center"/>
          </w:tcPr>
          <w:p w14:paraId="493557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52.9</w:t>
            </w:r>
          </w:p>
        </w:tc>
        <w:tc>
          <w:tcPr>
            <w:tcW w:w="505" w:type="dxa"/>
            <w:shd w:val="clear" w:color="auto" w:fill="auto"/>
            <w:tcMar>
              <w:top w:w="0" w:type="dxa"/>
              <w:left w:w="0" w:type="dxa"/>
              <w:bottom w:w="0" w:type="dxa"/>
              <w:right w:w="0" w:type="dxa"/>
            </w:tcMar>
            <w:vAlign w:val="center"/>
          </w:tcPr>
          <w:p w14:paraId="71410F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57.1</w:t>
            </w:r>
          </w:p>
        </w:tc>
        <w:tc>
          <w:tcPr>
            <w:tcW w:w="505" w:type="dxa"/>
            <w:shd w:val="clear" w:color="auto" w:fill="auto"/>
            <w:tcMar>
              <w:top w:w="0" w:type="dxa"/>
              <w:left w:w="0" w:type="dxa"/>
              <w:bottom w:w="0" w:type="dxa"/>
              <w:right w:w="0" w:type="dxa"/>
            </w:tcMar>
            <w:vAlign w:val="center"/>
          </w:tcPr>
          <w:p w14:paraId="351726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3A64FA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385E72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7748DC8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FF009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B3735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292B9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D6B44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E3BF7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77" w:type="dxa"/>
            <w:shd w:val="clear" w:color="auto" w:fill="auto"/>
            <w:tcMar>
              <w:top w:w="0" w:type="dxa"/>
              <w:left w:w="0" w:type="dxa"/>
              <w:bottom w:w="0" w:type="dxa"/>
              <w:right w:w="0" w:type="dxa"/>
            </w:tcMar>
            <w:vAlign w:val="center"/>
          </w:tcPr>
          <w:p w14:paraId="0194A6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3BF8F1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2F7AEF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667825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937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16216AC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405" w:type="dxa"/>
            <w:vMerge w:val="continue"/>
            <w:shd w:val="clear" w:color="auto" w:fill="auto"/>
            <w:tcMar>
              <w:top w:w="0" w:type="dxa"/>
              <w:left w:w="0" w:type="dxa"/>
              <w:bottom w:w="0" w:type="dxa"/>
              <w:right w:w="0" w:type="dxa"/>
            </w:tcMar>
            <w:vAlign w:val="center"/>
          </w:tcPr>
          <w:p w14:paraId="3E089016">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4188F3C3">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导热油加热器</w:t>
            </w:r>
          </w:p>
        </w:tc>
        <w:tc>
          <w:tcPr>
            <w:tcW w:w="693" w:type="dxa"/>
            <w:shd w:val="clear" w:color="auto" w:fill="auto"/>
            <w:tcMar>
              <w:top w:w="0" w:type="dxa"/>
              <w:left w:w="0" w:type="dxa"/>
              <w:bottom w:w="0" w:type="dxa"/>
              <w:right w:w="0" w:type="dxa"/>
            </w:tcMar>
            <w:vAlign w:val="center"/>
          </w:tcPr>
          <w:p w14:paraId="30CAD3A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1D809573">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20EC4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505" w:type="dxa"/>
            <w:shd w:val="clear" w:color="auto" w:fill="auto"/>
            <w:tcMar>
              <w:top w:w="0" w:type="dxa"/>
              <w:left w:w="0" w:type="dxa"/>
              <w:bottom w:w="0" w:type="dxa"/>
              <w:right w:w="0" w:type="dxa"/>
            </w:tcMar>
            <w:vAlign w:val="center"/>
          </w:tcPr>
          <w:p w14:paraId="6AB677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-29.5</w:t>
            </w:r>
          </w:p>
        </w:tc>
        <w:tc>
          <w:tcPr>
            <w:tcW w:w="505" w:type="dxa"/>
            <w:shd w:val="clear" w:color="auto" w:fill="auto"/>
            <w:tcMar>
              <w:top w:w="0" w:type="dxa"/>
              <w:left w:w="0" w:type="dxa"/>
              <w:bottom w:w="0" w:type="dxa"/>
              <w:right w:w="0" w:type="dxa"/>
            </w:tcMar>
            <w:vAlign w:val="center"/>
          </w:tcPr>
          <w:p w14:paraId="1248574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047A4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22.1</w:t>
            </w:r>
          </w:p>
        </w:tc>
        <w:tc>
          <w:tcPr>
            <w:tcW w:w="505" w:type="dxa"/>
            <w:shd w:val="clear" w:color="auto" w:fill="auto"/>
            <w:tcMar>
              <w:top w:w="0" w:type="dxa"/>
              <w:left w:w="0" w:type="dxa"/>
              <w:bottom w:w="0" w:type="dxa"/>
              <w:right w:w="0" w:type="dxa"/>
            </w:tcMar>
            <w:vAlign w:val="center"/>
          </w:tcPr>
          <w:p w14:paraId="2FCEFD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21.7</w:t>
            </w:r>
          </w:p>
        </w:tc>
        <w:tc>
          <w:tcPr>
            <w:tcW w:w="505" w:type="dxa"/>
            <w:shd w:val="clear" w:color="auto" w:fill="auto"/>
            <w:tcMar>
              <w:top w:w="0" w:type="dxa"/>
              <w:left w:w="0" w:type="dxa"/>
              <w:bottom w:w="0" w:type="dxa"/>
              <w:right w:w="0" w:type="dxa"/>
            </w:tcMar>
            <w:vAlign w:val="center"/>
          </w:tcPr>
          <w:p w14:paraId="1CAFE1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69.8</w:t>
            </w:r>
          </w:p>
        </w:tc>
        <w:tc>
          <w:tcPr>
            <w:tcW w:w="505" w:type="dxa"/>
            <w:shd w:val="clear" w:color="auto" w:fill="auto"/>
            <w:tcMar>
              <w:top w:w="0" w:type="dxa"/>
              <w:left w:w="0" w:type="dxa"/>
              <w:bottom w:w="0" w:type="dxa"/>
              <w:right w:w="0" w:type="dxa"/>
            </w:tcMar>
            <w:vAlign w:val="center"/>
          </w:tcPr>
          <w:p w14:paraId="70DA506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52.4</w:t>
            </w:r>
          </w:p>
        </w:tc>
        <w:tc>
          <w:tcPr>
            <w:tcW w:w="505" w:type="dxa"/>
            <w:shd w:val="clear" w:color="auto" w:fill="auto"/>
            <w:tcMar>
              <w:top w:w="0" w:type="dxa"/>
              <w:left w:w="0" w:type="dxa"/>
              <w:bottom w:w="0" w:type="dxa"/>
              <w:right w:w="0" w:type="dxa"/>
            </w:tcMar>
            <w:vAlign w:val="center"/>
          </w:tcPr>
          <w:p w14:paraId="309D70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2D1B200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69CBD5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48B7D3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5372052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1DD09D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55297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EC4DC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F6027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8C6C0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63F0C2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600400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3949E9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6413D8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D8A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0B36B18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405" w:type="dxa"/>
            <w:vMerge w:val="continue"/>
            <w:shd w:val="clear" w:color="auto" w:fill="auto"/>
            <w:tcMar>
              <w:top w:w="0" w:type="dxa"/>
              <w:left w:w="0" w:type="dxa"/>
              <w:bottom w:w="0" w:type="dxa"/>
              <w:right w:w="0" w:type="dxa"/>
            </w:tcMar>
            <w:vAlign w:val="center"/>
          </w:tcPr>
          <w:p w14:paraId="63084AED">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E681123">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组合脱酸脱臭塔</w:t>
            </w:r>
          </w:p>
        </w:tc>
        <w:tc>
          <w:tcPr>
            <w:tcW w:w="693" w:type="dxa"/>
            <w:shd w:val="clear" w:color="auto" w:fill="auto"/>
            <w:tcMar>
              <w:top w:w="0" w:type="dxa"/>
              <w:left w:w="0" w:type="dxa"/>
              <w:bottom w:w="0" w:type="dxa"/>
              <w:right w:w="0" w:type="dxa"/>
            </w:tcMar>
            <w:vAlign w:val="center"/>
          </w:tcPr>
          <w:p w14:paraId="53D2EC9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2DCE20E1">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4E6BEB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-49.9</w:t>
            </w:r>
          </w:p>
        </w:tc>
        <w:tc>
          <w:tcPr>
            <w:tcW w:w="505" w:type="dxa"/>
            <w:shd w:val="clear" w:color="auto" w:fill="auto"/>
            <w:tcMar>
              <w:top w:w="0" w:type="dxa"/>
              <w:left w:w="0" w:type="dxa"/>
              <w:bottom w:w="0" w:type="dxa"/>
              <w:right w:w="0" w:type="dxa"/>
            </w:tcMar>
            <w:vAlign w:val="center"/>
          </w:tcPr>
          <w:p w14:paraId="122D4A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505" w:type="dxa"/>
            <w:shd w:val="clear" w:color="auto" w:fill="auto"/>
            <w:tcMar>
              <w:top w:w="0" w:type="dxa"/>
              <w:left w:w="0" w:type="dxa"/>
              <w:bottom w:w="0" w:type="dxa"/>
              <w:right w:w="0" w:type="dxa"/>
            </w:tcMar>
            <w:vAlign w:val="center"/>
          </w:tcPr>
          <w:p w14:paraId="35FDB9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45CEA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34.6</w:t>
            </w:r>
          </w:p>
        </w:tc>
        <w:tc>
          <w:tcPr>
            <w:tcW w:w="505" w:type="dxa"/>
            <w:shd w:val="clear" w:color="auto" w:fill="auto"/>
            <w:tcMar>
              <w:top w:w="0" w:type="dxa"/>
              <w:left w:w="0" w:type="dxa"/>
              <w:bottom w:w="0" w:type="dxa"/>
              <w:right w:w="0" w:type="dxa"/>
            </w:tcMar>
            <w:vAlign w:val="center"/>
          </w:tcPr>
          <w:p w14:paraId="0D4F2E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20.9</w:t>
            </w:r>
          </w:p>
        </w:tc>
        <w:tc>
          <w:tcPr>
            <w:tcW w:w="505" w:type="dxa"/>
            <w:shd w:val="clear" w:color="auto" w:fill="auto"/>
            <w:tcMar>
              <w:top w:w="0" w:type="dxa"/>
              <w:left w:w="0" w:type="dxa"/>
              <w:bottom w:w="0" w:type="dxa"/>
              <w:right w:w="0" w:type="dxa"/>
            </w:tcMar>
            <w:vAlign w:val="center"/>
          </w:tcPr>
          <w:p w14:paraId="6624A78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14:paraId="45962A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52.9</w:t>
            </w:r>
          </w:p>
        </w:tc>
        <w:tc>
          <w:tcPr>
            <w:tcW w:w="505" w:type="dxa"/>
            <w:shd w:val="clear" w:color="auto" w:fill="auto"/>
            <w:tcMar>
              <w:top w:w="0" w:type="dxa"/>
              <w:left w:w="0" w:type="dxa"/>
              <w:bottom w:w="0" w:type="dxa"/>
              <w:right w:w="0" w:type="dxa"/>
            </w:tcMar>
            <w:vAlign w:val="center"/>
          </w:tcPr>
          <w:p w14:paraId="7D04DA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2C943B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193D27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1FF707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0B83F74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37436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56AD2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F29C0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33E084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83D70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642B8A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2846A9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092C91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7DF2A7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36B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67F775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405" w:type="dxa"/>
            <w:vMerge w:val="continue"/>
            <w:shd w:val="clear" w:color="auto" w:fill="auto"/>
            <w:tcMar>
              <w:top w:w="0" w:type="dxa"/>
              <w:left w:w="0" w:type="dxa"/>
              <w:bottom w:w="0" w:type="dxa"/>
              <w:right w:w="0" w:type="dxa"/>
            </w:tcMar>
            <w:vAlign w:val="center"/>
          </w:tcPr>
          <w:p w14:paraId="4B634C32">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4603BBF0">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屏蔽泵</w:t>
            </w:r>
          </w:p>
        </w:tc>
        <w:tc>
          <w:tcPr>
            <w:tcW w:w="693" w:type="dxa"/>
            <w:shd w:val="clear" w:color="auto" w:fill="auto"/>
            <w:tcMar>
              <w:top w:w="0" w:type="dxa"/>
              <w:left w:w="0" w:type="dxa"/>
              <w:bottom w:w="0" w:type="dxa"/>
              <w:right w:w="0" w:type="dxa"/>
            </w:tcMar>
            <w:vAlign w:val="center"/>
          </w:tcPr>
          <w:p w14:paraId="3B16D1E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7AF25A8A">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17A35F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-59.1</w:t>
            </w:r>
          </w:p>
        </w:tc>
        <w:tc>
          <w:tcPr>
            <w:tcW w:w="505" w:type="dxa"/>
            <w:shd w:val="clear" w:color="auto" w:fill="auto"/>
            <w:tcMar>
              <w:top w:w="0" w:type="dxa"/>
              <w:left w:w="0" w:type="dxa"/>
              <w:bottom w:w="0" w:type="dxa"/>
              <w:right w:w="0" w:type="dxa"/>
            </w:tcMar>
            <w:vAlign w:val="center"/>
          </w:tcPr>
          <w:p w14:paraId="6DE72B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c>
          <w:tcPr>
            <w:tcW w:w="505" w:type="dxa"/>
            <w:shd w:val="clear" w:color="auto" w:fill="auto"/>
            <w:tcMar>
              <w:top w:w="0" w:type="dxa"/>
              <w:left w:w="0" w:type="dxa"/>
              <w:bottom w:w="0" w:type="dxa"/>
              <w:right w:w="0" w:type="dxa"/>
            </w:tcMar>
            <w:vAlign w:val="center"/>
          </w:tcPr>
          <w:p w14:paraId="118520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DBFD0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44.7</w:t>
            </w:r>
          </w:p>
        </w:tc>
        <w:tc>
          <w:tcPr>
            <w:tcW w:w="505" w:type="dxa"/>
            <w:shd w:val="clear" w:color="auto" w:fill="auto"/>
            <w:tcMar>
              <w:top w:w="0" w:type="dxa"/>
              <w:left w:w="0" w:type="dxa"/>
              <w:bottom w:w="0" w:type="dxa"/>
              <w:right w:w="0" w:type="dxa"/>
            </w:tcMar>
            <w:vAlign w:val="center"/>
          </w:tcPr>
          <w:p w14:paraId="06C4FE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505" w:type="dxa"/>
            <w:shd w:val="clear" w:color="auto" w:fill="auto"/>
            <w:tcMar>
              <w:top w:w="0" w:type="dxa"/>
              <w:left w:w="0" w:type="dxa"/>
              <w:bottom w:w="0" w:type="dxa"/>
              <w:right w:w="0" w:type="dxa"/>
            </w:tcMar>
            <w:vAlign w:val="center"/>
          </w:tcPr>
          <w:p w14:paraId="7D975D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47.1</w:t>
            </w:r>
          </w:p>
        </w:tc>
        <w:tc>
          <w:tcPr>
            <w:tcW w:w="505" w:type="dxa"/>
            <w:shd w:val="clear" w:color="auto" w:fill="auto"/>
            <w:tcMar>
              <w:top w:w="0" w:type="dxa"/>
              <w:left w:w="0" w:type="dxa"/>
              <w:bottom w:w="0" w:type="dxa"/>
              <w:right w:w="0" w:type="dxa"/>
            </w:tcMar>
            <w:vAlign w:val="center"/>
          </w:tcPr>
          <w:p w14:paraId="6B9BA0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505" w:type="dxa"/>
            <w:shd w:val="clear" w:color="auto" w:fill="auto"/>
            <w:tcMar>
              <w:top w:w="0" w:type="dxa"/>
              <w:left w:w="0" w:type="dxa"/>
              <w:bottom w:w="0" w:type="dxa"/>
              <w:right w:w="0" w:type="dxa"/>
            </w:tcMar>
            <w:vAlign w:val="center"/>
          </w:tcPr>
          <w:p w14:paraId="7DD8D7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696CE2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5" w:type="dxa"/>
            <w:shd w:val="clear" w:color="auto" w:fill="auto"/>
            <w:tcMar>
              <w:top w:w="0" w:type="dxa"/>
              <w:left w:w="0" w:type="dxa"/>
              <w:bottom w:w="0" w:type="dxa"/>
              <w:right w:w="0" w:type="dxa"/>
            </w:tcMar>
            <w:vAlign w:val="center"/>
          </w:tcPr>
          <w:p w14:paraId="4A6ACB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15" w:type="dxa"/>
            <w:shd w:val="clear" w:color="auto" w:fill="auto"/>
            <w:tcMar>
              <w:top w:w="0" w:type="dxa"/>
              <w:left w:w="0" w:type="dxa"/>
              <w:bottom w:w="0" w:type="dxa"/>
              <w:right w:w="0" w:type="dxa"/>
            </w:tcMar>
            <w:vAlign w:val="center"/>
          </w:tcPr>
          <w:p w14:paraId="0FFD1D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52.0</w:t>
            </w:r>
          </w:p>
        </w:tc>
        <w:tc>
          <w:tcPr>
            <w:tcW w:w="500" w:type="dxa"/>
            <w:shd w:val="clear" w:color="auto" w:fill="auto"/>
            <w:tcMar>
              <w:top w:w="0" w:type="dxa"/>
              <w:left w:w="0" w:type="dxa"/>
              <w:bottom w:w="0" w:type="dxa"/>
              <w:right w:w="0" w:type="dxa"/>
            </w:tcMar>
            <w:vAlign w:val="center"/>
          </w:tcPr>
          <w:p w14:paraId="417D348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5B4888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45575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11F80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FEBA6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D2A5A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6C8267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77" w:type="dxa"/>
            <w:shd w:val="clear" w:color="auto" w:fill="auto"/>
            <w:tcMar>
              <w:top w:w="0" w:type="dxa"/>
              <w:left w:w="0" w:type="dxa"/>
              <w:bottom w:w="0" w:type="dxa"/>
              <w:right w:w="0" w:type="dxa"/>
            </w:tcMar>
            <w:vAlign w:val="center"/>
          </w:tcPr>
          <w:p w14:paraId="17F982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2" w:type="dxa"/>
            <w:shd w:val="clear" w:color="auto" w:fill="auto"/>
            <w:tcMar>
              <w:top w:w="0" w:type="dxa"/>
              <w:left w:w="0" w:type="dxa"/>
              <w:bottom w:w="0" w:type="dxa"/>
              <w:right w:w="0" w:type="dxa"/>
            </w:tcMar>
            <w:vAlign w:val="center"/>
          </w:tcPr>
          <w:p w14:paraId="62AA27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485" w:type="dxa"/>
            <w:shd w:val="clear" w:color="auto" w:fill="auto"/>
            <w:tcMar>
              <w:top w:w="0" w:type="dxa"/>
              <w:left w:w="0" w:type="dxa"/>
              <w:bottom w:w="0" w:type="dxa"/>
              <w:right w:w="0" w:type="dxa"/>
            </w:tcMar>
            <w:vAlign w:val="center"/>
          </w:tcPr>
          <w:p w14:paraId="39A1FB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509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239F1B4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405" w:type="dxa"/>
            <w:vMerge w:val="continue"/>
            <w:shd w:val="clear" w:color="auto" w:fill="auto"/>
            <w:tcMar>
              <w:top w:w="0" w:type="dxa"/>
              <w:left w:w="0" w:type="dxa"/>
              <w:bottom w:w="0" w:type="dxa"/>
              <w:right w:w="0" w:type="dxa"/>
            </w:tcMar>
            <w:vAlign w:val="center"/>
          </w:tcPr>
          <w:p w14:paraId="0FB6645F">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5A836979">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蒸汽过热器</w:t>
            </w:r>
          </w:p>
        </w:tc>
        <w:tc>
          <w:tcPr>
            <w:tcW w:w="693" w:type="dxa"/>
            <w:shd w:val="clear" w:color="auto" w:fill="auto"/>
            <w:tcMar>
              <w:top w:w="0" w:type="dxa"/>
              <w:left w:w="0" w:type="dxa"/>
              <w:bottom w:w="0" w:type="dxa"/>
              <w:right w:w="0" w:type="dxa"/>
            </w:tcMar>
            <w:vAlign w:val="center"/>
          </w:tcPr>
          <w:p w14:paraId="6C768A3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516" w:type="dxa"/>
            <w:vMerge w:val="continue"/>
            <w:shd w:val="clear" w:color="auto" w:fill="auto"/>
            <w:tcMar>
              <w:top w:w="0" w:type="dxa"/>
              <w:left w:w="0" w:type="dxa"/>
              <w:bottom w:w="0" w:type="dxa"/>
              <w:right w:w="0" w:type="dxa"/>
            </w:tcMar>
            <w:vAlign w:val="center"/>
          </w:tcPr>
          <w:p w14:paraId="72693CCC">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91558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-66.6</w:t>
            </w:r>
          </w:p>
        </w:tc>
        <w:tc>
          <w:tcPr>
            <w:tcW w:w="505" w:type="dxa"/>
            <w:shd w:val="clear" w:color="auto" w:fill="auto"/>
            <w:tcMar>
              <w:top w:w="0" w:type="dxa"/>
              <w:left w:w="0" w:type="dxa"/>
              <w:bottom w:w="0" w:type="dxa"/>
              <w:right w:w="0" w:type="dxa"/>
            </w:tcMar>
            <w:vAlign w:val="center"/>
          </w:tcPr>
          <w:p w14:paraId="174266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-14.2</w:t>
            </w:r>
          </w:p>
        </w:tc>
        <w:tc>
          <w:tcPr>
            <w:tcW w:w="505" w:type="dxa"/>
            <w:shd w:val="clear" w:color="auto" w:fill="auto"/>
            <w:tcMar>
              <w:top w:w="0" w:type="dxa"/>
              <w:left w:w="0" w:type="dxa"/>
              <w:bottom w:w="0" w:type="dxa"/>
              <w:right w:w="0" w:type="dxa"/>
            </w:tcMar>
            <w:vAlign w:val="center"/>
          </w:tcPr>
          <w:p w14:paraId="217372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4E923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505" w:type="dxa"/>
            <w:shd w:val="clear" w:color="auto" w:fill="auto"/>
            <w:tcMar>
              <w:top w:w="0" w:type="dxa"/>
              <w:left w:w="0" w:type="dxa"/>
              <w:bottom w:w="0" w:type="dxa"/>
              <w:right w:w="0" w:type="dxa"/>
            </w:tcMar>
            <w:vAlign w:val="center"/>
          </w:tcPr>
          <w:p w14:paraId="350D15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w:t>
            </w:r>
          </w:p>
        </w:tc>
        <w:tc>
          <w:tcPr>
            <w:tcW w:w="505" w:type="dxa"/>
            <w:shd w:val="clear" w:color="auto" w:fill="auto"/>
            <w:tcMar>
              <w:top w:w="0" w:type="dxa"/>
              <w:left w:w="0" w:type="dxa"/>
              <w:bottom w:w="0" w:type="dxa"/>
              <w:right w:w="0" w:type="dxa"/>
            </w:tcMar>
            <w:vAlign w:val="center"/>
          </w:tcPr>
          <w:p w14:paraId="3A9945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38.1</w:t>
            </w:r>
          </w:p>
        </w:tc>
        <w:tc>
          <w:tcPr>
            <w:tcW w:w="505" w:type="dxa"/>
            <w:shd w:val="clear" w:color="auto" w:fill="auto"/>
            <w:tcMar>
              <w:top w:w="0" w:type="dxa"/>
              <w:left w:w="0" w:type="dxa"/>
              <w:bottom w:w="0" w:type="dxa"/>
              <w:right w:w="0" w:type="dxa"/>
            </w:tcMar>
            <w:vAlign w:val="center"/>
          </w:tcPr>
          <w:p w14:paraId="3AD8AA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53.1</w:t>
            </w:r>
          </w:p>
        </w:tc>
        <w:tc>
          <w:tcPr>
            <w:tcW w:w="505" w:type="dxa"/>
            <w:shd w:val="clear" w:color="auto" w:fill="auto"/>
            <w:tcMar>
              <w:top w:w="0" w:type="dxa"/>
              <w:left w:w="0" w:type="dxa"/>
              <w:bottom w:w="0" w:type="dxa"/>
              <w:right w:w="0" w:type="dxa"/>
            </w:tcMar>
            <w:vAlign w:val="center"/>
          </w:tcPr>
          <w:p w14:paraId="3CBEF67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0AAEEB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30E020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2AF239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130F835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1DC232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2E1A7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0B412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945DD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5D0CF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3EEAD4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1B0106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2A07BC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130B39E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086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0DD72C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405" w:type="dxa"/>
            <w:vMerge w:val="continue"/>
            <w:shd w:val="clear" w:color="auto" w:fill="auto"/>
            <w:tcMar>
              <w:top w:w="0" w:type="dxa"/>
              <w:left w:w="0" w:type="dxa"/>
              <w:bottom w:w="0" w:type="dxa"/>
              <w:right w:w="0" w:type="dxa"/>
            </w:tcMar>
            <w:vAlign w:val="center"/>
          </w:tcPr>
          <w:p w14:paraId="18AE89A7">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633249AA">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真空冷却器</w:t>
            </w:r>
          </w:p>
        </w:tc>
        <w:tc>
          <w:tcPr>
            <w:tcW w:w="693" w:type="dxa"/>
            <w:shd w:val="clear" w:color="auto" w:fill="auto"/>
            <w:tcMar>
              <w:top w:w="0" w:type="dxa"/>
              <w:left w:w="0" w:type="dxa"/>
              <w:bottom w:w="0" w:type="dxa"/>
              <w:right w:w="0" w:type="dxa"/>
            </w:tcMar>
            <w:vAlign w:val="center"/>
          </w:tcPr>
          <w:p w14:paraId="52F19F4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645FC280">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266180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-76.3</w:t>
            </w:r>
          </w:p>
        </w:tc>
        <w:tc>
          <w:tcPr>
            <w:tcW w:w="505" w:type="dxa"/>
            <w:shd w:val="clear" w:color="auto" w:fill="auto"/>
            <w:tcMar>
              <w:top w:w="0" w:type="dxa"/>
              <w:left w:w="0" w:type="dxa"/>
              <w:bottom w:w="0" w:type="dxa"/>
              <w:right w:w="0" w:type="dxa"/>
            </w:tcMar>
            <w:vAlign w:val="center"/>
          </w:tcPr>
          <w:p w14:paraId="196A7B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w:t>
            </w:r>
          </w:p>
        </w:tc>
        <w:tc>
          <w:tcPr>
            <w:tcW w:w="505" w:type="dxa"/>
            <w:shd w:val="clear" w:color="auto" w:fill="auto"/>
            <w:tcMar>
              <w:top w:w="0" w:type="dxa"/>
              <w:left w:w="0" w:type="dxa"/>
              <w:bottom w:w="0" w:type="dxa"/>
              <w:right w:w="0" w:type="dxa"/>
            </w:tcMar>
            <w:vAlign w:val="center"/>
          </w:tcPr>
          <w:p w14:paraId="31F5F3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95879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64.6</w:t>
            </w:r>
          </w:p>
        </w:tc>
        <w:tc>
          <w:tcPr>
            <w:tcW w:w="505" w:type="dxa"/>
            <w:shd w:val="clear" w:color="auto" w:fill="auto"/>
            <w:tcMar>
              <w:top w:w="0" w:type="dxa"/>
              <w:left w:w="0" w:type="dxa"/>
              <w:bottom w:w="0" w:type="dxa"/>
              <w:right w:w="0" w:type="dxa"/>
            </w:tcMar>
            <w:vAlign w:val="center"/>
          </w:tcPr>
          <w:p w14:paraId="10A9818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19.2</w:t>
            </w:r>
          </w:p>
        </w:tc>
        <w:tc>
          <w:tcPr>
            <w:tcW w:w="505" w:type="dxa"/>
            <w:shd w:val="clear" w:color="auto" w:fill="auto"/>
            <w:tcMar>
              <w:top w:w="0" w:type="dxa"/>
              <w:left w:w="0" w:type="dxa"/>
              <w:bottom w:w="0" w:type="dxa"/>
              <w:right w:w="0" w:type="dxa"/>
            </w:tcMar>
            <w:vAlign w:val="center"/>
          </w:tcPr>
          <w:p w14:paraId="5EE33E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27.2</w:t>
            </w:r>
          </w:p>
        </w:tc>
        <w:tc>
          <w:tcPr>
            <w:tcW w:w="505" w:type="dxa"/>
            <w:shd w:val="clear" w:color="auto" w:fill="auto"/>
            <w:tcMar>
              <w:top w:w="0" w:type="dxa"/>
              <w:left w:w="0" w:type="dxa"/>
              <w:bottom w:w="0" w:type="dxa"/>
              <w:right w:w="0" w:type="dxa"/>
            </w:tcMar>
            <w:vAlign w:val="center"/>
          </w:tcPr>
          <w:p w14:paraId="694D84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505" w:type="dxa"/>
            <w:shd w:val="clear" w:color="auto" w:fill="auto"/>
            <w:tcMar>
              <w:top w:w="0" w:type="dxa"/>
              <w:left w:w="0" w:type="dxa"/>
              <w:bottom w:w="0" w:type="dxa"/>
              <w:right w:w="0" w:type="dxa"/>
            </w:tcMar>
            <w:vAlign w:val="center"/>
          </w:tcPr>
          <w:p w14:paraId="603ADF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2F19FB9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67760D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1440E7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0578EB0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5023A4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71524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271FE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8268E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D8E15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1FA58D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13A24E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0D032A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27F9E6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E8B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2EC6465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w:t>
            </w:r>
          </w:p>
        </w:tc>
        <w:tc>
          <w:tcPr>
            <w:tcW w:w="405" w:type="dxa"/>
            <w:vMerge w:val="continue"/>
            <w:shd w:val="clear" w:color="auto" w:fill="auto"/>
            <w:tcMar>
              <w:top w:w="0" w:type="dxa"/>
              <w:left w:w="0" w:type="dxa"/>
              <w:bottom w:w="0" w:type="dxa"/>
              <w:right w:w="0" w:type="dxa"/>
            </w:tcMar>
            <w:vAlign w:val="center"/>
          </w:tcPr>
          <w:p w14:paraId="57683478">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2E07DC65">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脂肪酸捕集器</w:t>
            </w:r>
          </w:p>
        </w:tc>
        <w:tc>
          <w:tcPr>
            <w:tcW w:w="693" w:type="dxa"/>
            <w:shd w:val="clear" w:color="auto" w:fill="auto"/>
            <w:tcMar>
              <w:top w:w="0" w:type="dxa"/>
              <w:left w:w="0" w:type="dxa"/>
              <w:bottom w:w="0" w:type="dxa"/>
              <w:right w:w="0" w:type="dxa"/>
            </w:tcMar>
            <w:vAlign w:val="center"/>
          </w:tcPr>
          <w:p w14:paraId="39589A9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2A249567">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0396BA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-85.2</w:t>
            </w:r>
          </w:p>
        </w:tc>
        <w:tc>
          <w:tcPr>
            <w:tcW w:w="505" w:type="dxa"/>
            <w:shd w:val="clear" w:color="auto" w:fill="auto"/>
            <w:tcMar>
              <w:top w:w="0" w:type="dxa"/>
              <w:left w:w="0" w:type="dxa"/>
              <w:bottom w:w="0" w:type="dxa"/>
              <w:right w:w="0" w:type="dxa"/>
            </w:tcMar>
            <w:vAlign w:val="center"/>
          </w:tcPr>
          <w:p w14:paraId="1BAA16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505" w:type="dxa"/>
            <w:shd w:val="clear" w:color="auto" w:fill="auto"/>
            <w:tcMar>
              <w:top w:w="0" w:type="dxa"/>
              <w:left w:w="0" w:type="dxa"/>
              <w:bottom w:w="0" w:type="dxa"/>
              <w:right w:w="0" w:type="dxa"/>
            </w:tcMar>
            <w:vAlign w:val="center"/>
          </w:tcPr>
          <w:p w14:paraId="64C42E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654EAC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74.8</w:t>
            </w:r>
          </w:p>
        </w:tc>
        <w:tc>
          <w:tcPr>
            <w:tcW w:w="505" w:type="dxa"/>
            <w:shd w:val="clear" w:color="auto" w:fill="auto"/>
            <w:tcMar>
              <w:top w:w="0" w:type="dxa"/>
              <w:left w:w="0" w:type="dxa"/>
              <w:bottom w:w="0" w:type="dxa"/>
              <w:right w:w="0" w:type="dxa"/>
            </w:tcMar>
            <w:vAlign w:val="center"/>
          </w:tcPr>
          <w:p w14:paraId="6CC846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18.8</w:t>
            </w:r>
          </w:p>
        </w:tc>
        <w:tc>
          <w:tcPr>
            <w:tcW w:w="505" w:type="dxa"/>
            <w:shd w:val="clear" w:color="auto" w:fill="auto"/>
            <w:tcMar>
              <w:top w:w="0" w:type="dxa"/>
              <w:left w:w="0" w:type="dxa"/>
              <w:bottom w:w="0" w:type="dxa"/>
              <w:right w:w="0" w:type="dxa"/>
            </w:tcMar>
            <w:vAlign w:val="center"/>
          </w:tcPr>
          <w:p w14:paraId="0173C5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505" w:type="dxa"/>
            <w:shd w:val="clear" w:color="auto" w:fill="auto"/>
            <w:tcMar>
              <w:top w:w="0" w:type="dxa"/>
              <w:left w:w="0" w:type="dxa"/>
              <w:bottom w:w="0" w:type="dxa"/>
              <w:right w:w="0" w:type="dxa"/>
            </w:tcMar>
            <w:vAlign w:val="center"/>
          </w:tcPr>
          <w:p w14:paraId="341A9F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505" w:type="dxa"/>
            <w:shd w:val="clear" w:color="auto" w:fill="auto"/>
            <w:tcMar>
              <w:top w:w="0" w:type="dxa"/>
              <w:left w:w="0" w:type="dxa"/>
              <w:bottom w:w="0" w:type="dxa"/>
              <w:right w:w="0" w:type="dxa"/>
            </w:tcMar>
            <w:vAlign w:val="center"/>
          </w:tcPr>
          <w:p w14:paraId="64BF4F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42164D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655CDE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0BC113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0256998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B0C8F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17B8E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40F87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92303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32D8A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1C6F86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6CECDA0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0E28BC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4D7A0F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8E3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4FEE1DB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405" w:type="dxa"/>
            <w:vMerge w:val="continue"/>
            <w:shd w:val="clear" w:color="auto" w:fill="auto"/>
            <w:tcMar>
              <w:top w:w="0" w:type="dxa"/>
              <w:left w:w="0" w:type="dxa"/>
              <w:bottom w:w="0" w:type="dxa"/>
              <w:right w:w="0" w:type="dxa"/>
            </w:tcMar>
            <w:vAlign w:val="center"/>
          </w:tcPr>
          <w:p w14:paraId="205B7F70">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6D8166A6">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脂肪酸循环罐</w:t>
            </w:r>
          </w:p>
        </w:tc>
        <w:tc>
          <w:tcPr>
            <w:tcW w:w="693" w:type="dxa"/>
            <w:shd w:val="clear" w:color="auto" w:fill="auto"/>
            <w:tcMar>
              <w:top w:w="0" w:type="dxa"/>
              <w:left w:w="0" w:type="dxa"/>
              <w:bottom w:w="0" w:type="dxa"/>
              <w:right w:w="0" w:type="dxa"/>
            </w:tcMar>
            <w:vAlign w:val="center"/>
          </w:tcPr>
          <w:p w14:paraId="7F78333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5F9EB0C5">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31BA4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-87.1</w:t>
            </w:r>
          </w:p>
        </w:tc>
        <w:tc>
          <w:tcPr>
            <w:tcW w:w="505" w:type="dxa"/>
            <w:shd w:val="clear" w:color="auto" w:fill="auto"/>
            <w:tcMar>
              <w:top w:w="0" w:type="dxa"/>
              <w:left w:w="0" w:type="dxa"/>
              <w:bottom w:w="0" w:type="dxa"/>
              <w:right w:w="0" w:type="dxa"/>
            </w:tcMar>
            <w:vAlign w:val="center"/>
          </w:tcPr>
          <w:p w14:paraId="3B6C9F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505" w:type="dxa"/>
            <w:shd w:val="clear" w:color="auto" w:fill="auto"/>
            <w:tcMar>
              <w:top w:w="0" w:type="dxa"/>
              <w:left w:w="0" w:type="dxa"/>
              <w:bottom w:w="0" w:type="dxa"/>
              <w:right w:w="0" w:type="dxa"/>
            </w:tcMar>
            <w:vAlign w:val="center"/>
          </w:tcPr>
          <w:p w14:paraId="5C2A606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B109F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80.3</w:t>
            </w:r>
          </w:p>
        </w:tc>
        <w:tc>
          <w:tcPr>
            <w:tcW w:w="505" w:type="dxa"/>
            <w:shd w:val="clear" w:color="auto" w:fill="auto"/>
            <w:tcMar>
              <w:top w:w="0" w:type="dxa"/>
              <w:left w:w="0" w:type="dxa"/>
              <w:bottom w:w="0" w:type="dxa"/>
              <w:right w:w="0" w:type="dxa"/>
            </w:tcMar>
            <w:vAlign w:val="center"/>
          </w:tcPr>
          <w:p w14:paraId="7DBF52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23.9</w:t>
            </w:r>
          </w:p>
        </w:tc>
        <w:tc>
          <w:tcPr>
            <w:tcW w:w="505" w:type="dxa"/>
            <w:shd w:val="clear" w:color="auto" w:fill="auto"/>
            <w:tcMar>
              <w:top w:w="0" w:type="dxa"/>
              <w:left w:w="0" w:type="dxa"/>
              <w:bottom w:w="0" w:type="dxa"/>
              <w:right w:w="0" w:type="dxa"/>
            </w:tcMar>
            <w:vAlign w:val="center"/>
          </w:tcPr>
          <w:p w14:paraId="41F8BD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w:t>
            </w:r>
          </w:p>
        </w:tc>
        <w:tc>
          <w:tcPr>
            <w:tcW w:w="505" w:type="dxa"/>
            <w:shd w:val="clear" w:color="auto" w:fill="auto"/>
            <w:tcMar>
              <w:top w:w="0" w:type="dxa"/>
              <w:left w:w="0" w:type="dxa"/>
              <w:bottom w:w="0" w:type="dxa"/>
              <w:right w:w="0" w:type="dxa"/>
            </w:tcMar>
            <w:vAlign w:val="center"/>
          </w:tcPr>
          <w:p w14:paraId="3BB7CD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48.5</w:t>
            </w:r>
          </w:p>
        </w:tc>
        <w:tc>
          <w:tcPr>
            <w:tcW w:w="505" w:type="dxa"/>
            <w:shd w:val="clear" w:color="auto" w:fill="auto"/>
            <w:tcMar>
              <w:top w:w="0" w:type="dxa"/>
              <w:left w:w="0" w:type="dxa"/>
              <w:bottom w:w="0" w:type="dxa"/>
              <w:right w:w="0" w:type="dxa"/>
            </w:tcMar>
            <w:vAlign w:val="center"/>
          </w:tcPr>
          <w:p w14:paraId="0494DC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7A0095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26E4CD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15" w:type="dxa"/>
            <w:shd w:val="clear" w:color="auto" w:fill="auto"/>
            <w:tcMar>
              <w:top w:w="0" w:type="dxa"/>
              <w:left w:w="0" w:type="dxa"/>
              <w:bottom w:w="0" w:type="dxa"/>
              <w:right w:w="0" w:type="dxa"/>
            </w:tcMar>
            <w:vAlign w:val="center"/>
          </w:tcPr>
          <w:p w14:paraId="29C11A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7DF1482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81077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24CC8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38A3A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DFBCE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A82B5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5BE2C4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6E987D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82" w:type="dxa"/>
            <w:shd w:val="clear" w:color="auto" w:fill="auto"/>
            <w:tcMar>
              <w:top w:w="0" w:type="dxa"/>
              <w:left w:w="0" w:type="dxa"/>
              <w:bottom w:w="0" w:type="dxa"/>
              <w:right w:w="0" w:type="dxa"/>
            </w:tcMar>
            <w:vAlign w:val="center"/>
          </w:tcPr>
          <w:p w14:paraId="5BF1E62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1761EA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9EB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2CFB94C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405" w:type="dxa"/>
            <w:vMerge w:val="continue"/>
            <w:shd w:val="clear" w:color="auto" w:fill="auto"/>
            <w:tcMar>
              <w:top w:w="0" w:type="dxa"/>
              <w:left w:w="0" w:type="dxa"/>
              <w:bottom w:w="0" w:type="dxa"/>
              <w:right w:w="0" w:type="dxa"/>
            </w:tcMar>
            <w:vAlign w:val="center"/>
          </w:tcPr>
          <w:p w14:paraId="04078D2A">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3C52E1BF">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脂肪酸输送泵</w:t>
            </w:r>
          </w:p>
        </w:tc>
        <w:tc>
          <w:tcPr>
            <w:tcW w:w="693" w:type="dxa"/>
            <w:shd w:val="clear" w:color="auto" w:fill="auto"/>
            <w:tcMar>
              <w:top w:w="0" w:type="dxa"/>
              <w:left w:w="0" w:type="dxa"/>
              <w:bottom w:w="0" w:type="dxa"/>
              <w:right w:w="0" w:type="dxa"/>
            </w:tcMar>
            <w:vAlign w:val="center"/>
          </w:tcPr>
          <w:p w14:paraId="376E63F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5AFC5E3F">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1475C6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-92.9</w:t>
            </w:r>
          </w:p>
        </w:tc>
        <w:tc>
          <w:tcPr>
            <w:tcW w:w="505" w:type="dxa"/>
            <w:shd w:val="clear" w:color="auto" w:fill="auto"/>
            <w:tcMar>
              <w:top w:w="0" w:type="dxa"/>
              <w:left w:w="0" w:type="dxa"/>
              <w:bottom w:w="0" w:type="dxa"/>
              <w:right w:w="0" w:type="dxa"/>
            </w:tcMar>
            <w:vAlign w:val="center"/>
          </w:tcPr>
          <w:p w14:paraId="57B6A0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505" w:type="dxa"/>
            <w:shd w:val="clear" w:color="auto" w:fill="auto"/>
            <w:tcMar>
              <w:top w:w="0" w:type="dxa"/>
              <w:left w:w="0" w:type="dxa"/>
              <w:bottom w:w="0" w:type="dxa"/>
              <w:right w:w="0" w:type="dxa"/>
            </w:tcMar>
            <w:vAlign w:val="center"/>
          </w:tcPr>
          <w:p w14:paraId="1C10B0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7F7FC1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81.2</w:t>
            </w:r>
          </w:p>
        </w:tc>
        <w:tc>
          <w:tcPr>
            <w:tcW w:w="505" w:type="dxa"/>
            <w:shd w:val="clear" w:color="auto" w:fill="auto"/>
            <w:tcMar>
              <w:top w:w="0" w:type="dxa"/>
              <w:left w:w="0" w:type="dxa"/>
              <w:bottom w:w="0" w:type="dxa"/>
              <w:right w:w="0" w:type="dxa"/>
            </w:tcMar>
            <w:vAlign w:val="center"/>
          </w:tcPr>
          <w:p w14:paraId="628CEB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14.6</w:t>
            </w:r>
          </w:p>
        </w:tc>
        <w:tc>
          <w:tcPr>
            <w:tcW w:w="505" w:type="dxa"/>
            <w:shd w:val="clear" w:color="auto" w:fill="auto"/>
            <w:tcMar>
              <w:top w:w="0" w:type="dxa"/>
              <w:left w:w="0" w:type="dxa"/>
              <w:bottom w:w="0" w:type="dxa"/>
              <w:right w:w="0" w:type="dxa"/>
            </w:tcMar>
            <w:vAlign w:val="center"/>
          </w:tcPr>
          <w:p w14:paraId="460346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w:t>
            </w:r>
          </w:p>
        </w:tc>
        <w:tc>
          <w:tcPr>
            <w:tcW w:w="505" w:type="dxa"/>
            <w:shd w:val="clear" w:color="auto" w:fill="auto"/>
            <w:tcMar>
              <w:top w:w="0" w:type="dxa"/>
              <w:left w:w="0" w:type="dxa"/>
              <w:bottom w:w="0" w:type="dxa"/>
              <w:right w:w="0" w:type="dxa"/>
            </w:tcMar>
            <w:vAlign w:val="center"/>
          </w:tcPr>
          <w:p w14:paraId="07BB25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57.8</w:t>
            </w:r>
          </w:p>
        </w:tc>
        <w:tc>
          <w:tcPr>
            <w:tcW w:w="505" w:type="dxa"/>
            <w:shd w:val="clear" w:color="auto" w:fill="auto"/>
            <w:tcMar>
              <w:top w:w="0" w:type="dxa"/>
              <w:left w:w="0" w:type="dxa"/>
              <w:bottom w:w="0" w:type="dxa"/>
              <w:right w:w="0" w:type="dxa"/>
            </w:tcMar>
            <w:vAlign w:val="center"/>
          </w:tcPr>
          <w:p w14:paraId="1A81FD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1AA1C7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5" w:type="dxa"/>
            <w:shd w:val="clear" w:color="auto" w:fill="auto"/>
            <w:tcMar>
              <w:top w:w="0" w:type="dxa"/>
              <w:left w:w="0" w:type="dxa"/>
              <w:bottom w:w="0" w:type="dxa"/>
              <w:right w:w="0" w:type="dxa"/>
            </w:tcMar>
            <w:vAlign w:val="center"/>
          </w:tcPr>
          <w:p w14:paraId="0A81DB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14:paraId="0966FC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53B3B4E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1001D2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7DA5A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2499C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27B07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EB6B5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15F2F8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77" w:type="dxa"/>
            <w:shd w:val="clear" w:color="auto" w:fill="auto"/>
            <w:tcMar>
              <w:top w:w="0" w:type="dxa"/>
              <w:left w:w="0" w:type="dxa"/>
              <w:bottom w:w="0" w:type="dxa"/>
              <w:right w:w="0" w:type="dxa"/>
            </w:tcMar>
            <w:vAlign w:val="center"/>
          </w:tcPr>
          <w:p w14:paraId="5C19BF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14:paraId="2AB251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63CF0F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0E1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061751A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405" w:type="dxa"/>
            <w:vMerge w:val="continue"/>
            <w:shd w:val="clear" w:color="auto" w:fill="auto"/>
            <w:tcMar>
              <w:top w:w="0" w:type="dxa"/>
              <w:left w:w="0" w:type="dxa"/>
              <w:bottom w:w="0" w:type="dxa"/>
              <w:right w:w="0" w:type="dxa"/>
            </w:tcMar>
            <w:vAlign w:val="center"/>
          </w:tcPr>
          <w:p w14:paraId="47A857FE">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6F406128">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四级高效真空泵机组</w:t>
            </w:r>
          </w:p>
        </w:tc>
        <w:tc>
          <w:tcPr>
            <w:tcW w:w="693" w:type="dxa"/>
            <w:shd w:val="clear" w:color="auto" w:fill="auto"/>
            <w:tcMar>
              <w:top w:w="0" w:type="dxa"/>
              <w:left w:w="0" w:type="dxa"/>
              <w:bottom w:w="0" w:type="dxa"/>
              <w:right w:w="0" w:type="dxa"/>
            </w:tcMar>
            <w:vAlign w:val="center"/>
          </w:tcPr>
          <w:p w14:paraId="283EF91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0C633815">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FC2A8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-97.2</w:t>
            </w:r>
          </w:p>
        </w:tc>
        <w:tc>
          <w:tcPr>
            <w:tcW w:w="505" w:type="dxa"/>
            <w:shd w:val="clear" w:color="auto" w:fill="auto"/>
            <w:tcMar>
              <w:top w:w="0" w:type="dxa"/>
              <w:left w:w="0" w:type="dxa"/>
              <w:bottom w:w="0" w:type="dxa"/>
              <w:right w:w="0" w:type="dxa"/>
            </w:tcMar>
            <w:vAlign w:val="center"/>
          </w:tcPr>
          <w:p w14:paraId="621C58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w:t>
            </w:r>
          </w:p>
        </w:tc>
        <w:tc>
          <w:tcPr>
            <w:tcW w:w="505" w:type="dxa"/>
            <w:shd w:val="clear" w:color="auto" w:fill="auto"/>
            <w:tcMar>
              <w:top w:w="0" w:type="dxa"/>
              <w:left w:w="0" w:type="dxa"/>
              <w:bottom w:w="0" w:type="dxa"/>
              <w:right w:w="0" w:type="dxa"/>
            </w:tcMar>
            <w:vAlign w:val="center"/>
          </w:tcPr>
          <w:p w14:paraId="1D5C2F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4FAF4B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81.5</w:t>
            </w:r>
          </w:p>
        </w:tc>
        <w:tc>
          <w:tcPr>
            <w:tcW w:w="505" w:type="dxa"/>
            <w:shd w:val="clear" w:color="auto" w:fill="auto"/>
            <w:tcMar>
              <w:top w:w="0" w:type="dxa"/>
              <w:left w:w="0" w:type="dxa"/>
              <w:bottom w:w="0" w:type="dxa"/>
              <w:right w:w="0" w:type="dxa"/>
            </w:tcMar>
            <w:vAlign w:val="center"/>
          </w:tcPr>
          <w:p w14:paraId="1D41FF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505" w:type="dxa"/>
            <w:shd w:val="clear" w:color="auto" w:fill="auto"/>
            <w:tcMar>
              <w:top w:w="0" w:type="dxa"/>
              <w:left w:w="0" w:type="dxa"/>
              <w:bottom w:w="0" w:type="dxa"/>
              <w:right w:w="0" w:type="dxa"/>
            </w:tcMar>
            <w:vAlign w:val="center"/>
          </w:tcPr>
          <w:p w14:paraId="64FE6F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505" w:type="dxa"/>
            <w:shd w:val="clear" w:color="auto" w:fill="auto"/>
            <w:tcMar>
              <w:top w:w="0" w:type="dxa"/>
              <w:left w:w="0" w:type="dxa"/>
              <w:bottom w:w="0" w:type="dxa"/>
              <w:right w:w="0" w:type="dxa"/>
            </w:tcMar>
            <w:vAlign w:val="center"/>
          </w:tcPr>
          <w:p w14:paraId="11BBFF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65.2</w:t>
            </w:r>
          </w:p>
        </w:tc>
        <w:tc>
          <w:tcPr>
            <w:tcW w:w="505" w:type="dxa"/>
            <w:shd w:val="clear" w:color="auto" w:fill="auto"/>
            <w:tcMar>
              <w:top w:w="0" w:type="dxa"/>
              <w:left w:w="0" w:type="dxa"/>
              <w:bottom w:w="0" w:type="dxa"/>
              <w:right w:w="0" w:type="dxa"/>
            </w:tcMar>
            <w:vAlign w:val="center"/>
          </w:tcPr>
          <w:p w14:paraId="1A95F8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3DC968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57.4</w:t>
            </w:r>
          </w:p>
        </w:tc>
        <w:tc>
          <w:tcPr>
            <w:tcW w:w="505" w:type="dxa"/>
            <w:shd w:val="clear" w:color="auto" w:fill="auto"/>
            <w:tcMar>
              <w:top w:w="0" w:type="dxa"/>
              <w:left w:w="0" w:type="dxa"/>
              <w:bottom w:w="0" w:type="dxa"/>
              <w:right w:w="0" w:type="dxa"/>
            </w:tcMar>
            <w:vAlign w:val="center"/>
          </w:tcPr>
          <w:p w14:paraId="630C87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14:paraId="6E0DBD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24D9107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D6C22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16A1B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EC476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79B56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4954B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46D556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477" w:type="dxa"/>
            <w:shd w:val="clear" w:color="auto" w:fill="auto"/>
            <w:tcMar>
              <w:top w:w="0" w:type="dxa"/>
              <w:left w:w="0" w:type="dxa"/>
              <w:bottom w:w="0" w:type="dxa"/>
              <w:right w:w="0" w:type="dxa"/>
            </w:tcMar>
            <w:vAlign w:val="center"/>
          </w:tcPr>
          <w:p w14:paraId="2211E1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14:paraId="48BD13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619FCD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F90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32B608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405" w:type="dxa"/>
            <w:vMerge w:val="continue"/>
            <w:shd w:val="clear" w:color="auto" w:fill="auto"/>
            <w:tcMar>
              <w:top w:w="0" w:type="dxa"/>
              <w:left w:w="0" w:type="dxa"/>
              <w:bottom w:w="0" w:type="dxa"/>
              <w:right w:w="0" w:type="dxa"/>
            </w:tcMar>
            <w:vAlign w:val="center"/>
          </w:tcPr>
          <w:p w14:paraId="59F6BE4B">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5416A3D3">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水分配器</w:t>
            </w:r>
          </w:p>
        </w:tc>
        <w:tc>
          <w:tcPr>
            <w:tcW w:w="693" w:type="dxa"/>
            <w:shd w:val="clear" w:color="auto" w:fill="auto"/>
            <w:tcMar>
              <w:top w:w="0" w:type="dxa"/>
              <w:left w:w="0" w:type="dxa"/>
              <w:bottom w:w="0" w:type="dxa"/>
              <w:right w:w="0" w:type="dxa"/>
            </w:tcMar>
            <w:vAlign w:val="center"/>
          </w:tcPr>
          <w:p w14:paraId="7771419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661C08C7">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4589A8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-86.6</w:t>
            </w:r>
          </w:p>
        </w:tc>
        <w:tc>
          <w:tcPr>
            <w:tcW w:w="505" w:type="dxa"/>
            <w:shd w:val="clear" w:color="auto" w:fill="auto"/>
            <w:tcMar>
              <w:top w:w="0" w:type="dxa"/>
              <w:left w:w="0" w:type="dxa"/>
              <w:bottom w:w="0" w:type="dxa"/>
              <w:right w:w="0" w:type="dxa"/>
            </w:tcMar>
            <w:vAlign w:val="center"/>
          </w:tcPr>
          <w:p w14:paraId="5A41DE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w:t>
            </w:r>
          </w:p>
        </w:tc>
        <w:tc>
          <w:tcPr>
            <w:tcW w:w="505" w:type="dxa"/>
            <w:shd w:val="clear" w:color="auto" w:fill="auto"/>
            <w:tcMar>
              <w:top w:w="0" w:type="dxa"/>
              <w:left w:w="0" w:type="dxa"/>
              <w:bottom w:w="0" w:type="dxa"/>
              <w:right w:w="0" w:type="dxa"/>
            </w:tcMar>
            <w:vAlign w:val="center"/>
          </w:tcPr>
          <w:p w14:paraId="57823B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7C512C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70.7</w:t>
            </w:r>
          </w:p>
        </w:tc>
        <w:tc>
          <w:tcPr>
            <w:tcW w:w="505" w:type="dxa"/>
            <w:shd w:val="clear" w:color="auto" w:fill="auto"/>
            <w:tcMar>
              <w:top w:w="0" w:type="dxa"/>
              <w:left w:w="0" w:type="dxa"/>
              <w:bottom w:w="0" w:type="dxa"/>
              <w:right w:w="0" w:type="dxa"/>
            </w:tcMar>
            <w:vAlign w:val="center"/>
          </w:tcPr>
          <w:p w14:paraId="684D42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w:t>
            </w:r>
          </w:p>
        </w:tc>
        <w:tc>
          <w:tcPr>
            <w:tcW w:w="505" w:type="dxa"/>
            <w:shd w:val="clear" w:color="auto" w:fill="auto"/>
            <w:tcMar>
              <w:top w:w="0" w:type="dxa"/>
              <w:left w:w="0" w:type="dxa"/>
              <w:bottom w:w="0" w:type="dxa"/>
              <w:right w:w="0" w:type="dxa"/>
            </w:tcMar>
            <w:vAlign w:val="center"/>
          </w:tcPr>
          <w:p w14:paraId="07E93F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20.9</w:t>
            </w:r>
          </w:p>
        </w:tc>
        <w:tc>
          <w:tcPr>
            <w:tcW w:w="505" w:type="dxa"/>
            <w:shd w:val="clear" w:color="auto" w:fill="auto"/>
            <w:tcMar>
              <w:top w:w="0" w:type="dxa"/>
              <w:left w:w="0" w:type="dxa"/>
              <w:bottom w:w="0" w:type="dxa"/>
              <w:right w:w="0" w:type="dxa"/>
            </w:tcMar>
            <w:vAlign w:val="center"/>
          </w:tcPr>
          <w:p w14:paraId="58D4D5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62.9</w:t>
            </w:r>
          </w:p>
        </w:tc>
        <w:tc>
          <w:tcPr>
            <w:tcW w:w="505" w:type="dxa"/>
            <w:shd w:val="clear" w:color="auto" w:fill="auto"/>
            <w:tcMar>
              <w:top w:w="0" w:type="dxa"/>
              <w:left w:w="0" w:type="dxa"/>
              <w:bottom w:w="0" w:type="dxa"/>
              <w:right w:w="0" w:type="dxa"/>
            </w:tcMar>
            <w:vAlign w:val="center"/>
          </w:tcPr>
          <w:p w14:paraId="4B2D3A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5EA9CB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14:paraId="271513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20C2D4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62E8847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1E76BC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C2F1E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FB083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77DE2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779B9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5BECA5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14:paraId="7540A6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40A9DB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1C3D91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401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A963E8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405" w:type="dxa"/>
            <w:vMerge w:val="continue"/>
            <w:shd w:val="clear" w:color="auto" w:fill="auto"/>
            <w:tcMar>
              <w:top w:w="0" w:type="dxa"/>
              <w:left w:w="0" w:type="dxa"/>
              <w:bottom w:w="0" w:type="dxa"/>
              <w:right w:w="0" w:type="dxa"/>
            </w:tcMar>
            <w:vAlign w:val="center"/>
          </w:tcPr>
          <w:p w14:paraId="45D0DED8">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5EAAC2BE">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离心水泵</w:t>
            </w:r>
          </w:p>
        </w:tc>
        <w:tc>
          <w:tcPr>
            <w:tcW w:w="693" w:type="dxa"/>
            <w:shd w:val="clear" w:color="auto" w:fill="auto"/>
            <w:tcMar>
              <w:top w:w="0" w:type="dxa"/>
              <w:left w:w="0" w:type="dxa"/>
              <w:bottom w:w="0" w:type="dxa"/>
              <w:right w:w="0" w:type="dxa"/>
            </w:tcMar>
            <w:vAlign w:val="center"/>
          </w:tcPr>
          <w:p w14:paraId="6E65525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12565079">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36A8CA7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-78.7</w:t>
            </w:r>
          </w:p>
        </w:tc>
        <w:tc>
          <w:tcPr>
            <w:tcW w:w="505" w:type="dxa"/>
            <w:shd w:val="clear" w:color="auto" w:fill="auto"/>
            <w:tcMar>
              <w:top w:w="0" w:type="dxa"/>
              <w:left w:w="0" w:type="dxa"/>
              <w:bottom w:w="0" w:type="dxa"/>
              <w:right w:w="0" w:type="dxa"/>
            </w:tcMar>
            <w:vAlign w:val="center"/>
          </w:tcPr>
          <w:p w14:paraId="6D8C81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505" w:type="dxa"/>
            <w:shd w:val="clear" w:color="auto" w:fill="auto"/>
            <w:tcMar>
              <w:top w:w="0" w:type="dxa"/>
              <w:left w:w="0" w:type="dxa"/>
              <w:bottom w:w="0" w:type="dxa"/>
              <w:right w:w="0" w:type="dxa"/>
            </w:tcMar>
            <w:vAlign w:val="center"/>
          </w:tcPr>
          <w:p w14:paraId="37AE6E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4DEB29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61.3</w:t>
            </w:r>
          </w:p>
        </w:tc>
        <w:tc>
          <w:tcPr>
            <w:tcW w:w="505" w:type="dxa"/>
            <w:shd w:val="clear" w:color="auto" w:fill="auto"/>
            <w:tcMar>
              <w:top w:w="0" w:type="dxa"/>
              <w:left w:w="0" w:type="dxa"/>
              <w:bottom w:w="0" w:type="dxa"/>
              <w:right w:w="0" w:type="dxa"/>
            </w:tcMar>
            <w:vAlign w:val="center"/>
          </w:tcPr>
          <w:p w14:paraId="02A2A2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c>
          <w:tcPr>
            <w:tcW w:w="505" w:type="dxa"/>
            <w:shd w:val="clear" w:color="auto" w:fill="auto"/>
            <w:tcMar>
              <w:top w:w="0" w:type="dxa"/>
              <w:left w:w="0" w:type="dxa"/>
              <w:bottom w:w="0" w:type="dxa"/>
              <w:right w:w="0" w:type="dxa"/>
            </w:tcMar>
            <w:vAlign w:val="center"/>
          </w:tcPr>
          <w:p w14:paraId="6024968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30.3</w:t>
            </w:r>
          </w:p>
        </w:tc>
        <w:tc>
          <w:tcPr>
            <w:tcW w:w="505" w:type="dxa"/>
            <w:shd w:val="clear" w:color="auto" w:fill="auto"/>
            <w:tcMar>
              <w:top w:w="0" w:type="dxa"/>
              <w:left w:w="0" w:type="dxa"/>
              <w:bottom w:w="0" w:type="dxa"/>
              <w:right w:w="0" w:type="dxa"/>
            </w:tcMar>
            <w:vAlign w:val="center"/>
          </w:tcPr>
          <w:p w14:paraId="7E0FF48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63.4</w:t>
            </w:r>
          </w:p>
        </w:tc>
        <w:tc>
          <w:tcPr>
            <w:tcW w:w="505" w:type="dxa"/>
            <w:shd w:val="clear" w:color="auto" w:fill="auto"/>
            <w:tcMar>
              <w:top w:w="0" w:type="dxa"/>
              <w:left w:w="0" w:type="dxa"/>
              <w:bottom w:w="0" w:type="dxa"/>
              <w:right w:w="0" w:type="dxa"/>
            </w:tcMar>
            <w:vAlign w:val="center"/>
          </w:tcPr>
          <w:p w14:paraId="3C01026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60C752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14:paraId="551D73D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70E950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6C41A70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CEAAD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D78AA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CFD778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EC48B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2A6D30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53CB25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14:paraId="32B4BC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03EDBF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029A09C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1CB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198688A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405" w:type="dxa"/>
            <w:vMerge w:val="continue"/>
            <w:shd w:val="clear" w:color="auto" w:fill="auto"/>
            <w:tcMar>
              <w:top w:w="0" w:type="dxa"/>
              <w:left w:w="0" w:type="dxa"/>
              <w:bottom w:w="0" w:type="dxa"/>
              <w:right w:w="0" w:type="dxa"/>
            </w:tcMar>
            <w:vAlign w:val="center"/>
          </w:tcPr>
          <w:p w14:paraId="07516754">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D294D93">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螺旋板冷却器</w:t>
            </w:r>
          </w:p>
        </w:tc>
        <w:tc>
          <w:tcPr>
            <w:tcW w:w="693" w:type="dxa"/>
            <w:shd w:val="clear" w:color="auto" w:fill="auto"/>
            <w:tcMar>
              <w:top w:w="0" w:type="dxa"/>
              <w:left w:w="0" w:type="dxa"/>
              <w:bottom w:w="0" w:type="dxa"/>
              <w:right w:w="0" w:type="dxa"/>
            </w:tcMar>
            <w:vAlign w:val="center"/>
          </w:tcPr>
          <w:p w14:paraId="7E658D6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11FC0682">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9EE34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-69.6</w:t>
            </w:r>
          </w:p>
        </w:tc>
        <w:tc>
          <w:tcPr>
            <w:tcW w:w="505" w:type="dxa"/>
            <w:shd w:val="clear" w:color="auto" w:fill="auto"/>
            <w:tcMar>
              <w:top w:w="0" w:type="dxa"/>
              <w:left w:w="0" w:type="dxa"/>
              <w:bottom w:w="0" w:type="dxa"/>
              <w:right w:w="0" w:type="dxa"/>
            </w:tcMar>
            <w:vAlign w:val="center"/>
          </w:tcPr>
          <w:p w14:paraId="458D2A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-23.9</w:t>
            </w:r>
          </w:p>
        </w:tc>
        <w:tc>
          <w:tcPr>
            <w:tcW w:w="505" w:type="dxa"/>
            <w:shd w:val="clear" w:color="auto" w:fill="auto"/>
            <w:tcMar>
              <w:top w:w="0" w:type="dxa"/>
              <w:left w:w="0" w:type="dxa"/>
              <w:bottom w:w="0" w:type="dxa"/>
              <w:right w:w="0" w:type="dxa"/>
            </w:tcMar>
            <w:vAlign w:val="center"/>
          </w:tcPr>
          <w:p w14:paraId="2A32A4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4A4590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51.0</w:t>
            </w:r>
          </w:p>
        </w:tc>
        <w:tc>
          <w:tcPr>
            <w:tcW w:w="505" w:type="dxa"/>
            <w:shd w:val="clear" w:color="auto" w:fill="auto"/>
            <w:tcMar>
              <w:top w:w="0" w:type="dxa"/>
              <w:left w:w="0" w:type="dxa"/>
              <w:bottom w:w="0" w:type="dxa"/>
              <w:right w:w="0" w:type="dxa"/>
            </w:tcMar>
            <w:vAlign w:val="center"/>
          </w:tcPr>
          <w:p w14:paraId="37486A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p>
        </w:tc>
        <w:tc>
          <w:tcPr>
            <w:tcW w:w="505" w:type="dxa"/>
            <w:shd w:val="clear" w:color="auto" w:fill="auto"/>
            <w:tcMar>
              <w:top w:w="0" w:type="dxa"/>
              <w:left w:w="0" w:type="dxa"/>
              <w:bottom w:w="0" w:type="dxa"/>
              <w:right w:w="0" w:type="dxa"/>
            </w:tcMar>
            <w:vAlign w:val="center"/>
          </w:tcPr>
          <w:p w14:paraId="06E500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505" w:type="dxa"/>
            <w:shd w:val="clear" w:color="auto" w:fill="auto"/>
            <w:tcMar>
              <w:top w:w="0" w:type="dxa"/>
              <w:left w:w="0" w:type="dxa"/>
              <w:bottom w:w="0" w:type="dxa"/>
              <w:right w:w="0" w:type="dxa"/>
            </w:tcMar>
            <w:vAlign w:val="center"/>
          </w:tcPr>
          <w:p w14:paraId="5CCC69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63.0</w:t>
            </w:r>
          </w:p>
        </w:tc>
        <w:tc>
          <w:tcPr>
            <w:tcW w:w="505" w:type="dxa"/>
            <w:shd w:val="clear" w:color="auto" w:fill="auto"/>
            <w:tcMar>
              <w:top w:w="0" w:type="dxa"/>
              <w:left w:w="0" w:type="dxa"/>
              <w:bottom w:w="0" w:type="dxa"/>
              <w:right w:w="0" w:type="dxa"/>
            </w:tcMar>
            <w:vAlign w:val="center"/>
          </w:tcPr>
          <w:p w14:paraId="69BD3B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43F043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14:paraId="42DDA4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7635DA8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4E981B0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5D0063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B5503A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5AEC3F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49DBB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EF1EB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2880FB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14:paraId="2C1285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05B275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32EAFF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396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E4D93D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405" w:type="dxa"/>
            <w:vMerge w:val="continue"/>
            <w:shd w:val="clear" w:color="auto" w:fill="auto"/>
            <w:tcMar>
              <w:top w:w="0" w:type="dxa"/>
              <w:left w:w="0" w:type="dxa"/>
              <w:bottom w:w="0" w:type="dxa"/>
              <w:right w:w="0" w:type="dxa"/>
            </w:tcMar>
            <w:vAlign w:val="center"/>
          </w:tcPr>
          <w:p w14:paraId="6D4B6E68">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D78DCCE">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1号安全过滤器</w:t>
            </w:r>
          </w:p>
        </w:tc>
        <w:tc>
          <w:tcPr>
            <w:tcW w:w="693" w:type="dxa"/>
            <w:shd w:val="clear" w:color="auto" w:fill="auto"/>
            <w:tcMar>
              <w:top w:w="0" w:type="dxa"/>
              <w:left w:w="0" w:type="dxa"/>
              <w:bottom w:w="0" w:type="dxa"/>
              <w:right w:w="0" w:type="dxa"/>
            </w:tcMar>
            <w:vAlign w:val="center"/>
          </w:tcPr>
          <w:p w14:paraId="16F33E3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2CAD5950">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016A51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-59.9</w:t>
            </w:r>
          </w:p>
        </w:tc>
        <w:tc>
          <w:tcPr>
            <w:tcW w:w="505" w:type="dxa"/>
            <w:shd w:val="clear" w:color="auto" w:fill="auto"/>
            <w:tcMar>
              <w:top w:w="0" w:type="dxa"/>
              <w:left w:w="0" w:type="dxa"/>
              <w:bottom w:w="0" w:type="dxa"/>
              <w:right w:w="0" w:type="dxa"/>
            </w:tcMar>
            <w:vAlign w:val="center"/>
          </w:tcPr>
          <w:p w14:paraId="30DE97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-27.9</w:t>
            </w:r>
          </w:p>
        </w:tc>
        <w:tc>
          <w:tcPr>
            <w:tcW w:w="505" w:type="dxa"/>
            <w:shd w:val="clear" w:color="auto" w:fill="auto"/>
            <w:tcMar>
              <w:top w:w="0" w:type="dxa"/>
              <w:left w:w="0" w:type="dxa"/>
              <w:bottom w:w="0" w:type="dxa"/>
              <w:right w:w="0" w:type="dxa"/>
            </w:tcMar>
            <w:vAlign w:val="center"/>
          </w:tcPr>
          <w:p w14:paraId="45FF3E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6D423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505" w:type="dxa"/>
            <w:shd w:val="clear" w:color="auto" w:fill="auto"/>
            <w:tcMar>
              <w:top w:w="0" w:type="dxa"/>
              <w:left w:w="0" w:type="dxa"/>
              <w:bottom w:w="0" w:type="dxa"/>
              <w:right w:w="0" w:type="dxa"/>
            </w:tcMar>
            <w:vAlign w:val="center"/>
          </w:tcPr>
          <w:p w14:paraId="18F3E9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505" w:type="dxa"/>
            <w:shd w:val="clear" w:color="auto" w:fill="auto"/>
            <w:tcMar>
              <w:top w:w="0" w:type="dxa"/>
              <w:left w:w="0" w:type="dxa"/>
              <w:bottom w:w="0" w:type="dxa"/>
              <w:right w:w="0" w:type="dxa"/>
            </w:tcMar>
            <w:vAlign w:val="center"/>
          </w:tcPr>
          <w:p w14:paraId="2C7C71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50.9</w:t>
            </w:r>
          </w:p>
        </w:tc>
        <w:tc>
          <w:tcPr>
            <w:tcW w:w="505" w:type="dxa"/>
            <w:shd w:val="clear" w:color="auto" w:fill="auto"/>
            <w:tcMar>
              <w:top w:w="0" w:type="dxa"/>
              <w:left w:w="0" w:type="dxa"/>
              <w:bottom w:w="0" w:type="dxa"/>
              <w:right w:w="0" w:type="dxa"/>
            </w:tcMar>
            <w:vAlign w:val="center"/>
          </w:tcPr>
          <w:p w14:paraId="57F7A4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61.6</w:t>
            </w:r>
          </w:p>
        </w:tc>
        <w:tc>
          <w:tcPr>
            <w:tcW w:w="505" w:type="dxa"/>
            <w:shd w:val="clear" w:color="auto" w:fill="auto"/>
            <w:tcMar>
              <w:top w:w="0" w:type="dxa"/>
              <w:left w:w="0" w:type="dxa"/>
              <w:bottom w:w="0" w:type="dxa"/>
              <w:right w:w="0" w:type="dxa"/>
            </w:tcMar>
            <w:vAlign w:val="center"/>
          </w:tcPr>
          <w:p w14:paraId="331095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0304A9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57.1</w:t>
            </w:r>
          </w:p>
        </w:tc>
        <w:tc>
          <w:tcPr>
            <w:tcW w:w="505" w:type="dxa"/>
            <w:shd w:val="clear" w:color="auto" w:fill="auto"/>
            <w:tcMar>
              <w:top w:w="0" w:type="dxa"/>
              <w:left w:w="0" w:type="dxa"/>
              <w:bottom w:w="0" w:type="dxa"/>
              <w:right w:w="0" w:type="dxa"/>
            </w:tcMar>
            <w:vAlign w:val="center"/>
          </w:tcPr>
          <w:p w14:paraId="7367BF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5860D6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0" w:type="dxa"/>
            <w:shd w:val="clear" w:color="auto" w:fill="auto"/>
            <w:tcMar>
              <w:top w:w="0" w:type="dxa"/>
              <w:left w:w="0" w:type="dxa"/>
              <w:bottom w:w="0" w:type="dxa"/>
              <w:right w:w="0" w:type="dxa"/>
            </w:tcMar>
            <w:vAlign w:val="center"/>
          </w:tcPr>
          <w:p w14:paraId="2B774FD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F7E03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46DABA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CB682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DF847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63BD4D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5C23D3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77" w:type="dxa"/>
            <w:shd w:val="clear" w:color="auto" w:fill="auto"/>
            <w:tcMar>
              <w:top w:w="0" w:type="dxa"/>
              <w:left w:w="0" w:type="dxa"/>
              <w:bottom w:w="0" w:type="dxa"/>
              <w:right w:w="0" w:type="dxa"/>
            </w:tcMar>
            <w:vAlign w:val="center"/>
          </w:tcPr>
          <w:p w14:paraId="7B9AD0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509BDA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5" w:type="dxa"/>
            <w:shd w:val="clear" w:color="auto" w:fill="auto"/>
            <w:tcMar>
              <w:top w:w="0" w:type="dxa"/>
              <w:left w:w="0" w:type="dxa"/>
              <w:bottom w:w="0" w:type="dxa"/>
              <w:right w:w="0" w:type="dxa"/>
            </w:tcMar>
            <w:vAlign w:val="center"/>
          </w:tcPr>
          <w:p w14:paraId="447B60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1E7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1F258A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w:t>
            </w:r>
          </w:p>
        </w:tc>
        <w:tc>
          <w:tcPr>
            <w:tcW w:w="405" w:type="dxa"/>
            <w:vMerge w:val="continue"/>
            <w:shd w:val="clear" w:color="auto" w:fill="auto"/>
            <w:tcMar>
              <w:top w:w="0" w:type="dxa"/>
              <w:left w:w="0" w:type="dxa"/>
              <w:bottom w:w="0" w:type="dxa"/>
              <w:right w:w="0" w:type="dxa"/>
            </w:tcMar>
            <w:vAlign w:val="center"/>
          </w:tcPr>
          <w:p w14:paraId="3EF13749">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76F7ABDF">
            <w:pPr>
              <w:jc w:val="center"/>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rPr>
              <w:t>2号安全过滤器</w:t>
            </w:r>
          </w:p>
        </w:tc>
        <w:tc>
          <w:tcPr>
            <w:tcW w:w="693" w:type="dxa"/>
            <w:shd w:val="clear" w:color="auto" w:fill="auto"/>
            <w:tcMar>
              <w:top w:w="0" w:type="dxa"/>
              <w:left w:w="0" w:type="dxa"/>
              <w:bottom w:w="0" w:type="dxa"/>
              <w:right w:w="0" w:type="dxa"/>
            </w:tcMar>
            <w:vAlign w:val="center"/>
          </w:tcPr>
          <w:p w14:paraId="7D129F6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7F1E9239">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321619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505" w:type="dxa"/>
            <w:shd w:val="clear" w:color="auto" w:fill="auto"/>
            <w:tcMar>
              <w:top w:w="0" w:type="dxa"/>
              <w:left w:w="0" w:type="dxa"/>
              <w:bottom w:w="0" w:type="dxa"/>
              <w:right w:w="0" w:type="dxa"/>
            </w:tcMar>
            <w:vAlign w:val="center"/>
          </w:tcPr>
          <w:p w14:paraId="3D74AD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505" w:type="dxa"/>
            <w:shd w:val="clear" w:color="auto" w:fill="auto"/>
            <w:tcMar>
              <w:top w:w="0" w:type="dxa"/>
              <w:left w:w="0" w:type="dxa"/>
              <w:bottom w:w="0" w:type="dxa"/>
              <w:right w:w="0" w:type="dxa"/>
            </w:tcMar>
            <w:vAlign w:val="center"/>
          </w:tcPr>
          <w:p w14:paraId="14991D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D0029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505" w:type="dxa"/>
            <w:shd w:val="clear" w:color="auto" w:fill="auto"/>
            <w:tcMar>
              <w:top w:w="0" w:type="dxa"/>
              <w:left w:w="0" w:type="dxa"/>
              <w:bottom w:w="0" w:type="dxa"/>
              <w:right w:w="0" w:type="dxa"/>
            </w:tcMar>
            <w:vAlign w:val="center"/>
          </w:tcPr>
          <w:p w14:paraId="466402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68.8</w:t>
            </w:r>
          </w:p>
        </w:tc>
        <w:tc>
          <w:tcPr>
            <w:tcW w:w="505" w:type="dxa"/>
            <w:shd w:val="clear" w:color="auto" w:fill="auto"/>
            <w:tcMar>
              <w:top w:w="0" w:type="dxa"/>
              <w:left w:w="0" w:type="dxa"/>
              <w:bottom w:w="0" w:type="dxa"/>
              <w:right w:w="0" w:type="dxa"/>
            </w:tcMar>
            <w:vAlign w:val="center"/>
          </w:tcPr>
          <w:p w14:paraId="6F4675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85.1</w:t>
            </w:r>
          </w:p>
        </w:tc>
        <w:tc>
          <w:tcPr>
            <w:tcW w:w="505" w:type="dxa"/>
            <w:shd w:val="clear" w:color="auto" w:fill="auto"/>
            <w:tcMar>
              <w:top w:w="0" w:type="dxa"/>
              <w:left w:w="0" w:type="dxa"/>
              <w:bottom w:w="0" w:type="dxa"/>
              <w:right w:w="0" w:type="dxa"/>
            </w:tcMar>
            <w:vAlign w:val="center"/>
          </w:tcPr>
          <w:p w14:paraId="6462670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05" w:type="dxa"/>
            <w:shd w:val="clear" w:color="auto" w:fill="auto"/>
            <w:tcMar>
              <w:top w:w="0" w:type="dxa"/>
              <w:left w:w="0" w:type="dxa"/>
              <w:bottom w:w="0" w:type="dxa"/>
              <w:right w:w="0" w:type="dxa"/>
            </w:tcMar>
            <w:vAlign w:val="center"/>
          </w:tcPr>
          <w:p w14:paraId="296A90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14:paraId="7EE14D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05" w:type="dxa"/>
            <w:shd w:val="clear" w:color="auto" w:fill="auto"/>
            <w:tcMar>
              <w:top w:w="0" w:type="dxa"/>
              <w:left w:w="0" w:type="dxa"/>
              <w:bottom w:w="0" w:type="dxa"/>
              <w:right w:w="0" w:type="dxa"/>
            </w:tcMar>
            <w:vAlign w:val="center"/>
          </w:tcPr>
          <w:p w14:paraId="0AC0D6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57.0</w:t>
            </w:r>
          </w:p>
        </w:tc>
        <w:tc>
          <w:tcPr>
            <w:tcW w:w="515" w:type="dxa"/>
            <w:shd w:val="clear" w:color="auto" w:fill="auto"/>
            <w:tcMar>
              <w:top w:w="0" w:type="dxa"/>
              <w:left w:w="0" w:type="dxa"/>
              <w:bottom w:w="0" w:type="dxa"/>
              <w:right w:w="0" w:type="dxa"/>
            </w:tcMar>
            <w:vAlign w:val="center"/>
          </w:tcPr>
          <w:p w14:paraId="3A4C1B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57.6</w:t>
            </w:r>
          </w:p>
        </w:tc>
        <w:tc>
          <w:tcPr>
            <w:tcW w:w="500" w:type="dxa"/>
            <w:shd w:val="clear" w:color="auto" w:fill="auto"/>
            <w:tcMar>
              <w:top w:w="0" w:type="dxa"/>
              <w:left w:w="0" w:type="dxa"/>
              <w:bottom w:w="0" w:type="dxa"/>
              <w:right w:w="0" w:type="dxa"/>
            </w:tcMar>
            <w:vAlign w:val="center"/>
          </w:tcPr>
          <w:p w14:paraId="7DB6589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1C33D3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9DB2C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09244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6E8AF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5B212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14:paraId="0C1FE2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77" w:type="dxa"/>
            <w:shd w:val="clear" w:color="auto" w:fill="auto"/>
            <w:tcMar>
              <w:top w:w="0" w:type="dxa"/>
              <w:left w:w="0" w:type="dxa"/>
              <w:bottom w:w="0" w:type="dxa"/>
              <w:right w:w="0" w:type="dxa"/>
            </w:tcMar>
            <w:vAlign w:val="center"/>
          </w:tcPr>
          <w:p w14:paraId="6253632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82" w:type="dxa"/>
            <w:shd w:val="clear" w:color="auto" w:fill="auto"/>
            <w:tcMar>
              <w:top w:w="0" w:type="dxa"/>
              <w:left w:w="0" w:type="dxa"/>
              <w:bottom w:w="0" w:type="dxa"/>
              <w:right w:w="0" w:type="dxa"/>
            </w:tcMar>
            <w:vAlign w:val="center"/>
          </w:tcPr>
          <w:p w14:paraId="653314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31.1</w:t>
            </w:r>
          </w:p>
        </w:tc>
        <w:tc>
          <w:tcPr>
            <w:tcW w:w="485" w:type="dxa"/>
            <w:shd w:val="clear" w:color="auto" w:fill="auto"/>
            <w:tcMar>
              <w:top w:w="0" w:type="dxa"/>
              <w:left w:w="0" w:type="dxa"/>
              <w:bottom w:w="0" w:type="dxa"/>
              <w:right w:w="0" w:type="dxa"/>
            </w:tcMar>
            <w:vAlign w:val="center"/>
          </w:tcPr>
          <w:p w14:paraId="21AF938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C3E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014F7D9D">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w:t>
            </w:r>
          </w:p>
        </w:tc>
        <w:tc>
          <w:tcPr>
            <w:tcW w:w="405" w:type="dxa"/>
            <w:vMerge w:val="continue"/>
            <w:shd w:val="clear" w:color="auto" w:fill="auto"/>
            <w:tcMar>
              <w:top w:w="0" w:type="dxa"/>
              <w:left w:w="0" w:type="dxa"/>
              <w:bottom w:w="0" w:type="dxa"/>
              <w:right w:w="0" w:type="dxa"/>
            </w:tcMar>
            <w:vAlign w:val="center"/>
          </w:tcPr>
          <w:p w14:paraId="12146BF4">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E9F596A">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导热油炉</w:t>
            </w:r>
          </w:p>
        </w:tc>
        <w:tc>
          <w:tcPr>
            <w:tcW w:w="693" w:type="dxa"/>
            <w:shd w:val="clear" w:color="auto" w:fill="auto"/>
            <w:tcMar>
              <w:top w:w="0" w:type="dxa"/>
              <w:left w:w="0" w:type="dxa"/>
              <w:bottom w:w="0" w:type="dxa"/>
              <w:right w:w="0" w:type="dxa"/>
            </w:tcMar>
            <w:vAlign w:val="center"/>
          </w:tcPr>
          <w:p w14:paraId="5EB5494B">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609EB659">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7F00C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-45.3</w:t>
            </w:r>
          </w:p>
        </w:tc>
        <w:tc>
          <w:tcPr>
            <w:tcW w:w="505" w:type="dxa"/>
            <w:shd w:val="clear" w:color="auto" w:fill="auto"/>
            <w:tcMar>
              <w:top w:w="0" w:type="dxa"/>
              <w:left w:w="0" w:type="dxa"/>
              <w:bottom w:w="0" w:type="dxa"/>
              <w:right w:w="0" w:type="dxa"/>
            </w:tcMar>
            <w:vAlign w:val="center"/>
          </w:tcPr>
          <w:p w14:paraId="5110A5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w:t>
            </w:r>
          </w:p>
        </w:tc>
        <w:tc>
          <w:tcPr>
            <w:tcW w:w="505" w:type="dxa"/>
            <w:shd w:val="clear" w:color="auto" w:fill="auto"/>
            <w:tcMar>
              <w:top w:w="0" w:type="dxa"/>
              <w:left w:w="0" w:type="dxa"/>
              <w:bottom w:w="0" w:type="dxa"/>
              <w:right w:w="0" w:type="dxa"/>
            </w:tcMar>
            <w:vAlign w:val="center"/>
          </w:tcPr>
          <w:p w14:paraId="361A95C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623FD6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23.7</w:t>
            </w:r>
          </w:p>
        </w:tc>
        <w:tc>
          <w:tcPr>
            <w:tcW w:w="505" w:type="dxa"/>
            <w:shd w:val="clear" w:color="auto" w:fill="auto"/>
            <w:tcMar>
              <w:top w:w="0" w:type="dxa"/>
              <w:left w:w="0" w:type="dxa"/>
              <w:bottom w:w="0" w:type="dxa"/>
              <w:right w:w="0" w:type="dxa"/>
            </w:tcMar>
            <w:vAlign w:val="center"/>
          </w:tcPr>
          <w:p w14:paraId="7658C3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w:t>
            </w:r>
          </w:p>
        </w:tc>
        <w:tc>
          <w:tcPr>
            <w:tcW w:w="505" w:type="dxa"/>
            <w:shd w:val="clear" w:color="auto" w:fill="auto"/>
            <w:tcMar>
              <w:top w:w="0" w:type="dxa"/>
              <w:left w:w="0" w:type="dxa"/>
              <w:bottom w:w="0" w:type="dxa"/>
              <w:right w:w="0" w:type="dxa"/>
            </w:tcMar>
            <w:vAlign w:val="center"/>
          </w:tcPr>
          <w:p w14:paraId="0061B7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67.9</w:t>
            </w:r>
          </w:p>
        </w:tc>
        <w:tc>
          <w:tcPr>
            <w:tcW w:w="505" w:type="dxa"/>
            <w:shd w:val="clear" w:color="auto" w:fill="auto"/>
            <w:tcMar>
              <w:top w:w="0" w:type="dxa"/>
              <w:left w:w="0" w:type="dxa"/>
              <w:bottom w:w="0" w:type="dxa"/>
              <w:right w:w="0" w:type="dxa"/>
            </w:tcMar>
            <w:vAlign w:val="center"/>
          </w:tcPr>
          <w:p w14:paraId="13C018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61.8</w:t>
            </w:r>
          </w:p>
        </w:tc>
        <w:tc>
          <w:tcPr>
            <w:tcW w:w="505" w:type="dxa"/>
            <w:shd w:val="clear" w:color="auto" w:fill="auto"/>
            <w:tcMar>
              <w:top w:w="0" w:type="dxa"/>
              <w:left w:w="0" w:type="dxa"/>
              <w:bottom w:w="0" w:type="dxa"/>
              <w:right w:w="0" w:type="dxa"/>
            </w:tcMar>
            <w:vAlign w:val="center"/>
          </w:tcPr>
          <w:p w14:paraId="24AD30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527A52B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05" w:type="dxa"/>
            <w:shd w:val="clear" w:color="auto" w:fill="auto"/>
            <w:tcMar>
              <w:top w:w="0" w:type="dxa"/>
              <w:left w:w="0" w:type="dxa"/>
              <w:bottom w:w="0" w:type="dxa"/>
              <w:right w:w="0" w:type="dxa"/>
            </w:tcMar>
            <w:vAlign w:val="center"/>
          </w:tcPr>
          <w:p w14:paraId="4BE7138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46AEBC9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51A9998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6F07C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B2D26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E0830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3C4F9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DBFEA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7D79DE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477" w:type="dxa"/>
            <w:shd w:val="clear" w:color="auto" w:fill="auto"/>
            <w:tcMar>
              <w:top w:w="0" w:type="dxa"/>
              <w:left w:w="0" w:type="dxa"/>
              <w:bottom w:w="0" w:type="dxa"/>
              <w:right w:w="0" w:type="dxa"/>
            </w:tcMar>
            <w:vAlign w:val="center"/>
          </w:tcPr>
          <w:p w14:paraId="492771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6B9D73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29A722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D5A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817090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405" w:type="dxa"/>
            <w:vMerge w:val="restart"/>
            <w:shd w:val="clear" w:color="auto" w:fill="auto"/>
            <w:tcMar>
              <w:top w:w="0" w:type="dxa"/>
              <w:left w:w="0" w:type="dxa"/>
              <w:bottom w:w="0" w:type="dxa"/>
              <w:right w:w="0" w:type="dxa"/>
            </w:tcMar>
            <w:vAlign w:val="center"/>
          </w:tcPr>
          <w:p w14:paraId="102098E9">
            <w:pPr>
              <w:jc w:val="center"/>
              <w:rPr>
                <w:rFonts w:hint="default" w:ascii="Times New Roman" w:hAnsi="Times New Roman" w:eastAsia="宋体" w:cs="Times New Roman"/>
                <w:color w:val="auto"/>
                <w:sz w:val="21"/>
                <w:szCs w:val="21"/>
                <w:highlight w:val="none"/>
              </w:rPr>
            </w:pPr>
            <w:r>
              <w:rPr>
                <w:rFonts w:ascii="Arial" w:hAnsi="Arial" w:eastAsia="Arial" w:cs="Arial"/>
                <w:color w:val="auto"/>
                <w:sz w:val="20"/>
              </w:rPr>
              <w:t>寻甸县瀛瑞综合型农产品加工项目-牛干巴声屏障</w:t>
            </w:r>
          </w:p>
        </w:tc>
        <w:tc>
          <w:tcPr>
            <w:tcW w:w="1337" w:type="dxa"/>
            <w:shd w:val="clear" w:color="auto" w:fill="auto"/>
            <w:tcMar>
              <w:top w:w="0" w:type="dxa"/>
              <w:left w:w="0" w:type="dxa"/>
              <w:bottom w:w="0" w:type="dxa"/>
              <w:right w:w="0" w:type="dxa"/>
            </w:tcMar>
            <w:vAlign w:val="top"/>
          </w:tcPr>
          <w:p w14:paraId="3FB1CC7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打包机</w:t>
            </w:r>
            <w:r>
              <w:rPr>
                <w:rFonts w:hint="eastAsia" w:ascii="Times New Roman" w:hAnsi="Times New Roman" w:eastAsia="宋体" w:cs="Times New Roman"/>
                <w:bCs/>
                <w:color w:val="auto"/>
                <w:szCs w:val="21"/>
                <w:lang w:val="en-US" w:eastAsia="zh-CN"/>
              </w:rPr>
              <w:t>1</w:t>
            </w:r>
          </w:p>
        </w:tc>
        <w:tc>
          <w:tcPr>
            <w:tcW w:w="693" w:type="dxa"/>
            <w:shd w:val="clear" w:color="auto" w:fill="auto"/>
            <w:tcMar>
              <w:top w:w="0" w:type="dxa"/>
              <w:left w:w="0" w:type="dxa"/>
              <w:bottom w:w="0" w:type="dxa"/>
              <w:right w:w="0" w:type="dxa"/>
            </w:tcMar>
            <w:vAlign w:val="center"/>
          </w:tcPr>
          <w:p w14:paraId="424AB1C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243ACB51">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316071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505" w:type="dxa"/>
            <w:shd w:val="clear" w:color="auto" w:fill="auto"/>
            <w:tcMar>
              <w:top w:w="0" w:type="dxa"/>
              <w:left w:w="0" w:type="dxa"/>
              <w:bottom w:w="0" w:type="dxa"/>
              <w:right w:w="0" w:type="dxa"/>
            </w:tcMar>
            <w:vAlign w:val="center"/>
          </w:tcPr>
          <w:p w14:paraId="63EB84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-45.2</w:t>
            </w:r>
          </w:p>
        </w:tc>
        <w:tc>
          <w:tcPr>
            <w:tcW w:w="505" w:type="dxa"/>
            <w:shd w:val="clear" w:color="auto" w:fill="auto"/>
            <w:tcMar>
              <w:top w:w="0" w:type="dxa"/>
              <w:left w:w="0" w:type="dxa"/>
              <w:bottom w:w="0" w:type="dxa"/>
              <w:right w:w="0" w:type="dxa"/>
            </w:tcMar>
            <w:vAlign w:val="center"/>
          </w:tcPr>
          <w:p w14:paraId="576021F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55059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60.7</w:t>
            </w:r>
          </w:p>
        </w:tc>
        <w:tc>
          <w:tcPr>
            <w:tcW w:w="505" w:type="dxa"/>
            <w:shd w:val="clear" w:color="auto" w:fill="auto"/>
            <w:tcMar>
              <w:top w:w="0" w:type="dxa"/>
              <w:left w:w="0" w:type="dxa"/>
              <w:bottom w:w="0" w:type="dxa"/>
              <w:right w:w="0" w:type="dxa"/>
            </w:tcMar>
            <w:vAlign w:val="center"/>
          </w:tcPr>
          <w:p w14:paraId="4618D9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30.1</w:t>
            </w:r>
          </w:p>
        </w:tc>
        <w:tc>
          <w:tcPr>
            <w:tcW w:w="505" w:type="dxa"/>
            <w:shd w:val="clear" w:color="auto" w:fill="auto"/>
            <w:tcMar>
              <w:top w:w="0" w:type="dxa"/>
              <w:left w:w="0" w:type="dxa"/>
              <w:bottom w:w="0" w:type="dxa"/>
              <w:right w:w="0" w:type="dxa"/>
            </w:tcMar>
            <w:vAlign w:val="center"/>
          </w:tcPr>
          <w:p w14:paraId="122C4B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20.4</w:t>
            </w:r>
          </w:p>
        </w:tc>
        <w:tc>
          <w:tcPr>
            <w:tcW w:w="505" w:type="dxa"/>
            <w:shd w:val="clear" w:color="auto" w:fill="auto"/>
            <w:tcMar>
              <w:top w:w="0" w:type="dxa"/>
              <w:left w:w="0" w:type="dxa"/>
              <w:bottom w:w="0" w:type="dxa"/>
              <w:right w:w="0" w:type="dxa"/>
            </w:tcMar>
            <w:vAlign w:val="center"/>
          </w:tcPr>
          <w:p w14:paraId="364F27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45.4</w:t>
            </w:r>
          </w:p>
        </w:tc>
        <w:tc>
          <w:tcPr>
            <w:tcW w:w="505" w:type="dxa"/>
            <w:shd w:val="clear" w:color="auto" w:fill="auto"/>
            <w:tcMar>
              <w:top w:w="0" w:type="dxa"/>
              <w:left w:w="0" w:type="dxa"/>
              <w:bottom w:w="0" w:type="dxa"/>
              <w:right w:w="0" w:type="dxa"/>
            </w:tcMar>
            <w:vAlign w:val="center"/>
          </w:tcPr>
          <w:p w14:paraId="22F6D8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749825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687712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14:paraId="3FC1D1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0" w:type="dxa"/>
            <w:shd w:val="clear" w:color="auto" w:fill="auto"/>
            <w:tcMar>
              <w:top w:w="0" w:type="dxa"/>
              <w:left w:w="0" w:type="dxa"/>
              <w:bottom w:w="0" w:type="dxa"/>
              <w:right w:w="0" w:type="dxa"/>
            </w:tcMar>
            <w:vAlign w:val="center"/>
          </w:tcPr>
          <w:p w14:paraId="4FE0F08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8D4C1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58380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E3BCC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DE0A2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CB4BE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5D1C328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243B97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14:paraId="4B089F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5" w:type="dxa"/>
            <w:shd w:val="clear" w:color="auto" w:fill="auto"/>
            <w:tcMar>
              <w:top w:w="0" w:type="dxa"/>
              <w:left w:w="0" w:type="dxa"/>
              <w:bottom w:w="0" w:type="dxa"/>
              <w:right w:w="0" w:type="dxa"/>
            </w:tcMar>
            <w:vAlign w:val="center"/>
          </w:tcPr>
          <w:p w14:paraId="06CBB6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F87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60A6E81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05" w:type="dxa"/>
            <w:vMerge w:val="continue"/>
            <w:shd w:val="clear" w:color="auto" w:fill="auto"/>
            <w:tcMar>
              <w:top w:w="0" w:type="dxa"/>
              <w:left w:w="0" w:type="dxa"/>
              <w:bottom w:w="0" w:type="dxa"/>
              <w:right w:w="0" w:type="dxa"/>
            </w:tcMar>
            <w:vAlign w:val="center"/>
          </w:tcPr>
          <w:p w14:paraId="7D22CDB9">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326904E">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打包机</w:t>
            </w:r>
            <w:r>
              <w:rPr>
                <w:rFonts w:hint="eastAsia" w:ascii="Times New Roman" w:hAnsi="Times New Roman" w:eastAsia="宋体" w:cs="Times New Roman"/>
                <w:bCs/>
                <w:color w:val="auto"/>
                <w:szCs w:val="21"/>
                <w:lang w:val="en-US" w:eastAsia="zh-CN"/>
              </w:rPr>
              <w:t>2</w:t>
            </w:r>
          </w:p>
        </w:tc>
        <w:tc>
          <w:tcPr>
            <w:tcW w:w="693" w:type="dxa"/>
            <w:shd w:val="clear" w:color="auto" w:fill="auto"/>
            <w:tcMar>
              <w:top w:w="0" w:type="dxa"/>
              <w:left w:w="0" w:type="dxa"/>
              <w:bottom w:w="0" w:type="dxa"/>
              <w:right w:w="0" w:type="dxa"/>
            </w:tcMar>
            <w:vAlign w:val="center"/>
          </w:tcPr>
          <w:p w14:paraId="636E5FA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3C55FF77">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00D9DF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w:t>
            </w:r>
          </w:p>
        </w:tc>
        <w:tc>
          <w:tcPr>
            <w:tcW w:w="505" w:type="dxa"/>
            <w:shd w:val="clear" w:color="auto" w:fill="auto"/>
            <w:tcMar>
              <w:top w:w="0" w:type="dxa"/>
              <w:left w:w="0" w:type="dxa"/>
              <w:bottom w:w="0" w:type="dxa"/>
              <w:right w:w="0" w:type="dxa"/>
            </w:tcMar>
            <w:vAlign w:val="center"/>
          </w:tcPr>
          <w:p w14:paraId="730638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-51.1</w:t>
            </w:r>
          </w:p>
        </w:tc>
        <w:tc>
          <w:tcPr>
            <w:tcW w:w="505" w:type="dxa"/>
            <w:shd w:val="clear" w:color="auto" w:fill="auto"/>
            <w:tcMar>
              <w:top w:w="0" w:type="dxa"/>
              <w:left w:w="0" w:type="dxa"/>
              <w:bottom w:w="0" w:type="dxa"/>
              <w:right w:w="0" w:type="dxa"/>
            </w:tcMar>
            <w:vAlign w:val="center"/>
          </w:tcPr>
          <w:p w14:paraId="1F11FB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750785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31.7</w:t>
            </w:r>
          </w:p>
        </w:tc>
        <w:tc>
          <w:tcPr>
            <w:tcW w:w="505" w:type="dxa"/>
            <w:shd w:val="clear" w:color="auto" w:fill="auto"/>
            <w:tcMar>
              <w:top w:w="0" w:type="dxa"/>
              <w:left w:w="0" w:type="dxa"/>
              <w:bottom w:w="0" w:type="dxa"/>
              <w:right w:w="0" w:type="dxa"/>
            </w:tcMar>
            <w:vAlign w:val="center"/>
          </w:tcPr>
          <w:p w14:paraId="04CBEA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29.6</w:t>
            </w:r>
          </w:p>
        </w:tc>
        <w:tc>
          <w:tcPr>
            <w:tcW w:w="505" w:type="dxa"/>
            <w:shd w:val="clear" w:color="auto" w:fill="auto"/>
            <w:tcMar>
              <w:top w:w="0" w:type="dxa"/>
              <w:left w:w="0" w:type="dxa"/>
              <w:bottom w:w="0" w:type="dxa"/>
              <w:right w:w="0" w:type="dxa"/>
            </w:tcMar>
            <w:vAlign w:val="center"/>
          </w:tcPr>
          <w:p w14:paraId="43A400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123.7</w:t>
            </w:r>
          </w:p>
        </w:tc>
        <w:tc>
          <w:tcPr>
            <w:tcW w:w="505" w:type="dxa"/>
            <w:shd w:val="clear" w:color="auto" w:fill="auto"/>
            <w:tcMar>
              <w:top w:w="0" w:type="dxa"/>
              <w:left w:w="0" w:type="dxa"/>
              <w:bottom w:w="0" w:type="dxa"/>
              <w:right w:w="0" w:type="dxa"/>
            </w:tcMar>
            <w:vAlign w:val="center"/>
          </w:tcPr>
          <w:p w14:paraId="66909A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46.0</w:t>
            </w:r>
          </w:p>
        </w:tc>
        <w:tc>
          <w:tcPr>
            <w:tcW w:w="505" w:type="dxa"/>
            <w:shd w:val="clear" w:color="auto" w:fill="auto"/>
            <w:tcMar>
              <w:top w:w="0" w:type="dxa"/>
              <w:left w:w="0" w:type="dxa"/>
              <w:bottom w:w="0" w:type="dxa"/>
              <w:right w:w="0" w:type="dxa"/>
            </w:tcMar>
            <w:vAlign w:val="center"/>
          </w:tcPr>
          <w:p w14:paraId="1BF852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05906A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5" w:type="dxa"/>
            <w:shd w:val="clear" w:color="auto" w:fill="auto"/>
            <w:tcMar>
              <w:top w:w="0" w:type="dxa"/>
              <w:left w:w="0" w:type="dxa"/>
              <w:bottom w:w="0" w:type="dxa"/>
              <w:right w:w="0" w:type="dxa"/>
            </w:tcMar>
            <w:vAlign w:val="center"/>
          </w:tcPr>
          <w:p w14:paraId="2B7A19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15" w:type="dxa"/>
            <w:shd w:val="clear" w:color="auto" w:fill="auto"/>
            <w:tcMar>
              <w:top w:w="0" w:type="dxa"/>
              <w:left w:w="0" w:type="dxa"/>
              <w:bottom w:w="0" w:type="dxa"/>
              <w:right w:w="0" w:type="dxa"/>
            </w:tcMar>
            <w:vAlign w:val="center"/>
          </w:tcPr>
          <w:p w14:paraId="076F0B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62.0</w:t>
            </w:r>
          </w:p>
        </w:tc>
        <w:tc>
          <w:tcPr>
            <w:tcW w:w="500" w:type="dxa"/>
            <w:shd w:val="clear" w:color="auto" w:fill="auto"/>
            <w:tcMar>
              <w:top w:w="0" w:type="dxa"/>
              <w:left w:w="0" w:type="dxa"/>
              <w:bottom w:w="0" w:type="dxa"/>
              <w:right w:w="0" w:type="dxa"/>
            </w:tcMar>
            <w:vAlign w:val="center"/>
          </w:tcPr>
          <w:p w14:paraId="073D83F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0E9B0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F71542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15ED7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6D1F2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C41C5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29C668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77" w:type="dxa"/>
            <w:shd w:val="clear" w:color="auto" w:fill="auto"/>
            <w:tcMar>
              <w:top w:w="0" w:type="dxa"/>
              <w:left w:w="0" w:type="dxa"/>
              <w:bottom w:w="0" w:type="dxa"/>
              <w:right w:w="0" w:type="dxa"/>
            </w:tcMar>
            <w:vAlign w:val="center"/>
          </w:tcPr>
          <w:p w14:paraId="61C3E1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2" w:type="dxa"/>
            <w:shd w:val="clear" w:color="auto" w:fill="auto"/>
            <w:tcMar>
              <w:top w:w="0" w:type="dxa"/>
              <w:left w:w="0" w:type="dxa"/>
              <w:bottom w:w="0" w:type="dxa"/>
              <w:right w:w="0" w:type="dxa"/>
            </w:tcMar>
            <w:vAlign w:val="center"/>
          </w:tcPr>
          <w:p w14:paraId="00B914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35.5</w:t>
            </w:r>
          </w:p>
        </w:tc>
        <w:tc>
          <w:tcPr>
            <w:tcW w:w="485" w:type="dxa"/>
            <w:shd w:val="clear" w:color="auto" w:fill="auto"/>
            <w:tcMar>
              <w:top w:w="0" w:type="dxa"/>
              <w:left w:w="0" w:type="dxa"/>
              <w:bottom w:w="0" w:type="dxa"/>
              <w:right w:w="0" w:type="dxa"/>
            </w:tcMar>
            <w:vAlign w:val="center"/>
          </w:tcPr>
          <w:p w14:paraId="01FBFC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2E9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3A91397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405" w:type="dxa"/>
            <w:vMerge w:val="restart"/>
            <w:shd w:val="clear" w:color="auto" w:fill="auto"/>
            <w:tcMar>
              <w:top w:w="0" w:type="dxa"/>
              <w:left w:w="0" w:type="dxa"/>
              <w:bottom w:w="0" w:type="dxa"/>
              <w:right w:w="0" w:type="dxa"/>
            </w:tcMar>
            <w:vAlign w:val="center"/>
          </w:tcPr>
          <w:p w14:paraId="03EC5D41">
            <w:pPr>
              <w:jc w:val="center"/>
              <w:rPr>
                <w:rFonts w:hint="default" w:ascii="Times New Roman" w:hAnsi="Times New Roman" w:eastAsia="宋体" w:cs="Times New Roman"/>
                <w:color w:val="auto"/>
                <w:sz w:val="21"/>
                <w:szCs w:val="21"/>
                <w:highlight w:val="none"/>
              </w:rPr>
            </w:pPr>
            <w:r>
              <w:rPr>
                <w:rFonts w:ascii="Arial" w:hAnsi="Arial" w:eastAsia="Arial" w:cs="Arial"/>
                <w:color w:val="auto"/>
                <w:sz w:val="20"/>
              </w:rPr>
              <w:t>寻甸县瀛瑞综合型农产品加工项目-动物饲料油脂声屏障</w:t>
            </w:r>
          </w:p>
        </w:tc>
        <w:tc>
          <w:tcPr>
            <w:tcW w:w="1337" w:type="dxa"/>
            <w:shd w:val="clear" w:color="auto" w:fill="auto"/>
            <w:tcMar>
              <w:top w:w="0" w:type="dxa"/>
              <w:left w:w="0" w:type="dxa"/>
              <w:bottom w:w="0" w:type="dxa"/>
              <w:right w:w="0" w:type="dxa"/>
            </w:tcMar>
            <w:vAlign w:val="center"/>
          </w:tcPr>
          <w:p w14:paraId="79F9F4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绞肉机</w:t>
            </w:r>
          </w:p>
        </w:tc>
        <w:tc>
          <w:tcPr>
            <w:tcW w:w="693" w:type="dxa"/>
            <w:shd w:val="clear" w:color="auto" w:fill="auto"/>
            <w:tcMar>
              <w:top w:w="0" w:type="dxa"/>
              <w:left w:w="0" w:type="dxa"/>
              <w:bottom w:w="0" w:type="dxa"/>
              <w:right w:w="0" w:type="dxa"/>
            </w:tcMar>
            <w:vAlign w:val="center"/>
          </w:tcPr>
          <w:p w14:paraId="419A471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4CD339E0">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CABDF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505" w:type="dxa"/>
            <w:shd w:val="clear" w:color="auto" w:fill="auto"/>
            <w:tcMar>
              <w:top w:w="0" w:type="dxa"/>
              <w:left w:w="0" w:type="dxa"/>
              <w:bottom w:w="0" w:type="dxa"/>
              <w:right w:w="0" w:type="dxa"/>
            </w:tcMar>
            <w:vAlign w:val="center"/>
          </w:tcPr>
          <w:p w14:paraId="1DE845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58.1</w:t>
            </w:r>
          </w:p>
        </w:tc>
        <w:tc>
          <w:tcPr>
            <w:tcW w:w="505" w:type="dxa"/>
            <w:shd w:val="clear" w:color="auto" w:fill="auto"/>
            <w:tcMar>
              <w:top w:w="0" w:type="dxa"/>
              <w:left w:w="0" w:type="dxa"/>
              <w:bottom w:w="0" w:type="dxa"/>
              <w:right w:w="0" w:type="dxa"/>
            </w:tcMar>
            <w:vAlign w:val="center"/>
          </w:tcPr>
          <w:p w14:paraId="5BEFA3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715A3B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505" w:type="dxa"/>
            <w:shd w:val="clear" w:color="auto" w:fill="auto"/>
            <w:tcMar>
              <w:top w:w="0" w:type="dxa"/>
              <w:left w:w="0" w:type="dxa"/>
              <w:bottom w:w="0" w:type="dxa"/>
              <w:right w:w="0" w:type="dxa"/>
            </w:tcMar>
            <w:vAlign w:val="center"/>
          </w:tcPr>
          <w:p w14:paraId="00A1A5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51.5</w:t>
            </w:r>
          </w:p>
        </w:tc>
        <w:tc>
          <w:tcPr>
            <w:tcW w:w="505" w:type="dxa"/>
            <w:shd w:val="clear" w:color="auto" w:fill="auto"/>
            <w:tcMar>
              <w:top w:w="0" w:type="dxa"/>
              <w:left w:w="0" w:type="dxa"/>
              <w:bottom w:w="0" w:type="dxa"/>
              <w:right w:w="0" w:type="dxa"/>
            </w:tcMar>
            <w:vAlign w:val="center"/>
          </w:tcPr>
          <w:p w14:paraId="68CFC3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83.3</w:t>
            </w:r>
          </w:p>
        </w:tc>
        <w:tc>
          <w:tcPr>
            <w:tcW w:w="505" w:type="dxa"/>
            <w:shd w:val="clear" w:color="auto" w:fill="auto"/>
            <w:tcMar>
              <w:top w:w="0" w:type="dxa"/>
              <w:left w:w="0" w:type="dxa"/>
              <w:bottom w:w="0" w:type="dxa"/>
              <w:right w:w="0" w:type="dxa"/>
            </w:tcMar>
            <w:vAlign w:val="center"/>
          </w:tcPr>
          <w:p w14:paraId="2B9120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14.9</w:t>
            </w:r>
          </w:p>
        </w:tc>
        <w:tc>
          <w:tcPr>
            <w:tcW w:w="505" w:type="dxa"/>
            <w:shd w:val="clear" w:color="auto" w:fill="auto"/>
            <w:tcMar>
              <w:top w:w="0" w:type="dxa"/>
              <w:left w:w="0" w:type="dxa"/>
              <w:bottom w:w="0" w:type="dxa"/>
              <w:right w:w="0" w:type="dxa"/>
            </w:tcMar>
            <w:vAlign w:val="center"/>
          </w:tcPr>
          <w:p w14:paraId="56C1CCD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67.5</w:t>
            </w:r>
          </w:p>
        </w:tc>
        <w:tc>
          <w:tcPr>
            <w:tcW w:w="505" w:type="dxa"/>
            <w:shd w:val="clear" w:color="auto" w:fill="auto"/>
            <w:tcMar>
              <w:top w:w="0" w:type="dxa"/>
              <w:left w:w="0" w:type="dxa"/>
              <w:bottom w:w="0" w:type="dxa"/>
              <w:right w:w="0" w:type="dxa"/>
            </w:tcMar>
            <w:vAlign w:val="center"/>
          </w:tcPr>
          <w:p w14:paraId="07A783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14:paraId="69EBCC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14:paraId="54C796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0" w:type="dxa"/>
            <w:shd w:val="clear" w:color="auto" w:fill="auto"/>
            <w:tcMar>
              <w:top w:w="0" w:type="dxa"/>
              <w:left w:w="0" w:type="dxa"/>
              <w:bottom w:w="0" w:type="dxa"/>
              <w:right w:w="0" w:type="dxa"/>
            </w:tcMar>
            <w:vAlign w:val="center"/>
          </w:tcPr>
          <w:p w14:paraId="6C4E2E6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CFF5F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22646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C3C40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41809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AB722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41.0</w:t>
            </w:r>
          </w:p>
        </w:tc>
        <w:tc>
          <w:tcPr>
            <w:tcW w:w="477" w:type="dxa"/>
            <w:shd w:val="clear" w:color="auto" w:fill="auto"/>
            <w:tcMar>
              <w:top w:w="0" w:type="dxa"/>
              <w:left w:w="0" w:type="dxa"/>
              <w:bottom w:w="0" w:type="dxa"/>
              <w:right w:w="0" w:type="dxa"/>
            </w:tcMar>
            <w:vAlign w:val="center"/>
          </w:tcPr>
          <w:p w14:paraId="206200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14:paraId="71A15A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14:paraId="78CB50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5" w:type="dxa"/>
            <w:shd w:val="clear" w:color="auto" w:fill="auto"/>
            <w:tcMar>
              <w:top w:w="0" w:type="dxa"/>
              <w:left w:w="0" w:type="dxa"/>
              <w:bottom w:w="0" w:type="dxa"/>
              <w:right w:w="0" w:type="dxa"/>
            </w:tcMar>
            <w:vAlign w:val="center"/>
          </w:tcPr>
          <w:p w14:paraId="424BFA2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2E3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2703D69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405" w:type="dxa"/>
            <w:vMerge w:val="continue"/>
            <w:shd w:val="clear" w:color="auto" w:fill="auto"/>
            <w:tcMar>
              <w:top w:w="0" w:type="dxa"/>
              <w:left w:w="0" w:type="dxa"/>
              <w:bottom w:w="0" w:type="dxa"/>
              <w:right w:w="0" w:type="dxa"/>
            </w:tcMar>
            <w:vAlign w:val="center"/>
          </w:tcPr>
          <w:p w14:paraId="39EB1A8D">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21CD24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上料绞龙</w:t>
            </w:r>
          </w:p>
        </w:tc>
        <w:tc>
          <w:tcPr>
            <w:tcW w:w="693" w:type="dxa"/>
            <w:shd w:val="clear" w:color="auto" w:fill="auto"/>
            <w:tcMar>
              <w:top w:w="0" w:type="dxa"/>
              <w:left w:w="0" w:type="dxa"/>
              <w:bottom w:w="0" w:type="dxa"/>
              <w:right w:w="0" w:type="dxa"/>
            </w:tcMar>
            <w:vAlign w:val="center"/>
          </w:tcPr>
          <w:p w14:paraId="1D7FE2B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29FD2A8F">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1EA017C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505" w:type="dxa"/>
            <w:shd w:val="clear" w:color="auto" w:fill="auto"/>
            <w:tcMar>
              <w:top w:w="0" w:type="dxa"/>
              <w:left w:w="0" w:type="dxa"/>
              <w:bottom w:w="0" w:type="dxa"/>
              <w:right w:w="0" w:type="dxa"/>
            </w:tcMar>
            <w:vAlign w:val="center"/>
          </w:tcPr>
          <w:p w14:paraId="7CB27F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63.8</w:t>
            </w:r>
          </w:p>
        </w:tc>
        <w:tc>
          <w:tcPr>
            <w:tcW w:w="505" w:type="dxa"/>
            <w:shd w:val="clear" w:color="auto" w:fill="auto"/>
            <w:tcMar>
              <w:top w:w="0" w:type="dxa"/>
              <w:left w:w="0" w:type="dxa"/>
              <w:bottom w:w="0" w:type="dxa"/>
              <w:right w:w="0" w:type="dxa"/>
            </w:tcMar>
            <w:vAlign w:val="center"/>
          </w:tcPr>
          <w:p w14:paraId="0AAAD0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D1287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21.1</w:t>
            </w:r>
          </w:p>
        </w:tc>
        <w:tc>
          <w:tcPr>
            <w:tcW w:w="505" w:type="dxa"/>
            <w:shd w:val="clear" w:color="auto" w:fill="auto"/>
            <w:tcMar>
              <w:top w:w="0" w:type="dxa"/>
              <w:left w:w="0" w:type="dxa"/>
              <w:bottom w:w="0" w:type="dxa"/>
              <w:right w:w="0" w:type="dxa"/>
            </w:tcMar>
            <w:vAlign w:val="center"/>
          </w:tcPr>
          <w:p w14:paraId="0022BD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50.6</w:t>
            </w:r>
          </w:p>
        </w:tc>
        <w:tc>
          <w:tcPr>
            <w:tcW w:w="505" w:type="dxa"/>
            <w:shd w:val="clear" w:color="auto" w:fill="auto"/>
            <w:tcMar>
              <w:top w:w="0" w:type="dxa"/>
              <w:left w:w="0" w:type="dxa"/>
              <w:bottom w:w="0" w:type="dxa"/>
              <w:right w:w="0" w:type="dxa"/>
            </w:tcMar>
            <w:vAlign w:val="center"/>
          </w:tcPr>
          <w:p w14:paraId="7AA8C4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70.7</w:t>
            </w:r>
          </w:p>
        </w:tc>
        <w:tc>
          <w:tcPr>
            <w:tcW w:w="505" w:type="dxa"/>
            <w:shd w:val="clear" w:color="auto" w:fill="auto"/>
            <w:tcMar>
              <w:top w:w="0" w:type="dxa"/>
              <w:left w:w="0" w:type="dxa"/>
              <w:bottom w:w="0" w:type="dxa"/>
              <w:right w:w="0" w:type="dxa"/>
            </w:tcMar>
            <w:vAlign w:val="center"/>
          </w:tcPr>
          <w:p w14:paraId="7EB89B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05" w:type="dxa"/>
            <w:shd w:val="clear" w:color="auto" w:fill="auto"/>
            <w:tcMar>
              <w:top w:w="0" w:type="dxa"/>
              <w:left w:w="0" w:type="dxa"/>
              <w:bottom w:w="0" w:type="dxa"/>
              <w:right w:w="0" w:type="dxa"/>
            </w:tcMar>
            <w:vAlign w:val="center"/>
          </w:tcPr>
          <w:p w14:paraId="49FA9A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14:paraId="3F95E3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1BC7AD6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14:paraId="492ED8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0" w:type="dxa"/>
            <w:shd w:val="clear" w:color="auto" w:fill="auto"/>
            <w:tcMar>
              <w:top w:w="0" w:type="dxa"/>
              <w:left w:w="0" w:type="dxa"/>
              <w:bottom w:w="0" w:type="dxa"/>
              <w:right w:w="0" w:type="dxa"/>
            </w:tcMar>
            <w:vAlign w:val="center"/>
          </w:tcPr>
          <w:p w14:paraId="28CBCBF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3E064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D0934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44806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B115B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970E6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77" w:type="dxa"/>
            <w:shd w:val="clear" w:color="auto" w:fill="auto"/>
            <w:tcMar>
              <w:top w:w="0" w:type="dxa"/>
              <w:left w:w="0" w:type="dxa"/>
              <w:bottom w:w="0" w:type="dxa"/>
              <w:right w:w="0" w:type="dxa"/>
            </w:tcMar>
            <w:vAlign w:val="center"/>
          </w:tcPr>
          <w:p w14:paraId="3A583B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287460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14:paraId="66436C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5" w:type="dxa"/>
            <w:shd w:val="clear" w:color="auto" w:fill="auto"/>
            <w:tcMar>
              <w:top w:w="0" w:type="dxa"/>
              <w:left w:w="0" w:type="dxa"/>
              <w:bottom w:w="0" w:type="dxa"/>
              <w:right w:w="0" w:type="dxa"/>
            </w:tcMar>
            <w:vAlign w:val="center"/>
          </w:tcPr>
          <w:p w14:paraId="73A21D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0328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7B9E04B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405" w:type="dxa"/>
            <w:vMerge w:val="continue"/>
            <w:shd w:val="clear" w:color="auto" w:fill="auto"/>
            <w:tcMar>
              <w:top w:w="0" w:type="dxa"/>
              <w:left w:w="0" w:type="dxa"/>
              <w:bottom w:w="0" w:type="dxa"/>
              <w:right w:w="0" w:type="dxa"/>
            </w:tcMar>
            <w:vAlign w:val="center"/>
          </w:tcPr>
          <w:p w14:paraId="3E8A474B">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740EB0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分料绞龙</w:t>
            </w:r>
          </w:p>
        </w:tc>
        <w:tc>
          <w:tcPr>
            <w:tcW w:w="693" w:type="dxa"/>
            <w:shd w:val="clear" w:color="auto" w:fill="auto"/>
            <w:tcMar>
              <w:top w:w="0" w:type="dxa"/>
              <w:left w:w="0" w:type="dxa"/>
              <w:bottom w:w="0" w:type="dxa"/>
              <w:right w:w="0" w:type="dxa"/>
            </w:tcMar>
            <w:vAlign w:val="center"/>
          </w:tcPr>
          <w:p w14:paraId="62C3072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79F2D086">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D0E701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18.6</w:t>
            </w:r>
          </w:p>
        </w:tc>
        <w:tc>
          <w:tcPr>
            <w:tcW w:w="505" w:type="dxa"/>
            <w:shd w:val="clear" w:color="auto" w:fill="auto"/>
            <w:tcMar>
              <w:top w:w="0" w:type="dxa"/>
              <w:left w:w="0" w:type="dxa"/>
              <w:bottom w:w="0" w:type="dxa"/>
              <w:right w:w="0" w:type="dxa"/>
            </w:tcMar>
            <w:vAlign w:val="center"/>
          </w:tcPr>
          <w:p w14:paraId="6AD655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53.3</w:t>
            </w:r>
          </w:p>
        </w:tc>
        <w:tc>
          <w:tcPr>
            <w:tcW w:w="505" w:type="dxa"/>
            <w:shd w:val="clear" w:color="auto" w:fill="auto"/>
            <w:tcMar>
              <w:top w:w="0" w:type="dxa"/>
              <w:left w:w="0" w:type="dxa"/>
              <w:bottom w:w="0" w:type="dxa"/>
              <w:right w:w="0" w:type="dxa"/>
            </w:tcMar>
            <w:vAlign w:val="center"/>
          </w:tcPr>
          <w:p w14:paraId="5377BE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02A33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16.2</w:t>
            </w:r>
          </w:p>
        </w:tc>
        <w:tc>
          <w:tcPr>
            <w:tcW w:w="505" w:type="dxa"/>
            <w:shd w:val="clear" w:color="auto" w:fill="auto"/>
            <w:tcMar>
              <w:top w:w="0" w:type="dxa"/>
              <w:left w:w="0" w:type="dxa"/>
              <w:bottom w:w="0" w:type="dxa"/>
              <w:right w:w="0" w:type="dxa"/>
            </w:tcMar>
            <w:vAlign w:val="center"/>
          </w:tcPr>
          <w:p w14:paraId="6A127F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41.0</w:t>
            </w:r>
          </w:p>
        </w:tc>
        <w:tc>
          <w:tcPr>
            <w:tcW w:w="505" w:type="dxa"/>
            <w:shd w:val="clear" w:color="auto" w:fill="auto"/>
            <w:tcMar>
              <w:top w:w="0" w:type="dxa"/>
              <w:left w:w="0" w:type="dxa"/>
              <w:bottom w:w="0" w:type="dxa"/>
              <w:right w:w="0" w:type="dxa"/>
            </w:tcMar>
            <w:vAlign w:val="center"/>
          </w:tcPr>
          <w:p w14:paraId="6196A6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75.2</w:t>
            </w:r>
          </w:p>
        </w:tc>
        <w:tc>
          <w:tcPr>
            <w:tcW w:w="505" w:type="dxa"/>
            <w:shd w:val="clear" w:color="auto" w:fill="auto"/>
            <w:tcMar>
              <w:top w:w="0" w:type="dxa"/>
              <w:left w:w="0" w:type="dxa"/>
              <w:bottom w:w="0" w:type="dxa"/>
              <w:right w:w="0" w:type="dxa"/>
            </w:tcMar>
            <w:vAlign w:val="center"/>
          </w:tcPr>
          <w:p w14:paraId="6C6A14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w:t>
            </w:r>
          </w:p>
        </w:tc>
        <w:tc>
          <w:tcPr>
            <w:tcW w:w="505" w:type="dxa"/>
            <w:shd w:val="clear" w:color="auto" w:fill="auto"/>
            <w:tcMar>
              <w:top w:w="0" w:type="dxa"/>
              <w:left w:w="0" w:type="dxa"/>
              <w:bottom w:w="0" w:type="dxa"/>
              <w:right w:w="0" w:type="dxa"/>
            </w:tcMar>
            <w:vAlign w:val="center"/>
          </w:tcPr>
          <w:p w14:paraId="6DD332B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14:paraId="6CDFA90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42BF9CB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14:paraId="1CBA5E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0" w:type="dxa"/>
            <w:shd w:val="clear" w:color="auto" w:fill="auto"/>
            <w:tcMar>
              <w:top w:w="0" w:type="dxa"/>
              <w:left w:w="0" w:type="dxa"/>
              <w:bottom w:w="0" w:type="dxa"/>
              <w:right w:w="0" w:type="dxa"/>
            </w:tcMar>
            <w:vAlign w:val="center"/>
          </w:tcPr>
          <w:p w14:paraId="622550E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4EA716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EF284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4A1A7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4A0A5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3A308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77" w:type="dxa"/>
            <w:shd w:val="clear" w:color="auto" w:fill="auto"/>
            <w:tcMar>
              <w:top w:w="0" w:type="dxa"/>
              <w:left w:w="0" w:type="dxa"/>
              <w:bottom w:w="0" w:type="dxa"/>
              <w:right w:w="0" w:type="dxa"/>
            </w:tcMar>
            <w:vAlign w:val="center"/>
          </w:tcPr>
          <w:p w14:paraId="2699B0E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1F453E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14:paraId="597D271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5" w:type="dxa"/>
            <w:shd w:val="clear" w:color="auto" w:fill="auto"/>
            <w:tcMar>
              <w:top w:w="0" w:type="dxa"/>
              <w:left w:w="0" w:type="dxa"/>
              <w:bottom w:w="0" w:type="dxa"/>
              <w:right w:w="0" w:type="dxa"/>
            </w:tcMar>
            <w:vAlign w:val="center"/>
          </w:tcPr>
          <w:p w14:paraId="2754E6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3C9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7055F50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405" w:type="dxa"/>
            <w:vMerge w:val="continue"/>
            <w:shd w:val="clear" w:color="auto" w:fill="auto"/>
            <w:tcMar>
              <w:top w:w="0" w:type="dxa"/>
              <w:left w:w="0" w:type="dxa"/>
              <w:bottom w:w="0" w:type="dxa"/>
              <w:right w:w="0" w:type="dxa"/>
            </w:tcMar>
            <w:vAlign w:val="center"/>
          </w:tcPr>
          <w:p w14:paraId="68D27297">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5C811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1"/>
                <w:szCs w:val="21"/>
                <w:u w:val="none" w:color="auto"/>
                <w:lang w:val="en-US" w:eastAsia="zh-CN"/>
              </w:rPr>
              <w:t>熔炼锅1</w:t>
            </w:r>
          </w:p>
        </w:tc>
        <w:tc>
          <w:tcPr>
            <w:tcW w:w="693" w:type="dxa"/>
            <w:shd w:val="clear" w:color="auto" w:fill="auto"/>
            <w:tcMar>
              <w:top w:w="0" w:type="dxa"/>
              <w:left w:w="0" w:type="dxa"/>
              <w:bottom w:w="0" w:type="dxa"/>
              <w:right w:w="0" w:type="dxa"/>
            </w:tcMar>
            <w:vAlign w:val="center"/>
          </w:tcPr>
          <w:p w14:paraId="6D22546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7935DEC4">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43924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505" w:type="dxa"/>
            <w:shd w:val="clear" w:color="auto" w:fill="auto"/>
            <w:tcMar>
              <w:top w:w="0" w:type="dxa"/>
              <w:left w:w="0" w:type="dxa"/>
              <w:bottom w:w="0" w:type="dxa"/>
              <w:right w:w="0" w:type="dxa"/>
            </w:tcMar>
            <w:vAlign w:val="center"/>
          </w:tcPr>
          <w:p w14:paraId="416C0E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58.9</w:t>
            </w:r>
          </w:p>
        </w:tc>
        <w:tc>
          <w:tcPr>
            <w:tcW w:w="505" w:type="dxa"/>
            <w:shd w:val="clear" w:color="auto" w:fill="auto"/>
            <w:tcMar>
              <w:top w:w="0" w:type="dxa"/>
              <w:left w:w="0" w:type="dxa"/>
              <w:bottom w:w="0" w:type="dxa"/>
              <w:right w:w="0" w:type="dxa"/>
            </w:tcMar>
            <w:vAlign w:val="center"/>
          </w:tcPr>
          <w:p w14:paraId="02859B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ABB7E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505" w:type="dxa"/>
            <w:shd w:val="clear" w:color="auto" w:fill="auto"/>
            <w:tcMar>
              <w:top w:w="0" w:type="dxa"/>
              <w:left w:w="0" w:type="dxa"/>
              <w:bottom w:w="0" w:type="dxa"/>
              <w:right w:w="0" w:type="dxa"/>
            </w:tcMar>
            <w:vAlign w:val="center"/>
          </w:tcPr>
          <w:p w14:paraId="24CDEB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39.2</w:t>
            </w:r>
          </w:p>
        </w:tc>
        <w:tc>
          <w:tcPr>
            <w:tcW w:w="505" w:type="dxa"/>
            <w:shd w:val="clear" w:color="auto" w:fill="auto"/>
            <w:tcMar>
              <w:top w:w="0" w:type="dxa"/>
              <w:left w:w="0" w:type="dxa"/>
              <w:bottom w:w="0" w:type="dxa"/>
              <w:right w:w="0" w:type="dxa"/>
            </w:tcMar>
            <w:vAlign w:val="center"/>
          </w:tcPr>
          <w:p w14:paraId="4A3318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61.3</w:t>
            </w:r>
          </w:p>
        </w:tc>
        <w:tc>
          <w:tcPr>
            <w:tcW w:w="505" w:type="dxa"/>
            <w:shd w:val="clear" w:color="auto" w:fill="auto"/>
            <w:tcMar>
              <w:top w:w="0" w:type="dxa"/>
              <w:left w:w="0" w:type="dxa"/>
              <w:bottom w:w="0" w:type="dxa"/>
              <w:right w:w="0" w:type="dxa"/>
            </w:tcMar>
            <w:vAlign w:val="center"/>
          </w:tcPr>
          <w:p w14:paraId="1AC4C7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505" w:type="dxa"/>
            <w:shd w:val="clear" w:color="auto" w:fill="auto"/>
            <w:tcMar>
              <w:top w:w="0" w:type="dxa"/>
              <w:left w:w="0" w:type="dxa"/>
              <w:bottom w:w="0" w:type="dxa"/>
              <w:right w:w="0" w:type="dxa"/>
            </w:tcMar>
            <w:vAlign w:val="center"/>
          </w:tcPr>
          <w:p w14:paraId="316EA2A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5" w:type="dxa"/>
            <w:shd w:val="clear" w:color="auto" w:fill="auto"/>
            <w:tcMar>
              <w:top w:w="0" w:type="dxa"/>
              <w:left w:w="0" w:type="dxa"/>
              <w:bottom w:w="0" w:type="dxa"/>
              <w:right w:w="0" w:type="dxa"/>
            </w:tcMar>
            <w:vAlign w:val="center"/>
          </w:tcPr>
          <w:p w14:paraId="3BFF8F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22B278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14:paraId="3B787D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0" w:type="dxa"/>
            <w:shd w:val="clear" w:color="auto" w:fill="auto"/>
            <w:tcMar>
              <w:top w:w="0" w:type="dxa"/>
              <w:left w:w="0" w:type="dxa"/>
              <w:bottom w:w="0" w:type="dxa"/>
              <w:right w:w="0" w:type="dxa"/>
            </w:tcMar>
            <w:vAlign w:val="center"/>
          </w:tcPr>
          <w:p w14:paraId="04422F2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FCEA4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BE21D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90AAB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A303D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87BA5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77" w:type="dxa"/>
            <w:shd w:val="clear" w:color="auto" w:fill="auto"/>
            <w:tcMar>
              <w:top w:w="0" w:type="dxa"/>
              <w:left w:w="0" w:type="dxa"/>
              <w:bottom w:w="0" w:type="dxa"/>
              <w:right w:w="0" w:type="dxa"/>
            </w:tcMar>
            <w:vAlign w:val="center"/>
          </w:tcPr>
          <w:p w14:paraId="027275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6B72D47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14:paraId="00770B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5" w:type="dxa"/>
            <w:shd w:val="clear" w:color="auto" w:fill="auto"/>
            <w:tcMar>
              <w:top w:w="0" w:type="dxa"/>
              <w:left w:w="0" w:type="dxa"/>
              <w:bottom w:w="0" w:type="dxa"/>
              <w:right w:w="0" w:type="dxa"/>
            </w:tcMar>
            <w:vAlign w:val="center"/>
          </w:tcPr>
          <w:p w14:paraId="51DDB7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5B7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148D1AE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405" w:type="dxa"/>
            <w:vMerge w:val="continue"/>
            <w:shd w:val="clear" w:color="auto" w:fill="auto"/>
            <w:tcMar>
              <w:top w:w="0" w:type="dxa"/>
              <w:left w:w="0" w:type="dxa"/>
              <w:bottom w:w="0" w:type="dxa"/>
              <w:right w:w="0" w:type="dxa"/>
            </w:tcMar>
            <w:vAlign w:val="center"/>
          </w:tcPr>
          <w:p w14:paraId="1A7E508E">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6689A8F">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熔炼锅2</w:t>
            </w:r>
          </w:p>
        </w:tc>
        <w:tc>
          <w:tcPr>
            <w:tcW w:w="693" w:type="dxa"/>
            <w:shd w:val="clear" w:color="auto" w:fill="auto"/>
            <w:tcMar>
              <w:top w:w="0" w:type="dxa"/>
              <w:left w:w="0" w:type="dxa"/>
              <w:bottom w:w="0" w:type="dxa"/>
              <w:right w:w="0" w:type="dxa"/>
            </w:tcMar>
            <w:vAlign w:val="center"/>
          </w:tcPr>
          <w:p w14:paraId="03B3253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7A470E21">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4343D1D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505" w:type="dxa"/>
            <w:shd w:val="clear" w:color="auto" w:fill="auto"/>
            <w:tcMar>
              <w:top w:w="0" w:type="dxa"/>
              <w:left w:w="0" w:type="dxa"/>
              <w:bottom w:w="0" w:type="dxa"/>
              <w:right w:w="0" w:type="dxa"/>
            </w:tcMar>
            <w:vAlign w:val="center"/>
          </w:tcPr>
          <w:p w14:paraId="7B34C0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05" w:type="dxa"/>
            <w:shd w:val="clear" w:color="auto" w:fill="auto"/>
            <w:tcMar>
              <w:top w:w="0" w:type="dxa"/>
              <w:left w:w="0" w:type="dxa"/>
              <w:bottom w:w="0" w:type="dxa"/>
              <w:right w:w="0" w:type="dxa"/>
            </w:tcMar>
            <w:vAlign w:val="center"/>
          </w:tcPr>
          <w:p w14:paraId="26E0B9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43ECB5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44.2</w:t>
            </w:r>
          </w:p>
        </w:tc>
        <w:tc>
          <w:tcPr>
            <w:tcW w:w="505" w:type="dxa"/>
            <w:shd w:val="clear" w:color="auto" w:fill="auto"/>
            <w:tcMar>
              <w:top w:w="0" w:type="dxa"/>
              <w:left w:w="0" w:type="dxa"/>
              <w:bottom w:w="0" w:type="dxa"/>
              <w:right w:w="0" w:type="dxa"/>
            </w:tcMar>
            <w:vAlign w:val="center"/>
          </w:tcPr>
          <w:p w14:paraId="65D8B3A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38.2</w:t>
            </w:r>
          </w:p>
        </w:tc>
        <w:tc>
          <w:tcPr>
            <w:tcW w:w="505" w:type="dxa"/>
            <w:shd w:val="clear" w:color="auto" w:fill="auto"/>
            <w:tcMar>
              <w:top w:w="0" w:type="dxa"/>
              <w:left w:w="0" w:type="dxa"/>
              <w:bottom w:w="0" w:type="dxa"/>
              <w:right w:w="0" w:type="dxa"/>
            </w:tcMar>
            <w:vAlign w:val="center"/>
          </w:tcPr>
          <w:p w14:paraId="211114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47.1</w:t>
            </w:r>
          </w:p>
        </w:tc>
        <w:tc>
          <w:tcPr>
            <w:tcW w:w="505" w:type="dxa"/>
            <w:shd w:val="clear" w:color="auto" w:fill="auto"/>
            <w:tcMar>
              <w:top w:w="0" w:type="dxa"/>
              <w:left w:w="0" w:type="dxa"/>
              <w:bottom w:w="0" w:type="dxa"/>
              <w:right w:w="0" w:type="dxa"/>
            </w:tcMar>
            <w:vAlign w:val="center"/>
          </w:tcPr>
          <w:p w14:paraId="5C138EA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27.0</w:t>
            </w:r>
          </w:p>
        </w:tc>
        <w:tc>
          <w:tcPr>
            <w:tcW w:w="505" w:type="dxa"/>
            <w:shd w:val="clear" w:color="auto" w:fill="auto"/>
            <w:tcMar>
              <w:top w:w="0" w:type="dxa"/>
              <w:left w:w="0" w:type="dxa"/>
              <w:bottom w:w="0" w:type="dxa"/>
              <w:right w:w="0" w:type="dxa"/>
            </w:tcMar>
            <w:vAlign w:val="center"/>
          </w:tcPr>
          <w:p w14:paraId="33DB9E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6B6D442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2E5119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15" w:type="dxa"/>
            <w:shd w:val="clear" w:color="auto" w:fill="auto"/>
            <w:tcMar>
              <w:top w:w="0" w:type="dxa"/>
              <w:left w:w="0" w:type="dxa"/>
              <w:bottom w:w="0" w:type="dxa"/>
              <w:right w:w="0" w:type="dxa"/>
            </w:tcMar>
            <w:vAlign w:val="center"/>
          </w:tcPr>
          <w:p w14:paraId="3B2250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00" w:type="dxa"/>
            <w:shd w:val="clear" w:color="auto" w:fill="auto"/>
            <w:tcMar>
              <w:top w:w="0" w:type="dxa"/>
              <w:left w:w="0" w:type="dxa"/>
              <w:bottom w:w="0" w:type="dxa"/>
              <w:right w:w="0" w:type="dxa"/>
            </w:tcMar>
            <w:vAlign w:val="center"/>
          </w:tcPr>
          <w:p w14:paraId="5E61894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54381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CCD08D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813C7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7FB17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B8A90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0C15A7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72CC014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2" w:type="dxa"/>
            <w:shd w:val="clear" w:color="auto" w:fill="auto"/>
            <w:tcMar>
              <w:top w:w="0" w:type="dxa"/>
              <w:left w:w="0" w:type="dxa"/>
              <w:bottom w:w="0" w:type="dxa"/>
              <w:right w:w="0" w:type="dxa"/>
            </w:tcMar>
            <w:vAlign w:val="center"/>
          </w:tcPr>
          <w:p w14:paraId="1405B12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5" w:type="dxa"/>
            <w:shd w:val="clear" w:color="auto" w:fill="auto"/>
            <w:tcMar>
              <w:top w:w="0" w:type="dxa"/>
              <w:left w:w="0" w:type="dxa"/>
              <w:bottom w:w="0" w:type="dxa"/>
              <w:right w:w="0" w:type="dxa"/>
            </w:tcMar>
            <w:vAlign w:val="center"/>
          </w:tcPr>
          <w:p w14:paraId="5D392D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4E9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72F05C5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w:t>
            </w:r>
          </w:p>
        </w:tc>
        <w:tc>
          <w:tcPr>
            <w:tcW w:w="405" w:type="dxa"/>
            <w:vMerge w:val="continue"/>
            <w:shd w:val="clear" w:color="auto" w:fill="auto"/>
            <w:tcMar>
              <w:top w:w="0" w:type="dxa"/>
              <w:left w:w="0" w:type="dxa"/>
              <w:bottom w:w="0" w:type="dxa"/>
              <w:right w:w="0" w:type="dxa"/>
            </w:tcMar>
            <w:vAlign w:val="center"/>
          </w:tcPr>
          <w:p w14:paraId="29FAFFE3">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42879C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油渣分离器</w:t>
            </w:r>
          </w:p>
        </w:tc>
        <w:tc>
          <w:tcPr>
            <w:tcW w:w="693" w:type="dxa"/>
            <w:shd w:val="clear" w:color="auto" w:fill="auto"/>
            <w:tcMar>
              <w:top w:w="0" w:type="dxa"/>
              <w:left w:w="0" w:type="dxa"/>
              <w:bottom w:w="0" w:type="dxa"/>
              <w:right w:w="0" w:type="dxa"/>
            </w:tcMar>
            <w:vAlign w:val="center"/>
          </w:tcPr>
          <w:p w14:paraId="1C75CBA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43BF89BE">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2814EA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505" w:type="dxa"/>
            <w:shd w:val="clear" w:color="auto" w:fill="auto"/>
            <w:tcMar>
              <w:top w:w="0" w:type="dxa"/>
              <w:left w:w="0" w:type="dxa"/>
              <w:bottom w:w="0" w:type="dxa"/>
              <w:right w:w="0" w:type="dxa"/>
            </w:tcMar>
            <w:vAlign w:val="center"/>
          </w:tcPr>
          <w:p w14:paraId="26F65D6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505" w:type="dxa"/>
            <w:shd w:val="clear" w:color="auto" w:fill="auto"/>
            <w:tcMar>
              <w:top w:w="0" w:type="dxa"/>
              <w:left w:w="0" w:type="dxa"/>
              <w:bottom w:w="0" w:type="dxa"/>
              <w:right w:w="0" w:type="dxa"/>
            </w:tcMar>
            <w:vAlign w:val="center"/>
          </w:tcPr>
          <w:p w14:paraId="0BB716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1B80E19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37.1</w:t>
            </w:r>
          </w:p>
        </w:tc>
        <w:tc>
          <w:tcPr>
            <w:tcW w:w="505" w:type="dxa"/>
            <w:shd w:val="clear" w:color="auto" w:fill="auto"/>
            <w:tcMar>
              <w:top w:w="0" w:type="dxa"/>
              <w:left w:w="0" w:type="dxa"/>
              <w:bottom w:w="0" w:type="dxa"/>
              <w:right w:w="0" w:type="dxa"/>
            </w:tcMar>
            <w:vAlign w:val="center"/>
          </w:tcPr>
          <w:p w14:paraId="62F54B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27.7</w:t>
            </w:r>
          </w:p>
        </w:tc>
        <w:tc>
          <w:tcPr>
            <w:tcW w:w="505" w:type="dxa"/>
            <w:shd w:val="clear" w:color="auto" w:fill="auto"/>
            <w:tcMar>
              <w:top w:w="0" w:type="dxa"/>
              <w:left w:w="0" w:type="dxa"/>
              <w:bottom w:w="0" w:type="dxa"/>
              <w:right w:w="0" w:type="dxa"/>
            </w:tcMar>
            <w:vAlign w:val="center"/>
          </w:tcPr>
          <w:p w14:paraId="157357E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53.7</w:t>
            </w:r>
          </w:p>
        </w:tc>
        <w:tc>
          <w:tcPr>
            <w:tcW w:w="505" w:type="dxa"/>
            <w:shd w:val="clear" w:color="auto" w:fill="auto"/>
            <w:tcMar>
              <w:top w:w="0" w:type="dxa"/>
              <w:left w:w="0" w:type="dxa"/>
              <w:bottom w:w="0" w:type="dxa"/>
              <w:right w:w="0" w:type="dxa"/>
            </w:tcMar>
            <w:vAlign w:val="center"/>
          </w:tcPr>
          <w:p w14:paraId="7174A9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37.6</w:t>
            </w:r>
          </w:p>
        </w:tc>
        <w:tc>
          <w:tcPr>
            <w:tcW w:w="505" w:type="dxa"/>
            <w:shd w:val="clear" w:color="auto" w:fill="auto"/>
            <w:tcMar>
              <w:top w:w="0" w:type="dxa"/>
              <w:left w:w="0" w:type="dxa"/>
              <w:bottom w:w="0" w:type="dxa"/>
              <w:right w:w="0" w:type="dxa"/>
            </w:tcMar>
            <w:vAlign w:val="center"/>
          </w:tcPr>
          <w:p w14:paraId="54C7A6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14:paraId="292AE9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14:paraId="6A8FE0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14:paraId="4D62A7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14:paraId="29A6737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32DD2B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FEE1E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291AC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0BA5B1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514C2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14:paraId="4F23D02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14:paraId="2D9C34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14:paraId="135203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14:paraId="53C053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5B0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E8CC86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405" w:type="dxa"/>
            <w:vMerge w:val="continue"/>
            <w:shd w:val="clear" w:color="auto" w:fill="auto"/>
            <w:tcMar>
              <w:top w:w="0" w:type="dxa"/>
              <w:left w:w="0" w:type="dxa"/>
              <w:bottom w:w="0" w:type="dxa"/>
              <w:right w:w="0" w:type="dxa"/>
            </w:tcMar>
            <w:vAlign w:val="center"/>
          </w:tcPr>
          <w:p w14:paraId="3D6F0281">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54F9A1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链板传送机</w:t>
            </w:r>
          </w:p>
        </w:tc>
        <w:tc>
          <w:tcPr>
            <w:tcW w:w="693" w:type="dxa"/>
            <w:shd w:val="clear" w:color="auto" w:fill="auto"/>
            <w:tcMar>
              <w:top w:w="0" w:type="dxa"/>
              <w:left w:w="0" w:type="dxa"/>
              <w:bottom w:w="0" w:type="dxa"/>
              <w:right w:w="0" w:type="dxa"/>
            </w:tcMar>
            <w:vAlign w:val="center"/>
          </w:tcPr>
          <w:p w14:paraId="4B3ABCD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287E9124">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5D646A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505" w:type="dxa"/>
            <w:shd w:val="clear" w:color="auto" w:fill="auto"/>
            <w:tcMar>
              <w:top w:w="0" w:type="dxa"/>
              <w:left w:w="0" w:type="dxa"/>
              <w:bottom w:w="0" w:type="dxa"/>
              <w:right w:w="0" w:type="dxa"/>
            </w:tcMar>
            <w:vAlign w:val="center"/>
          </w:tcPr>
          <w:p w14:paraId="41F3B33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58.1</w:t>
            </w:r>
          </w:p>
        </w:tc>
        <w:tc>
          <w:tcPr>
            <w:tcW w:w="505" w:type="dxa"/>
            <w:shd w:val="clear" w:color="auto" w:fill="auto"/>
            <w:tcMar>
              <w:top w:w="0" w:type="dxa"/>
              <w:left w:w="0" w:type="dxa"/>
              <w:bottom w:w="0" w:type="dxa"/>
              <w:right w:w="0" w:type="dxa"/>
            </w:tcMar>
            <w:vAlign w:val="center"/>
          </w:tcPr>
          <w:p w14:paraId="1CA7A4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F1FCBF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48.5</w:t>
            </w:r>
          </w:p>
        </w:tc>
        <w:tc>
          <w:tcPr>
            <w:tcW w:w="505" w:type="dxa"/>
            <w:shd w:val="clear" w:color="auto" w:fill="auto"/>
            <w:tcMar>
              <w:top w:w="0" w:type="dxa"/>
              <w:left w:w="0" w:type="dxa"/>
              <w:bottom w:w="0" w:type="dxa"/>
              <w:right w:w="0" w:type="dxa"/>
            </w:tcMar>
            <w:vAlign w:val="center"/>
          </w:tcPr>
          <w:p w14:paraId="25DF8A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26.8</w:t>
            </w:r>
          </w:p>
        </w:tc>
        <w:tc>
          <w:tcPr>
            <w:tcW w:w="505" w:type="dxa"/>
            <w:shd w:val="clear" w:color="auto" w:fill="auto"/>
            <w:tcMar>
              <w:top w:w="0" w:type="dxa"/>
              <w:left w:w="0" w:type="dxa"/>
              <w:bottom w:w="0" w:type="dxa"/>
              <w:right w:w="0" w:type="dxa"/>
            </w:tcMar>
            <w:vAlign w:val="center"/>
          </w:tcPr>
          <w:p w14:paraId="70AEAB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w:t>
            </w:r>
          </w:p>
        </w:tc>
        <w:tc>
          <w:tcPr>
            <w:tcW w:w="505" w:type="dxa"/>
            <w:shd w:val="clear" w:color="auto" w:fill="auto"/>
            <w:tcMar>
              <w:top w:w="0" w:type="dxa"/>
              <w:left w:w="0" w:type="dxa"/>
              <w:bottom w:w="0" w:type="dxa"/>
              <w:right w:w="0" w:type="dxa"/>
            </w:tcMar>
            <w:vAlign w:val="center"/>
          </w:tcPr>
          <w:p w14:paraId="3F66A1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38.2</w:t>
            </w:r>
          </w:p>
        </w:tc>
        <w:tc>
          <w:tcPr>
            <w:tcW w:w="505" w:type="dxa"/>
            <w:shd w:val="clear" w:color="auto" w:fill="auto"/>
            <w:tcMar>
              <w:top w:w="0" w:type="dxa"/>
              <w:left w:w="0" w:type="dxa"/>
              <w:bottom w:w="0" w:type="dxa"/>
              <w:right w:w="0" w:type="dxa"/>
            </w:tcMar>
            <w:vAlign w:val="center"/>
          </w:tcPr>
          <w:p w14:paraId="47FD8C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14:paraId="2B6E2D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14:paraId="54F2E72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14:paraId="744594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14:paraId="57E6A5E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4955BC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BD0F6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94B383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C342D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1F99C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14:paraId="249BA1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14:paraId="744D57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14:paraId="2511FA7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14:paraId="2196DD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CE8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3E76A59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405" w:type="dxa"/>
            <w:vMerge w:val="continue"/>
            <w:shd w:val="clear" w:color="auto" w:fill="auto"/>
            <w:tcMar>
              <w:top w:w="0" w:type="dxa"/>
              <w:left w:w="0" w:type="dxa"/>
              <w:bottom w:w="0" w:type="dxa"/>
              <w:right w:w="0" w:type="dxa"/>
            </w:tcMar>
            <w:vAlign w:val="center"/>
          </w:tcPr>
          <w:p w14:paraId="5875FEEC">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0AF94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油渣</w:t>
            </w:r>
            <w:r>
              <w:rPr>
                <w:rFonts w:hint="eastAsia" w:cs="Times New Roman"/>
                <w:color w:val="auto"/>
                <w:sz w:val="21"/>
                <w:szCs w:val="21"/>
                <w:u w:val="none" w:color="auto"/>
                <w:lang w:val="en-US" w:eastAsia="zh-CN"/>
              </w:rPr>
              <w:t>运送绞龙</w:t>
            </w:r>
          </w:p>
        </w:tc>
        <w:tc>
          <w:tcPr>
            <w:tcW w:w="693" w:type="dxa"/>
            <w:shd w:val="clear" w:color="auto" w:fill="auto"/>
            <w:tcMar>
              <w:top w:w="0" w:type="dxa"/>
              <w:left w:w="0" w:type="dxa"/>
              <w:bottom w:w="0" w:type="dxa"/>
              <w:right w:w="0" w:type="dxa"/>
            </w:tcMar>
            <w:vAlign w:val="center"/>
          </w:tcPr>
          <w:p w14:paraId="3268FBF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6C86B238">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2A3921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c>
          <w:tcPr>
            <w:tcW w:w="505" w:type="dxa"/>
            <w:shd w:val="clear" w:color="auto" w:fill="auto"/>
            <w:tcMar>
              <w:top w:w="0" w:type="dxa"/>
              <w:left w:w="0" w:type="dxa"/>
              <w:bottom w:w="0" w:type="dxa"/>
              <w:right w:w="0" w:type="dxa"/>
            </w:tcMar>
            <w:vAlign w:val="center"/>
          </w:tcPr>
          <w:p w14:paraId="6680E5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67.8</w:t>
            </w:r>
          </w:p>
        </w:tc>
        <w:tc>
          <w:tcPr>
            <w:tcW w:w="505" w:type="dxa"/>
            <w:shd w:val="clear" w:color="auto" w:fill="auto"/>
            <w:tcMar>
              <w:top w:w="0" w:type="dxa"/>
              <w:left w:w="0" w:type="dxa"/>
              <w:bottom w:w="0" w:type="dxa"/>
              <w:right w:w="0" w:type="dxa"/>
            </w:tcMar>
            <w:vAlign w:val="center"/>
          </w:tcPr>
          <w:p w14:paraId="04059F3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7CB1EE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57.4</w:t>
            </w:r>
          </w:p>
        </w:tc>
        <w:tc>
          <w:tcPr>
            <w:tcW w:w="505" w:type="dxa"/>
            <w:shd w:val="clear" w:color="auto" w:fill="auto"/>
            <w:tcMar>
              <w:top w:w="0" w:type="dxa"/>
              <w:left w:w="0" w:type="dxa"/>
              <w:bottom w:w="0" w:type="dxa"/>
              <w:right w:w="0" w:type="dxa"/>
            </w:tcMar>
            <w:vAlign w:val="center"/>
          </w:tcPr>
          <w:p w14:paraId="7850111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32.9</w:t>
            </w:r>
          </w:p>
        </w:tc>
        <w:tc>
          <w:tcPr>
            <w:tcW w:w="505" w:type="dxa"/>
            <w:shd w:val="clear" w:color="auto" w:fill="auto"/>
            <w:tcMar>
              <w:top w:w="0" w:type="dxa"/>
              <w:left w:w="0" w:type="dxa"/>
              <w:bottom w:w="0" w:type="dxa"/>
              <w:right w:w="0" w:type="dxa"/>
            </w:tcMar>
            <w:vAlign w:val="center"/>
          </w:tcPr>
          <w:p w14:paraId="149B7F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33.6</w:t>
            </w:r>
          </w:p>
        </w:tc>
        <w:tc>
          <w:tcPr>
            <w:tcW w:w="505" w:type="dxa"/>
            <w:shd w:val="clear" w:color="auto" w:fill="auto"/>
            <w:tcMar>
              <w:top w:w="0" w:type="dxa"/>
              <w:left w:w="0" w:type="dxa"/>
              <w:bottom w:w="0" w:type="dxa"/>
              <w:right w:w="0" w:type="dxa"/>
            </w:tcMar>
            <w:vAlign w:val="center"/>
          </w:tcPr>
          <w:p w14:paraId="3E1043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505" w:type="dxa"/>
            <w:shd w:val="clear" w:color="auto" w:fill="auto"/>
            <w:tcMar>
              <w:top w:w="0" w:type="dxa"/>
              <w:left w:w="0" w:type="dxa"/>
              <w:bottom w:w="0" w:type="dxa"/>
              <w:right w:w="0" w:type="dxa"/>
            </w:tcMar>
            <w:vAlign w:val="center"/>
          </w:tcPr>
          <w:p w14:paraId="3692C0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14:paraId="5DA951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14:paraId="6C9D22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14:paraId="7593B1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14:paraId="4C7C077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C56B1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E5329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296DA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3F568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7051AE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14:paraId="5EF03B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14:paraId="597512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14:paraId="5D8E25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14:paraId="558518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C13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056F34D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405" w:type="dxa"/>
            <w:vMerge w:val="continue"/>
            <w:shd w:val="clear" w:color="auto" w:fill="auto"/>
            <w:tcMar>
              <w:top w:w="0" w:type="dxa"/>
              <w:left w:w="0" w:type="dxa"/>
              <w:bottom w:w="0" w:type="dxa"/>
              <w:right w:w="0" w:type="dxa"/>
            </w:tcMar>
            <w:vAlign w:val="center"/>
          </w:tcPr>
          <w:p w14:paraId="74BD3E4D">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6CD3AF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cs="Times New Roman"/>
                <w:color w:val="auto"/>
                <w:sz w:val="21"/>
                <w:szCs w:val="21"/>
                <w:u w:val="none" w:color="auto"/>
                <w:lang w:val="en-US" w:eastAsia="zh-CN"/>
              </w:rPr>
              <w:t>螺旋榨油机</w:t>
            </w:r>
          </w:p>
        </w:tc>
        <w:tc>
          <w:tcPr>
            <w:tcW w:w="693" w:type="dxa"/>
            <w:shd w:val="clear" w:color="auto" w:fill="auto"/>
            <w:tcMar>
              <w:top w:w="0" w:type="dxa"/>
              <w:left w:w="0" w:type="dxa"/>
              <w:bottom w:w="0" w:type="dxa"/>
              <w:right w:w="0" w:type="dxa"/>
            </w:tcMar>
            <w:vAlign w:val="center"/>
          </w:tcPr>
          <w:p w14:paraId="04A2A1F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73A509BF">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3CE088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505" w:type="dxa"/>
            <w:shd w:val="clear" w:color="auto" w:fill="auto"/>
            <w:tcMar>
              <w:top w:w="0" w:type="dxa"/>
              <w:left w:w="0" w:type="dxa"/>
              <w:bottom w:w="0" w:type="dxa"/>
              <w:right w:w="0" w:type="dxa"/>
            </w:tcMar>
            <w:vAlign w:val="center"/>
          </w:tcPr>
          <w:p w14:paraId="4DE1B0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72.4</w:t>
            </w:r>
          </w:p>
        </w:tc>
        <w:tc>
          <w:tcPr>
            <w:tcW w:w="505" w:type="dxa"/>
            <w:shd w:val="clear" w:color="auto" w:fill="auto"/>
            <w:tcMar>
              <w:top w:w="0" w:type="dxa"/>
              <w:left w:w="0" w:type="dxa"/>
              <w:bottom w:w="0" w:type="dxa"/>
              <w:right w:w="0" w:type="dxa"/>
            </w:tcMar>
            <w:vAlign w:val="center"/>
          </w:tcPr>
          <w:p w14:paraId="67C98A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D4024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67.6</w:t>
            </w:r>
          </w:p>
        </w:tc>
        <w:tc>
          <w:tcPr>
            <w:tcW w:w="505" w:type="dxa"/>
            <w:shd w:val="clear" w:color="auto" w:fill="auto"/>
            <w:tcMar>
              <w:top w:w="0" w:type="dxa"/>
              <w:left w:w="0" w:type="dxa"/>
              <w:bottom w:w="0" w:type="dxa"/>
              <w:right w:w="0" w:type="dxa"/>
            </w:tcMar>
            <w:vAlign w:val="center"/>
          </w:tcPr>
          <w:p w14:paraId="721315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32.1</w:t>
            </w:r>
          </w:p>
        </w:tc>
        <w:tc>
          <w:tcPr>
            <w:tcW w:w="505" w:type="dxa"/>
            <w:shd w:val="clear" w:color="auto" w:fill="auto"/>
            <w:tcMar>
              <w:top w:w="0" w:type="dxa"/>
              <w:left w:w="0" w:type="dxa"/>
              <w:bottom w:w="0" w:type="dxa"/>
              <w:right w:w="0" w:type="dxa"/>
            </w:tcMar>
            <w:vAlign w:val="center"/>
          </w:tcPr>
          <w:p w14:paraId="499D996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23.3</w:t>
            </w:r>
          </w:p>
        </w:tc>
        <w:tc>
          <w:tcPr>
            <w:tcW w:w="505" w:type="dxa"/>
            <w:shd w:val="clear" w:color="auto" w:fill="auto"/>
            <w:tcMar>
              <w:top w:w="0" w:type="dxa"/>
              <w:left w:w="0" w:type="dxa"/>
              <w:bottom w:w="0" w:type="dxa"/>
              <w:right w:w="0" w:type="dxa"/>
            </w:tcMar>
            <w:vAlign w:val="center"/>
          </w:tcPr>
          <w:p w14:paraId="120714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32.3</w:t>
            </w:r>
          </w:p>
        </w:tc>
        <w:tc>
          <w:tcPr>
            <w:tcW w:w="505" w:type="dxa"/>
            <w:shd w:val="clear" w:color="auto" w:fill="auto"/>
            <w:tcMar>
              <w:top w:w="0" w:type="dxa"/>
              <w:left w:w="0" w:type="dxa"/>
              <w:bottom w:w="0" w:type="dxa"/>
              <w:right w:w="0" w:type="dxa"/>
            </w:tcMar>
            <w:vAlign w:val="center"/>
          </w:tcPr>
          <w:p w14:paraId="7A3D37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4F52E7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04060D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15" w:type="dxa"/>
            <w:shd w:val="clear" w:color="auto" w:fill="auto"/>
            <w:tcMar>
              <w:top w:w="0" w:type="dxa"/>
              <w:left w:w="0" w:type="dxa"/>
              <w:bottom w:w="0" w:type="dxa"/>
              <w:right w:w="0" w:type="dxa"/>
            </w:tcMar>
            <w:vAlign w:val="center"/>
          </w:tcPr>
          <w:p w14:paraId="4D1600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0" w:type="dxa"/>
            <w:shd w:val="clear" w:color="auto" w:fill="auto"/>
            <w:tcMar>
              <w:top w:w="0" w:type="dxa"/>
              <w:left w:w="0" w:type="dxa"/>
              <w:bottom w:w="0" w:type="dxa"/>
              <w:right w:w="0" w:type="dxa"/>
            </w:tcMar>
            <w:vAlign w:val="center"/>
          </w:tcPr>
          <w:p w14:paraId="0D3903D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7CFC74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D6FF2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90C07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7B3A7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CE6445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5CA7BC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4CF61D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2" w:type="dxa"/>
            <w:shd w:val="clear" w:color="auto" w:fill="auto"/>
            <w:tcMar>
              <w:top w:w="0" w:type="dxa"/>
              <w:left w:w="0" w:type="dxa"/>
              <w:bottom w:w="0" w:type="dxa"/>
              <w:right w:w="0" w:type="dxa"/>
            </w:tcMar>
            <w:vAlign w:val="center"/>
          </w:tcPr>
          <w:p w14:paraId="0E406C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5" w:type="dxa"/>
            <w:shd w:val="clear" w:color="auto" w:fill="auto"/>
            <w:tcMar>
              <w:top w:w="0" w:type="dxa"/>
              <w:left w:w="0" w:type="dxa"/>
              <w:bottom w:w="0" w:type="dxa"/>
              <w:right w:w="0" w:type="dxa"/>
            </w:tcMar>
            <w:vAlign w:val="center"/>
          </w:tcPr>
          <w:p w14:paraId="30F5A7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8CB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4D7322D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405" w:type="dxa"/>
            <w:vMerge w:val="continue"/>
            <w:shd w:val="clear" w:color="auto" w:fill="auto"/>
            <w:tcMar>
              <w:top w:w="0" w:type="dxa"/>
              <w:left w:w="0" w:type="dxa"/>
              <w:bottom w:w="0" w:type="dxa"/>
              <w:right w:w="0" w:type="dxa"/>
            </w:tcMar>
            <w:vAlign w:val="center"/>
          </w:tcPr>
          <w:p w14:paraId="377BE207">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6C34E6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刮板机</w:t>
            </w:r>
          </w:p>
        </w:tc>
        <w:tc>
          <w:tcPr>
            <w:tcW w:w="693" w:type="dxa"/>
            <w:shd w:val="clear" w:color="auto" w:fill="auto"/>
            <w:tcMar>
              <w:top w:w="0" w:type="dxa"/>
              <w:left w:w="0" w:type="dxa"/>
              <w:bottom w:w="0" w:type="dxa"/>
              <w:right w:w="0" w:type="dxa"/>
            </w:tcMar>
            <w:vAlign w:val="center"/>
          </w:tcPr>
          <w:p w14:paraId="71BDC9A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16" w:type="dxa"/>
            <w:vMerge w:val="continue"/>
            <w:shd w:val="clear" w:color="auto" w:fill="auto"/>
            <w:tcMar>
              <w:top w:w="0" w:type="dxa"/>
              <w:left w:w="0" w:type="dxa"/>
              <w:bottom w:w="0" w:type="dxa"/>
              <w:right w:w="0" w:type="dxa"/>
            </w:tcMar>
            <w:vAlign w:val="center"/>
          </w:tcPr>
          <w:p w14:paraId="07D335BF">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127E62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-39.1</w:t>
            </w:r>
          </w:p>
        </w:tc>
        <w:tc>
          <w:tcPr>
            <w:tcW w:w="505" w:type="dxa"/>
            <w:shd w:val="clear" w:color="auto" w:fill="auto"/>
            <w:tcMar>
              <w:top w:w="0" w:type="dxa"/>
              <w:left w:w="0" w:type="dxa"/>
              <w:bottom w:w="0" w:type="dxa"/>
              <w:right w:w="0" w:type="dxa"/>
            </w:tcMar>
            <w:vAlign w:val="center"/>
          </w:tcPr>
          <w:p w14:paraId="317CBAA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78.1</w:t>
            </w:r>
          </w:p>
        </w:tc>
        <w:tc>
          <w:tcPr>
            <w:tcW w:w="505" w:type="dxa"/>
            <w:shd w:val="clear" w:color="auto" w:fill="auto"/>
            <w:tcMar>
              <w:top w:w="0" w:type="dxa"/>
              <w:left w:w="0" w:type="dxa"/>
              <w:bottom w:w="0" w:type="dxa"/>
              <w:right w:w="0" w:type="dxa"/>
            </w:tcMar>
            <w:vAlign w:val="center"/>
          </w:tcPr>
          <w:p w14:paraId="70CB05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49603B4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77.9</w:t>
            </w:r>
          </w:p>
        </w:tc>
        <w:tc>
          <w:tcPr>
            <w:tcW w:w="505" w:type="dxa"/>
            <w:shd w:val="clear" w:color="auto" w:fill="auto"/>
            <w:tcMar>
              <w:top w:w="0" w:type="dxa"/>
              <w:left w:w="0" w:type="dxa"/>
              <w:bottom w:w="0" w:type="dxa"/>
              <w:right w:w="0" w:type="dxa"/>
            </w:tcMar>
            <w:vAlign w:val="center"/>
          </w:tcPr>
          <w:p w14:paraId="7CF04C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32.5</w:t>
            </w:r>
          </w:p>
        </w:tc>
        <w:tc>
          <w:tcPr>
            <w:tcW w:w="505" w:type="dxa"/>
            <w:shd w:val="clear" w:color="auto" w:fill="auto"/>
            <w:tcMar>
              <w:top w:w="0" w:type="dxa"/>
              <w:left w:w="0" w:type="dxa"/>
              <w:bottom w:w="0" w:type="dxa"/>
              <w:right w:w="0" w:type="dxa"/>
            </w:tcMar>
            <w:vAlign w:val="center"/>
          </w:tcPr>
          <w:p w14:paraId="03E1E46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13.0</w:t>
            </w:r>
          </w:p>
        </w:tc>
        <w:tc>
          <w:tcPr>
            <w:tcW w:w="505" w:type="dxa"/>
            <w:shd w:val="clear" w:color="auto" w:fill="auto"/>
            <w:tcMar>
              <w:top w:w="0" w:type="dxa"/>
              <w:left w:w="0" w:type="dxa"/>
              <w:bottom w:w="0" w:type="dxa"/>
              <w:right w:w="0" w:type="dxa"/>
            </w:tcMar>
            <w:vAlign w:val="center"/>
          </w:tcPr>
          <w:p w14:paraId="51399B4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31.5</w:t>
            </w:r>
          </w:p>
        </w:tc>
        <w:tc>
          <w:tcPr>
            <w:tcW w:w="505" w:type="dxa"/>
            <w:shd w:val="clear" w:color="auto" w:fill="auto"/>
            <w:tcMar>
              <w:top w:w="0" w:type="dxa"/>
              <w:left w:w="0" w:type="dxa"/>
              <w:bottom w:w="0" w:type="dxa"/>
              <w:right w:w="0" w:type="dxa"/>
            </w:tcMar>
            <w:vAlign w:val="center"/>
          </w:tcPr>
          <w:p w14:paraId="55BD3C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53C805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5" w:type="dxa"/>
            <w:shd w:val="clear" w:color="auto" w:fill="auto"/>
            <w:tcMar>
              <w:top w:w="0" w:type="dxa"/>
              <w:left w:w="0" w:type="dxa"/>
              <w:bottom w:w="0" w:type="dxa"/>
              <w:right w:w="0" w:type="dxa"/>
            </w:tcMar>
            <w:vAlign w:val="center"/>
          </w:tcPr>
          <w:p w14:paraId="2ECE07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515" w:type="dxa"/>
            <w:shd w:val="clear" w:color="auto" w:fill="auto"/>
            <w:tcMar>
              <w:top w:w="0" w:type="dxa"/>
              <w:left w:w="0" w:type="dxa"/>
              <w:bottom w:w="0" w:type="dxa"/>
              <w:right w:w="0" w:type="dxa"/>
            </w:tcMar>
            <w:vAlign w:val="center"/>
          </w:tcPr>
          <w:p w14:paraId="0F5200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62.2</w:t>
            </w:r>
          </w:p>
        </w:tc>
        <w:tc>
          <w:tcPr>
            <w:tcW w:w="500" w:type="dxa"/>
            <w:shd w:val="clear" w:color="auto" w:fill="auto"/>
            <w:tcMar>
              <w:top w:w="0" w:type="dxa"/>
              <w:left w:w="0" w:type="dxa"/>
              <w:bottom w:w="0" w:type="dxa"/>
              <w:right w:w="0" w:type="dxa"/>
            </w:tcMar>
            <w:vAlign w:val="center"/>
          </w:tcPr>
          <w:p w14:paraId="2C17755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3D846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0DF02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F82BA5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2DD039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CC377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09027B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77" w:type="dxa"/>
            <w:shd w:val="clear" w:color="auto" w:fill="auto"/>
            <w:tcMar>
              <w:top w:w="0" w:type="dxa"/>
              <w:left w:w="0" w:type="dxa"/>
              <w:bottom w:w="0" w:type="dxa"/>
              <w:right w:w="0" w:type="dxa"/>
            </w:tcMar>
            <w:vAlign w:val="center"/>
          </w:tcPr>
          <w:p w14:paraId="265A76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35.8</w:t>
            </w:r>
          </w:p>
        </w:tc>
        <w:tc>
          <w:tcPr>
            <w:tcW w:w="482" w:type="dxa"/>
            <w:shd w:val="clear" w:color="auto" w:fill="auto"/>
            <w:tcMar>
              <w:top w:w="0" w:type="dxa"/>
              <w:left w:w="0" w:type="dxa"/>
              <w:bottom w:w="0" w:type="dxa"/>
              <w:right w:w="0" w:type="dxa"/>
            </w:tcMar>
            <w:vAlign w:val="center"/>
          </w:tcPr>
          <w:p w14:paraId="73ABA81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85" w:type="dxa"/>
            <w:shd w:val="clear" w:color="auto" w:fill="auto"/>
            <w:tcMar>
              <w:top w:w="0" w:type="dxa"/>
              <w:left w:w="0" w:type="dxa"/>
              <w:bottom w:w="0" w:type="dxa"/>
              <w:right w:w="0" w:type="dxa"/>
            </w:tcMar>
            <w:vAlign w:val="center"/>
          </w:tcPr>
          <w:p w14:paraId="73932F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CE8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11D7F1F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w:t>
            </w:r>
          </w:p>
        </w:tc>
        <w:tc>
          <w:tcPr>
            <w:tcW w:w="405" w:type="dxa"/>
            <w:vMerge w:val="continue"/>
            <w:shd w:val="clear" w:color="auto" w:fill="auto"/>
            <w:tcMar>
              <w:top w:w="0" w:type="dxa"/>
              <w:left w:w="0" w:type="dxa"/>
              <w:bottom w:w="0" w:type="dxa"/>
              <w:right w:w="0" w:type="dxa"/>
            </w:tcMar>
            <w:vAlign w:val="center"/>
          </w:tcPr>
          <w:p w14:paraId="4299D322">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0B96C6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cs="Times New Roman"/>
                <w:color w:val="auto"/>
                <w:sz w:val="21"/>
                <w:szCs w:val="21"/>
                <w:u w:val="none" w:color="auto"/>
                <w:lang w:val="en-US" w:eastAsia="zh-CN"/>
              </w:rPr>
              <w:t>精细过滤机</w:t>
            </w:r>
          </w:p>
        </w:tc>
        <w:tc>
          <w:tcPr>
            <w:tcW w:w="693" w:type="dxa"/>
            <w:shd w:val="clear" w:color="auto" w:fill="auto"/>
            <w:tcMar>
              <w:top w:w="0" w:type="dxa"/>
              <w:left w:w="0" w:type="dxa"/>
              <w:bottom w:w="0" w:type="dxa"/>
              <w:right w:w="0" w:type="dxa"/>
            </w:tcMar>
            <w:vAlign w:val="center"/>
          </w:tcPr>
          <w:p w14:paraId="50A8180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7449813B">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13C763E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-46.4</w:t>
            </w:r>
          </w:p>
        </w:tc>
        <w:tc>
          <w:tcPr>
            <w:tcW w:w="505" w:type="dxa"/>
            <w:shd w:val="clear" w:color="auto" w:fill="auto"/>
            <w:tcMar>
              <w:top w:w="0" w:type="dxa"/>
              <w:left w:w="0" w:type="dxa"/>
              <w:bottom w:w="0" w:type="dxa"/>
              <w:right w:w="0" w:type="dxa"/>
            </w:tcMar>
            <w:vAlign w:val="center"/>
          </w:tcPr>
          <w:p w14:paraId="703E3C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505" w:type="dxa"/>
            <w:shd w:val="clear" w:color="auto" w:fill="auto"/>
            <w:tcMar>
              <w:top w:w="0" w:type="dxa"/>
              <w:left w:w="0" w:type="dxa"/>
              <w:bottom w:w="0" w:type="dxa"/>
              <w:right w:w="0" w:type="dxa"/>
            </w:tcMar>
            <w:vAlign w:val="center"/>
          </w:tcPr>
          <w:p w14:paraId="6107D4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6E7B178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78.9</w:t>
            </w:r>
          </w:p>
        </w:tc>
        <w:tc>
          <w:tcPr>
            <w:tcW w:w="505" w:type="dxa"/>
            <w:shd w:val="clear" w:color="auto" w:fill="auto"/>
            <w:tcMar>
              <w:top w:w="0" w:type="dxa"/>
              <w:left w:w="0" w:type="dxa"/>
              <w:bottom w:w="0" w:type="dxa"/>
              <w:right w:w="0" w:type="dxa"/>
            </w:tcMar>
            <w:vAlign w:val="center"/>
          </w:tcPr>
          <w:p w14:paraId="3322EA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20.9</w:t>
            </w:r>
          </w:p>
        </w:tc>
        <w:tc>
          <w:tcPr>
            <w:tcW w:w="505" w:type="dxa"/>
            <w:shd w:val="clear" w:color="auto" w:fill="auto"/>
            <w:tcMar>
              <w:top w:w="0" w:type="dxa"/>
              <w:left w:w="0" w:type="dxa"/>
              <w:bottom w:w="0" w:type="dxa"/>
              <w:right w:w="0" w:type="dxa"/>
            </w:tcMar>
            <w:vAlign w:val="center"/>
          </w:tcPr>
          <w:p w14:paraId="1BDAC7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w:t>
            </w:r>
          </w:p>
        </w:tc>
        <w:tc>
          <w:tcPr>
            <w:tcW w:w="505" w:type="dxa"/>
            <w:shd w:val="clear" w:color="auto" w:fill="auto"/>
            <w:tcMar>
              <w:top w:w="0" w:type="dxa"/>
              <w:left w:w="0" w:type="dxa"/>
              <w:bottom w:w="0" w:type="dxa"/>
              <w:right w:w="0" w:type="dxa"/>
            </w:tcMar>
            <w:vAlign w:val="center"/>
          </w:tcPr>
          <w:p w14:paraId="455AE31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43.1</w:t>
            </w:r>
          </w:p>
        </w:tc>
        <w:tc>
          <w:tcPr>
            <w:tcW w:w="505" w:type="dxa"/>
            <w:shd w:val="clear" w:color="auto" w:fill="auto"/>
            <w:tcMar>
              <w:top w:w="0" w:type="dxa"/>
              <w:left w:w="0" w:type="dxa"/>
              <w:bottom w:w="0" w:type="dxa"/>
              <w:right w:w="0" w:type="dxa"/>
            </w:tcMar>
            <w:vAlign w:val="center"/>
          </w:tcPr>
          <w:p w14:paraId="3476EBF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5" w:type="dxa"/>
            <w:shd w:val="clear" w:color="auto" w:fill="auto"/>
            <w:tcMar>
              <w:top w:w="0" w:type="dxa"/>
              <w:left w:w="0" w:type="dxa"/>
              <w:bottom w:w="0" w:type="dxa"/>
              <w:right w:w="0" w:type="dxa"/>
            </w:tcMar>
            <w:vAlign w:val="center"/>
          </w:tcPr>
          <w:p w14:paraId="520274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14:paraId="559E7E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57.4</w:t>
            </w:r>
          </w:p>
        </w:tc>
        <w:tc>
          <w:tcPr>
            <w:tcW w:w="515" w:type="dxa"/>
            <w:shd w:val="clear" w:color="auto" w:fill="auto"/>
            <w:tcMar>
              <w:top w:w="0" w:type="dxa"/>
              <w:left w:w="0" w:type="dxa"/>
              <w:bottom w:w="0" w:type="dxa"/>
              <w:right w:w="0" w:type="dxa"/>
            </w:tcMar>
            <w:vAlign w:val="center"/>
          </w:tcPr>
          <w:p w14:paraId="27D6D9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14:paraId="30C0C57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EAEFBC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2A947C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2A78A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61194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A8C3F1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77" w:type="dxa"/>
            <w:shd w:val="clear" w:color="auto" w:fill="auto"/>
            <w:tcMar>
              <w:top w:w="0" w:type="dxa"/>
              <w:left w:w="0" w:type="dxa"/>
              <w:bottom w:w="0" w:type="dxa"/>
              <w:right w:w="0" w:type="dxa"/>
            </w:tcMar>
            <w:vAlign w:val="center"/>
          </w:tcPr>
          <w:p w14:paraId="61D927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14:paraId="433E44F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30.9</w:t>
            </w:r>
          </w:p>
        </w:tc>
        <w:tc>
          <w:tcPr>
            <w:tcW w:w="482" w:type="dxa"/>
            <w:shd w:val="clear" w:color="auto" w:fill="auto"/>
            <w:tcMar>
              <w:top w:w="0" w:type="dxa"/>
              <w:left w:w="0" w:type="dxa"/>
              <w:bottom w:w="0" w:type="dxa"/>
              <w:right w:w="0" w:type="dxa"/>
            </w:tcMar>
            <w:vAlign w:val="center"/>
          </w:tcPr>
          <w:p w14:paraId="79D5C18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14:paraId="67A065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2A43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0919044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405" w:type="dxa"/>
            <w:vMerge w:val="continue"/>
            <w:shd w:val="clear" w:color="auto" w:fill="auto"/>
            <w:tcMar>
              <w:top w:w="0" w:type="dxa"/>
              <w:left w:w="0" w:type="dxa"/>
              <w:bottom w:w="0" w:type="dxa"/>
              <w:right w:w="0" w:type="dxa"/>
            </w:tcMar>
            <w:vAlign w:val="center"/>
          </w:tcPr>
          <w:p w14:paraId="51EFFDF0">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center"/>
          </w:tcPr>
          <w:p w14:paraId="45D1B6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color w:val="auto"/>
                <w:sz w:val="21"/>
                <w:szCs w:val="21"/>
                <w:u w:val="none" w:color="auto"/>
                <w:lang w:val="en-US" w:eastAsia="zh-CN"/>
              </w:rPr>
              <w:t>导热油炉</w:t>
            </w:r>
          </w:p>
        </w:tc>
        <w:tc>
          <w:tcPr>
            <w:tcW w:w="693" w:type="dxa"/>
            <w:shd w:val="clear" w:color="auto" w:fill="auto"/>
            <w:tcMar>
              <w:top w:w="0" w:type="dxa"/>
              <w:left w:w="0" w:type="dxa"/>
              <w:bottom w:w="0" w:type="dxa"/>
              <w:right w:w="0" w:type="dxa"/>
            </w:tcMar>
            <w:vAlign w:val="center"/>
          </w:tcPr>
          <w:p w14:paraId="0C6D06D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6B9F8C00">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435AC1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505" w:type="dxa"/>
            <w:shd w:val="clear" w:color="auto" w:fill="auto"/>
            <w:tcMar>
              <w:top w:w="0" w:type="dxa"/>
              <w:left w:w="0" w:type="dxa"/>
              <w:bottom w:w="0" w:type="dxa"/>
              <w:right w:w="0" w:type="dxa"/>
            </w:tcMar>
            <w:vAlign w:val="center"/>
          </w:tcPr>
          <w:p w14:paraId="08BA1A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71.6</w:t>
            </w:r>
          </w:p>
        </w:tc>
        <w:tc>
          <w:tcPr>
            <w:tcW w:w="505" w:type="dxa"/>
            <w:shd w:val="clear" w:color="auto" w:fill="auto"/>
            <w:tcMar>
              <w:top w:w="0" w:type="dxa"/>
              <w:left w:w="0" w:type="dxa"/>
              <w:bottom w:w="0" w:type="dxa"/>
              <w:right w:w="0" w:type="dxa"/>
            </w:tcMar>
            <w:vAlign w:val="center"/>
          </w:tcPr>
          <w:p w14:paraId="615F24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676862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38.3</w:t>
            </w:r>
          </w:p>
        </w:tc>
        <w:tc>
          <w:tcPr>
            <w:tcW w:w="505" w:type="dxa"/>
            <w:shd w:val="clear" w:color="auto" w:fill="auto"/>
            <w:tcMar>
              <w:top w:w="0" w:type="dxa"/>
              <w:left w:w="0" w:type="dxa"/>
              <w:bottom w:w="0" w:type="dxa"/>
              <w:right w:w="0" w:type="dxa"/>
            </w:tcMar>
            <w:vAlign w:val="center"/>
          </w:tcPr>
          <w:p w14:paraId="58FB6D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505" w:type="dxa"/>
            <w:shd w:val="clear" w:color="auto" w:fill="auto"/>
            <w:tcMar>
              <w:top w:w="0" w:type="dxa"/>
              <w:left w:w="0" w:type="dxa"/>
              <w:bottom w:w="0" w:type="dxa"/>
              <w:right w:w="0" w:type="dxa"/>
            </w:tcMar>
            <w:vAlign w:val="center"/>
          </w:tcPr>
          <w:p w14:paraId="75446B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53.5</w:t>
            </w:r>
          </w:p>
        </w:tc>
        <w:tc>
          <w:tcPr>
            <w:tcW w:w="505" w:type="dxa"/>
            <w:shd w:val="clear" w:color="auto" w:fill="auto"/>
            <w:tcMar>
              <w:top w:w="0" w:type="dxa"/>
              <w:left w:w="0" w:type="dxa"/>
              <w:bottom w:w="0" w:type="dxa"/>
              <w:right w:w="0" w:type="dxa"/>
            </w:tcMar>
            <w:vAlign w:val="center"/>
          </w:tcPr>
          <w:p w14:paraId="4EC8879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505" w:type="dxa"/>
            <w:shd w:val="clear" w:color="auto" w:fill="auto"/>
            <w:tcMar>
              <w:top w:w="0" w:type="dxa"/>
              <w:left w:w="0" w:type="dxa"/>
              <w:bottom w:w="0" w:type="dxa"/>
              <w:right w:w="0" w:type="dxa"/>
            </w:tcMar>
            <w:vAlign w:val="center"/>
          </w:tcPr>
          <w:p w14:paraId="5A34EB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14:paraId="244C7F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14:paraId="56189E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14:paraId="53F2386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0" w:type="dxa"/>
            <w:shd w:val="clear" w:color="auto" w:fill="auto"/>
            <w:tcMar>
              <w:top w:w="0" w:type="dxa"/>
              <w:left w:w="0" w:type="dxa"/>
              <w:bottom w:w="0" w:type="dxa"/>
              <w:right w:w="0" w:type="dxa"/>
            </w:tcMar>
            <w:vAlign w:val="center"/>
          </w:tcPr>
          <w:p w14:paraId="4C0A431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5301D7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D5344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123A9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68EF70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62319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14:paraId="33E47A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14:paraId="5C5867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14:paraId="52E1E1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5" w:type="dxa"/>
            <w:shd w:val="clear" w:color="auto" w:fill="auto"/>
            <w:tcMar>
              <w:top w:w="0" w:type="dxa"/>
              <w:left w:w="0" w:type="dxa"/>
              <w:bottom w:w="0" w:type="dxa"/>
              <w:right w:w="0" w:type="dxa"/>
            </w:tcMar>
            <w:vAlign w:val="center"/>
          </w:tcPr>
          <w:p w14:paraId="7FDC49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5A3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C39363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w:t>
            </w:r>
          </w:p>
        </w:tc>
        <w:tc>
          <w:tcPr>
            <w:tcW w:w="405" w:type="dxa"/>
            <w:vMerge w:val="continue"/>
            <w:shd w:val="clear" w:color="auto" w:fill="auto"/>
            <w:tcMar>
              <w:top w:w="0" w:type="dxa"/>
              <w:left w:w="0" w:type="dxa"/>
              <w:bottom w:w="0" w:type="dxa"/>
              <w:right w:w="0" w:type="dxa"/>
            </w:tcMar>
            <w:vAlign w:val="center"/>
          </w:tcPr>
          <w:p w14:paraId="229EE62F">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293C261C">
            <w:pPr>
              <w:spacing w:before="69" w:line="220" w:lineRule="auto"/>
              <w:jc w:val="center"/>
              <w:rPr>
                <w:rFonts w:hint="eastAsia" w:ascii="Times New Roman" w:hAnsi="Times New Roman" w:eastAsia="宋体" w:cs="Times New Roman"/>
                <w:bCs/>
                <w:color w:val="auto"/>
                <w:szCs w:val="21"/>
                <w:lang w:eastAsia="zh-CN"/>
              </w:rPr>
            </w:pPr>
            <w:r>
              <w:rPr>
                <w:rFonts w:hint="eastAsia" w:ascii="宋体" w:hAnsi="宋体" w:cs="宋体"/>
                <w:color w:val="auto"/>
                <w:spacing w:val="-2"/>
                <w:szCs w:val="21"/>
                <w:lang w:eastAsia="zh-CN"/>
              </w:rPr>
              <w:t>油气</w:t>
            </w:r>
            <w:r>
              <w:rPr>
                <w:rFonts w:ascii="宋体" w:hAnsi="宋体" w:cs="宋体"/>
                <w:color w:val="auto"/>
                <w:spacing w:val="-1"/>
                <w:szCs w:val="21"/>
              </w:rPr>
              <w:t>分离器机组</w:t>
            </w:r>
          </w:p>
        </w:tc>
        <w:tc>
          <w:tcPr>
            <w:tcW w:w="693" w:type="dxa"/>
            <w:shd w:val="clear" w:color="auto" w:fill="auto"/>
            <w:tcMar>
              <w:top w:w="0" w:type="dxa"/>
              <w:left w:w="0" w:type="dxa"/>
              <w:bottom w:w="0" w:type="dxa"/>
              <w:right w:w="0" w:type="dxa"/>
            </w:tcMar>
            <w:vAlign w:val="center"/>
          </w:tcPr>
          <w:p w14:paraId="1891216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19672DF0">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2D685BF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505" w:type="dxa"/>
            <w:shd w:val="clear" w:color="auto" w:fill="auto"/>
            <w:tcMar>
              <w:top w:w="0" w:type="dxa"/>
              <w:left w:w="0" w:type="dxa"/>
              <w:bottom w:w="0" w:type="dxa"/>
              <w:right w:w="0" w:type="dxa"/>
            </w:tcMar>
            <w:vAlign w:val="center"/>
          </w:tcPr>
          <w:p w14:paraId="018ACE1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47.1</w:t>
            </w:r>
          </w:p>
        </w:tc>
        <w:tc>
          <w:tcPr>
            <w:tcW w:w="505" w:type="dxa"/>
            <w:shd w:val="clear" w:color="auto" w:fill="auto"/>
            <w:tcMar>
              <w:top w:w="0" w:type="dxa"/>
              <w:left w:w="0" w:type="dxa"/>
              <w:bottom w:w="0" w:type="dxa"/>
              <w:right w:w="0" w:type="dxa"/>
            </w:tcMar>
            <w:vAlign w:val="center"/>
          </w:tcPr>
          <w:p w14:paraId="301489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34238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w:t>
            </w:r>
          </w:p>
        </w:tc>
        <w:tc>
          <w:tcPr>
            <w:tcW w:w="505" w:type="dxa"/>
            <w:shd w:val="clear" w:color="auto" w:fill="auto"/>
            <w:tcMar>
              <w:top w:w="0" w:type="dxa"/>
              <w:left w:w="0" w:type="dxa"/>
              <w:bottom w:w="0" w:type="dxa"/>
              <w:right w:w="0" w:type="dxa"/>
            </w:tcMar>
            <w:vAlign w:val="center"/>
          </w:tcPr>
          <w:p w14:paraId="1812C3F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28.1</w:t>
            </w:r>
          </w:p>
        </w:tc>
        <w:tc>
          <w:tcPr>
            <w:tcW w:w="505" w:type="dxa"/>
            <w:shd w:val="clear" w:color="auto" w:fill="auto"/>
            <w:tcMar>
              <w:top w:w="0" w:type="dxa"/>
              <w:left w:w="0" w:type="dxa"/>
              <w:bottom w:w="0" w:type="dxa"/>
              <w:right w:w="0" w:type="dxa"/>
            </w:tcMar>
            <w:vAlign w:val="center"/>
          </w:tcPr>
          <w:p w14:paraId="73374B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65.8</w:t>
            </w:r>
          </w:p>
        </w:tc>
        <w:tc>
          <w:tcPr>
            <w:tcW w:w="505" w:type="dxa"/>
            <w:shd w:val="clear" w:color="auto" w:fill="auto"/>
            <w:tcMar>
              <w:top w:w="0" w:type="dxa"/>
              <w:left w:w="0" w:type="dxa"/>
              <w:bottom w:w="0" w:type="dxa"/>
              <w:right w:w="0" w:type="dxa"/>
            </w:tcMar>
            <w:vAlign w:val="center"/>
          </w:tcPr>
          <w:p w14:paraId="042266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05" w:type="dxa"/>
            <w:shd w:val="clear" w:color="auto" w:fill="auto"/>
            <w:tcMar>
              <w:top w:w="0" w:type="dxa"/>
              <w:left w:w="0" w:type="dxa"/>
              <w:bottom w:w="0" w:type="dxa"/>
              <w:right w:w="0" w:type="dxa"/>
            </w:tcMar>
            <w:vAlign w:val="center"/>
          </w:tcPr>
          <w:p w14:paraId="6BB7AC4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14:paraId="329219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14:paraId="473B1FA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14:paraId="2C9D39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14:paraId="6043A8B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96D33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5C97D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82EDB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455900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8EE84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14:paraId="410B1F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14:paraId="0496920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14:paraId="1433FD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14:paraId="38604DB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1638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52CBD63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w:t>
            </w:r>
          </w:p>
        </w:tc>
        <w:tc>
          <w:tcPr>
            <w:tcW w:w="405" w:type="dxa"/>
            <w:vMerge w:val="continue"/>
            <w:shd w:val="clear" w:color="auto" w:fill="auto"/>
            <w:tcMar>
              <w:top w:w="0" w:type="dxa"/>
              <w:left w:w="0" w:type="dxa"/>
              <w:bottom w:w="0" w:type="dxa"/>
              <w:right w:w="0" w:type="dxa"/>
            </w:tcMar>
            <w:vAlign w:val="center"/>
          </w:tcPr>
          <w:p w14:paraId="01F14991">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AFF2EDF">
            <w:pPr>
              <w:spacing w:before="68" w:line="220" w:lineRule="auto"/>
              <w:jc w:val="center"/>
              <w:rPr>
                <w:rFonts w:hint="eastAsia" w:ascii="Times New Roman" w:hAnsi="Times New Roman" w:eastAsia="宋体" w:cs="Times New Roman"/>
                <w:bCs/>
                <w:color w:val="auto"/>
                <w:szCs w:val="21"/>
                <w:lang w:eastAsia="zh-CN"/>
              </w:rPr>
            </w:pPr>
            <w:r>
              <w:rPr>
                <w:rFonts w:ascii="宋体" w:hAnsi="宋体" w:cs="宋体"/>
                <w:color w:val="auto"/>
                <w:spacing w:val="-2"/>
                <w:szCs w:val="21"/>
              </w:rPr>
              <w:t>列</w:t>
            </w:r>
            <w:r>
              <w:rPr>
                <w:rFonts w:ascii="宋体" w:hAnsi="宋体" w:cs="宋体"/>
                <w:color w:val="auto"/>
                <w:spacing w:val="-1"/>
                <w:szCs w:val="21"/>
              </w:rPr>
              <w:t>管冷凝器机组</w:t>
            </w:r>
          </w:p>
        </w:tc>
        <w:tc>
          <w:tcPr>
            <w:tcW w:w="693" w:type="dxa"/>
            <w:shd w:val="clear" w:color="auto" w:fill="auto"/>
            <w:tcMar>
              <w:top w:w="0" w:type="dxa"/>
              <w:left w:w="0" w:type="dxa"/>
              <w:bottom w:w="0" w:type="dxa"/>
              <w:right w:w="0" w:type="dxa"/>
            </w:tcMar>
            <w:vAlign w:val="center"/>
          </w:tcPr>
          <w:p w14:paraId="1D60E08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516" w:type="dxa"/>
            <w:vMerge w:val="continue"/>
            <w:shd w:val="clear" w:color="auto" w:fill="auto"/>
            <w:tcMar>
              <w:top w:w="0" w:type="dxa"/>
              <w:left w:w="0" w:type="dxa"/>
              <w:bottom w:w="0" w:type="dxa"/>
              <w:right w:w="0" w:type="dxa"/>
            </w:tcMar>
            <w:vAlign w:val="center"/>
          </w:tcPr>
          <w:p w14:paraId="2A7E6396">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FBC101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13.5</w:t>
            </w:r>
          </w:p>
        </w:tc>
        <w:tc>
          <w:tcPr>
            <w:tcW w:w="505" w:type="dxa"/>
            <w:shd w:val="clear" w:color="auto" w:fill="auto"/>
            <w:tcMar>
              <w:top w:w="0" w:type="dxa"/>
              <w:left w:w="0" w:type="dxa"/>
              <w:bottom w:w="0" w:type="dxa"/>
              <w:right w:w="0" w:type="dxa"/>
            </w:tcMar>
            <w:vAlign w:val="center"/>
          </w:tcPr>
          <w:p w14:paraId="3B4EE15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40.6</w:t>
            </w:r>
          </w:p>
        </w:tc>
        <w:tc>
          <w:tcPr>
            <w:tcW w:w="505" w:type="dxa"/>
            <w:shd w:val="clear" w:color="auto" w:fill="auto"/>
            <w:tcMar>
              <w:top w:w="0" w:type="dxa"/>
              <w:left w:w="0" w:type="dxa"/>
              <w:bottom w:w="0" w:type="dxa"/>
              <w:right w:w="0" w:type="dxa"/>
            </w:tcMar>
            <w:vAlign w:val="center"/>
          </w:tcPr>
          <w:p w14:paraId="087F82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6A01739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w:t>
            </w:r>
          </w:p>
        </w:tc>
        <w:tc>
          <w:tcPr>
            <w:tcW w:w="505" w:type="dxa"/>
            <w:shd w:val="clear" w:color="auto" w:fill="auto"/>
            <w:tcMar>
              <w:top w:w="0" w:type="dxa"/>
              <w:left w:w="0" w:type="dxa"/>
              <w:bottom w:w="0" w:type="dxa"/>
              <w:right w:w="0" w:type="dxa"/>
            </w:tcMar>
            <w:vAlign w:val="center"/>
          </w:tcPr>
          <w:p w14:paraId="2D7837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27.5</w:t>
            </w:r>
          </w:p>
        </w:tc>
        <w:tc>
          <w:tcPr>
            <w:tcW w:w="505" w:type="dxa"/>
            <w:shd w:val="clear" w:color="auto" w:fill="auto"/>
            <w:tcMar>
              <w:top w:w="0" w:type="dxa"/>
              <w:left w:w="0" w:type="dxa"/>
              <w:bottom w:w="0" w:type="dxa"/>
              <w:right w:w="0" w:type="dxa"/>
            </w:tcMar>
            <w:vAlign w:val="center"/>
          </w:tcPr>
          <w:p w14:paraId="707E472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77.4</w:t>
            </w:r>
          </w:p>
        </w:tc>
        <w:tc>
          <w:tcPr>
            <w:tcW w:w="505" w:type="dxa"/>
            <w:shd w:val="clear" w:color="auto" w:fill="auto"/>
            <w:tcMar>
              <w:top w:w="0" w:type="dxa"/>
              <w:left w:w="0" w:type="dxa"/>
              <w:bottom w:w="0" w:type="dxa"/>
              <w:right w:w="0" w:type="dxa"/>
            </w:tcMar>
            <w:vAlign w:val="center"/>
          </w:tcPr>
          <w:p w14:paraId="1D7072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38.7</w:t>
            </w:r>
          </w:p>
        </w:tc>
        <w:tc>
          <w:tcPr>
            <w:tcW w:w="505" w:type="dxa"/>
            <w:shd w:val="clear" w:color="auto" w:fill="auto"/>
            <w:tcMar>
              <w:top w:w="0" w:type="dxa"/>
              <w:left w:w="0" w:type="dxa"/>
              <w:bottom w:w="0" w:type="dxa"/>
              <w:right w:w="0" w:type="dxa"/>
            </w:tcMar>
            <w:vAlign w:val="center"/>
          </w:tcPr>
          <w:p w14:paraId="1CAC56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14:paraId="5F5BDB0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57.3</w:t>
            </w:r>
          </w:p>
        </w:tc>
        <w:tc>
          <w:tcPr>
            <w:tcW w:w="505" w:type="dxa"/>
            <w:shd w:val="clear" w:color="auto" w:fill="auto"/>
            <w:tcMar>
              <w:top w:w="0" w:type="dxa"/>
              <w:left w:w="0" w:type="dxa"/>
              <w:bottom w:w="0" w:type="dxa"/>
              <w:right w:w="0" w:type="dxa"/>
            </w:tcMar>
            <w:vAlign w:val="center"/>
          </w:tcPr>
          <w:p w14:paraId="5DDA64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15" w:type="dxa"/>
            <w:shd w:val="clear" w:color="auto" w:fill="auto"/>
            <w:tcMar>
              <w:top w:w="0" w:type="dxa"/>
              <w:left w:w="0" w:type="dxa"/>
              <w:bottom w:w="0" w:type="dxa"/>
              <w:right w:w="0" w:type="dxa"/>
            </w:tcMar>
            <w:vAlign w:val="center"/>
          </w:tcPr>
          <w:p w14:paraId="07D367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57.2</w:t>
            </w:r>
          </w:p>
        </w:tc>
        <w:tc>
          <w:tcPr>
            <w:tcW w:w="500" w:type="dxa"/>
            <w:shd w:val="clear" w:color="auto" w:fill="auto"/>
            <w:tcMar>
              <w:top w:w="0" w:type="dxa"/>
              <w:left w:w="0" w:type="dxa"/>
              <w:bottom w:w="0" w:type="dxa"/>
              <w:right w:w="0" w:type="dxa"/>
            </w:tcMar>
            <w:vAlign w:val="center"/>
          </w:tcPr>
          <w:p w14:paraId="620FB0B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5BE7A26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BA574F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C43B0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EAF1F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0B4C97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14:paraId="49F83A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477" w:type="dxa"/>
            <w:shd w:val="clear" w:color="auto" w:fill="auto"/>
            <w:tcMar>
              <w:top w:w="0" w:type="dxa"/>
              <w:left w:w="0" w:type="dxa"/>
              <w:bottom w:w="0" w:type="dxa"/>
              <w:right w:w="0" w:type="dxa"/>
            </w:tcMar>
            <w:vAlign w:val="center"/>
          </w:tcPr>
          <w:p w14:paraId="20F5E02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2" w:type="dxa"/>
            <w:shd w:val="clear" w:color="auto" w:fill="auto"/>
            <w:tcMar>
              <w:top w:w="0" w:type="dxa"/>
              <w:left w:w="0" w:type="dxa"/>
              <w:bottom w:w="0" w:type="dxa"/>
              <w:right w:w="0" w:type="dxa"/>
            </w:tcMar>
            <w:vAlign w:val="center"/>
          </w:tcPr>
          <w:p w14:paraId="5C9585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485" w:type="dxa"/>
            <w:shd w:val="clear" w:color="auto" w:fill="auto"/>
            <w:tcMar>
              <w:top w:w="0" w:type="dxa"/>
              <w:left w:w="0" w:type="dxa"/>
              <w:bottom w:w="0" w:type="dxa"/>
              <w:right w:w="0" w:type="dxa"/>
            </w:tcMar>
            <w:vAlign w:val="center"/>
          </w:tcPr>
          <w:p w14:paraId="6B89E3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6009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4CCC636B">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405" w:type="dxa"/>
            <w:vMerge w:val="continue"/>
            <w:shd w:val="clear" w:color="auto" w:fill="auto"/>
            <w:tcMar>
              <w:top w:w="0" w:type="dxa"/>
              <w:left w:w="0" w:type="dxa"/>
              <w:bottom w:w="0" w:type="dxa"/>
              <w:right w:w="0" w:type="dxa"/>
            </w:tcMar>
            <w:vAlign w:val="center"/>
          </w:tcPr>
          <w:p w14:paraId="0A0AAA0A">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27502B4E">
            <w:pPr>
              <w:jc w:val="center"/>
              <w:rPr>
                <w:rFonts w:hint="eastAsia" w:ascii="Times New Roman" w:hAnsi="Times New Roman" w:eastAsia="宋体" w:cs="Times New Roman"/>
                <w:bCs/>
                <w:color w:val="auto"/>
                <w:szCs w:val="21"/>
                <w:lang w:eastAsia="zh-CN"/>
              </w:rPr>
            </w:pPr>
            <w:r>
              <w:rPr>
                <w:rFonts w:hint="eastAsia"/>
                <w:color w:val="auto"/>
                <w:szCs w:val="21"/>
              </w:rPr>
              <w:t>锅炉</w:t>
            </w:r>
          </w:p>
        </w:tc>
        <w:tc>
          <w:tcPr>
            <w:tcW w:w="693" w:type="dxa"/>
            <w:shd w:val="clear" w:color="auto" w:fill="auto"/>
            <w:tcMar>
              <w:top w:w="0" w:type="dxa"/>
              <w:left w:w="0" w:type="dxa"/>
              <w:bottom w:w="0" w:type="dxa"/>
              <w:right w:w="0" w:type="dxa"/>
            </w:tcMar>
            <w:vAlign w:val="center"/>
          </w:tcPr>
          <w:p w14:paraId="675F2D7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3642A01C">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509E5AE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-43.7</w:t>
            </w:r>
          </w:p>
        </w:tc>
        <w:tc>
          <w:tcPr>
            <w:tcW w:w="505" w:type="dxa"/>
            <w:shd w:val="clear" w:color="auto" w:fill="auto"/>
            <w:tcMar>
              <w:top w:w="0" w:type="dxa"/>
              <w:left w:w="0" w:type="dxa"/>
              <w:bottom w:w="0" w:type="dxa"/>
              <w:right w:w="0" w:type="dxa"/>
            </w:tcMar>
            <w:vAlign w:val="center"/>
          </w:tcPr>
          <w:p w14:paraId="3A966A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46.5</w:t>
            </w:r>
          </w:p>
        </w:tc>
        <w:tc>
          <w:tcPr>
            <w:tcW w:w="505" w:type="dxa"/>
            <w:shd w:val="clear" w:color="auto" w:fill="auto"/>
            <w:tcMar>
              <w:top w:w="0" w:type="dxa"/>
              <w:left w:w="0" w:type="dxa"/>
              <w:bottom w:w="0" w:type="dxa"/>
              <w:right w:w="0" w:type="dxa"/>
            </w:tcMar>
            <w:vAlign w:val="center"/>
          </w:tcPr>
          <w:p w14:paraId="34E299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2AC3D9F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05" w:type="dxa"/>
            <w:shd w:val="clear" w:color="auto" w:fill="auto"/>
            <w:tcMar>
              <w:top w:w="0" w:type="dxa"/>
              <w:left w:w="0" w:type="dxa"/>
              <w:bottom w:w="0" w:type="dxa"/>
              <w:right w:w="0" w:type="dxa"/>
            </w:tcMar>
            <w:vAlign w:val="center"/>
          </w:tcPr>
          <w:p w14:paraId="45D14F9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505" w:type="dxa"/>
            <w:shd w:val="clear" w:color="auto" w:fill="auto"/>
            <w:tcMar>
              <w:top w:w="0" w:type="dxa"/>
              <w:left w:w="0" w:type="dxa"/>
              <w:bottom w:w="0" w:type="dxa"/>
              <w:right w:w="0" w:type="dxa"/>
            </w:tcMar>
            <w:vAlign w:val="center"/>
          </w:tcPr>
          <w:p w14:paraId="6DE4DA0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25.4</w:t>
            </w:r>
          </w:p>
        </w:tc>
        <w:tc>
          <w:tcPr>
            <w:tcW w:w="505" w:type="dxa"/>
            <w:shd w:val="clear" w:color="auto" w:fill="auto"/>
            <w:tcMar>
              <w:top w:w="0" w:type="dxa"/>
              <w:left w:w="0" w:type="dxa"/>
              <w:bottom w:w="0" w:type="dxa"/>
              <w:right w:w="0" w:type="dxa"/>
            </w:tcMar>
            <w:vAlign w:val="center"/>
          </w:tcPr>
          <w:p w14:paraId="51F3911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61.3</w:t>
            </w:r>
          </w:p>
        </w:tc>
        <w:tc>
          <w:tcPr>
            <w:tcW w:w="505" w:type="dxa"/>
            <w:shd w:val="clear" w:color="auto" w:fill="auto"/>
            <w:tcMar>
              <w:top w:w="0" w:type="dxa"/>
              <w:left w:w="0" w:type="dxa"/>
              <w:bottom w:w="0" w:type="dxa"/>
              <w:right w:w="0" w:type="dxa"/>
            </w:tcMar>
            <w:vAlign w:val="center"/>
          </w:tcPr>
          <w:p w14:paraId="561CA6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14:paraId="3B3BE00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69.0</w:t>
            </w:r>
          </w:p>
        </w:tc>
        <w:tc>
          <w:tcPr>
            <w:tcW w:w="505" w:type="dxa"/>
            <w:shd w:val="clear" w:color="auto" w:fill="auto"/>
            <w:tcMar>
              <w:top w:w="0" w:type="dxa"/>
              <w:left w:w="0" w:type="dxa"/>
              <w:bottom w:w="0" w:type="dxa"/>
              <w:right w:w="0" w:type="dxa"/>
            </w:tcMar>
            <w:vAlign w:val="center"/>
          </w:tcPr>
          <w:p w14:paraId="5082AA3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15" w:type="dxa"/>
            <w:shd w:val="clear" w:color="auto" w:fill="auto"/>
            <w:tcMar>
              <w:top w:w="0" w:type="dxa"/>
              <w:left w:w="0" w:type="dxa"/>
              <w:bottom w:w="0" w:type="dxa"/>
              <w:right w:w="0" w:type="dxa"/>
            </w:tcMar>
            <w:vAlign w:val="center"/>
          </w:tcPr>
          <w:p w14:paraId="764204A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0" w:type="dxa"/>
            <w:shd w:val="clear" w:color="auto" w:fill="auto"/>
            <w:tcMar>
              <w:top w:w="0" w:type="dxa"/>
              <w:left w:w="0" w:type="dxa"/>
              <w:bottom w:w="0" w:type="dxa"/>
              <w:right w:w="0" w:type="dxa"/>
            </w:tcMar>
            <w:vAlign w:val="center"/>
          </w:tcPr>
          <w:p w14:paraId="63F11A8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99DD9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E28FA7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8A0427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1AA83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A256FB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14:paraId="388661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42.5</w:t>
            </w:r>
          </w:p>
        </w:tc>
        <w:tc>
          <w:tcPr>
            <w:tcW w:w="477" w:type="dxa"/>
            <w:shd w:val="clear" w:color="auto" w:fill="auto"/>
            <w:tcMar>
              <w:top w:w="0" w:type="dxa"/>
              <w:left w:w="0" w:type="dxa"/>
              <w:bottom w:w="0" w:type="dxa"/>
              <w:right w:w="0" w:type="dxa"/>
            </w:tcMar>
            <w:vAlign w:val="center"/>
          </w:tcPr>
          <w:p w14:paraId="134F364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2" w:type="dxa"/>
            <w:shd w:val="clear" w:color="auto" w:fill="auto"/>
            <w:tcMar>
              <w:top w:w="0" w:type="dxa"/>
              <w:left w:w="0" w:type="dxa"/>
              <w:bottom w:w="0" w:type="dxa"/>
              <w:right w:w="0" w:type="dxa"/>
            </w:tcMar>
            <w:vAlign w:val="center"/>
          </w:tcPr>
          <w:p w14:paraId="73FB9B6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5" w:type="dxa"/>
            <w:shd w:val="clear" w:color="auto" w:fill="auto"/>
            <w:tcMar>
              <w:top w:w="0" w:type="dxa"/>
              <w:left w:w="0" w:type="dxa"/>
              <w:bottom w:w="0" w:type="dxa"/>
              <w:right w:w="0" w:type="dxa"/>
            </w:tcMar>
            <w:vAlign w:val="center"/>
          </w:tcPr>
          <w:p w14:paraId="26BBCD0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CE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2CE00545">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w:t>
            </w:r>
          </w:p>
        </w:tc>
        <w:tc>
          <w:tcPr>
            <w:tcW w:w="405" w:type="dxa"/>
            <w:vMerge w:val="continue"/>
            <w:shd w:val="clear" w:color="auto" w:fill="auto"/>
            <w:tcMar>
              <w:top w:w="0" w:type="dxa"/>
              <w:left w:w="0" w:type="dxa"/>
              <w:bottom w:w="0" w:type="dxa"/>
              <w:right w:w="0" w:type="dxa"/>
            </w:tcMar>
            <w:vAlign w:val="center"/>
          </w:tcPr>
          <w:p w14:paraId="6992AAF5">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040E16A9">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水泵1</w:t>
            </w:r>
          </w:p>
        </w:tc>
        <w:tc>
          <w:tcPr>
            <w:tcW w:w="693" w:type="dxa"/>
            <w:shd w:val="clear" w:color="auto" w:fill="auto"/>
            <w:tcMar>
              <w:top w:w="0" w:type="dxa"/>
              <w:left w:w="0" w:type="dxa"/>
              <w:bottom w:w="0" w:type="dxa"/>
              <w:right w:w="0" w:type="dxa"/>
            </w:tcMar>
            <w:vAlign w:val="center"/>
          </w:tcPr>
          <w:p w14:paraId="765EAB27">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64261BB7">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09A901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-38.6</w:t>
            </w:r>
          </w:p>
        </w:tc>
        <w:tc>
          <w:tcPr>
            <w:tcW w:w="505" w:type="dxa"/>
            <w:shd w:val="clear" w:color="auto" w:fill="auto"/>
            <w:tcMar>
              <w:top w:w="0" w:type="dxa"/>
              <w:left w:w="0" w:type="dxa"/>
              <w:bottom w:w="0" w:type="dxa"/>
              <w:right w:w="0" w:type="dxa"/>
            </w:tcMar>
            <w:vAlign w:val="center"/>
          </w:tcPr>
          <w:p w14:paraId="58013C4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52.7</w:t>
            </w:r>
          </w:p>
        </w:tc>
        <w:tc>
          <w:tcPr>
            <w:tcW w:w="505" w:type="dxa"/>
            <w:shd w:val="clear" w:color="auto" w:fill="auto"/>
            <w:tcMar>
              <w:top w:w="0" w:type="dxa"/>
              <w:left w:w="0" w:type="dxa"/>
              <w:bottom w:w="0" w:type="dxa"/>
              <w:right w:w="0" w:type="dxa"/>
            </w:tcMar>
            <w:vAlign w:val="center"/>
          </w:tcPr>
          <w:p w14:paraId="787C65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A3D43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63.4</w:t>
            </w:r>
          </w:p>
        </w:tc>
        <w:tc>
          <w:tcPr>
            <w:tcW w:w="505" w:type="dxa"/>
            <w:shd w:val="clear" w:color="auto" w:fill="auto"/>
            <w:tcMar>
              <w:top w:w="0" w:type="dxa"/>
              <w:left w:w="0" w:type="dxa"/>
              <w:bottom w:w="0" w:type="dxa"/>
              <w:right w:w="0" w:type="dxa"/>
            </w:tcMar>
            <w:vAlign w:val="center"/>
          </w:tcPr>
          <w:p w14:paraId="054F9C5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w:t>
            </w:r>
          </w:p>
        </w:tc>
        <w:tc>
          <w:tcPr>
            <w:tcW w:w="505" w:type="dxa"/>
            <w:shd w:val="clear" w:color="auto" w:fill="auto"/>
            <w:tcMar>
              <w:top w:w="0" w:type="dxa"/>
              <w:left w:w="0" w:type="dxa"/>
              <w:bottom w:w="0" w:type="dxa"/>
              <w:right w:w="0" w:type="dxa"/>
            </w:tcMar>
            <w:vAlign w:val="center"/>
          </w:tcPr>
          <w:p w14:paraId="27FCBE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26.6</w:t>
            </w:r>
          </w:p>
        </w:tc>
        <w:tc>
          <w:tcPr>
            <w:tcW w:w="505" w:type="dxa"/>
            <w:shd w:val="clear" w:color="auto" w:fill="auto"/>
            <w:tcMar>
              <w:top w:w="0" w:type="dxa"/>
              <w:left w:w="0" w:type="dxa"/>
              <w:bottom w:w="0" w:type="dxa"/>
              <w:right w:w="0" w:type="dxa"/>
            </w:tcMar>
            <w:vAlign w:val="center"/>
          </w:tcPr>
          <w:p w14:paraId="36CF95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53.4</w:t>
            </w:r>
          </w:p>
        </w:tc>
        <w:tc>
          <w:tcPr>
            <w:tcW w:w="505" w:type="dxa"/>
            <w:shd w:val="clear" w:color="auto" w:fill="auto"/>
            <w:tcMar>
              <w:top w:w="0" w:type="dxa"/>
              <w:left w:w="0" w:type="dxa"/>
              <w:bottom w:w="0" w:type="dxa"/>
              <w:right w:w="0" w:type="dxa"/>
            </w:tcMar>
            <w:vAlign w:val="center"/>
          </w:tcPr>
          <w:p w14:paraId="578619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14:paraId="008536D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67.4</w:t>
            </w:r>
          </w:p>
        </w:tc>
        <w:tc>
          <w:tcPr>
            <w:tcW w:w="505" w:type="dxa"/>
            <w:shd w:val="clear" w:color="auto" w:fill="auto"/>
            <w:tcMar>
              <w:top w:w="0" w:type="dxa"/>
              <w:left w:w="0" w:type="dxa"/>
              <w:bottom w:w="0" w:type="dxa"/>
              <w:right w:w="0" w:type="dxa"/>
            </w:tcMar>
            <w:vAlign w:val="center"/>
          </w:tcPr>
          <w:p w14:paraId="67F3B5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15" w:type="dxa"/>
            <w:shd w:val="clear" w:color="auto" w:fill="auto"/>
            <w:tcMar>
              <w:top w:w="0" w:type="dxa"/>
              <w:left w:w="0" w:type="dxa"/>
              <w:bottom w:w="0" w:type="dxa"/>
              <w:right w:w="0" w:type="dxa"/>
            </w:tcMar>
            <w:vAlign w:val="center"/>
          </w:tcPr>
          <w:p w14:paraId="59B7A4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0" w:type="dxa"/>
            <w:shd w:val="clear" w:color="auto" w:fill="auto"/>
            <w:tcMar>
              <w:top w:w="0" w:type="dxa"/>
              <w:left w:w="0" w:type="dxa"/>
              <w:bottom w:w="0" w:type="dxa"/>
              <w:right w:w="0" w:type="dxa"/>
            </w:tcMar>
            <w:vAlign w:val="center"/>
          </w:tcPr>
          <w:p w14:paraId="2C7AA16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68B065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52DB0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1207A3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3CD9F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FABB5F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14:paraId="2CFB458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40.9</w:t>
            </w:r>
          </w:p>
        </w:tc>
        <w:tc>
          <w:tcPr>
            <w:tcW w:w="477" w:type="dxa"/>
            <w:shd w:val="clear" w:color="auto" w:fill="auto"/>
            <w:tcMar>
              <w:top w:w="0" w:type="dxa"/>
              <w:left w:w="0" w:type="dxa"/>
              <w:bottom w:w="0" w:type="dxa"/>
              <w:right w:w="0" w:type="dxa"/>
            </w:tcMar>
            <w:vAlign w:val="center"/>
          </w:tcPr>
          <w:p w14:paraId="4E9C9E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2" w:type="dxa"/>
            <w:shd w:val="clear" w:color="auto" w:fill="auto"/>
            <w:tcMar>
              <w:top w:w="0" w:type="dxa"/>
              <w:left w:w="0" w:type="dxa"/>
              <w:bottom w:w="0" w:type="dxa"/>
              <w:right w:w="0" w:type="dxa"/>
            </w:tcMar>
            <w:vAlign w:val="center"/>
          </w:tcPr>
          <w:p w14:paraId="1857B6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5" w:type="dxa"/>
            <w:shd w:val="clear" w:color="auto" w:fill="auto"/>
            <w:tcMar>
              <w:top w:w="0" w:type="dxa"/>
              <w:left w:w="0" w:type="dxa"/>
              <w:bottom w:w="0" w:type="dxa"/>
              <w:right w:w="0" w:type="dxa"/>
            </w:tcMar>
            <w:vAlign w:val="center"/>
          </w:tcPr>
          <w:p w14:paraId="3ECD6C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CAF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7E4092D9">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67</w:t>
            </w:r>
          </w:p>
        </w:tc>
        <w:tc>
          <w:tcPr>
            <w:tcW w:w="405" w:type="dxa"/>
            <w:vMerge w:val="continue"/>
            <w:shd w:val="clear" w:color="auto" w:fill="auto"/>
            <w:tcMar>
              <w:top w:w="0" w:type="dxa"/>
              <w:left w:w="0" w:type="dxa"/>
              <w:bottom w:w="0" w:type="dxa"/>
              <w:right w:w="0" w:type="dxa"/>
            </w:tcMar>
            <w:vAlign w:val="center"/>
          </w:tcPr>
          <w:p w14:paraId="489F9785">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3F2C0119">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水泵2</w:t>
            </w:r>
          </w:p>
        </w:tc>
        <w:tc>
          <w:tcPr>
            <w:tcW w:w="693" w:type="dxa"/>
            <w:shd w:val="clear" w:color="auto" w:fill="auto"/>
            <w:tcMar>
              <w:top w:w="0" w:type="dxa"/>
              <w:left w:w="0" w:type="dxa"/>
              <w:bottom w:w="0" w:type="dxa"/>
              <w:right w:w="0" w:type="dxa"/>
            </w:tcMar>
            <w:vAlign w:val="center"/>
          </w:tcPr>
          <w:p w14:paraId="41C2A95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1DDE9E43">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44B7E1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w:t>
            </w:r>
          </w:p>
        </w:tc>
        <w:tc>
          <w:tcPr>
            <w:tcW w:w="505" w:type="dxa"/>
            <w:shd w:val="clear" w:color="auto" w:fill="auto"/>
            <w:tcMar>
              <w:top w:w="0" w:type="dxa"/>
              <w:left w:w="0" w:type="dxa"/>
              <w:bottom w:w="0" w:type="dxa"/>
              <w:right w:w="0" w:type="dxa"/>
            </w:tcMar>
            <w:vAlign w:val="center"/>
          </w:tcPr>
          <w:p w14:paraId="284331D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70.5</w:t>
            </w:r>
          </w:p>
        </w:tc>
        <w:tc>
          <w:tcPr>
            <w:tcW w:w="505" w:type="dxa"/>
            <w:shd w:val="clear" w:color="auto" w:fill="auto"/>
            <w:tcMar>
              <w:top w:w="0" w:type="dxa"/>
              <w:left w:w="0" w:type="dxa"/>
              <w:bottom w:w="0" w:type="dxa"/>
              <w:right w:w="0" w:type="dxa"/>
            </w:tcMar>
            <w:vAlign w:val="center"/>
          </w:tcPr>
          <w:p w14:paraId="0CF022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32D9DC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17.7</w:t>
            </w:r>
          </w:p>
        </w:tc>
        <w:tc>
          <w:tcPr>
            <w:tcW w:w="505" w:type="dxa"/>
            <w:shd w:val="clear" w:color="auto" w:fill="auto"/>
            <w:tcMar>
              <w:top w:w="0" w:type="dxa"/>
              <w:left w:w="0" w:type="dxa"/>
              <w:bottom w:w="0" w:type="dxa"/>
              <w:right w:w="0" w:type="dxa"/>
            </w:tcMar>
            <w:vAlign w:val="center"/>
          </w:tcPr>
          <w:p w14:paraId="79A5CB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60.8</w:t>
            </w:r>
          </w:p>
        </w:tc>
        <w:tc>
          <w:tcPr>
            <w:tcW w:w="505" w:type="dxa"/>
            <w:shd w:val="clear" w:color="auto" w:fill="auto"/>
            <w:tcMar>
              <w:top w:w="0" w:type="dxa"/>
              <w:left w:w="0" w:type="dxa"/>
              <w:bottom w:w="0" w:type="dxa"/>
              <w:right w:w="0" w:type="dxa"/>
            </w:tcMar>
            <w:vAlign w:val="center"/>
          </w:tcPr>
          <w:p w14:paraId="62BA23C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74.6</w:t>
            </w:r>
          </w:p>
        </w:tc>
        <w:tc>
          <w:tcPr>
            <w:tcW w:w="505" w:type="dxa"/>
            <w:shd w:val="clear" w:color="auto" w:fill="auto"/>
            <w:tcMar>
              <w:top w:w="0" w:type="dxa"/>
              <w:left w:w="0" w:type="dxa"/>
              <w:bottom w:w="0" w:type="dxa"/>
              <w:right w:w="0" w:type="dxa"/>
            </w:tcMar>
            <w:vAlign w:val="center"/>
          </w:tcPr>
          <w:p w14:paraId="1BD081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505" w:type="dxa"/>
            <w:shd w:val="clear" w:color="auto" w:fill="auto"/>
            <w:tcMar>
              <w:top w:w="0" w:type="dxa"/>
              <w:left w:w="0" w:type="dxa"/>
              <w:bottom w:w="0" w:type="dxa"/>
              <w:right w:w="0" w:type="dxa"/>
            </w:tcMar>
            <w:vAlign w:val="center"/>
          </w:tcPr>
          <w:p w14:paraId="1BC5A9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5" w:type="dxa"/>
            <w:shd w:val="clear" w:color="auto" w:fill="auto"/>
            <w:tcMar>
              <w:top w:w="0" w:type="dxa"/>
              <w:left w:w="0" w:type="dxa"/>
              <w:bottom w:w="0" w:type="dxa"/>
              <w:right w:w="0" w:type="dxa"/>
            </w:tcMar>
            <w:vAlign w:val="center"/>
          </w:tcPr>
          <w:p w14:paraId="3F29E6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14:paraId="66CDC0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14:paraId="633C32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67.9</w:t>
            </w:r>
          </w:p>
        </w:tc>
        <w:tc>
          <w:tcPr>
            <w:tcW w:w="500" w:type="dxa"/>
            <w:shd w:val="clear" w:color="auto" w:fill="auto"/>
            <w:tcMar>
              <w:top w:w="0" w:type="dxa"/>
              <w:left w:w="0" w:type="dxa"/>
              <w:bottom w:w="0" w:type="dxa"/>
              <w:right w:w="0" w:type="dxa"/>
            </w:tcMar>
            <w:vAlign w:val="center"/>
          </w:tcPr>
          <w:p w14:paraId="74BC14B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491351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B6E7AC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D1E2A1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67553B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58A5B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77" w:type="dxa"/>
            <w:shd w:val="clear" w:color="auto" w:fill="auto"/>
            <w:tcMar>
              <w:top w:w="0" w:type="dxa"/>
              <w:left w:w="0" w:type="dxa"/>
              <w:bottom w:w="0" w:type="dxa"/>
              <w:right w:w="0" w:type="dxa"/>
            </w:tcMar>
            <w:vAlign w:val="center"/>
          </w:tcPr>
          <w:p w14:paraId="418D31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14:paraId="02EDA3A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14:paraId="68C78B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41.4</w:t>
            </w:r>
          </w:p>
        </w:tc>
        <w:tc>
          <w:tcPr>
            <w:tcW w:w="485" w:type="dxa"/>
            <w:shd w:val="clear" w:color="auto" w:fill="auto"/>
            <w:tcMar>
              <w:top w:w="0" w:type="dxa"/>
              <w:left w:w="0" w:type="dxa"/>
              <w:bottom w:w="0" w:type="dxa"/>
              <w:right w:w="0" w:type="dxa"/>
            </w:tcMar>
            <w:vAlign w:val="center"/>
          </w:tcPr>
          <w:p w14:paraId="53B779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53EC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445B537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68</w:t>
            </w:r>
          </w:p>
        </w:tc>
        <w:tc>
          <w:tcPr>
            <w:tcW w:w="405" w:type="dxa"/>
            <w:vMerge w:val="continue"/>
            <w:shd w:val="clear" w:color="auto" w:fill="auto"/>
            <w:tcMar>
              <w:top w:w="0" w:type="dxa"/>
              <w:left w:w="0" w:type="dxa"/>
              <w:bottom w:w="0" w:type="dxa"/>
              <w:right w:w="0" w:type="dxa"/>
            </w:tcMar>
            <w:vAlign w:val="center"/>
          </w:tcPr>
          <w:p w14:paraId="2E419215">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2E6A464A">
            <w:pPr>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val="en-US" w:eastAsia="zh-CN"/>
              </w:rPr>
              <w:t>水泵3</w:t>
            </w:r>
          </w:p>
        </w:tc>
        <w:tc>
          <w:tcPr>
            <w:tcW w:w="693" w:type="dxa"/>
            <w:shd w:val="clear" w:color="auto" w:fill="auto"/>
            <w:tcMar>
              <w:top w:w="0" w:type="dxa"/>
              <w:left w:w="0" w:type="dxa"/>
              <w:bottom w:w="0" w:type="dxa"/>
              <w:right w:w="0" w:type="dxa"/>
            </w:tcMar>
            <w:vAlign w:val="center"/>
          </w:tcPr>
          <w:p w14:paraId="483D16F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5CCC4E7E">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57C236D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-52.3</w:t>
            </w:r>
          </w:p>
        </w:tc>
        <w:tc>
          <w:tcPr>
            <w:tcW w:w="505" w:type="dxa"/>
            <w:shd w:val="clear" w:color="auto" w:fill="auto"/>
            <w:tcMar>
              <w:top w:w="0" w:type="dxa"/>
              <w:left w:w="0" w:type="dxa"/>
              <w:bottom w:w="0" w:type="dxa"/>
              <w:right w:w="0" w:type="dxa"/>
            </w:tcMar>
            <w:vAlign w:val="center"/>
          </w:tcPr>
          <w:p w14:paraId="2BE94DB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31.7</w:t>
            </w:r>
          </w:p>
        </w:tc>
        <w:tc>
          <w:tcPr>
            <w:tcW w:w="505" w:type="dxa"/>
            <w:shd w:val="clear" w:color="auto" w:fill="auto"/>
            <w:tcMar>
              <w:top w:w="0" w:type="dxa"/>
              <w:left w:w="0" w:type="dxa"/>
              <w:bottom w:w="0" w:type="dxa"/>
              <w:right w:w="0" w:type="dxa"/>
            </w:tcMar>
            <w:vAlign w:val="center"/>
          </w:tcPr>
          <w:p w14:paraId="4364B8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36293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66.7</w:t>
            </w:r>
          </w:p>
        </w:tc>
        <w:tc>
          <w:tcPr>
            <w:tcW w:w="505" w:type="dxa"/>
            <w:shd w:val="clear" w:color="auto" w:fill="auto"/>
            <w:tcMar>
              <w:top w:w="0" w:type="dxa"/>
              <w:left w:w="0" w:type="dxa"/>
              <w:bottom w:w="0" w:type="dxa"/>
              <w:right w:w="0" w:type="dxa"/>
            </w:tcMar>
            <w:vAlign w:val="center"/>
          </w:tcPr>
          <w:p w14:paraId="1F3331C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66.7</w:t>
            </w:r>
          </w:p>
        </w:tc>
        <w:tc>
          <w:tcPr>
            <w:tcW w:w="505" w:type="dxa"/>
            <w:shd w:val="clear" w:color="auto" w:fill="auto"/>
            <w:tcMar>
              <w:top w:w="0" w:type="dxa"/>
              <w:left w:w="0" w:type="dxa"/>
              <w:bottom w:w="0" w:type="dxa"/>
              <w:right w:w="0" w:type="dxa"/>
            </w:tcMar>
            <w:vAlign w:val="center"/>
          </w:tcPr>
          <w:p w14:paraId="1DC8975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26.2</w:t>
            </w:r>
          </w:p>
        </w:tc>
        <w:tc>
          <w:tcPr>
            <w:tcW w:w="505" w:type="dxa"/>
            <w:shd w:val="clear" w:color="auto" w:fill="auto"/>
            <w:tcMar>
              <w:top w:w="0" w:type="dxa"/>
              <w:left w:w="0" w:type="dxa"/>
              <w:bottom w:w="0" w:type="dxa"/>
              <w:right w:w="0" w:type="dxa"/>
            </w:tcMar>
            <w:vAlign w:val="center"/>
          </w:tcPr>
          <w:p w14:paraId="426CD52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505" w:type="dxa"/>
            <w:shd w:val="clear" w:color="auto" w:fill="auto"/>
            <w:tcMar>
              <w:top w:w="0" w:type="dxa"/>
              <w:left w:w="0" w:type="dxa"/>
              <w:bottom w:w="0" w:type="dxa"/>
              <w:right w:w="0" w:type="dxa"/>
            </w:tcMar>
            <w:vAlign w:val="center"/>
          </w:tcPr>
          <w:p w14:paraId="27DA4F5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4C9A7D2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7EDDBD2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15" w:type="dxa"/>
            <w:shd w:val="clear" w:color="auto" w:fill="auto"/>
            <w:tcMar>
              <w:top w:w="0" w:type="dxa"/>
              <w:left w:w="0" w:type="dxa"/>
              <w:bottom w:w="0" w:type="dxa"/>
              <w:right w:w="0" w:type="dxa"/>
            </w:tcMar>
            <w:vAlign w:val="center"/>
          </w:tcPr>
          <w:p w14:paraId="179F5C9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67.5</w:t>
            </w:r>
          </w:p>
        </w:tc>
        <w:tc>
          <w:tcPr>
            <w:tcW w:w="500" w:type="dxa"/>
            <w:shd w:val="clear" w:color="auto" w:fill="auto"/>
            <w:tcMar>
              <w:top w:w="0" w:type="dxa"/>
              <w:left w:w="0" w:type="dxa"/>
              <w:bottom w:w="0" w:type="dxa"/>
              <w:right w:w="0" w:type="dxa"/>
            </w:tcMar>
            <w:vAlign w:val="center"/>
          </w:tcPr>
          <w:p w14:paraId="406E492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5FA4B4A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4D11FB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AD8EF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25DDDE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6B56A3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453082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26015FF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2" w:type="dxa"/>
            <w:shd w:val="clear" w:color="auto" w:fill="auto"/>
            <w:tcMar>
              <w:top w:w="0" w:type="dxa"/>
              <w:left w:w="0" w:type="dxa"/>
              <w:bottom w:w="0" w:type="dxa"/>
              <w:right w:w="0" w:type="dxa"/>
            </w:tcMar>
            <w:vAlign w:val="center"/>
          </w:tcPr>
          <w:p w14:paraId="41A6AB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41.0</w:t>
            </w:r>
          </w:p>
        </w:tc>
        <w:tc>
          <w:tcPr>
            <w:tcW w:w="485" w:type="dxa"/>
            <w:shd w:val="clear" w:color="auto" w:fill="auto"/>
            <w:tcMar>
              <w:top w:w="0" w:type="dxa"/>
              <w:left w:w="0" w:type="dxa"/>
              <w:bottom w:w="0" w:type="dxa"/>
              <w:right w:w="0" w:type="dxa"/>
            </w:tcMar>
            <w:vAlign w:val="center"/>
          </w:tcPr>
          <w:p w14:paraId="3EF1D8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3085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03" w:type="dxa"/>
            <w:shd w:val="clear" w:color="auto" w:fill="auto"/>
            <w:tcMar>
              <w:top w:w="0" w:type="dxa"/>
              <w:left w:w="0" w:type="dxa"/>
              <w:bottom w:w="0" w:type="dxa"/>
              <w:right w:w="0" w:type="dxa"/>
            </w:tcMar>
            <w:vAlign w:val="center"/>
          </w:tcPr>
          <w:p w14:paraId="37330B9F">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w:t>
            </w:r>
          </w:p>
        </w:tc>
        <w:tc>
          <w:tcPr>
            <w:tcW w:w="405" w:type="dxa"/>
            <w:vMerge w:val="continue"/>
            <w:shd w:val="clear" w:color="auto" w:fill="auto"/>
            <w:tcMar>
              <w:top w:w="0" w:type="dxa"/>
              <w:left w:w="0" w:type="dxa"/>
              <w:bottom w:w="0" w:type="dxa"/>
              <w:right w:w="0" w:type="dxa"/>
            </w:tcMar>
            <w:vAlign w:val="center"/>
          </w:tcPr>
          <w:p w14:paraId="5B073862">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510C3CCA">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highlight w:val="none"/>
                <w:lang w:eastAsia="zh-CN"/>
              </w:rPr>
              <w:t>风机</w:t>
            </w:r>
            <w:r>
              <w:rPr>
                <w:rFonts w:hint="eastAsia" w:ascii="Times New Roman" w:hAnsi="Times New Roman" w:eastAsia="宋体" w:cs="Times New Roman"/>
                <w:color w:val="auto"/>
                <w:sz w:val="21"/>
                <w:szCs w:val="21"/>
                <w:highlight w:val="none"/>
                <w:lang w:val="en-US" w:eastAsia="zh-CN"/>
              </w:rPr>
              <w:t>1</w:t>
            </w:r>
          </w:p>
        </w:tc>
        <w:tc>
          <w:tcPr>
            <w:tcW w:w="693" w:type="dxa"/>
            <w:shd w:val="clear" w:color="auto" w:fill="auto"/>
            <w:tcMar>
              <w:top w:w="0" w:type="dxa"/>
              <w:left w:w="0" w:type="dxa"/>
              <w:bottom w:w="0" w:type="dxa"/>
              <w:right w:w="0" w:type="dxa"/>
            </w:tcMar>
            <w:vAlign w:val="center"/>
          </w:tcPr>
          <w:p w14:paraId="4FBF159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66874509">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6E1BFFF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-18.1</w:t>
            </w:r>
          </w:p>
        </w:tc>
        <w:tc>
          <w:tcPr>
            <w:tcW w:w="505" w:type="dxa"/>
            <w:shd w:val="clear" w:color="auto" w:fill="auto"/>
            <w:tcMar>
              <w:top w:w="0" w:type="dxa"/>
              <w:left w:w="0" w:type="dxa"/>
              <w:bottom w:w="0" w:type="dxa"/>
              <w:right w:w="0" w:type="dxa"/>
            </w:tcMar>
            <w:vAlign w:val="center"/>
          </w:tcPr>
          <w:p w14:paraId="194757C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45.2</w:t>
            </w:r>
          </w:p>
        </w:tc>
        <w:tc>
          <w:tcPr>
            <w:tcW w:w="505" w:type="dxa"/>
            <w:shd w:val="clear" w:color="auto" w:fill="auto"/>
            <w:tcMar>
              <w:top w:w="0" w:type="dxa"/>
              <w:left w:w="0" w:type="dxa"/>
              <w:bottom w:w="0" w:type="dxa"/>
              <w:right w:w="0" w:type="dxa"/>
            </w:tcMar>
            <w:vAlign w:val="center"/>
          </w:tcPr>
          <w:p w14:paraId="6BE1719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009EA2D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42.2</w:t>
            </w:r>
          </w:p>
        </w:tc>
        <w:tc>
          <w:tcPr>
            <w:tcW w:w="505" w:type="dxa"/>
            <w:shd w:val="clear" w:color="auto" w:fill="auto"/>
            <w:tcMar>
              <w:top w:w="0" w:type="dxa"/>
              <w:left w:w="0" w:type="dxa"/>
              <w:bottom w:w="0" w:type="dxa"/>
              <w:right w:w="0" w:type="dxa"/>
            </w:tcMar>
            <w:vAlign w:val="center"/>
          </w:tcPr>
          <w:p w14:paraId="1833DC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w:t>
            </w:r>
          </w:p>
        </w:tc>
        <w:tc>
          <w:tcPr>
            <w:tcW w:w="505" w:type="dxa"/>
            <w:shd w:val="clear" w:color="auto" w:fill="auto"/>
            <w:tcMar>
              <w:top w:w="0" w:type="dxa"/>
              <w:left w:w="0" w:type="dxa"/>
              <w:bottom w:w="0" w:type="dxa"/>
              <w:right w:w="0" w:type="dxa"/>
            </w:tcMar>
            <w:vAlign w:val="center"/>
          </w:tcPr>
          <w:p w14:paraId="09E6FCC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48.0</w:t>
            </w:r>
          </w:p>
        </w:tc>
        <w:tc>
          <w:tcPr>
            <w:tcW w:w="505" w:type="dxa"/>
            <w:shd w:val="clear" w:color="auto" w:fill="auto"/>
            <w:tcMar>
              <w:top w:w="0" w:type="dxa"/>
              <w:left w:w="0" w:type="dxa"/>
              <w:bottom w:w="0" w:type="dxa"/>
              <w:right w:w="0" w:type="dxa"/>
            </w:tcMar>
            <w:vAlign w:val="center"/>
          </w:tcPr>
          <w:p w14:paraId="767586C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c>
          <w:tcPr>
            <w:tcW w:w="505" w:type="dxa"/>
            <w:shd w:val="clear" w:color="auto" w:fill="auto"/>
            <w:tcMar>
              <w:top w:w="0" w:type="dxa"/>
              <w:left w:w="0" w:type="dxa"/>
              <w:bottom w:w="0" w:type="dxa"/>
              <w:right w:w="0" w:type="dxa"/>
            </w:tcMar>
            <w:vAlign w:val="center"/>
          </w:tcPr>
          <w:p w14:paraId="1999CA8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5" w:type="dxa"/>
            <w:shd w:val="clear" w:color="auto" w:fill="auto"/>
            <w:tcMar>
              <w:top w:w="0" w:type="dxa"/>
              <w:left w:w="0" w:type="dxa"/>
              <w:bottom w:w="0" w:type="dxa"/>
              <w:right w:w="0" w:type="dxa"/>
            </w:tcMar>
            <w:vAlign w:val="center"/>
          </w:tcPr>
          <w:p w14:paraId="259D6F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5" w:type="dxa"/>
            <w:shd w:val="clear" w:color="auto" w:fill="auto"/>
            <w:tcMar>
              <w:top w:w="0" w:type="dxa"/>
              <w:left w:w="0" w:type="dxa"/>
              <w:bottom w:w="0" w:type="dxa"/>
              <w:right w:w="0" w:type="dxa"/>
            </w:tcMar>
            <w:vAlign w:val="center"/>
          </w:tcPr>
          <w:p w14:paraId="0DD54CA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14:paraId="3086C0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0" w:type="dxa"/>
            <w:shd w:val="clear" w:color="auto" w:fill="auto"/>
            <w:tcMar>
              <w:top w:w="0" w:type="dxa"/>
              <w:left w:w="0" w:type="dxa"/>
              <w:bottom w:w="0" w:type="dxa"/>
              <w:right w:w="0" w:type="dxa"/>
            </w:tcMar>
            <w:vAlign w:val="center"/>
          </w:tcPr>
          <w:p w14:paraId="40B8BD5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0EB48E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FAA567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2F2934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62D60D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38B8B4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77" w:type="dxa"/>
            <w:shd w:val="clear" w:color="auto" w:fill="auto"/>
            <w:tcMar>
              <w:top w:w="0" w:type="dxa"/>
              <w:left w:w="0" w:type="dxa"/>
              <w:bottom w:w="0" w:type="dxa"/>
              <w:right w:w="0" w:type="dxa"/>
            </w:tcMar>
            <w:vAlign w:val="center"/>
          </w:tcPr>
          <w:p w14:paraId="073B9F0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77" w:type="dxa"/>
            <w:shd w:val="clear" w:color="auto" w:fill="auto"/>
            <w:tcMar>
              <w:top w:w="0" w:type="dxa"/>
              <w:left w:w="0" w:type="dxa"/>
              <w:bottom w:w="0" w:type="dxa"/>
              <w:right w:w="0" w:type="dxa"/>
            </w:tcMar>
            <w:vAlign w:val="center"/>
          </w:tcPr>
          <w:p w14:paraId="30F4717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14:paraId="18E9F7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5" w:type="dxa"/>
            <w:shd w:val="clear" w:color="auto" w:fill="auto"/>
            <w:tcMar>
              <w:top w:w="0" w:type="dxa"/>
              <w:left w:w="0" w:type="dxa"/>
              <w:bottom w:w="0" w:type="dxa"/>
              <w:right w:w="0" w:type="dxa"/>
            </w:tcMar>
            <w:vAlign w:val="center"/>
          </w:tcPr>
          <w:p w14:paraId="317E496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4D58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3" w:type="dxa"/>
            <w:shd w:val="clear" w:color="auto" w:fill="auto"/>
            <w:tcMar>
              <w:top w:w="0" w:type="dxa"/>
              <w:left w:w="0" w:type="dxa"/>
              <w:bottom w:w="0" w:type="dxa"/>
              <w:right w:w="0" w:type="dxa"/>
            </w:tcMar>
            <w:vAlign w:val="center"/>
          </w:tcPr>
          <w:p w14:paraId="3F4F658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405" w:type="dxa"/>
            <w:vMerge w:val="continue"/>
            <w:shd w:val="clear" w:color="auto" w:fill="auto"/>
            <w:tcMar>
              <w:top w:w="0" w:type="dxa"/>
              <w:left w:w="0" w:type="dxa"/>
              <w:bottom w:w="0" w:type="dxa"/>
              <w:right w:w="0" w:type="dxa"/>
            </w:tcMar>
            <w:vAlign w:val="center"/>
          </w:tcPr>
          <w:p w14:paraId="1F788858">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50D7FF3D">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highlight w:val="none"/>
                <w:lang w:eastAsia="zh-CN"/>
              </w:rPr>
              <w:t>风机</w:t>
            </w:r>
            <w:r>
              <w:rPr>
                <w:rFonts w:hint="eastAsia" w:ascii="Times New Roman" w:hAnsi="Times New Roman" w:eastAsia="宋体" w:cs="Times New Roman"/>
                <w:color w:val="auto"/>
                <w:sz w:val="21"/>
                <w:szCs w:val="21"/>
                <w:highlight w:val="none"/>
                <w:lang w:val="en-US" w:eastAsia="zh-CN"/>
              </w:rPr>
              <w:t>2</w:t>
            </w:r>
          </w:p>
        </w:tc>
        <w:tc>
          <w:tcPr>
            <w:tcW w:w="693" w:type="dxa"/>
            <w:shd w:val="clear" w:color="auto" w:fill="auto"/>
            <w:tcMar>
              <w:top w:w="0" w:type="dxa"/>
              <w:left w:w="0" w:type="dxa"/>
              <w:bottom w:w="0" w:type="dxa"/>
              <w:right w:w="0" w:type="dxa"/>
            </w:tcMar>
            <w:vAlign w:val="center"/>
          </w:tcPr>
          <w:p w14:paraId="6A11D36D">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45A2905D">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785167C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505" w:type="dxa"/>
            <w:shd w:val="clear" w:color="auto" w:fill="auto"/>
            <w:tcMar>
              <w:top w:w="0" w:type="dxa"/>
              <w:left w:w="0" w:type="dxa"/>
              <w:bottom w:w="0" w:type="dxa"/>
              <w:right w:w="0" w:type="dxa"/>
            </w:tcMar>
            <w:vAlign w:val="center"/>
          </w:tcPr>
          <w:p w14:paraId="298E963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37.1</w:t>
            </w:r>
          </w:p>
        </w:tc>
        <w:tc>
          <w:tcPr>
            <w:tcW w:w="505" w:type="dxa"/>
            <w:shd w:val="clear" w:color="auto" w:fill="auto"/>
            <w:tcMar>
              <w:top w:w="0" w:type="dxa"/>
              <w:left w:w="0" w:type="dxa"/>
              <w:bottom w:w="0" w:type="dxa"/>
              <w:right w:w="0" w:type="dxa"/>
            </w:tcMar>
            <w:vAlign w:val="center"/>
          </w:tcPr>
          <w:p w14:paraId="3C549AB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5C05E0D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w:t>
            </w:r>
          </w:p>
        </w:tc>
        <w:tc>
          <w:tcPr>
            <w:tcW w:w="505" w:type="dxa"/>
            <w:shd w:val="clear" w:color="auto" w:fill="auto"/>
            <w:tcMar>
              <w:top w:w="0" w:type="dxa"/>
              <w:left w:w="0" w:type="dxa"/>
              <w:bottom w:w="0" w:type="dxa"/>
              <w:right w:w="0" w:type="dxa"/>
            </w:tcMar>
            <w:vAlign w:val="center"/>
          </w:tcPr>
          <w:p w14:paraId="32FAEDD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16.4</w:t>
            </w:r>
          </w:p>
        </w:tc>
        <w:tc>
          <w:tcPr>
            <w:tcW w:w="505" w:type="dxa"/>
            <w:shd w:val="clear" w:color="auto" w:fill="auto"/>
            <w:tcMar>
              <w:top w:w="0" w:type="dxa"/>
              <w:left w:w="0" w:type="dxa"/>
              <w:bottom w:w="0" w:type="dxa"/>
              <w:right w:w="0" w:type="dxa"/>
            </w:tcMar>
            <w:vAlign w:val="center"/>
          </w:tcPr>
          <w:p w14:paraId="4799FE0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65.8</w:t>
            </w:r>
          </w:p>
        </w:tc>
        <w:tc>
          <w:tcPr>
            <w:tcW w:w="505" w:type="dxa"/>
            <w:shd w:val="clear" w:color="auto" w:fill="auto"/>
            <w:tcMar>
              <w:top w:w="0" w:type="dxa"/>
              <w:left w:w="0" w:type="dxa"/>
              <w:bottom w:w="0" w:type="dxa"/>
              <w:right w:w="0" w:type="dxa"/>
            </w:tcMar>
            <w:vAlign w:val="center"/>
          </w:tcPr>
          <w:p w14:paraId="3B3F56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505" w:type="dxa"/>
            <w:shd w:val="clear" w:color="auto" w:fill="auto"/>
            <w:tcMar>
              <w:top w:w="0" w:type="dxa"/>
              <w:left w:w="0" w:type="dxa"/>
              <w:bottom w:w="0" w:type="dxa"/>
              <w:right w:w="0" w:type="dxa"/>
            </w:tcMar>
            <w:vAlign w:val="center"/>
          </w:tcPr>
          <w:p w14:paraId="2B4C81D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5" w:type="dxa"/>
            <w:shd w:val="clear" w:color="auto" w:fill="auto"/>
            <w:tcMar>
              <w:top w:w="0" w:type="dxa"/>
              <w:left w:w="0" w:type="dxa"/>
              <w:bottom w:w="0" w:type="dxa"/>
              <w:right w:w="0" w:type="dxa"/>
            </w:tcMar>
            <w:vAlign w:val="center"/>
          </w:tcPr>
          <w:p w14:paraId="5F6A9D7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05" w:type="dxa"/>
            <w:shd w:val="clear" w:color="auto" w:fill="auto"/>
            <w:tcMar>
              <w:top w:w="0" w:type="dxa"/>
              <w:left w:w="0" w:type="dxa"/>
              <w:bottom w:w="0" w:type="dxa"/>
              <w:right w:w="0" w:type="dxa"/>
            </w:tcMar>
            <w:vAlign w:val="center"/>
          </w:tcPr>
          <w:p w14:paraId="156D1FF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15" w:type="dxa"/>
            <w:shd w:val="clear" w:color="auto" w:fill="auto"/>
            <w:tcMar>
              <w:top w:w="0" w:type="dxa"/>
              <w:left w:w="0" w:type="dxa"/>
              <w:bottom w:w="0" w:type="dxa"/>
              <w:right w:w="0" w:type="dxa"/>
            </w:tcMar>
            <w:vAlign w:val="center"/>
          </w:tcPr>
          <w:p w14:paraId="056D52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500" w:type="dxa"/>
            <w:shd w:val="clear" w:color="auto" w:fill="auto"/>
            <w:tcMar>
              <w:top w:w="0" w:type="dxa"/>
              <w:left w:w="0" w:type="dxa"/>
              <w:bottom w:w="0" w:type="dxa"/>
              <w:right w:w="0" w:type="dxa"/>
            </w:tcMar>
            <w:vAlign w:val="center"/>
          </w:tcPr>
          <w:p w14:paraId="7DB0BF7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2BE510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40C57E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155D0B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04CA4BE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77F088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77" w:type="dxa"/>
            <w:shd w:val="clear" w:color="auto" w:fill="auto"/>
            <w:tcMar>
              <w:top w:w="0" w:type="dxa"/>
              <w:left w:w="0" w:type="dxa"/>
              <w:bottom w:w="0" w:type="dxa"/>
              <w:right w:w="0" w:type="dxa"/>
            </w:tcMar>
            <w:vAlign w:val="center"/>
          </w:tcPr>
          <w:p w14:paraId="5C56B15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77" w:type="dxa"/>
            <w:shd w:val="clear" w:color="auto" w:fill="auto"/>
            <w:tcMar>
              <w:top w:w="0" w:type="dxa"/>
              <w:left w:w="0" w:type="dxa"/>
              <w:bottom w:w="0" w:type="dxa"/>
              <w:right w:w="0" w:type="dxa"/>
            </w:tcMar>
            <w:vAlign w:val="center"/>
          </w:tcPr>
          <w:p w14:paraId="054423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2" w:type="dxa"/>
            <w:shd w:val="clear" w:color="auto" w:fill="auto"/>
            <w:tcMar>
              <w:top w:w="0" w:type="dxa"/>
              <w:left w:w="0" w:type="dxa"/>
              <w:bottom w:w="0" w:type="dxa"/>
              <w:right w:w="0" w:type="dxa"/>
            </w:tcMar>
            <w:vAlign w:val="center"/>
          </w:tcPr>
          <w:p w14:paraId="04517B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485" w:type="dxa"/>
            <w:shd w:val="clear" w:color="auto" w:fill="auto"/>
            <w:tcMar>
              <w:top w:w="0" w:type="dxa"/>
              <w:left w:w="0" w:type="dxa"/>
              <w:bottom w:w="0" w:type="dxa"/>
              <w:right w:w="0" w:type="dxa"/>
            </w:tcMar>
            <w:vAlign w:val="center"/>
          </w:tcPr>
          <w:p w14:paraId="4CAB317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14:paraId="7B26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03" w:type="dxa"/>
            <w:shd w:val="clear" w:color="auto" w:fill="auto"/>
            <w:tcMar>
              <w:top w:w="0" w:type="dxa"/>
              <w:left w:w="0" w:type="dxa"/>
              <w:bottom w:w="0" w:type="dxa"/>
              <w:right w:w="0" w:type="dxa"/>
            </w:tcMar>
            <w:vAlign w:val="center"/>
          </w:tcPr>
          <w:p w14:paraId="7691DA3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71</w:t>
            </w:r>
          </w:p>
        </w:tc>
        <w:tc>
          <w:tcPr>
            <w:tcW w:w="405" w:type="dxa"/>
            <w:vMerge w:val="continue"/>
            <w:shd w:val="clear" w:color="auto" w:fill="auto"/>
            <w:tcMar>
              <w:top w:w="0" w:type="dxa"/>
              <w:left w:w="0" w:type="dxa"/>
              <w:bottom w:w="0" w:type="dxa"/>
              <w:right w:w="0" w:type="dxa"/>
            </w:tcMar>
            <w:vAlign w:val="center"/>
          </w:tcPr>
          <w:p w14:paraId="50E3AABE">
            <w:pPr>
              <w:jc w:val="center"/>
              <w:rPr>
                <w:rFonts w:hint="default" w:ascii="Times New Roman" w:hAnsi="Times New Roman" w:eastAsia="宋体" w:cs="Times New Roman"/>
                <w:color w:val="auto"/>
                <w:sz w:val="21"/>
                <w:szCs w:val="21"/>
                <w:highlight w:val="none"/>
              </w:rPr>
            </w:pPr>
          </w:p>
        </w:tc>
        <w:tc>
          <w:tcPr>
            <w:tcW w:w="1337" w:type="dxa"/>
            <w:shd w:val="clear" w:color="auto" w:fill="auto"/>
            <w:tcMar>
              <w:top w:w="0" w:type="dxa"/>
              <w:left w:w="0" w:type="dxa"/>
              <w:bottom w:w="0" w:type="dxa"/>
              <w:right w:w="0" w:type="dxa"/>
            </w:tcMar>
            <w:vAlign w:val="top"/>
          </w:tcPr>
          <w:p w14:paraId="20BFBDC2">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1"/>
                <w:szCs w:val="21"/>
                <w:highlight w:val="none"/>
                <w:lang w:eastAsia="zh-CN"/>
              </w:rPr>
              <w:t>风机</w:t>
            </w:r>
            <w:r>
              <w:rPr>
                <w:rFonts w:hint="eastAsia" w:ascii="Times New Roman" w:hAnsi="Times New Roman" w:eastAsia="宋体" w:cs="Times New Roman"/>
                <w:color w:val="auto"/>
                <w:sz w:val="21"/>
                <w:szCs w:val="21"/>
                <w:highlight w:val="none"/>
                <w:lang w:val="en-US" w:eastAsia="zh-CN"/>
              </w:rPr>
              <w:t>3</w:t>
            </w:r>
          </w:p>
        </w:tc>
        <w:tc>
          <w:tcPr>
            <w:tcW w:w="693" w:type="dxa"/>
            <w:shd w:val="clear" w:color="auto" w:fill="auto"/>
            <w:tcMar>
              <w:top w:w="0" w:type="dxa"/>
              <w:left w:w="0" w:type="dxa"/>
              <w:bottom w:w="0" w:type="dxa"/>
              <w:right w:w="0" w:type="dxa"/>
            </w:tcMar>
            <w:vAlign w:val="center"/>
          </w:tcPr>
          <w:p w14:paraId="3939A513">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16" w:type="dxa"/>
            <w:vMerge w:val="continue"/>
            <w:shd w:val="clear" w:color="auto" w:fill="auto"/>
            <w:tcMar>
              <w:top w:w="0" w:type="dxa"/>
              <w:left w:w="0" w:type="dxa"/>
              <w:bottom w:w="0" w:type="dxa"/>
              <w:right w:w="0" w:type="dxa"/>
            </w:tcMar>
            <w:vAlign w:val="center"/>
          </w:tcPr>
          <w:p w14:paraId="33AFF3EC">
            <w:pPr>
              <w:jc w:val="center"/>
              <w:rPr>
                <w:rFonts w:hint="default" w:ascii="Times New Roman" w:hAnsi="Times New Roman" w:eastAsia="宋体" w:cs="Times New Roman"/>
                <w:color w:val="auto"/>
                <w:sz w:val="21"/>
                <w:szCs w:val="21"/>
                <w:highlight w:val="none"/>
              </w:rPr>
            </w:pPr>
          </w:p>
        </w:tc>
        <w:tc>
          <w:tcPr>
            <w:tcW w:w="505" w:type="dxa"/>
            <w:shd w:val="clear" w:color="auto" w:fill="auto"/>
            <w:tcMar>
              <w:top w:w="0" w:type="dxa"/>
              <w:left w:w="0" w:type="dxa"/>
              <w:bottom w:w="0" w:type="dxa"/>
              <w:right w:w="0" w:type="dxa"/>
            </w:tcMar>
            <w:vAlign w:val="center"/>
          </w:tcPr>
          <w:p w14:paraId="07A58A5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-83.9</w:t>
            </w:r>
          </w:p>
        </w:tc>
        <w:tc>
          <w:tcPr>
            <w:tcW w:w="505" w:type="dxa"/>
            <w:shd w:val="clear" w:color="auto" w:fill="auto"/>
            <w:tcMar>
              <w:top w:w="0" w:type="dxa"/>
              <w:left w:w="0" w:type="dxa"/>
              <w:bottom w:w="0" w:type="dxa"/>
              <w:right w:w="0" w:type="dxa"/>
            </w:tcMar>
            <w:vAlign w:val="center"/>
          </w:tcPr>
          <w:p w14:paraId="5DA152B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14.4</w:t>
            </w:r>
          </w:p>
        </w:tc>
        <w:tc>
          <w:tcPr>
            <w:tcW w:w="505" w:type="dxa"/>
            <w:shd w:val="clear" w:color="auto" w:fill="auto"/>
            <w:tcMar>
              <w:top w:w="0" w:type="dxa"/>
              <w:left w:w="0" w:type="dxa"/>
              <w:bottom w:w="0" w:type="dxa"/>
              <w:right w:w="0" w:type="dxa"/>
            </w:tcMar>
            <w:vAlign w:val="center"/>
          </w:tcPr>
          <w:p w14:paraId="401C21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05" w:type="dxa"/>
            <w:shd w:val="clear" w:color="auto" w:fill="auto"/>
            <w:tcMar>
              <w:top w:w="0" w:type="dxa"/>
              <w:left w:w="0" w:type="dxa"/>
              <w:bottom w:w="0" w:type="dxa"/>
              <w:right w:w="0" w:type="dxa"/>
            </w:tcMar>
            <w:vAlign w:val="center"/>
          </w:tcPr>
          <w:p w14:paraId="477A4C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83.8</w:t>
            </w:r>
          </w:p>
        </w:tc>
        <w:tc>
          <w:tcPr>
            <w:tcW w:w="505" w:type="dxa"/>
            <w:shd w:val="clear" w:color="auto" w:fill="auto"/>
            <w:tcMar>
              <w:top w:w="0" w:type="dxa"/>
              <w:left w:w="0" w:type="dxa"/>
              <w:bottom w:w="0" w:type="dxa"/>
              <w:right w:w="0" w:type="dxa"/>
            </w:tcMar>
            <w:vAlign w:val="center"/>
          </w:tcPr>
          <w:p w14:paraId="0AB7653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35.3</w:t>
            </w:r>
          </w:p>
        </w:tc>
        <w:tc>
          <w:tcPr>
            <w:tcW w:w="505" w:type="dxa"/>
            <w:shd w:val="clear" w:color="auto" w:fill="auto"/>
            <w:tcMar>
              <w:top w:w="0" w:type="dxa"/>
              <w:left w:w="0" w:type="dxa"/>
              <w:bottom w:w="0" w:type="dxa"/>
              <w:right w:w="0" w:type="dxa"/>
            </w:tcMar>
            <w:vAlign w:val="center"/>
          </w:tcPr>
          <w:p w14:paraId="673A34A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c>
          <w:tcPr>
            <w:tcW w:w="505" w:type="dxa"/>
            <w:shd w:val="clear" w:color="auto" w:fill="auto"/>
            <w:tcMar>
              <w:top w:w="0" w:type="dxa"/>
              <w:left w:w="0" w:type="dxa"/>
              <w:bottom w:w="0" w:type="dxa"/>
              <w:right w:w="0" w:type="dxa"/>
            </w:tcMar>
            <w:vAlign w:val="center"/>
          </w:tcPr>
          <w:p w14:paraId="7F3481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37.1</w:t>
            </w:r>
          </w:p>
        </w:tc>
        <w:tc>
          <w:tcPr>
            <w:tcW w:w="505" w:type="dxa"/>
            <w:shd w:val="clear" w:color="auto" w:fill="auto"/>
            <w:tcMar>
              <w:top w:w="0" w:type="dxa"/>
              <w:left w:w="0" w:type="dxa"/>
              <w:bottom w:w="0" w:type="dxa"/>
              <w:right w:w="0" w:type="dxa"/>
            </w:tcMar>
            <w:vAlign w:val="center"/>
          </w:tcPr>
          <w:p w14:paraId="4280F3E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799F9E5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5" w:type="dxa"/>
            <w:shd w:val="clear" w:color="auto" w:fill="auto"/>
            <w:tcMar>
              <w:top w:w="0" w:type="dxa"/>
              <w:left w:w="0" w:type="dxa"/>
              <w:bottom w:w="0" w:type="dxa"/>
              <w:right w:w="0" w:type="dxa"/>
            </w:tcMar>
            <w:vAlign w:val="center"/>
          </w:tcPr>
          <w:p w14:paraId="5D1420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67.3</w:t>
            </w:r>
          </w:p>
        </w:tc>
        <w:tc>
          <w:tcPr>
            <w:tcW w:w="515" w:type="dxa"/>
            <w:shd w:val="clear" w:color="auto" w:fill="auto"/>
            <w:tcMar>
              <w:top w:w="0" w:type="dxa"/>
              <w:left w:w="0" w:type="dxa"/>
              <w:bottom w:w="0" w:type="dxa"/>
              <w:right w:w="0" w:type="dxa"/>
            </w:tcMar>
            <w:vAlign w:val="center"/>
          </w:tcPr>
          <w:p w14:paraId="485CFD1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67.0</w:t>
            </w:r>
          </w:p>
        </w:tc>
        <w:tc>
          <w:tcPr>
            <w:tcW w:w="500" w:type="dxa"/>
            <w:shd w:val="clear" w:color="auto" w:fill="auto"/>
            <w:tcMar>
              <w:top w:w="0" w:type="dxa"/>
              <w:left w:w="0" w:type="dxa"/>
              <w:bottom w:w="0" w:type="dxa"/>
              <w:right w:w="0" w:type="dxa"/>
            </w:tcMar>
            <w:vAlign w:val="center"/>
          </w:tcPr>
          <w:p w14:paraId="43E60FC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77" w:type="dxa"/>
            <w:shd w:val="clear" w:color="auto" w:fill="auto"/>
            <w:tcMar>
              <w:top w:w="0" w:type="dxa"/>
              <w:left w:w="0" w:type="dxa"/>
              <w:bottom w:w="0" w:type="dxa"/>
              <w:right w:w="0" w:type="dxa"/>
            </w:tcMar>
            <w:vAlign w:val="center"/>
          </w:tcPr>
          <w:p w14:paraId="49E0BBF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6F97A88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5D881B1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3CB11B0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7" w:type="dxa"/>
            <w:shd w:val="clear" w:color="auto" w:fill="auto"/>
            <w:tcMar>
              <w:top w:w="0" w:type="dxa"/>
              <w:left w:w="0" w:type="dxa"/>
              <w:bottom w:w="0" w:type="dxa"/>
              <w:right w:w="0" w:type="dxa"/>
            </w:tcMar>
            <w:vAlign w:val="center"/>
          </w:tcPr>
          <w:p w14:paraId="247518B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200D3BC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77" w:type="dxa"/>
            <w:shd w:val="clear" w:color="auto" w:fill="auto"/>
            <w:tcMar>
              <w:top w:w="0" w:type="dxa"/>
              <w:left w:w="0" w:type="dxa"/>
              <w:bottom w:w="0" w:type="dxa"/>
              <w:right w:w="0" w:type="dxa"/>
            </w:tcMar>
            <w:vAlign w:val="center"/>
          </w:tcPr>
          <w:p w14:paraId="64BEE06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40.8</w:t>
            </w:r>
          </w:p>
        </w:tc>
        <w:tc>
          <w:tcPr>
            <w:tcW w:w="482" w:type="dxa"/>
            <w:shd w:val="clear" w:color="auto" w:fill="auto"/>
            <w:tcMar>
              <w:top w:w="0" w:type="dxa"/>
              <w:left w:w="0" w:type="dxa"/>
              <w:bottom w:w="0" w:type="dxa"/>
              <w:right w:w="0" w:type="dxa"/>
            </w:tcMar>
            <w:vAlign w:val="center"/>
          </w:tcPr>
          <w:p w14:paraId="40B9AAB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w:t>
            </w:r>
          </w:p>
        </w:tc>
        <w:tc>
          <w:tcPr>
            <w:tcW w:w="485" w:type="dxa"/>
            <w:shd w:val="clear" w:color="auto" w:fill="auto"/>
            <w:tcMar>
              <w:top w:w="0" w:type="dxa"/>
              <w:left w:w="0" w:type="dxa"/>
              <w:bottom w:w="0" w:type="dxa"/>
              <w:right w:w="0" w:type="dxa"/>
            </w:tcMar>
            <w:vAlign w:val="center"/>
          </w:tcPr>
          <w:p w14:paraId="1F98227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24"/>
    </w:tbl>
    <w:p w14:paraId="0960D1EE">
      <w:pPr>
        <w:pStyle w:val="39"/>
        <w:rPr>
          <w:rFonts w:hint="default" w:ascii="Times New Roman" w:hAnsi="Times New Roman" w:eastAsia="宋体" w:cs="Times New Roman"/>
          <w:color w:val="auto"/>
          <w:highlight w:val="none"/>
        </w:rPr>
      </w:pPr>
    </w:p>
    <w:p w14:paraId="73CAC907">
      <w:pPr>
        <w:pStyle w:val="39"/>
        <w:rPr>
          <w:rFonts w:hint="default" w:ascii="Times New Roman" w:hAnsi="Times New Roman" w:eastAsia="宋体" w:cs="Times New Roman"/>
          <w:color w:val="auto"/>
          <w:highlight w:val="none"/>
        </w:rPr>
      </w:pPr>
    </w:p>
    <w:p w14:paraId="0E0DE264">
      <w:pPr>
        <w:pStyle w:val="39"/>
        <w:rPr>
          <w:rFonts w:hint="default" w:ascii="Times New Roman" w:hAnsi="Times New Roman" w:eastAsia="宋体"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14:paraId="793B7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14:paraId="619B6220">
            <w:pPr>
              <w:adjustRightInd w:val="0"/>
              <w:snapToGrid w:val="0"/>
              <w:jc w:val="center"/>
              <w:rPr>
                <w:rFonts w:hint="default" w:ascii="Times New Roman" w:hAnsi="Times New Roman" w:eastAsia="宋体" w:cs="Times New Roman"/>
                <w:bCs/>
                <w:color w:val="auto"/>
                <w:sz w:val="24"/>
                <w:szCs w:val="24"/>
                <w:highlight w:val="none"/>
              </w:rPr>
            </w:pPr>
            <w:bookmarkStart w:id="26" w:name="_Toc4859"/>
            <w:r>
              <w:rPr>
                <w:rFonts w:hint="default" w:ascii="Times New Roman" w:hAnsi="Times New Roman" w:eastAsia="宋体" w:cs="Times New Roman"/>
                <w:bCs/>
                <w:color w:val="auto"/>
                <w:sz w:val="24"/>
                <w:szCs w:val="24"/>
                <w:highlight w:val="none"/>
              </w:rPr>
              <w:t>运营</w:t>
            </w:r>
          </w:p>
          <w:p w14:paraId="73DEA04C">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16161BF1">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7953D8A8">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0F25B803">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1DB587B6">
            <w:pP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14:paraId="1CB2D69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bookmarkStart w:id="27" w:name="PO_7"/>
            <w:r>
              <w:rPr>
                <w:rFonts w:hint="default" w:ascii="Times New Roman" w:hAnsi="Times New Roman" w:eastAsia="宋体" w:cs="Times New Roman"/>
                <w:color w:val="auto"/>
                <w:sz w:val="24"/>
                <w:highlight w:val="none"/>
                <w:lang w:val="en-US" w:eastAsia="zh-CN"/>
              </w:rPr>
              <w:t>103.130882</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25.435041</w:t>
            </w:r>
            <w:bookmarkEnd w:id="27"/>
            <w:r>
              <w:rPr>
                <w:rFonts w:hint="default" w:ascii="Times New Roman" w:hAnsi="Times New Roman" w:eastAsia="宋体" w:cs="Times New Roman"/>
                <w:color w:val="auto"/>
                <w:sz w:val="24"/>
                <w:highlight w:val="none"/>
                <w:lang w:val="en-US" w:eastAsia="zh-CN"/>
              </w:rPr>
              <w:t>）为坐标原点，正东向为X轴正方向，正北向为Y轴正方向。</w:t>
            </w:r>
          </w:p>
          <w:p w14:paraId="59C3778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14:paraId="0A5C59E7">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14:paraId="636F914C">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14:paraId="101248B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14:paraId="07BFA16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14:paraId="77C3EE9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eastAsia" w:cs="Times New Roman"/>
                <w:color w:val="auto"/>
                <w:sz w:val="24"/>
                <w:highlight w:val="none"/>
                <w:lang w:val="en-US" w:eastAsia="zh-CN"/>
              </w:rPr>
              <w:t>22</w:t>
            </w:r>
            <w:r>
              <w:rPr>
                <w:rFonts w:hint="default" w:ascii="Times New Roman" w:hAnsi="Times New Roman" w:eastAsia="宋体" w:cs="Times New Roman"/>
                <w:color w:val="auto"/>
                <w:sz w:val="24"/>
                <w:highlight w:val="none"/>
              </w:rPr>
              <w:t>。</w:t>
            </w:r>
          </w:p>
          <w:p w14:paraId="563D79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22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6"/>
              <w:tblW w:w="84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2"/>
              <w:gridCol w:w="2754"/>
              <w:gridCol w:w="2102"/>
              <w:gridCol w:w="2102"/>
            </w:tblGrid>
            <w:tr w14:paraId="09EC90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14:paraId="77FE9EEE">
                  <w:pPr>
                    <w:jc w:val="center"/>
                    <w:rPr>
                      <w:rFonts w:hint="default" w:ascii="Times New Roman" w:hAnsi="Times New Roman" w:eastAsia="宋体" w:cs="Times New Roman"/>
                      <w:b/>
                      <w:bCs w:val="0"/>
                      <w:color w:val="auto"/>
                      <w:szCs w:val="21"/>
                      <w:highlight w:val="none"/>
                    </w:rPr>
                  </w:pPr>
                  <w:bookmarkStart w:id="28" w:name="PT_4"/>
                  <w:r>
                    <w:rPr>
                      <w:rFonts w:hint="default" w:ascii="Times New Roman" w:hAnsi="Times New Roman" w:eastAsia="宋体" w:cs="Times New Roman"/>
                      <w:b/>
                      <w:bCs w:val="0"/>
                      <w:color w:val="auto"/>
                      <w:szCs w:val="21"/>
                      <w:highlight w:val="none"/>
                    </w:rPr>
                    <w:t>序号</w:t>
                  </w:r>
                </w:p>
              </w:tc>
              <w:tc>
                <w:tcPr>
                  <w:tcW w:w="2754" w:type="dxa"/>
                  <w:noWrap w:val="0"/>
                  <w:vAlign w:val="center"/>
                </w:tcPr>
                <w:p w14:paraId="5FDD7C44">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2102" w:type="dxa"/>
                  <w:noWrap w:val="0"/>
                  <w:vAlign w:val="center"/>
                </w:tcPr>
                <w:p w14:paraId="32DEA589">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2102" w:type="dxa"/>
                  <w:noWrap w:val="0"/>
                  <w:vAlign w:val="center"/>
                </w:tcPr>
                <w:p w14:paraId="419A6CE4">
                  <w:pP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8"/>
              </w:tc>
            </w:tr>
            <w:tr w14:paraId="6A334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14:paraId="7C032FBA">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754" w:type="dxa"/>
                  <w:noWrap w:val="0"/>
                  <w:vAlign w:val="center"/>
                </w:tcPr>
                <w:p w14:paraId="2CE635A3">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2102" w:type="dxa"/>
                  <w:noWrap w:val="0"/>
                  <w:vAlign w:val="center"/>
                </w:tcPr>
                <w:p w14:paraId="3701E9B3">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2102" w:type="dxa"/>
                  <w:noWrap w:val="0"/>
                  <w:vAlign w:val="center"/>
                </w:tcPr>
                <w:p w14:paraId="5987185A">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14:paraId="6D3B55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14:paraId="678D4DF8">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754" w:type="dxa"/>
                  <w:noWrap w:val="0"/>
                  <w:vAlign w:val="center"/>
                </w:tcPr>
                <w:p w14:paraId="7D7F6AA3">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2102" w:type="dxa"/>
                  <w:noWrap w:val="0"/>
                  <w:vAlign w:val="center"/>
                </w:tcPr>
                <w:p w14:paraId="2731E5B3">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14:paraId="628C288E">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14:paraId="782BBA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14:paraId="1A570EF4">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2754" w:type="dxa"/>
                  <w:noWrap w:val="0"/>
                  <w:vAlign w:val="center"/>
                </w:tcPr>
                <w:p w14:paraId="4C78BE0B">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2102" w:type="dxa"/>
                  <w:noWrap w:val="0"/>
                  <w:vAlign w:val="center"/>
                </w:tcPr>
                <w:p w14:paraId="4AAEFF3F">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14:paraId="78B5AD72">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14:paraId="3E12EC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14:paraId="7857018F">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2754" w:type="dxa"/>
                  <w:noWrap w:val="0"/>
                  <w:vAlign w:val="center"/>
                </w:tcPr>
                <w:p w14:paraId="27F8DB69">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2102" w:type="dxa"/>
                  <w:noWrap w:val="0"/>
                  <w:vAlign w:val="center"/>
                </w:tcPr>
                <w:p w14:paraId="588C40B4">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14:paraId="108F7DF1">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14:paraId="7E57D7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2" w:type="dxa"/>
                  <w:noWrap w:val="0"/>
                  <w:vAlign w:val="center"/>
                </w:tcPr>
                <w:p w14:paraId="3FE644E9">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2754" w:type="dxa"/>
                  <w:noWrap w:val="0"/>
                  <w:vAlign w:val="center"/>
                </w:tcPr>
                <w:p w14:paraId="4FCFABD0">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2102" w:type="dxa"/>
                  <w:noWrap w:val="0"/>
                  <w:vAlign w:val="center"/>
                </w:tcPr>
                <w:p w14:paraId="4DB07021">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2102" w:type="dxa"/>
                  <w:noWrap w:val="0"/>
                  <w:vAlign w:val="center"/>
                </w:tcPr>
                <w:p w14:paraId="2A976D8B">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14:paraId="180349B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w:t>
            </w:r>
            <w:r>
              <w:rPr>
                <w:rFonts w:hint="eastAsia" w:cs="Times New Roman"/>
                <w:color w:val="auto"/>
                <w:sz w:val="24"/>
                <w:highlight w:val="none"/>
                <w:lang w:eastAsia="zh-CN"/>
              </w:rPr>
              <w:t>总平面图</w:t>
            </w:r>
            <w:r>
              <w:rPr>
                <w:rFonts w:hint="default" w:ascii="Times New Roman" w:hAnsi="Times New Roman" w:eastAsia="宋体" w:cs="Times New Roman"/>
                <w:color w:val="auto"/>
                <w:sz w:val="24"/>
                <w:highlight w:val="none"/>
              </w:rPr>
              <w:t>等，并结合卫星图片地理信息数据确定，数据精度为10m。</w:t>
            </w:r>
          </w:p>
          <w:p w14:paraId="51E4A12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14:paraId="0672EB1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14:paraId="20747FB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14:paraId="15483325">
            <w:pP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14:paraId="18EEDAB5">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14:paraId="6D73368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本项目生产厂房为单层铁皮活动板房，因此本项目建筑物隔音量选取20.5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14:paraId="0C13D0D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14:paraId="4355237B">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14:paraId="23686B7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14:paraId="1A4AC25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14:paraId="1DB7353E">
            <w:pPr>
              <w:widowControl/>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14:paraId="79B5B185">
            <w:pPr>
              <w:pStyle w:val="52"/>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14:paraId="29D72B12">
            <w:pPr>
              <w:pStyle w:val="52"/>
              <w:keepNext w:val="0"/>
              <w:keepLines w:val="0"/>
              <w:pageBreakBefore w:val="0"/>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14:paraId="185FB2D3">
            <w:pPr>
              <w:pStyle w:val="14"/>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14:paraId="20155FD4">
            <w:pPr>
              <w:pStyle w:val="14"/>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14:paraId="6D608E7D">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14:paraId="52028457">
            <w:pPr>
              <w:pStyle w:val="52"/>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14:paraId="4711A827">
            <w:pPr>
              <w:pStyle w:val="14"/>
              <w:keepNext w:val="0"/>
              <w:keepLines w:val="0"/>
              <w:pageBreakBefore w:val="0"/>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14:paraId="2F05A776">
            <w:pPr>
              <w:pStyle w:val="14"/>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14:paraId="78ED14DA">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14:paraId="301CCFFA">
            <w:pPr>
              <w:pStyle w:val="14"/>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14:paraId="4BCE1B53">
            <w:pPr>
              <w:pStyle w:val="52"/>
              <w:keepNext w:val="0"/>
              <w:keepLines w:val="0"/>
              <w:pageBreakBefore w:val="0"/>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14:paraId="1F47E585">
            <w:pPr>
              <w:pStyle w:val="14"/>
              <w:keepNext w:val="0"/>
              <w:keepLines w:val="0"/>
              <w:pageBreakBefore w:val="0"/>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7" o:spt="75" type="#_x0000_t75" style="height:40pt;width:203pt;" o:ole="t" filled="f" o:preferrelative="t" stroked="f" coordsize="21600,21600">
                  <v:path/>
                  <v:fill on="f" focussize="0,0"/>
                  <v:stroke on="f"/>
                  <v:imagedata r:id="rId38" o:title=""/>
                  <o:lock v:ext="edit" aspectratio="t"/>
                  <w10:wrap type="none"/>
                  <w10:anchorlock/>
                </v:shape>
                <o:OLEObject Type="Embed" ProgID="Equation.KSEE3" ShapeID="_x0000_i1037" DrawAspect="Content" ObjectID="_1468075738" r:id="rId37">
                  <o:LockedField>false</o:LockedField>
                </o:OLEObject>
              </w:object>
            </w:r>
          </w:p>
          <w:p w14:paraId="2CE1C0A6">
            <w:pPr>
              <w:pStyle w:val="14"/>
              <w:keepNext w:val="0"/>
              <w:keepLines w:val="0"/>
              <w:pageBreakBefore w:val="0"/>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14:paraId="193A9E4B">
            <w:pPr>
              <w:pStyle w:val="14"/>
              <w:keepNext w:val="0"/>
              <w:keepLines w:val="0"/>
              <w:pageBreakBefore w:val="0"/>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14:paraId="7B7AFD4C">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14:paraId="200CE518">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14:paraId="639BC34C">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14:paraId="5011AE7E">
            <w:pPr>
              <w:pStyle w:val="52"/>
              <w:keepNext w:val="0"/>
              <w:keepLines w:val="0"/>
              <w:pageBreakBefore w:val="0"/>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14:paraId="09E0B45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14:paraId="1752A541">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eastAsia" w:cs="Times New Roman"/>
                <w:color w:val="auto"/>
                <w:kern w:val="0"/>
                <w:sz w:val="24"/>
                <w:highlight w:val="none"/>
                <w:lang w:val="en-US" w:eastAsia="zh-CN" w:bidi="ar"/>
              </w:rPr>
              <w:t>23</w:t>
            </w:r>
            <w:r>
              <w:rPr>
                <w:rFonts w:hint="default" w:ascii="Times New Roman" w:hAnsi="Times New Roman" w:eastAsia="宋体" w:cs="Times New Roman"/>
                <w:color w:val="auto"/>
                <w:kern w:val="0"/>
                <w:sz w:val="24"/>
                <w:highlight w:val="none"/>
                <w:lang w:bidi="ar"/>
              </w:rPr>
              <w:t>。</w:t>
            </w:r>
          </w:p>
          <w:p w14:paraId="299CDC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23</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厂界噪声预测结果与达标分析表</w:t>
            </w:r>
            <w:bookmarkStart w:id="29" w:name="PT_7"/>
          </w:p>
          <w:tbl>
            <w:tblPr>
              <w:tblStyle w:val="2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14:paraId="7C29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14:paraId="450DCD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14:paraId="4438936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14:paraId="4BDD1A7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14:paraId="7AFF618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14:paraId="3BC80B3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14:paraId="795046E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14:paraId="0DCC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14:paraId="72DA3FAE">
                  <w:pP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14:paraId="41CE5D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14:paraId="42ACDE3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14:paraId="66662E3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14:paraId="281AC623">
                  <w:pP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14:paraId="0C033FBE">
                  <w:pP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14:paraId="2EAE5D28">
                  <w:pP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14:paraId="631BE751">
                  <w:pPr>
                    <w:jc w:val="center"/>
                    <w:rPr>
                      <w:rFonts w:hint="default" w:ascii="Times New Roman" w:hAnsi="Times New Roman" w:eastAsia="宋体" w:cs="Times New Roman"/>
                      <w:color w:val="auto"/>
                      <w:sz w:val="21"/>
                      <w:szCs w:val="21"/>
                      <w:highlight w:val="none"/>
                    </w:rPr>
                  </w:pPr>
                </w:p>
              </w:tc>
            </w:tr>
            <w:tr w14:paraId="78E1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14:paraId="7382522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14:paraId="776034C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69.8</w:t>
                  </w:r>
                </w:p>
              </w:tc>
              <w:tc>
                <w:tcPr>
                  <w:tcW w:w="803" w:type="dxa"/>
                  <w:shd w:val="clear" w:color="auto" w:fill="auto"/>
                  <w:vAlign w:val="center"/>
                </w:tcPr>
                <w:p w14:paraId="5003602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66.4</w:t>
                  </w:r>
                </w:p>
              </w:tc>
              <w:tc>
                <w:tcPr>
                  <w:tcW w:w="1011" w:type="dxa"/>
                  <w:shd w:val="clear" w:color="auto" w:fill="auto"/>
                  <w:vAlign w:val="center"/>
                </w:tcPr>
                <w:p w14:paraId="253DEEE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14:paraId="01234D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14:paraId="36BD7FF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45.7</w:t>
                  </w:r>
                </w:p>
              </w:tc>
              <w:tc>
                <w:tcPr>
                  <w:tcW w:w="1418" w:type="dxa"/>
                  <w:shd w:val="clear" w:color="auto" w:fill="auto"/>
                  <w:vAlign w:val="center"/>
                </w:tcPr>
                <w:p w14:paraId="52B90D3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14:paraId="2B20AB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14:paraId="15FB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14:paraId="41FBE9A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14:paraId="2CE26BA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-66.8</w:t>
                  </w:r>
                </w:p>
              </w:tc>
              <w:tc>
                <w:tcPr>
                  <w:tcW w:w="803" w:type="dxa"/>
                  <w:shd w:val="clear" w:color="auto" w:fill="auto"/>
                  <w:vAlign w:val="center"/>
                </w:tcPr>
                <w:p w14:paraId="0BE8844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-67.5</w:t>
                  </w:r>
                </w:p>
              </w:tc>
              <w:tc>
                <w:tcPr>
                  <w:tcW w:w="1011" w:type="dxa"/>
                  <w:shd w:val="clear" w:color="auto" w:fill="auto"/>
                  <w:vAlign w:val="center"/>
                </w:tcPr>
                <w:p w14:paraId="24BFB5E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14:paraId="4F9D64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14:paraId="3409D2F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50.4</w:t>
                  </w:r>
                </w:p>
              </w:tc>
              <w:tc>
                <w:tcPr>
                  <w:tcW w:w="1418" w:type="dxa"/>
                  <w:shd w:val="clear" w:color="auto" w:fill="auto"/>
                  <w:vAlign w:val="center"/>
                </w:tcPr>
                <w:p w14:paraId="0BBC553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14:paraId="1B1585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14:paraId="3422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14:paraId="3C2D9A5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14:paraId="3C65189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-96.4</w:t>
                  </w:r>
                </w:p>
              </w:tc>
              <w:tc>
                <w:tcPr>
                  <w:tcW w:w="803" w:type="dxa"/>
                  <w:shd w:val="clear" w:color="auto" w:fill="auto"/>
                  <w:vAlign w:val="center"/>
                </w:tcPr>
                <w:p w14:paraId="39BC4D0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14.1</w:t>
                  </w:r>
                </w:p>
              </w:tc>
              <w:tc>
                <w:tcPr>
                  <w:tcW w:w="1011" w:type="dxa"/>
                  <w:shd w:val="clear" w:color="auto" w:fill="auto"/>
                  <w:vAlign w:val="center"/>
                </w:tcPr>
                <w:p w14:paraId="14ABC2E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14:paraId="7A4000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14:paraId="6AEAF6E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55.5</w:t>
                  </w:r>
                </w:p>
              </w:tc>
              <w:tc>
                <w:tcPr>
                  <w:tcW w:w="1418" w:type="dxa"/>
                  <w:shd w:val="clear" w:color="auto" w:fill="auto"/>
                  <w:vAlign w:val="center"/>
                </w:tcPr>
                <w:p w14:paraId="1E123FD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14:paraId="6F9127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14:paraId="0C92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1" w:type="dxa"/>
                  <w:shd w:val="clear" w:color="auto" w:fill="auto"/>
                  <w:vAlign w:val="center"/>
                </w:tcPr>
                <w:p w14:paraId="7EDFB98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14:paraId="11E0DFF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33.2</w:t>
                  </w:r>
                </w:p>
              </w:tc>
              <w:tc>
                <w:tcPr>
                  <w:tcW w:w="803" w:type="dxa"/>
                  <w:shd w:val="clear" w:color="auto" w:fill="auto"/>
                  <w:vAlign w:val="center"/>
                </w:tcPr>
                <w:p w14:paraId="0CF43E4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87.1</w:t>
                  </w:r>
                </w:p>
              </w:tc>
              <w:tc>
                <w:tcPr>
                  <w:tcW w:w="1011" w:type="dxa"/>
                  <w:shd w:val="clear" w:color="auto" w:fill="auto"/>
                  <w:vAlign w:val="center"/>
                </w:tcPr>
                <w:p w14:paraId="2D5062D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w:t>
                  </w:r>
                </w:p>
              </w:tc>
              <w:tc>
                <w:tcPr>
                  <w:tcW w:w="785" w:type="dxa"/>
                  <w:shd w:val="clear" w:color="auto" w:fill="auto"/>
                  <w:vAlign w:val="center"/>
                </w:tcPr>
                <w:p w14:paraId="3B5745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417" w:type="dxa"/>
                  <w:shd w:val="clear" w:color="auto" w:fill="auto"/>
                  <w:vAlign w:val="center"/>
                </w:tcPr>
                <w:p w14:paraId="0F0D58B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52.8</w:t>
                  </w:r>
                </w:p>
              </w:tc>
              <w:tc>
                <w:tcPr>
                  <w:tcW w:w="1418" w:type="dxa"/>
                  <w:shd w:val="clear" w:color="auto" w:fill="auto"/>
                  <w:vAlign w:val="center"/>
                </w:tcPr>
                <w:p w14:paraId="47DEF4A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p>
              </w:tc>
              <w:tc>
                <w:tcPr>
                  <w:tcW w:w="1188" w:type="dxa"/>
                  <w:shd w:val="clear" w:color="auto" w:fill="auto"/>
                  <w:vAlign w:val="center"/>
                </w:tcPr>
                <w:p w14:paraId="609DADE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达标</w:t>
                  </w:r>
                </w:p>
              </w:tc>
            </w:tr>
            <w:tr w14:paraId="4DE4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14:paraId="4B8D945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注：表中坐标以</w:t>
                  </w:r>
                  <w:r>
                    <w:rPr>
                      <w:rFonts w:hint="default" w:ascii="Times New Roman" w:hAnsi="Times New Roman" w:eastAsia="宋体" w:cs="Times New Roman"/>
                      <w:bCs/>
                      <w:color w:val="auto"/>
                      <w:sz w:val="21"/>
                      <w:szCs w:val="21"/>
                      <w:highlight w:val="none"/>
                      <w:lang w:val="en-US" w:eastAsia="zh-CN"/>
                    </w:rPr>
                    <w:t>厂界中心（103.130882</w:t>
                  </w:r>
                  <w:r>
                    <w:rPr>
                      <w:rFonts w:hint="eastAsia"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25.435041）为坐标原点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9"/>
          </w:tbl>
          <w:p w14:paraId="1E8814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eastAsia="zh-CN"/>
              </w:rPr>
              <w:t>保护目标</w:t>
            </w:r>
            <w:r>
              <w:rPr>
                <w:rFonts w:hint="default" w:ascii="Times New Roman" w:hAnsi="Times New Roman" w:eastAsia="宋体" w:cs="Times New Roman"/>
                <w:b/>
                <w:bCs/>
                <w:color w:val="auto"/>
                <w:sz w:val="21"/>
                <w:szCs w:val="21"/>
                <w:highlight w:val="none"/>
              </w:rPr>
              <w:t>噪声预测结果与达标分析表</w:t>
            </w:r>
          </w:p>
          <w:tbl>
            <w:tblPr>
              <w:tblStyle w:val="2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4"/>
              <w:gridCol w:w="584"/>
              <w:gridCol w:w="584"/>
              <w:gridCol w:w="584"/>
              <w:gridCol w:w="584"/>
              <w:gridCol w:w="486"/>
              <w:gridCol w:w="486"/>
              <w:gridCol w:w="584"/>
              <w:gridCol w:w="584"/>
              <w:gridCol w:w="584"/>
              <w:gridCol w:w="584"/>
              <w:gridCol w:w="499"/>
              <w:gridCol w:w="10"/>
              <w:gridCol w:w="584"/>
              <w:gridCol w:w="487"/>
              <w:gridCol w:w="488"/>
            </w:tblGrid>
            <w:tr w14:paraId="6546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jc w:val="center"/>
              </w:trPr>
              <w:tc>
                <w:tcPr>
                  <w:tcW w:w="814" w:type="dxa"/>
                  <w:vMerge w:val="restart"/>
                  <w:shd w:val="clear" w:color="auto" w:fill="auto"/>
                  <w:vAlign w:val="center"/>
                </w:tcPr>
                <w:p w14:paraId="6095DC6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1168" w:type="dxa"/>
                  <w:gridSpan w:val="2"/>
                  <w:shd w:val="clear" w:color="auto" w:fill="auto"/>
                  <w:vAlign w:val="center"/>
                </w:tcPr>
                <w:p w14:paraId="33C7F585">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color w:val="auto"/>
                      <w:sz w:val="21"/>
                      <w:szCs w:val="21"/>
                    </w:rPr>
                    <w:t>噪声背景值/dB(A)</w:t>
                  </w:r>
                </w:p>
              </w:tc>
              <w:tc>
                <w:tcPr>
                  <w:tcW w:w="1168" w:type="dxa"/>
                  <w:gridSpan w:val="2"/>
                  <w:shd w:val="clear" w:color="auto" w:fill="auto"/>
                  <w:vAlign w:val="center"/>
                </w:tcPr>
                <w:p w14:paraId="33F9165E">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color w:val="auto"/>
                      <w:sz w:val="21"/>
                      <w:szCs w:val="21"/>
                    </w:rPr>
                    <w:t>噪声现状值/dB(A)</w:t>
                  </w:r>
                </w:p>
              </w:tc>
              <w:tc>
                <w:tcPr>
                  <w:tcW w:w="972" w:type="dxa"/>
                  <w:gridSpan w:val="2"/>
                  <w:shd w:val="clear" w:color="auto" w:fill="auto"/>
                  <w:vAlign w:val="center"/>
                </w:tcPr>
                <w:p w14:paraId="4769D1DE">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color w:val="auto"/>
                      <w:sz w:val="21"/>
                      <w:szCs w:val="21"/>
                    </w:rPr>
                    <w:t>噪声标准/dB(A)</w:t>
                  </w:r>
                </w:p>
              </w:tc>
              <w:tc>
                <w:tcPr>
                  <w:tcW w:w="1168" w:type="dxa"/>
                  <w:gridSpan w:val="2"/>
                  <w:shd w:val="clear" w:color="auto" w:fill="auto"/>
                  <w:vAlign w:val="center"/>
                </w:tcPr>
                <w:p w14:paraId="06897EF8">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color w:val="auto"/>
                      <w:sz w:val="21"/>
                      <w:szCs w:val="21"/>
                    </w:rPr>
                    <w:t>噪声贡献值/dB(A)</w:t>
                  </w:r>
                </w:p>
              </w:tc>
              <w:tc>
                <w:tcPr>
                  <w:tcW w:w="1168" w:type="dxa"/>
                  <w:gridSpan w:val="2"/>
                  <w:shd w:val="clear" w:color="auto" w:fill="auto"/>
                  <w:vAlign w:val="center"/>
                </w:tcPr>
                <w:p w14:paraId="5C9CA62E">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color w:val="auto"/>
                      <w:sz w:val="21"/>
                      <w:szCs w:val="21"/>
                    </w:rPr>
                    <w:t>噪声预测值/dB(A)</w:t>
                  </w:r>
                </w:p>
              </w:tc>
              <w:tc>
                <w:tcPr>
                  <w:tcW w:w="1093" w:type="dxa"/>
                  <w:gridSpan w:val="3"/>
                  <w:shd w:val="clear" w:color="auto" w:fill="auto"/>
                  <w:vAlign w:val="center"/>
                </w:tcPr>
                <w:p w14:paraId="4D4CF0E6">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color w:val="auto"/>
                      <w:sz w:val="21"/>
                      <w:szCs w:val="21"/>
                    </w:rPr>
                    <w:t>较现状增量/dB(A)</w:t>
                  </w:r>
                </w:p>
              </w:tc>
              <w:tc>
                <w:tcPr>
                  <w:tcW w:w="975" w:type="dxa"/>
                  <w:gridSpan w:val="2"/>
                  <w:shd w:val="clear" w:color="auto" w:fill="auto"/>
                  <w:vAlign w:val="center"/>
                </w:tcPr>
                <w:p w14:paraId="18E83482">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b/>
                      <w:color w:val="auto"/>
                      <w:sz w:val="21"/>
                      <w:szCs w:val="21"/>
                    </w:rPr>
                    <w:t>超标和达标情况</w:t>
                  </w:r>
                </w:p>
              </w:tc>
            </w:tr>
            <w:tr w14:paraId="6587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 w:hRule="atLeast"/>
                <w:jc w:val="center"/>
              </w:trPr>
              <w:tc>
                <w:tcPr>
                  <w:tcW w:w="814" w:type="dxa"/>
                  <w:vMerge w:val="continue"/>
                  <w:shd w:val="clear" w:color="auto" w:fill="auto"/>
                  <w:vAlign w:val="center"/>
                </w:tcPr>
                <w:p w14:paraId="0BB1415C">
                  <w:pPr>
                    <w:jc w:val="center"/>
                    <w:rPr>
                      <w:color w:val="auto"/>
                    </w:rPr>
                  </w:pPr>
                </w:p>
              </w:tc>
              <w:tc>
                <w:tcPr>
                  <w:tcW w:w="584" w:type="dxa"/>
                  <w:shd w:val="clear" w:color="auto" w:fill="auto"/>
                  <w:vAlign w:val="center"/>
                </w:tcPr>
                <w:p w14:paraId="3C2A6EC3">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昼间</w:t>
                  </w:r>
                </w:p>
              </w:tc>
              <w:tc>
                <w:tcPr>
                  <w:tcW w:w="584" w:type="dxa"/>
                  <w:shd w:val="clear" w:color="auto" w:fill="auto"/>
                  <w:vAlign w:val="center"/>
                </w:tcPr>
                <w:p w14:paraId="661C9DEE">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夜间</w:t>
                  </w:r>
                </w:p>
              </w:tc>
              <w:tc>
                <w:tcPr>
                  <w:tcW w:w="584" w:type="dxa"/>
                  <w:shd w:val="clear" w:color="auto" w:fill="auto"/>
                  <w:vAlign w:val="center"/>
                </w:tcPr>
                <w:p w14:paraId="100FBB49">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昼间</w:t>
                  </w:r>
                </w:p>
              </w:tc>
              <w:tc>
                <w:tcPr>
                  <w:tcW w:w="584" w:type="dxa"/>
                  <w:shd w:val="clear" w:color="auto" w:fill="auto"/>
                  <w:vAlign w:val="center"/>
                </w:tcPr>
                <w:p w14:paraId="03220306">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夜间</w:t>
                  </w:r>
                </w:p>
              </w:tc>
              <w:tc>
                <w:tcPr>
                  <w:tcW w:w="486" w:type="dxa"/>
                  <w:shd w:val="clear" w:color="auto" w:fill="auto"/>
                  <w:vAlign w:val="center"/>
                </w:tcPr>
                <w:p w14:paraId="23267700">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昼间</w:t>
                  </w:r>
                </w:p>
              </w:tc>
              <w:tc>
                <w:tcPr>
                  <w:tcW w:w="486" w:type="dxa"/>
                  <w:shd w:val="clear" w:color="auto" w:fill="auto"/>
                  <w:vAlign w:val="center"/>
                </w:tcPr>
                <w:p w14:paraId="6F2D3F29">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夜间</w:t>
                  </w:r>
                </w:p>
              </w:tc>
              <w:tc>
                <w:tcPr>
                  <w:tcW w:w="584" w:type="dxa"/>
                  <w:shd w:val="clear" w:color="auto" w:fill="auto"/>
                  <w:vAlign w:val="center"/>
                </w:tcPr>
                <w:p w14:paraId="5F1F6AFE">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昼间</w:t>
                  </w:r>
                </w:p>
              </w:tc>
              <w:tc>
                <w:tcPr>
                  <w:tcW w:w="584" w:type="dxa"/>
                  <w:shd w:val="clear" w:color="auto" w:fill="auto"/>
                  <w:vAlign w:val="center"/>
                </w:tcPr>
                <w:p w14:paraId="06E06D71">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夜间</w:t>
                  </w:r>
                </w:p>
              </w:tc>
              <w:tc>
                <w:tcPr>
                  <w:tcW w:w="584" w:type="dxa"/>
                  <w:shd w:val="clear" w:color="auto" w:fill="auto"/>
                  <w:vAlign w:val="center"/>
                </w:tcPr>
                <w:p w14:paraId="33CBB627">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昼间</w:t>
                  </w:r>
                </w:p>
              </w:tc>
              <w:tc>
                <w:tcPr>
                  <w:tcW w:w="584" w:type="dxa"/>
                  <w:shd w:val="clear" w:color="auto" w:fill="auto"/>
                  <w:vAlign w:val="center"/>
                </w:tcPr>
                <w:p w14:paraId="29EB5D85">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夜间</w:t>
                  </w:r>
                </w:p>
              </w:tc>
              <w:tc>
                <w:tcPr>
                  <w:tcW w:w="499" w:type="dxa"/>
                  <w:shd w:val="clear" w:color="auto" w:fill="auto"/>
                  <w:vAlign w:val="center"/>
                </w:tcPr>
                <w:p w14:paraId="1C85AF87">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昼间</w:t>
                  </w:r>
                </w:p>
              </w:tc>
              <w:tc>
                <w:tcPr>
                  <w:tcW w:w="594" w:type="dxa"/>
                  <w:gridSpan w:val="2"/>
                  <w:shd w:val="clear" w:color="auto" w:fill="auto"/>
                  <w:vAlign w:val="center"/>
                </w:tcPr>
                <w:p w14:paraId="3387C769">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夜间</w:t>
                  </w:r>
                </w:p>
              </w:tc>
              <w:tc>
                <w:tcPr>
                  <w:tcW w:w="487" w:type="dxa"/>
                  <w:shd w:val="clear" w:color="auto" w:fill="auto"/>
                  <w:vAlign w:val="center"/>
                </w:tcPr>
                <w:p w14:paraId="71C6402F">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昼间</w:t>
                  </w:r>
                </w:p>
              </w:tc>
              <w:tc>
                <w:tcPr>
                  <w:tcW w:w="488" w:type="dxa"/>
                  <w:shd w:val="clear" w:color="auto" w:fill="auto"/>
                  <w:vAlign w:val="center"/>
                </w:tcPr>
                <w:p w14:paraId="02F84888">
                  <w:pPr>
                    <w:jc w:val="center"/>
                    <w:rPr>
                      <w:rFonts w:hint="default" w:ascii="Times New Roman" w:hAnsi="Times New Roman" w:eastAsia="宋体" w:cs="Times New Roman"/>
                      <w:color w:val="auto"/>
                      <w:sz w:val="21"/>
                      <w:szCs w:val="21"/>
                      <w:highlight w:val="none"/>
                    </w:rPr>
                  </w:pPr>
                  <w:r>
                    <w:rPr>
                      <w:rFonts w:ascii="Times New Roman" w:hAnsi="Times New Roman" w:cs="Times New Roman" w:eastAsiaTheme="minorEastAsia"/>
                      <w:color w:val="auto"/>
                      <w:sz w:val="21"/>
                      <w:szCs w:val="21"/>
                    </w:rPr>
                    <w:t>夜间</w:t>
                  </w:r>
                </w:p>
              </w:tc>
            </w:tr>
            <w:tr w14:paraId="1A6C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14" w:type="dxa"/>
                  <w:shd w:val="clear" w:color="auto" w:fill="auto"/>
                  <w:vAlign w:val="center"/>
                </w:tcPr>
                <w:p w14:paraId="524DADA4">
                  <w:pPr>
                    <w:jc w:val="center"/>
                    <w:rPr>
                      <w:rFonts w:hint="default" w:ascii="Times New Roman" w:hAnsi="Times New Roman" w:eastAsia="宋体" w:cs="Times New Roman"/>
                      <w:color w:val="auto"/>
                      <w:sz w:val="21"/>
                      <w:szCs w:val="21"/>
                      <w:highlight w:val="none"/>
                      <w:lang w:val="en-US" w:eastAsia="zh-CN"/>
                    </w:rPr>
                  </w:pPr>
                  <w:r>
                    <w:rPr>
                      <w:rFonts w:ascii="Arial" w:hAnsi="Arial" w:eastAsia="Arial" w:cs="Arial"/>
                      <w:color w:val="auto"/>
                      <w:sz w:val="20"/>
                    </w:rPr>
                    <w:t>新发村</w:t>
                  </w:r>
                </w:p>
              </w:tc>
              <w:tc>
                <w:tcPr>
                  <w:tcW w:w="584" w:type="dxa"/>
                  <w:shd w:val="clear" w:color="auto" w:fill="auto"/>
                  <w:vAlign w:val="center"/>
                </w:tcPr>
                <w:p w14:paraId="043473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584" w:type="dxa"/>
                  <w:shd w:val="clear" w:color="auto" w:fill="auto"/>
                  <w:vAlign w:val="center"/>
                </w:tcPr>
                <w:p w14:paraId="2D81A5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584" w:type="dxa"/>
                  <w:shd w:val="clear" w:color="auto" w:fill="auto"/>
                  <w:vAlign w:val="center"/>
                </w:tcPr>
                <w:p w14:paraId="7C03D2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584" w:type="dxa"/>
                  <w:shd w:val="clear" w:color="auto" w:fill="auto"/>
                  <w:vAlign w:val="center"/>
                </w:tcPr>
                <w:p w14:paraId="64D6C9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486" w:type="dxa"/>
                  <w:shd w:val="clear" w:color="auto" w:fill="auto"/>
                  <w:vAlign w:val="center"/>
                </w:tcPr>
                <w:p w14:paraId="06E175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86" w:type="dxa"/>
                  <w:shd w:val="clear" w:color="auto" w:fill="auto"/>
                  <w:vAlign w:val="center"/>
                </w:tcPr>
                <w:p w14:paraId="0911AE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584" w:type="dxa"/>
                  <w:shd w:val="clear" w:color="auto" w:fill="auto"/>
                  <w:vAlign w:val="center"/>
                </w:tcPr>
                <w:p w14:paraId="57D0FB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w:t>
                  </w:r>
                </w:p>
              </w:tc>
              <w:tc>
                <w:tcPr>
                  <w:tcW w:w="584" w:type="dxa"/>
                  <w:shd w:val="clear" w:color="auto" w:fill="auto"/>
                  <w:vAlign w:val="center"/>
                </w:tcPr>
                <w:p w14:paraId="35C426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w:t>
                  </w:r>
                </w:p>
              </w:tc>
              <w:tc>
                <w:tcPr>
                  <w:tcW w:w="584" w:type="dxa"/>
                  <w:shd w:val="clear" w:color="auto" w:fill="auto"/>
                  <w:vAlign w:val="center"/>
                </w:tcPr>
                <w:p w14:paraId="45D85D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52.0</w:t>
                  </w:r>
                </w:p>
              </w:tc>
              <w:tc>
                <w:tcPr>
                  <w:tcW w:w="584" w:type="dxa"/>
                  <w:shd w:val="clear" w:color="auto" w:fill="auto"/>
                  <w:vAlign w:val="center"/>
                </w:tcPr>
                <w:p w14:paraId="42D3BC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44.2</w:t>
                  </w:r>
                </w:p>
              </w:tc>
              <w:tc>
                <w:tcPr>
                  <w:tcW w:w="509" w:type="dxa"/>
                  <w:gridSpan w:val="2"/>
                  <w:shd w:val="clear" w:color="auto" w:fill="auto"/>
                  <w:vAlign w:val="center"/>
                </w:tcPr>
                <w:p w14:paraId="10F743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p>
              </w:tc>
              <w:tc>
                <w:tcPr>
                  <w:tcW w:w="584" w:type="dxa"/>
                  <w:shd w:val="clear" w:color="auto" w:fill="auto"/>
                  <w:vAlign w:val="center"/>
                </w:tcPr>
                <w:p w14:paraId="2ED418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487" w:type="dxa"/>
                  <w:shd w:val="clear" w:color="auto" w:fill="auto"/>
                  <w:vAlign w:val="center"/>
                </w:tcPr>
                <w:p w14:paraId="2A485E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488" w:type="dxa"/>
                  <w:shd w:val="clear" w:color="auto" w:fill="auto"/>
                  <w:vAlign w:val="center"/>
                </w:tcPr>
                <w:p w14:paraId="06D582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6677AEEB">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项目夜间不运营，由上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highlight w:val="none"/>
                <w:lang w:val="en-US" w:eastAsia="zh-CN"/>
              </w:rPr>
              <w:t>厂界</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《工业企业厂界环境噪声排放标准》（GB12348-2008）</w:t>
            </w:r>
            <w:r>
              <w:rPr>
                <w:rFonts w:hint="default" w:ascii="Times New Roman" w:hAnsi="Times New Roman" w:eastAsia="宋体" w:cs="Times New Roman"/>
                <w:color w:val="auto"/>
                <w:sz w:val="24"/>
                <w:highlight w:val="none"/>
                <w:lang w:val="en-US" w:eastAsia="zh-CN"/>
              </w:rPr>
              <w:t>中</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w:t>
            </w:r>
            <w:r>
              <w:rPr>
                <w:rFonts w:hint="eastAsia" w:cs="Times New Roman"/>
                <w:color w:val="auto"/>
                <w:sz w:val="24"/>
                <w:lang w:val="en-US" w:eastAsia="zh-CN"/>
              </w:rPr>
              <w:t>保护目标昼间、夜间均</w:t>
            </w:r>
            <w:r>
              <w:rPr>
                <w:rFonts w:hint="default" w:ascii="Times New Roman" w:hAnsi="Times New Roman" w:eastAsia="宋体" w:cs="Times New Roman"/>
                <w:color w:val="auto"/>
                <w:sz w:val="24"/>
                <w:lang w:val="en-US" w:eastAsia="zh-CN"/>
              </w:rPr>
              <w:t>满足</w:t>
            </w:r>
            <w:r>
              <w:rPr>
                <w:rFonts w:hint="default" w:ascii="Times New Roman" w:hAnsi="Times New Roman" w:eastAsia="宋体" w:cs="Times New Roman"/>
                <w:color w:val="auto"/>
                <w:sz w:val="24"/>
                <w:szCs w:val="24"/>
              </w:rPr>
              <w:t>《声环境质量标准》（GB3096-2008）中</w:t>
            </w:r>
            <w:r>
              <w:rPr>
                <w:rFonts w:hint="default" w:ascii="Times New Roman" w:hAnsi="Times New Roman" w:eastAsia="宋体" w:cs="Times New Roman"/>
                <w:color w:val="auto"/>
                <w:sz w:val="24"/>
                <w:szCs w:val="24"/>
                <w:lang w:val="en-US" w:eastAsia="zh-CN"/>
              </w:rPr>
              <w:t>2类</w:t>
            </w:r>
            <w:r>
              <w:rPr>
                <w:rFonts w:hint="default" w:ascii="Times New Roman" w:hAnsi="Times New Roman" w:eastAsia="宋体" w:cs="Times New Roman"/>
                <w:color w:val="auto"/>
                <w:sz w:val="24"/>
                <w:szCs w:val="24"/>
              </w:rPr>
              <w:t>标准</w:t>
            </w:r>
            <w:r>
              <w:rPr>
                <w:rFonts w:hint="default" w:ascii="Times New Roman" w:hAnsi="Times New Roman" w:eastAsia="宋体" w:cs="Times New Roman"/>
                <w:color w:val="auto"/>
                <w:sz w:val="24"/>
                <w:highlight w:val="none"/>
              </w:rPr>
              <w:t>。</w:t>
            </w:r>
          </w:p>
          <w:p w14:paraId="40A7ADA7">
            <w:pPr>
              <w:pStyle w:val="15"/>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14:paraId="0591ABD5">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14:paraId="1E4FC169">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14:paraId="612A0746">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14:paraId="7AA77C26">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14:paraId="05FD6374">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14:paraId="64EF0482">
            <w:pP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14:paraId="12CD17A0">
            <w:pPr>
              <w:pStyle w:val="50"/>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14:paraId="65619073">
            <w:pPr>
              <w:pStyle w:val="50"/>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val="en-US" w:eastAsia="zh-CN" w:bidi="ar"/>
              </w:rPr>
              <w:t xml:space="preserve">排污单位自行监测技术指南 </w:t>
            </w:r>
            <w:r>
              <w:rPr>
                <w:rFonts w:hint="eastAsia" w:cs="Times New Roman"/>
                <w:color w:val="auto"/>
                <w:sz w:val="24"/>
                <w:szCs w:val="24"/>
                <w:lang w:val="en-US" w:eastAsia="zh-CN" w:bidi="ar"/>
              </w:rPr>
              <w:t>农副食品加工业</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HJ</w:t>
            </w:r>
            <w:r>
              <w:rPr>
                <w:rFonts w:hint="eastAsia" w:cs="Times New Roman"/>
                <w:color w:val="auto"/>
                <w:sz w:val="24"/>
                <w:szCs w:val="24"/>
                <w:lang w:val="en-US" w:eastAsia="zh-CN" w:bidi="ar"/>
              </w:rPr>
              <w:t>986</w:t>
            </w:r>
            <w:r>
              <w:rPr>
                <w:rFonts w:hint="default" w:ascii="Times New Roman" w:hAnsi="Times New Roman" w:eastAsia="宋体" w:cs="Times New Roman"/>
                <w:color w:val="auto"/>
                <w:sz w:val="24"/>
                <w:szCs w:val="24"/>
                <w:lang w:val="en-US" w:eastAsia="zh-CN" w:bidi="ar"/>
              </w:rPr>
              <w:t>-20</w:t>
            </w:r>
            <w:r>
              <w:rPr>
                <w:rFonts w:hint="eastAsia" w:cs="Times New Roman"/>
                <w:color w:val="auto"/>
                <w:sz w:val="24"/>
                <w:szCs w:val="24"/>
                <w:lang w:val="en-US" w:eastAsia="zh-CN" w:bidi="ar"/>
              </w:rPr>
              <w:t>18</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highlight w:val="none"/>
                <w:lang w:val="en-US" w:eastAsia="zh-CN"/>
              </w:rPr>
              <w:t>可知，本项目</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highlight w:val="none"/>
              </w:rPr>
              <w:t>。</w:t>
            </w:r>
          </w:p>
          <w:p w14:paraId="4939B254">
            <w:pPr>
              <w:pStyle w:val="50"/>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w:t>
            </w:r>
            <w:r>
              <w:rPr>
                <w:rFonts w:hint="eastAsia"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噪声监测计划一览表</w:t>
            </w:r>
          </w:p>
          <w:tbl>
            <w:tblPr>
              <w:tblStyle w:val="27"/>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9"/>
            </w:tblGrid>
            <w:tr w14:paraId="2499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14:paraId="58FDB8D1">
                  <w:pPr>
                    <w:pStyle w:val="50"/>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2798" w:type="dxa"/>
                  <w:vAlign w:val="center"/>
                </w:tcPr>
                <w:p w14:paraId="11BA6AAC">
                  <w:pPr>
                    <w:pStyle w:val="50"/>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2799" w:type="dxa"/>
                  <w:vAlign w:val="center"/>
                </w:tcPr>
                <w:p w14:paraId="6535A78A">
                  <w:pPr>
                    <w:pStyle w:val="50"/>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14:paraId="2485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14:paraId="745BE1A0">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项目区厂界东、南、西、</w:t>
                  </w:r>
                </w:p>
                <w:p w14:paraId="4AF80D26">
                  <w:pPr>
                    <w:pStyle w:val="50"/>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北界外1m处布点监测</w:t>
                  </w:r>
                </w:p>
              </w:tc>
              <w:tc>
                <w:tcPr>
                  <w:tcW w:w="2798" w:type="dxa"/>
                  <w:vAlign w:val="center"/>
                </w:tcPr>
                <w:p w14:paraId="39721ACD">
                  <w:pPr>
                    <w:pStyle w:val="50"/>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2799" w:type="dxa"/>
                  <w:vAlign w:val="center"/>
                </w:tcPr>
                <w:p w14:paraId="7E8AB6B0">
                  <w:pPr>
                    <w:pStyle w:val="50"/>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r w14:paraId="016B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14:paraId="39816B91">
                  <w:pPr>
                    <w:pStyle w:val="50"/>
                    <w:adjustRightInd w:val="0"/>
                    <w:snapToGrid w:val="0"/>
                    <w:rPr>
                      <w:rFonts w:hint="default" w:ascii="Times New Roman" w:hAnsi="Times New Roman" w:eastAsia="宋体" w:cs="Times New Roman"/>
                      <w:color w:val="auto"/>
                      <w:szCs w:val="21"/>
                      <w:highlight w:val="none"/>
                    </w:rPr>
                  </w:pPr>
                  <w:r>
                    <w:rPr>
                      <w:rFonts w:hint="eastAsia" w:cs="Times New Roman"/>
                      <w:color w:val="auto"/>
                      <w:sz w:val="21"/>
                      <w:szCs w:val="21"/>
                      <w:highlight w:val="none"/>
                      <w:lang w:val="en-US" w:eastAsia="zh-CN"/>
                    </w:rPr>
                    <w:t>新发村</w:t>
                  </w:r>
                </w:p>
              </w:tc>
              <w:tc>
                <w:tcPr>
                  <w:tcW w:w="2798" w:type="dxa"/>
                  <w:vAlign w:val="center"/>
                </w:tcPr>
                <w:p w14:paraId="1E696A40">
                  <w:pPr>
                    <w:pStyle w:val="50"/>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2799" w:type="dxa"/>
                  <w:vAlign w:val="center"/>
                </w:tcPr>
                <w:p w14:paraId="64B66B30">
                  <w:pPr>
                    <w:pStyle w:val="50"/>
                    <w:adjustRightInd w:val="0"/>
                    <w:snapToGri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1次/季度</w:t>
                  </w:r>
                </w:p>
              </w:tc>
            </w:tr>
          </w:tbl>
          <w:p w14:paraId="155DCC3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14:paraId="3831D100">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14:paraId="608D7A01">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1、一般固体废物</w:t>
            </w:r>
          </w:p>
          <w:p w14:paraId="6C2B23FA">
            <w:pPr>
              <w:adjustRightInd w:val="0"/>
              <w:snapToGrid w:val="0"/>
              <w:spacing w:line="360" w:lineRule="auto"/>
              <w:ind w:firstLine="480" w:firstLineChars="200"/>
              <w:jc w:val="left"/>
              <w:rPr>
                <w:color w:val="auto"/>
                <w:sz w:val="24"/>
                <w:szCs w:val="28"/>
              </w:rPr>
            </w:pPr>
            <w:r>
              <w:rPr>
                <w:rFonts w:hint="eastAsia"/>
                <w:color w:val="auto"/>
                <w:sz w:val="24"/>
                <w:szCs w:val="28"/>
                <w:lang w:eastAsia="zh-CN"/>
              </w:rPr>
              <w:t>（</w:t>
            </w:r>
            <w:r>
              <w:rPr>
                <w:rFonts w:hint="eastAsia"/>
                <w:color w:val="auto"/>
                <w:sz w:val="24"/>
                <w:szCs w:val="28"/>
                <w:lang w:val="en-US" w:eastAsia="zh-CN"/>
              </w:rPr>
              <w:t>1</w:t>
            </w:r>
            <w:r>
              <w:rPr>
                <w:rFonts w:hint="eastAsia"/>
                <w:color w:val="auto"/>
                <w:sz w:val="24"/>
                <w:szCs w:val="28"/>
                <w:lang w:eastAsia="zh-CN"/>
              </w:rPr>
              <w:t>）</w:t>
            </w:r>
            <w:r>
              <w:rPr>
                <w:rFonts w:hint="eastAsia"/>
                <w:color w:val="auto"/>
                <w:sz w:val="24"/>
                <w:szCs w:val="28"/>
              </w:rPr>
              <w:t>废包装材料</w:t>
            </w:r>
          </w:p>
          <w:p w14:paraId="7588C635">
            <w:pPr>
              <w:spacing w:line="360" w:lineRule="auto"/>
              <w:ind w:firstLine="480" w:firstLineChars="200"/>
              <w:rPr>
                <w:color w:val="auto"/>
                <w:sz w:val="24"/>
              </w:rPr>
            </w:pPr>
            <w:r>
              <w:rPr>
                <w:rFonts w:hint="eastAsia"/>
                <w:color w:val="auto"/>
                <w:sz w:val="24"/>
              </w:rPr>
              <w:t>项目原辅料拆卸过程中会产生废包装材料，根据建设单位提供资料，项目废包装材料产生量约</w:t>
            </w:r>
            <w:r>
              <w:rPr>
                <w:rFonts w:hint="eastAsia"/>
                <w:color w:val="auto"/>
                <w:sz w:val="24"/>
                <w:lang w:val="en-US" w:eastAsia="zh-CN"/>
              </w:rPr>
              <w:t>1.0</w:t>
            </w:r>
            <w:r>
              <w:rPr>
                <w:rFonts w:hint="eastAsia"/>
                <w:color w:val="auto"/>
                <w:sz w:val="24"/>
              </w:rPr>
              <w:t>t/a。集中收集后定期出售给废品收购商。</w:t>
            </w:r>
          </w:p>
          <w:p w14:paraId="0B5F4C73">
            <w:pPr>
              <w:spacing w:line="360" w:lineRule="auto"/>
              <w:ind w:firstLine="480" w:firstLineChars="200"/>
              <w:rPr>
                <w:color w:val="auto"/>
                <w:sz w:val="24"/>
                <w:szCs w:val="28"/>
              </w:rPr>
            </w:pPr>
            <w:r>
              <w:rPr>
                <w:rFonts w:hint="eastAsia"/>
                <w:color w:val="auto"/>
                <w:sz w:val="24"/>
                <w:szCs w:val="28"/>
                <w:lang w:eastAsia="zh-CN"/>
              </w:rPr>
              <w:t>（</w:t>
            </w:r>
            <w:r>
              <w:rPr>
                <w:rFonts w:hint="eastAsia"/>
                <w:color w:val="auto"/>
                <w:sz w:val="24"/>
                <w:szCs w:val="28"/>
                <w:lang w:val="en-US" w:eastAsia="zh-CN"/>
              </w:rPr>
              <w:t>2</w:t>
            </w:r>
            <w:r>
              <w:rPr>
                <w:rFonts w:hint="eastAsia"/>
                <w:color w:val="auto"/>
                <w:sz w:val="24"/>
                <w:szCs w:val="28"/>
                <w:lang w:eastAsia="zh-CN"/>
              </w:rPr>
              <w:t>）</w:t>
            </w:r>
            <w:r>
              <w:rPr>
                <w:rFonts w:hint="eastAsia"/>
                <w:color w:val="auto"/>
                <w:sz w:val="24"/>
              </w:rPr>
              <w:t>油渣</w:t>
            </w:r>
          </w:p>
          <w:p w14:paraId="7E971CA0">
            <w:pPr>
              <w:adjustRightInd w:val="0"/>
              <w:snapToGrid w:val="0"/>
              <w:spacing w:line="360" w:lineRule="auto"/>
              <w:ind w:firstLine="480" w:firstLineChars="200"/>
              <w:jc w:val="left"/>
              <w:rPr>
                <w:rFonts w:hint="default" w:eastAsia="宋体"/>
                <w:color w:val="auto"/>
                <w:sz w:val="24"/>
                <w:lang w:val="en-US" w:eastAsia="zh-CN"/>
              </w:rPr>
            </w:pPr>
            <w:r>
              <w:rPr>
                <w:rFonts w:hint="eastAsia"/>
                <w:color w:val="auto"/>
                <w:sz w:val="24"/>
                <w:lang w:val="en-US" w:eastAsia="zh-CN"/>
              </w:rPr>
              <w:t>①精炼牛油</w:t>
            </w:r>
          </w:p>
          <w:p w14:paraId="38E848D9">
            <w:pPr>
              <w:adjustRightInd w:val="0"/>
              <w:snapToGrid w:val="0"/>
              <w:spacing w:line="360" w:lineRule="auto"/>
              <w:ind w:firstLine="480" w:firstLineChars="200"/>
              <w:jc w:val="left"/>
              <w:rPr>
                <w:color w:val="auto"/>
                <w:sz w:val="24"/>
              </w:rPr>
            </w:pPr>
            <w:r>
              <w:rPr>
                <w:rFonts w:hint="eastAsia"/>
                <w:color w:val="auto"/>
                <w:sz w:val="24"/>
              </w:rPr>
              <w:t>鲜冻牛油经高温炼制后，通过过滤机进行油渣分离，分离出的油渣再通过一级压榨机进一步压榨，最终有压榨油渣产生，1t鲜冻牛油产生油渣20kg，则</w:t>
            </w:r>
            <w:r>
              <w:rPr>
                <w:rFonts w:hint="eastAsia"/>
                <w:color w:val="auto"/>
                <w:sz w:val="24"/>
                <w:lang w:eastAsia="zh-CN"/>
              </w:rPr>
              <w:t>压榨</w:t>
            </w:r>
            <w:r>
              <w:rPr>
                <w:rFonts w:hint="eastAsia"/>
                <w:color w:val="auto"/>
                <w:sz w:val="24"/>
              </w:rPr>
              <w:t>油渣产生量为100t/a。</w:t>
            </w:r>
            <w:r>
              <w:rPr>
                <w:rFonts w:hint="eastAsia"/>
                <w:color w:val="auto"/>
                <w:sz w:val="24"/>
                <w:lang w:eastAsia="zh-CN"/>
              </w:rPr>
              <w:t>精细过滤</w:t>
            </w:r>
            <w:r>
              <w:rPr>
                <w:rFonts w:hint="eastAsia"/>
                <w:color w:val="auto"/>
                <w:sz w:val="24"/>
                <w:lang w:val="en-US" w:eastAsia="zh-CN"/>
              </w:rPr>
              <w:t>1t牛油产生的过滤油渣量为0.5kg，则过滤油渣量为2.5t/a，则油渣产生总量为102.5t/a。</w:t>
            </w:r>
            <w:r>
              <w:rPr>
                <w:rFonts w:hint="eastAsia"/>
                <w:color w:val="auto"/>
                <w:sz w:val="24"/>
              </w:rPr>
              <w:t>油渣中因含有牛油，牛油可作为制作饲料的原料之一，厂房内设加盖塑料桶，并粘贴标签，油渣需盛装于加盖塑料桶中，送一般固废暂存间暂存，定期售卖饲料厂。</w:t>
            </w:r>
          </w:p>
          <w:p w14:paraId="13150722">
            <w:pPr>
              <w:adjustRightInd w:val="0"/>
              <w:snapToGrid w:val="0"/>
              <w:spacing w:line="360" w:lineRule="auto"/>
              <w:ind w:firstLine="480" w:firstLineChars="200"/>
              <w:jc w:val="left"/>
              <w:rPr>
                <w:rFonts w:hint="eastAsia" w:eastAsia="宋体"/>
                <w:color w:val="auto"/>
                <w:sz w:val="24"/>
                <w:szCs w:val="28"/>
                <w:lang w:val="en-US" w:eastAsia="zh-CN"/>
              </w:rPr>
            </w:pPr>
            <w:r>
              <w:rPr>
                <w:rFonts w:hint="eastAsia"/>
                <w:color w:val="auto"/>
                <w:sz w:val="24"/>
                <w:szCs w:val="28"/>
                <w:lang w:val="en-US" w:eastAsia="zh-CN"/>
              </w:rPr>
              <w:t>②饲料动物油脂</w:t>
            </w:r>
          </w:p>
          <w:p w14:paraId="5F972499">
            <w:pPr>
              <w:adjustRightInd w:val="0"/>
              <w:snapToGrid w:val="0"/>
              <w:spacing w:line="360" w:lineRule="auto"/>
              <w:ind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冷冻、鲜动物含油残渣</w:t>
            </w:r>
            <w:r>
              <w:rPr>
                <w:rFonts w:hint="eastAsia" w:ascii="Times New Roman" w:hAnsi="Times New Roman" w:eastAsia="宋体" w:cs="Times New Roman"/>
                <w:color w:val="auto"/>
                <w:sz w:val="24"/>
              </w:rPr>
              <w:t>经高温炼制后，通过过滤机进行油渣分离，</w:t>
            </w:r>
            <w:r>
              <w:rPr>
                <w:rFonts w:hint="eastAsia"/>
                <w:color w:val="auto"/>
                <w:sz w:val="24"/>
              </w:rPr>
              <w:t>分离出的油渣再通过一级压榨机进一步压榨，最终有压榨油渣产生，1t</w:t>
            </w:r>
            <w:r>
              <w:rPr>
                <w:rFonts w:hint="eastAsia" w:ascii="Times New Roman" w:hAnsi="Times New Roman" w:eastAsia="宋体" w:cs="Times New Roman"/>
                <w:color w:val="auto"/>
                <w:sz w:val="24"/>
                <w:lang w:val="en-US" w:eastAsia="zh-CN"/>
              </w:rPr>
              <w:t>冷冻、鲜动物含油残渣</w:t>
            </w:r>
            <w:r>
              <w:rPr>
                <w:rFonts w:hint="eastAsia"/>
                <w:color w:val="auto"/>
                <w:sz w:val="24"/>
              </w:rPr>
              <w:t>产生油渣</w:t>
            </w:r>
            <w:r>
              <w:rPr>
                <w:rFonts w:hint="eastAsia"/>
                <w:color w:val="auto"/>
                <w:sz w:val="24"/>
                <w:lang w:val="en-US" w:eastAsia="zh-CN"/>
              </w:rPr>
              <w:t>75</w:t>
            </w:r>
            <w:r>
              <w:rPr>
                <w:rFonts w:hint="eastAsia"/>
                <w:color w:val="auto"/>
                <w:sz w:val="24"/>
              </w:rPr>
              <w:t>kg，则</w:t>
            </w:r>
            <w:r>
              <w:rPr>
                <w:rFonts w:hint="eastAsia"/>
                <w:color w:val="auto"/>
                <w:sz w:val="24"/>
                <w:lang w:eastAsia="zh-CN"/>
              </w:rPr>
              <w:t>压榨</w:t>
            </w:r>
            <w:r>
              <w:rPr>
                <w:rFonts w:hint="eastAsia"/>
                <w:color w:val="auto"/>
                <w:sz w:val="24"/>
              </w:rPr>
              <w:t>油渣产生量为</w:t>
            </w:r>
            <w:r>
              <w:rPr>
                <w:rFonts w:hint="eastAsia"/>
                <w:color w:val="auto"/>
                <w:sz w:val="24"/>
                <w:lang w:val="en-US" w:eastAsia="zh-CN"/>
              </w:rPr>
              <w:t>400.3965</w:t>
            </w:r>
            <w:r>
              <w:rPr>
                <w:rFonts w:hint="eastAsia"/>
                <w:color w:val="auto"/>
                <w:sz w:val="24"/>
              </w:rPr>
              <w:t>t/a。</w:t>
            </w:r>
            <w:r>
              <w:rPr>
                <w:rFonts w:hint="eastAsia"/>
                <w:color w:val="auto"/>
                <w:sz w:val="24"/>
                <w:lang w:eastAsia="zh-CN"/>
              </w:rPr>
              <w:t>精细过滤</w:t>
            </w:r>
            <w:r>
              <w:rPr>
                <w:rFonts w:hint="eastAsia"/>
                <w:color w:val="auto"/>
                <w:sz w:val="24"/>
                <w:lang w:val="en-US" w:eastAsia="zh-CN"/>
              </w:rPr>
              <w:t>1t动物饲料油脂产生的过滤油渣量为1kg，则过滤油渣量为3.0t/a，则油渣产生总量为403.3965t/a。</w:t>
            </w:r>
            <w:r>
              <w:rPr>
                <w:rFonts w:hint="eastAsia"/>
                <w:color w:val="auto"/>
                <w:sz w:val="24"/>
              </w:rPr>
              <w:t>油渣可作为制作饲料的原料之一，厂房内设加盖塑料桶，并粘贴标签，油渣需盛装于加盖塑料桶中，送一般固废暂存间暂存，定期售卖饲料厂。</w:t>
            </w:r>
          </w:p>
          <w:p w14:paraId="1E8B8CB6">
            <w:pPr>
              <w:adjustRightInd w:val="0"/>
              <w:snapToGrid w:val="0"/>
              <w:spacing w:line="360" w:lineRule="auto"/>
              <w:ind w:firstLine="480" w:firstLineChars="200"/>
              <w:jc w:val="left"/>
              <w:rPr>
                <w:b/>
                <w:bCs/>
                <w:color w:val="auto"/>
                <w:sz w:val="24"/>
              </w:rPr>
            </w:pPr>
            <w:r>
              <w:rPr>
                <w:rFonts w:hint="eastAsia"/>
                <w:color w:val="auto"/>
                <w:sz w:val="24"/>
                <w:szCs w:val="28"/>
                <w:lang w:eastAsia="zh-CN"/>
              </w:rPr>
              <w:t>（</w:t>
            </w:r>
            <w:r>
              <w:rPr>
                <w:rFonts w:hint="eastAsia"/>
                <w:color w:val="auto"/>
                <w:sz w:val="24"/>
                <w:szCs w:val="28"/>
                <w:lang w:val="en-US" w:eastAsia="zh-CN"/>
              </w:rPr>
              <w:t>3</w:t>
            </w:r>
            <w:r>
              <w:rPr>
                <w:rFonts w:hint="eastAsia"/>
                <w:color w:val="auto"/>
                <w:sz w:val="24"/>
                <w:szCs w:val="28"/>
                <w:lang w:eastAsia="zh-CN"/>
              </w:rPr>
              <w:t>）</w:t>
            </w:r>
            <w:r>
              <w:rPr>
                <w:rFonts w:hint="eastAsia"/>
                <w:color w:val="auto"/>
                <w:sz w:val="24"/>
              </w:rPr>
              <w:t>废白土</w:t>
            </w:r>
          </w:p>
          <w:p w14:paraId="5F80D8AE">
            <w:pPr>
              <w:spacing w:line="360" w:lineRule="auto"/>
              <w:ind w:firstLine="480" w:firstLineChars="200"/>
              <w:rPr>
                <w:color w:val="auto"/>
                <w:sz w:val="24"/>
              </w:rPr>
            </w:pPr>
            <w:r>
              <w:rPr>
                <w:rFonts w:hint="eastAsia"/>
                <w:color w:val="auto"/>
                <w:sz w:val="24"/>
              </w:rPr>
              <w:t>脱色罐内按1:100的比例加入可食用白土进行吸附脱色，再管道泵至离心机进行过滤，过滤后有废白土产生，产生量为40t/a。厂房内设加盖塑料桶，并粘贴标签，废白土需盛装于加盖塑料桶中，送一般固废暂存间暂存。废白土定期交由专门公司回收分离废油和白土分离处置。</w:t>
            </w:r>
          </w:p>
          <w:p w14:paraId="608D742D">
            <w:pPr>
              <w:spacing w:line="360" w:lineRule="auto"/>
              <w:ind w:firstLine="480"/>
              <w:rPr>
                <w:color w:val="auto"/>
                <w:sz w:val="24"/>
                <w:szCs w:val="30"/>
                <w:lang w:val="zh-CN"/>
              </w:rPr>
            </w:pPr>
            <w:r>
              <w:rPr>
                <w:rFonts w:hint="eastAsia"/>
                <w:color w:val="auto"/>
                <w:sz w:val="24"/>
                <w:szCs w:val="28"/>
                <w:lang w:eastAsia="zh-CN"/>
              </w:rPr>
              <w:t>（</w:t>
            </w:r>
            <w:r>
              <w:rPr>
                <w:rFonts w:hint="eastAsia"/>
                <w:color w:val="auto"/>
                <w:sz w:val="24"/>
                <w:szCs w:val="28"/>
                <w:lang w:val="en-US" w:eastAsia="zh-CN"/>
              </w:rPr>
              <w:t>4</w:t>
            </w:r>
            <w:r>
              <w:rPr>
                <w:rFonts w:hint="eastAsia"/>
                <w:color w:val="auto"/>
                <w:sz w:val="24"/>
                <w:szCs w:val="28"/>
                <w:lang w:eastAsia="zh-CN"/>
              </w:rPr>
              <w:t>）</w:t>
            </w:r>
            <w:r>
              <w:rPr>
                <w:rFonts w:hint="eastAsia"/>
                <w:color w:val="auto"/>
                <w:sz w:val="24"/>
                <w:szCs w:val="30"/>
                <w:lang w:val="zh-CN"/>
              </w:rPr>
              <w:t>油脚</w:t>
            </w:r>
          </w:p>
          <w:p w14:paraId="402540E5">
            <w:pPr>
              <w:adjustRightInd w:val="0"/>
              <w:snapToGrid w:val="0"/>
              <w:spacing w:line="360" w:lineRule="auto"/>
              <w:ind w:firstLine="480" w:firstLineChars="200"/>
              <w:jc w:val="left"/>
              <w:rPr>
                <w:color w:val="auto"/>
                <w:sz w:val="24"/>
              </w:rPr>
            </w:pPr>
            <w:r>
              <w:rPr>
                <w:rFonts w:hint="eastAsia" w:ascii="Times New Roman" w:hAnsi="Times New Roman" w:eastAsia="Times New Roman"/>
                <w:color w:val="auto"/>
                <w:sz w:val="24"/>
                <w:szCs w:val="24"/>
                <w:lang w:val="zh-CN" w:eastAsia="zh-CN"/>
              </w:rPr>
              <w:t>脱胶脱磷过程</w:t>
            </w:r>
            <w:r>
              <w:rPr>
                <w:rFonts w:hint="default" w:ascii="Times New Roman" w:hAnsi="Times New Roman" w:eastAsia="Times New Roman"/>
                <w:color w:val="auto"/>
                <w:sz w:val="24"/>
                <w:szCs w:val="24"/>
                <w:lang w:val="zh-CN"/>
              </w:rPr>
              <w:t>静置沉降，分离油脚</w:t>
            </w:r>
            <w:r>
              <w:rPr>
                <w:rFonts w:hint="eastAsia" w:eastAsia="Times New Roman"/>
                <w:color w:val="auto"/>
                <w:sz w:val="24"/>
                <w:szCs w:val="24"/>
                <w:lang w:val="zh-CN"/>
              </w:rPr>
              <w:t>，</w:t>
            </w:r>
            <w:r>
              <w:rPr>
                <w:rFonts w:hint="eastAsia"/>
                <w:color w:val="auto"/>
                <w:sz w:val="24"/>
              </w:rPr>
              <w:t>产生量约为10t/a，主要含游离脂肪酸、低分子物质，可作为制作饲料的原料之一。厂房内设加盖塑料桶，并粘贴标签，压榨油渣需盛装于加盖塑料桶中，送一般固废暂存间暂存，定期售卖饲料厂。</w:t>
            </w:r>
          </w:p>
          <w:p w14:paraId="535519BB">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420" w:leftChars="200" w:right="0" w:rightChars="0" w:firstLine="0" w:firstLineChars="0"/>
              <w:jc w:val="both"/>
              <w:textAlignment w:val="auto"/>
              <w:outlineLvl w:val="9"/>
              <w:rPr>
                <w:rFonts w:hint="default" w:ascii="Times New Roman" w:hAnsi="Times New Roman" w:eastAsia="宋体" w:cs="Times New Roman"/>
                <w:b w:val="0"/>
                <w:bCs w:val="0"/>
                <w:color w:val="auto"/>
                <w:kern w:val="2"/>
                <w:sz w:val="24"/>
                <w:szCs w:val="24"/>
                <w:highlight w:val="none"/>
                <w:lang w:val="en-US" w:eastAsia="zh-CN" w:bidi="ar"/>
              </w:rPr>
            </w:pPr>
            <w:r>
              <w:rPr>
                <w:rFonts w:hint="eastAsia"/>
                <w:color w:val="auto"/>
                <w:sz w:val="24"/>
                <w:szCs w:val="28"/>
                <w:lang w:eastAsia="zh-CN"/>
              </w:rPr>
              <w:t>（</w:t>
            </w:r>
            <w:r>
              <w:rPr>
                <w:rFonts w:hint="eastAsia"/>
                <w:color w:val="auto"/>
                <w:sz w:val="24"/>
                <w:szCs w:val="28"/>
                <w:lang w:val="en-US" w:eastAsia="zh-CN"/>
              </w:rPr>
              <w:t>5</w:t>
            </w:r>
            <w:r>
              <w:rPr>
                <w:rFonts w:hint="eastAsia"/>
                <w:color w:val="auto"/>
                <w:sz w:val="24"/>
                <w:szCs w:val="28"/>
                <w:lang w:eastAsia="zh-CN"/>
              </w:rPr>
              <w:t>）</w:t>
            </w:r>
            <w:r>
              <w:rPr>
                <w:rFonts w:hint="default" w:ascii="Times New Roman" w:hAnsi="Times New Roman" w:eastAsia="宋体" w:cs="Times New Roman"/>
                <w:b w:val="0"/>
                <w:bCs w:val="0"/>
                <w:color w:val="auto"/>
                <w:kern w:val="2"/>
                <w:sz w:val="24"/>
                <w:szCs w:val="24"/>
                <w:highlight w:val="none"/>
                <w:lang w:val="en-US" w:eastAsia="zh-CN" w:bidi="ar"/>
              </w:rPr>
              <w:t>布袋除尘器除尘灰</w:t>
            </w:r>
          </w:p>
          <w:p w14:paraId="46D44ED5">
            <w:pPr>
              <w:adjustRightInd w:val="0"/>
              <w:snapToGrid w:val="0"/>
              <w:spacing w:line="360" w:lineRule="auto"/>
              <w:ind w:firstLine="480" w:firstLineChars="200"/>
              <w:jc w:val="left"/>
              <w:rPr>
                <w:rFonts w:hint="default" w:eastAsia="宋体"/>
                <w:color w:val="auto"/>
                <w:sz w:val="24"/>
                <w:szCs w:val="28"/>
                <w:lang w:val="en-US" w:eastAsia="zh-CN"/>
              </w:rPr>
            </w:pPr>
            <w:r>
              <w:rPr>
                <w:rFonts w:hint="default" w:ascii="Times New Roman" w:hAnsi="Times New Roman" w:eastAsia="宋体" w:cs="Times New Roman"/>
                <w:color w:val="auto"/>
                <w:sz w:val="24"/>
                <w:szCs w:val="22"/>
                <w:highlight w:val="none"/>
                <w:lang w:bidi="ar"/>
              </w:rPr>
              <w:t>根据废气</w:t>
            </w:r>
            <w:r>
              <w:rPr>
                <w:rFonts w:hint="default" w:ascii="Times New Roman" w:hAnsi="Times New Roman" w:eastAsia="宋体" w:cs="Times New Roman"/>
                <w:color w:val="auto"/>
                <w:sz w:val="24"/>
                <w:szCs w:val="22"/>
                <w:highlight w:val="none"/>
                <w:lang w:val="en-US" w:eastAsia="zh-CN" w:bidi="ar"/>
              </w:rPr>
              <w:t>部分</w:t>
            </w:r>
            <w:r>
              <w:rPr>
                <w:rFonts w:hint="default" w:ascii="Times New Roman" w:hAnsi="Times New Roman" w:eastAsia="宋体" w:cs="Times New Roman"/>
                <w:color w:val="auto"/>
                <w:sz w:val="24"/>
                <w:szCs w:val="22"/>
                <w:highlight w:val="none"/>
                <w:lang w:bidi="ar"/>
              </w:rPr>
              <w:t>工程分析可知，项目</w:t>
            </w:r>
            <w:r>
              <w:rPr>
                <w:rFonts w:hint="default" w:ascii="Times New Roman" w:hAnsi="Times New Roman" w:eastAsia="宋体" w:cs="Times New Roman"/>
                <w:color w:val="auto"/>
                <w:sz w:val="24"/>
                <w:szCs w:val="22"/>
                <w:highlight w:val="none"/>
                <w:lang w:val="en-US" w:eastAsia="zh-CN" w:bidi="ar"/>
              </w:rPr>
              <w:t>高温布袋除尘器</w:t>
            </w:r>
            <w:r>
              <w:rPr>
                <w:rFonts w:hint="default" w:ascii="Times New Roman" w:hAnsi="Times New Roman" w:eastAsia="宋体" w:cs="Times New Roman"/>
                <w:color w:val="auto"/>
                <w:sz w:val="24"/>
                <w:szCs w:val="22"/>
                <w:highlight w:val="none"/>
                <w:lang w:bidi="ar"/>
              </w:rPr>
              <w:t>对锅炉烟气中的烟尘净化效率约为</w:t>
            </w:r>
            <w:r>
              <w:rPr>
                <w:rFonts w:hint="default" w:ascii="Times New Roman" w:hAnsi="Times New Roman" w:eastAsia="宋体" w:cs="Times New Roman"/>
                <w:color w:val="auto"/>
                <w:sz w:val="24"/>
                <w:szCs w:val="22"/>
                <w:highlight w:val="none"/>
                <w:lang w:val="en-US" w:eastAsia="zh-CN" w:bidi="ar"/>
              </w:rPr>
              <w:t>95</w:t>
            </w:r>
            <w:r>
              <w:rPr>
                <w:rFonts w:hint="default" w:ascii="Times New Roman" w:hAnsi="Times New Roman" w:eastAsia="宋体" w:cs="Times New Roman"/>
                <w:color w:val="auto"/>
                <w:sz w:val="24"/>
                <w:szCs w:val="22"/>
                <w:highlight w:val="none"/>
                <w:lang w:bidi="ar"/>
              </w:rPr>
              <w:t>%</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bCs/>
                <w:color w:val="auto"/>
                <w:sz w:val="24"/>
                <w:highlight w:val="none"/>
              </w:rPr>
              <w:t>锅</w:t>
            </w:r>
            <w:r>
              <w:rPr>
                <w:rFonts w:hint="default" w:ascii="Times New Roman" w:hAnsi="Times New Roman" w:eastAsia="宋体" w:cs="Times New Roman"/>
                <w:color w:val="auto"/>
                <w:sz w:val="24"/>
                <w:highlight w:val="none"/>
              </w:rPr>
              <w:t>炉废气净化系统收尘</w:t>
            </w:r>
            <w:r>
              <w:rPr>
                <w:rFonts w:hint="default" w:ascii="Times New Roman" w:hAnsi="Times New Roman" w:eastAsia="宋体" w:cs="Times New Roman"/>
                <w:color w:val="auto"/>
                <w:sz w:val="24"/>
                <w:highlight w:val="none"/>
                <w:lang w:bidi="ar"/>
              </w:rPr>
              <w:t>约为</w:t>
            </w:r>
            <w:r>
              <w:rPr>
                <w:rFonts w:hint="eastAsia" w:cs="Times New Roman"/>
                <w:color w:val="auto"/>
                <w:sz w:val="24"/>
                <w:highlight w:val="none"/>
                <w:lang w:val="en-US" w:eastAsia="zh-CN" w:bidi="ar"/>
              </w:rPr>
              <w:t>3.188</w:t>
            </w:r>
            <w:r>
              <w:rPr>
                <w:rFonts w:hint="default" w:ascii="Times New Roman" w:hAnsi="Times New Roman" w:eastAsia="宋体" w:cs="Times New Roman"/>
                <w:color w:val="auto"/>
                <w:sz w:val="24"/>
                <w:highlight w:val="none"/>
                <w:lang w:bidi="ar"/>
              </w:rPr>
              <w:t>t/a。</w:t>
            </w:r>
            <w:r>
              <w:rPr>
                <w:rFonts w:hint="default" w:ascii="Times New Roman" w:hAnsi="Times New Roman" w:eastAsia="宋体" w:cs="Times New Roman"/>
                <w:color w:val="auto"/>
                <w:sz w:val="24"/>
                <w:szCs w:val="24"/>
                <w:highlight w:val="none"/>
                <w:lang w:val="en-US" w:eastAsia="zh-CN"/>
              </w:rPr>
              <w:t>除尘灰定期清理袋装后暂存于锅炉房内，与炉渣共同外售给</w:t>
            </w:r>
            <w:r>
              <w:rPr>
                <w:rFonts w:hint="default" w:ascii="Times New Roman" w:hAnsi="Times New Roman" w:eastAsia="宋体" w:cs="Times New Roman"/>
                <w:color w:val="auto"/>
                <w:sz w:val="24"/>
                <w:highlight w:val="none"/>
              </w:rPr>
              <w:t>建材生产企业</w:t>
            </w:r>
            <w:r>
              <w:rPr>
                <w:rFonts w:hint="default" w:ascii="Times New Roman" w:hAnsi="Times New Roman" w:eastAsia="宋体" w:cs="Times New Roman"/>
                <w:color w:val="auto"/>
                <w:sz w:val="24"/>
                <w:highlight w:val="none"/>
                <w:lang w:val="en-US" w:eastAsia="zh-CN"/>
              </w:rPr>
              <w:t>进行使用</w:t>
            </w:r>
          </w:p>
          <w:p w14:paraId="3D52B2A3">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olor w:val="auto"/>
                <w:sz w:val="24"/>
                <w:szCs w:val="28"/>
                <w:lang w:eastAsia="zh-CN"/>
              </w:rPr>
            </w:pPr>
            <w:r>
              <w:rPr>
                <w:rFonts w:hint="eastAsia"/>
                <w:color w:val="auto"/>
                <w:sz w:val="24"/>
                <w:szCs w:val="28"/>
                <w:lang w:val="en-US" w:eastAsia="zh-CN"/>
              </w:rPr>
              <w:t>（6）</w:t>
            </w:r>
            <w:r>
              <w:rPr>
                <w:rFonts w:hint="eastAsia"/>
                <w:color w:val="auto"/>
                <w:sz w:val="24"/>
                <w:szCs w:val="28"/>
                <w:lang w:eastAsia="zh-CN"/>
              </w:rPr>
              <w:t>燃烧炉渣</w:t>
            </w:r>
          </w:p>
          <w:p w14:paraId="19D2312F">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燃烧</w:t>
            </w:r>
            <w:r>
              <w:rPr>
                <w:rFonts w:hint="default" w:ascii="Times New Roman" w:hAnsi="Times New Roman" w:eastAsia="宋体" w:cs="Times New Roman"/>
                <w:b w:val="0"/>
                <w:bCs w:val="0"/>
                <w:color w:val="auto"/>
                <w:sz w:val="24"/>
                <w:szCs w:val="24"/>
                <w:lang w:val="en-US" w:eastAsia="zh-CN"/>
              </w:rPr>
              <w:t>炉渣</w:t>
            </w:r>
            <w:r>
              <w:rPr>
                <w:rFonts w:hint="default" w:ascii="Times New Roman" w:hAnsi="Times New Roman" w:eastAsia="宋体" w:cs="Times New Roman"/>
                <w:b w:val="0"/>
                <w:bCs w:val="0"/>
                <w:color w:val="auto"/>
                <w:sz w:val="24"/>
                <w:szCs w:val="24"/>
              </w:rPr>
              <w:t>的产生量参照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锅炉产排污量核算系数手册</w:t>
            </w:r>
            <w:r>
              <w:rPr>
                <w:rFonts w:hint="default" w:ascii="Times New Roman" w:hAnsi="Times New Roman" w:eastAsia="宋体" w:cs="Times New Roman"/>
                <w:b w:val="0"/>
                <w:bCs w:val="0"/>
                <w:color w:val="auto"/>
                <w:sz w:val="24"/>
                <w:szCs w:val="24"/>
                <w:highlight w:val="none"/>
              </w:rPr>
              <w:t>》4430工业锅炉（热力生产和供应行业）产排污系数表-</w:t>
            </w:r>
            <w:r>
              <w:rPr>
                <w:rFonts w:hint="default" w:ascii="Times New Roman" w:hAnsi="Times New Roman" w:eastAsia="宋体" w:cs="Times New Roman"/>
                <w:b w:val="0"/>
                <w:bCs w:val="0"/>
                <w:color w:val="auto"/>
                <w:sz w:val="24"/>
                <w:szCs w:val="24"/>
                <w:highlight w:val="none"/>
                <w:lang w:val="en-US" w:eastAsia="zh-CN"/>
              </w:rPr>
              <w:t>工业固体废物中燃煤锅炉</w:t>
            </w:r>
            <w:r>
              <w:rPr>
                <w:rFonts w:hint="default" w:ascii="Times New Roman" w:hAnsi="Times New Roman" w:eastAsia="宋体" w:cs="Times New Roman"/>
                <w:b w:val="0"/>
                <w:bCs w:val="0"/>
                <w:color w:val="auto"/>
                <w:sz w:val="24"/>
                <w:szCs w:val="24"/>
                <w:highlight w:val="none"/>
              </w:rPr>
              <w:t>的产排污系数进行计算</w:t>
            </w:r>
            <w:r>
              <w:rPr>
                <w:rFonts w:hint="default" w:ascii="Times New Roman" w:hAnsi="Times New Roman" w:eastAsia="宋体" w:cs="Times New Roman"/>
                <w:b w:val="0"/>
                <w:bCs w:val="0"/>
                <w:color w:val="auto"/>
                <w:spacing w:val="6"/>
                <w:sz w:val="24"/>
                <w:szCs w:val="24"/>
                <w:highlight w:val="none"/>
              </w:rPr>
              <w:t>，</w:t>
            </w:r>
            <w:r>
              <w:rPr>
                <w:rFonts w:hint="default" w:ascii="Times New Roman" w:hAnsi="Times New Roman" w:eastAsia="宋体" w:cs="Times New Roman"/>
                <w:b w:val="0"/>
                <w:bCs w:val="0"/>
                <w:color w:val="auto"/>
                <w:sz w:val="24"/>
                <w:szCs w:val="24"/>
              </w:rPr>
              <w:t>炉渣产生量为1.0</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Akg/t燃料（A为灰分含量，项目使用的生物质燃料灰分为</w:t>
            </w:r>
            <w:r>
              <w:rPr>
                <w:rFonts w:hint="default" w:ascii="Times New Roman" w:hAnsi="Times New Roman" w:eastAsia="宋体" w:cs="Times New Roman"/>
                <w:b w:val="0"/>
                <w:bCs w:val="0"/>
                <w:color w:val="auto"/>
                <w:sz w:val="24"/>
                <w:szCs w:val="24"/>
                <w:lang w:val="en-US" w:eastAsia="zh-CN"/>
              </w:rPr>
              <w:t>2.94</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eastAsia="zh-CN"/>
              </w:rPr>
              <w:t>本</w:t>
            </w:r>
            <w:r>
              <w:rPr>
                <w:rFonts w:hint="default" w:ascii="Times New Roman" w:hAnsi="Times New Roman" w:eastAsia="宋体" w:cs="Times New Roman"/>
                <w:b w:val="0"/>
                <w:bCs w:val="0"/>
                <w:color w:val="auto"/>
                <w:sz w:val="24"/>
                <w:szCs w:val="24"/>
              </w:rPr>
              <w:t>项目</w:t>
            </w:r>
            <w:r>
              <w:rPr>
                <w:rFonts w:hint="default" w:ascii="Times New Roman" w:hAnsi="Times New Roman" w:eastAsia="宋体" w:cs="Times New Roman"/>
                <w:b w:val="0"/>
                <w:bCs w:val="0"/>
                <w:color w:val="auto"/>
                <w:sz w:val="24"/>
                <w:szCs w:val="24"/>
                <w:lang w:eastAsia="zh-CN"/>
              </w:rPr>
              <w:t>生产</w:t>
            </w:r>
            <w:r>
              <w:rPr>
                <w:rFonts w:hint="default" w:ascii="Times New Roman" w:hAnsi="Times New Roman" w:eastAsia="宋体" w:cs="Times New Roman"/>
                <w:b w:val="0"/>
                <w:bCs w:val="0"/>
                <w:color w:val="auto"/>
                <w:sz w:val="24"/>
                <w:szCs w:val="24"/>
                <w:lang w:val="en-US" w:eastAsia="zh-CN"/>
              </w:rPr>
              <w:t>过程</w:t>
            </w:r>
            <w:r>
              <w:rPr>
                <w:rFonts w:hint="default" w:ascii="Times New Roman" w:hAnsi="Times New Roman" w:eastAsia="宋体" w:cs="Times New Roman"/>
                <w:b w:val="0"/>
                <w:bCs w:val="0"/>
                <w:color w:val="auto"/>
                <w:sz w:val="24"/>
                <w:szCs w:val="24"/>
                <w:lang w:eastAsia="zh-CN"/>
              </w:rPr>
              <w:t>使用生物质作为燃料提供热量，</w:t>
            </w:r>
            <w:r>
              <w:rPr>
                <w:rFonts w:hint="default" w:ascii="Times New Roman" w:hAnsi="Times New Roman" w:eastAsia="宋体" w:cs="Times New Roman"/>
                <w:b w:val="0"/>
                <w:bCs w:val="0"/>
                <w:color w:val="auto"/>
                <w:sz w:val="24"/>
                <w:szCs w:val="24"/>
              </w:rPr>
              <w:t>生物质燃料用量</w:t>
            </w:r>
            <w:r>
              <w:rPr>
                <w:rFonts w:hint="default" w:ascii="Times New Roman" w:hAnsi="Times New Roman" w:eastAsia="宋体" w:cs="Times New Roman"/>
                <w:b w:val="0"/>
                <w:bCs w:val="0"/>
                <w:color w:val="auto"/>
                <w:sz w:val="24"/>
                <w:szCs w:val="24"/>
                <w:lang w:eastAsia="zh-CN"/>
              </w:rPr>
              <w:t>为</w:t>
            </w:r>
            <w:r>
              <w:rPr>
                <w:rFonts w:hint="eastAsia" w:cs="Times New Roman"/>
                <w:color w:val="auto"/>
                <w:sz w:val="24"/>
                <w:szCs w:val="24"/>
                <w:highlight w:val="none"/>
                <w:lang w:val="en-US" w:eastAsia="zh-CN"/>
              </w:rPr>
              <w:t>6711.6788</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b w:val="0"/>
                <w:bCs w:val="0"/>
                <w:color w:val="auto"/>
                <w:sz w:val="24"/>
                <w:szCs w:val="24"/>
              </w:rPr>
              <w:t>，则项目炉渣产生量为</w:t>
            </w:r>
            <w:r>
              <w:rPr>
                <w:rFonts w:hint="eastAsia" w:cs="Times New Roman"/>
                <w:b w:val="0"/>
                <w:bCs w:val="0"/>
                <w:color w:val="auto"/>
                <w:sz w:val="24"/>
                <w:szCs w:val="24"/>
                <w:lang w:val="en-US" w:eastAsia="zh-CN"/>
              </w:rPr>
              <w:t>20.7190</w:t>
            </w:r>
            <w:r>
              <w:rPr>
                <w:rFonts w:hint="default" w:ascii="Times New Roman" w:hAnsi="Times New Roman" w:eastAsia="宋体" w:cs="Times New Roman"/>
                <w:b w:val="0"/>
                <w:bCs w:val="0"/>
                <w:color w:val="auto"/>
                <w:sz w:val="24"/>
                <w:szCs w:val="24"/>
              </w:rPr>
              <w:t>t/a，产生的锅炉炉渣</w:t>
            </w:r>
            <w:r>
              <w:rPr>
                <w:rFonts w:hint="default" w:ascii="Times New Roman" w:hAnsi="Times New Roman" w:eastAsia="宋体" w:cs="Times New Roman"/>
                <w:b w:val="0"/>
                <w:bCs w:val="0"/>
                <w:color w:val="auto"/>
                <w:sz w:val="24"/>
                <w:szCs w:val="24"/>
                <w:lang w:eastAsia="zh-CN"/>
              </w:rPr>
              <w:t>统一收集</w:t>
            </w:r>
            <w:r>
              <w:rPr>
                <w:rFonts w:hint="default" w:ascii="Times New Roman" w:hAnsi="Times New Roman" w:eastAsia="宋体" w:cs="Times New Roman"/>
                <w:b w:val="0"/>
                <w:bCs w:val="0"/>
                <w:color w:val="auto"/>
                <w:sz w:val="24"/>
                <w:szCs w:val="24"/>
                <w:lang w:val="en-US" w:eastAsia="zh-CN"/>
              </w:rPr>
              <w:t>袋装后暂存于锅炉房内，再</w:t>
            </w:r>
            <w:r>
              <w:rPr>
                <w:rFonts w:hint="default" w:ascii="Times New Roman" w:hAnsi="Times New Roman" w:eastAsia="宋体" w:cs="Times New Roman"/>
                <w:color w:val="auto"/>
                <w:sz w:val="24"/>
              </w:rPr>
              <w:t>外售</w:t>
            </w:r>
            <w:r>
              <w:rPr>
                <w:rFonts w:hint="default" w:ascii="Times New Roman" w:hAnsi="Times New Roman" w:eastAsia="宋体" w:cs="Times New Roman"/>
                <w:color w:val="auto"/>
                <w:sz w:val="24"/>
                <w:lang w:val="en-US" w:eastAsia="zh-CN"/>
              </w:rPr>
              <w:t>给</w:t>
            </w:r>
            <w:r>
              <w:rPr>
                <w:rFonts w:hint="default" w:ascii="Times New Roman" w:hAnsi="Times New Roman" w:eastAsia="宋体" w:cs="Times New Roman"/>
                <w:color w:val="auto"/>
                <w:sz w:val="24"/>
              </w:rPr>
              <w:t>建材生产企业</w:t>
            </w:r>
            <w:r>
              <w:rPr>
                <w:rFonts w:hint="default" w:ascii="Times New Roman" w:hAnsi="Times New Roman" w:eastAsia="宋体" w:cs="Times New Roman"/>
                <w:color w:val="auto"/>
                <w:sz w:val="24"/>
                <w:lang w:val="en-US" w:eastAsia="zh-CN"/>
              </w:rPr>
              <w:t>进行使用。</w:t>
            </w:r>
          </w:p>
          <w:p w14:paraId="004B0245">
            <w:pPr>
              <w:adjustRightInd w:val="0"/>
              <w:snapToGrid w:val="0"/>
              <w:spacing w:line="360" w:lineRule="auto"/>
              <w:ind w:firstLine="480" w:firstLineChars="200"/>
              <w:rPr>
                <w:b/>
                <w:bCs/>
                <w:color w:val="auto"/>
                <w:sz w:val="24"/>
              </w:rPr>
            </w:pPr>
            <w:r>
              <w:rPr>
                <w:rFonts w:hint="eastAsia"/>
                <w:color w:val="auto"/>
                <w:sz w:val="24"/>
                <w:lang w:eastAsia="zh-CN"/>
              </w:rPr>
              <w:t>（</w:t>
            </w:r>
            <w:r>
              <w:rPr>
                <w:rFonts w:hint="eastAsia"/>
                <w:color w:val="auto"/>
                <w:sz w:val="24"/>
                <w:lang w:val="en-US" w:eastAsia="zh-CN"/>
              </w:rPr>
              <w:t>7</w:t>
            </w:r>
            <w:r>
              <w:rPr>
                <w:rFonts w:hint="eastAsia"/>
                <w:color w:val="auto"/>
                <w:sz w:val="24"/>
                <w:lang w:eastAsia="zh-CN"/>
              </w:rPr>
              <w:t>）</w:t>
            </w:r>
            <w:r>
              <w:rPr>
                <w:rFonts w:hint="eastAsia"/>
                <w:color w:val="auto"/>
                <w:sz w:val="24"/>
              </w:rPr>
              <w:t>废油、废水处理系统污泥</w:t>
            </w:r>
          </w:p>
          <w:p w14:paraId="17E0CD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szCs w:val="24"/>
              </w:rPr>
            </w:pPr>
            <w:r>
              <w:rPr>
                <w:rFonts w:hint="eastAsia"/>
                <w:color w:val="auto"/>
                <w:sz w:val="24"/>
                <w:szCs w:val="24"/>
              </w:rPr>
              <w:t>根据《集中式污染治理设施产排污系数手册（2010修订）》，污水</w:t>
            </w:r>
            <w:r>
              <w:rPr>
                <w:rFonts w:hint="eastAsia"/>
                <w:color w:val="auto"/>
                <w:sz w:val="24"/>
                <w:szCs w:val="24"/>
                <w:lang w:eastAsia="zh-CN"/>
              </w:rPr>
              <w:t>预</w:t>
            </w:r>
            <w:r>
              <w:rPr>
                <w:rFonts w:hint="eastAsia"/>
                <w:color w:val="auto"/>
                <w:sz w:val="24"/>
                <w:szCs w:val="24"/>
              </w:rPr>
              <w:t>处理</w:t>
            </w:r>
            <w:r>
              <w:rPr>
                <w:rFonts w:hint="eastAsia"/>
                <w:color w:val="auto"/>
                <w:sz w:val="24"/>
                <w:szCs w:val="24"/>
                <w:lang w:eastAsia="zh-CN"/>
              </w:rPr>
              <w:t>设施废油、</w:t>
            </w:r>
            <w:r>
              <w:rPr>
                <w:rFonts w:hint="eastAsia"/>
                <w:color w:val="auto"/>
                <w:sz w:val="24"/>
                <w:szCs w:val="24"/>
              </w:rPr>
              <w:t>污泥产生量按照6.63t/万t废水处理量计算，项目污水处理废水量为</w:t>
            </w:r>
            <w:r>
              <w:rPr>
                <w:rFonts w:hint="default" w:ascii="Times New Roman" w:hAnsi="Times New Roman" w:eastAsia="宋体" w:cs="Times New Roman"/>
                <w:i w:val="0"/>
                <w:iCs w:val="0"/>
                <w:color w:val="auto"/>
                <w:kern w:val="0"/>
                <w:sz w:val="24"/>
                <w:szCs w:val="24"/>
                <w:u w:val="none"/>
                <w:lang w:val="en-US" w:eastAsia="zh-CN" w:bidi="ar"/>
              </w:rPr>
              <w:t>5575.5791</w:t>
            </w:r>
            <w:r>
              <w:rPr>
                <w:rFonts w:hint="eastAsia"/>
                <w:color w:val="auto"/>
                <w:sz w:val="24"/>
                <w:szCs w:val="24"/>
              </w:rPr>
              <w:t>m</w:t>
            </w:r>
            <w:r>
              <w:rPr>
                <w:rFonts w:hint="eastAsia"/>
                <w:color w:val="auto"/>
                <w:sz w:val="24"/>
                <w:szCs w:val="24"/>
                <w:vertAlign w:val="superscript"/>
              </w:rPr>
              <w:t>3</w:t>
            </w:r>
            <w:r>
              <w:rPr>
                <w:rFonts w:hint="eastAsia"/>
                <w:color w:val="auto"/>
                <w:sz w:val="24"/>
                <w:szCs w:val="24"/>
              </w:rPr>
              <w:t>/a，则污泥产生量约为</w:t>
            </w:r>
            <w:r>
              <w:rPr>
                <w:rFonts w:hint="eastAsia"/>
                <w:color w:val="auto"/>
                <w:sz w:val="24"/>
                <w:szCs w:val="24"/>
                <w:lang w:val="en-US" w:eastAsia="zh-CN"/>
              </w:rPr>
              <w:t>3.6966</w:t>
            </w:r>
            <w:r>
              <w:rPr>
                <w:rFonts w:hint="eastAsia"/>
                <w:color w:val="auto"/>
                <w:sz w:val="24"/>
                <w:szCs w:val="24"/>
              </w:rPr>
              <w:t>t/a。</w:t>
            </w:r>
          </w:p>
          <w:p w14:paraId="7391C6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8"/>
                <w:lang w:eastAsia="zh-CN"/>
              </w:rPr>
            </w:pPr>
            <w:r>
              <w:rPr>
                <w:rFonts w:hint="eastAsia"/>
                <w:color w:val="auto"/>
                <w:sz w:val="24"/>
                <w:lang w:bidi="ar"/>
              </w:rPr>
              <w:t>废油</w:t>
            </w:r>
            <w:r>
              <w:rPr>
                <w:rFonts w:hint="eastAsia"/>
                <w:color w:val="auto"/>
                <w:sz w:val="24"/>
                <w:lang w:eastAsia="zh-CN" w:bidi="ar"/>
              </w:rPr>
              <w:t>、污泥</w:t>
            </w:r>
            <w:r>
              <w:rPr>
                <w:color w:val="auto"/>
                <w:kern w:val="0"/>
                <w:sz w:val="24"/>
                <w:lang w:bidi="ar"/>
              </w:rPr>
              <w:t>委托</w:t>
            </w:r>
            <w:r>
              <w:rPr>
                <w:rFonts w:hint="eastAsia"/>
                <w:color w:val="auto"/>
                <w:kern w:val="0"/>
                <w:sz w:val="24"/>
                <w:lang w:bidi="ar"/>
              </w:rPr>
              <w:t>有资质的单位</w:t>
            </w:r>
            <w:r>
              <w:rPr>
                <w:color w:val="auto"/>
                <w:kern w:val="0"/>
                <w:sz w:val="24"/>
                <w:lang w:bidi="ar"/>
              </w:rPr>
              <w:t>定期清运处置</w:t>
            </w:r>
            <w:r>
              <w:rPr>
                <w:rFonts w:hint="eastAsia"/>
                <w:color w:val="auto"/>
                <w:kern w:val="0"/>
                <w:sz w:val="24"/>
                <w:lang w:bidi="ar"/>
              </w:rPr>
              <w:t>，</w:t>
            </w:r>
            <w:r>
              <w:rPr>
                <w:rFonts w:hint="eastAsia"/>
                <w:color w:val="auto"/>
                <w:sz w:val="24"/>
                <w:lang w:bidi="ar"/>
              </w:rPr>
              <w:t>对环境影响较小</w:t>
            </w:r>
            <w:r>
              <w:rPr>
                <w:color w:val="auto"/>
                <w:sz w:val="24"/>
                <w:lang w:bidi="ar"/>
              </w:rPr>
              <w:t>。</w:t>
            </w:r>
          </w:p>
          <w:p w14:paraId="5B5E66A4">
            <w:pPr>
              <w:spacing w:line="360" w:lineRule="auto"/>
              <w:ind w:firstLine="480" w:firstLineChars="200"/>
              <w:rPr>
                <w:rFonts w:hint="eastAsia"/>
                <w:color w:val="auto"/>
                <w:sz w:val="24"/>
                <w:szCs w:val="28"/>
                <w:lang w:eastAsia="zh-CN"/>
              </w:rPr>
            </w:pPr>
            <w:r>
              <w:rPr>
                <w:rFonts w:hint="eastAsia"/>
                <w:color w:val="auto"/>
                <w:sz w:val="24"/>
                <w:szCs w:val="28"/>
                <w:lang w:eastAsia="zh-CN"/>
              </w:rPr>
              <w:t>（</w:t>
            </w:r>
            <w:r>
              <w:rPr>
                <w:rFonts w:hint="eastAsia"/>
                <w:color w:val="auto"/>
                <w:sz w:val="24"/>
                <w:szCs w:val="28"/>
                <w:lang w:val="en-US" w:eastAsia="zh-CN"/>
              </w:rPr>
              <w:t>8</w:t>
            </w:r>
            <w:r>
              <w:rPr>
                <w:rFonts w:hint="eastAsia"/>
                <w:color w:val="auto"/>
                <w:sz w:val="24"/>
                <w:szCs w:val="28"/>
                <w:lang w:eastAsia="zh-CN"/>
              </w:rPr>
              <w:t>）脂肪酸</w:t>
            </w:r>
          </w:p>
          <w:p w14:paraId="77540A3E">
            <w:pPr>
              <w:spacing w:line="360" w:lineRule="auto"/>
              <w:ind w:firstLine="412" w:firstLineChars="200"/>
              <w:rPr>
                <w:color w:val="auto"/>
                <w:sz w:val="24"/>
                <w:szCs w:val="28"/>
              </w:rPr>
            </w:pPr>
            <w:r>
              <w:rPr>
                <w:rFonts w:hint="eastAsia" w:ascii="宋体" w:hAnsi="宋体" w:cs="宋体"/>
                <w:color w:val="auto"/>
                <w:spacing w:val="-17"/>
                <w:sz w:val="24"/>
                <w:lang w:eastAsia="zh-CN"/>
              </w:rPr>
              <w:t>脱酸脱臭废气经过</w:t>
            </w:r>
            <w:r>
              <w:rPr>
                <w:rFonts w:hint="eastAsia"/>
                <w:color w:val="auto"/>
                <w:sz w:val="24"/>
              </w:rPr>
              <w:t>回收装置（脱臭塔（</w:t>
            </w:r>
            <w:r>
              <w:rPr>
                <w:rFonts w:hint="eastAsia"/>
                <w:bCs/>
                <w:color w:val="auto"/>
                <w:sz w:val="24"/>
              </w:rPr>
              <w:t>脱臭塔由捕集器+冷凝罐组成</w:t>
            </w:r>
            <w:r>
              <w:rPr>
                <w:rFonts w:hint="eastAsia"/>
                <w:color w:val="auto"/>
                <w:sz w:val="24"/>
              </w:rPr>
              <w:t>）、脂肪酸捕集器、气液分离器）</w:t>
            </w:r>
            <w:r>
              <w:rPr>
                <w:rFonts w:hint="eastAsia"/>
                <w:color w:val="auto"/>
                <w:sz w:val="24"/>
                <w:lang w:eastAsia="zh-CN"/>
              </w:rPr>
              <w:t>处理后，</w:t>
            </w:r>
            <w:r>
              <w:rPr>
                <w:rFonts w:hint="eastAsia"/>
                <w:bCs/>
                <w:color w:val="auto"/>
                <w:sz w:val="24"/>
              </w:rPr>
              <w:t>回收后的脂肪酸</w:t>
            </w:r>
            <w:r>
              <w:rPr>
                <w:rFonts w:hint="eastAsia"/>
                <w:bCs/>
                <w:color w:val="auto"/>
                <w:sz w:val="24"/>
                <w:lang w:eastAsia="zh-CN"/>
              </w:rPr>
              <w:t>（</w:t>
            </w:r>
            <w:r>
              <w:rPr>
                <w:rFonts w:hint="eastAsia"/>
                <w:bCs/>
                <w:color w:val="auto"/>
                <w:sz w:val="24"/>
                <w:lang w:val="en-US" w:eastAsia="zh-CN"/>
              </w:rPr>
              <w:t>99%</w:t>
            </w:r>
            <w:r>
              <w:rPr>
                <w:rFonts w:hint="eastAsia"/>
                <w:bCs/>
                <w:color w:val="auto"/>
                <w:sz w:val="24"/>
                <w:lang w:eastAsia="zh-CN"/>
              </w:rPr>
              <w:t>）外售，根据业主提供资料脂肪酸产生量为</w:t>
            </w:r>
            <w:r>
              <w:rPr>
                <w:rFonts w:hint="eastAsia"/>
                <w:bCs/>
                <w:color w:val="auto"/>
                <w:sz w:val="24"/>
                <w:lang w:val="en-US" w:eastAsia="zh-CN"/>
              </w:rPr>
              <w:t>20kg/产品，因此脂肪酸产生量为80t/a。</w:t>
            </w:r>
          </w:p>
          <w:p w14:paraId="2D27E53A">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14:paraId="73A41B0A">
            <w:pPr>
              <w:pStyle w:val="78"/>
              <w:keepNext w:val="0"/>
              <w:keepLines w:val="0"/>
              <w:pageBreakBefore w:val="0"/>
              <w:widowControl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14:paraId="691C3340">
            <w:pPr>
              <w:pStyle w:val="78"/>
              <w:keepNext w:val="0"/>
              <w:keepLines w:val="0"/>
              <w:pageBreakBefore w:val="0"/>
              <w:widowControl w:val="0"/>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0人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eastAsia"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rPr>
              <w:t>kg/d，</w:t>
            </w:r>
            <w:r>
              <w:rPr>
                <w:rFonts w:hint="eastAsia"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14:paraId="47C2D5E6">
            <w:pPr>
              <w:pStyle w:val="78"/>
              <w:keepNext w:val="0"/>
              <w:keepLines w:val="0"/>
              <w:pageBreakBefore w:val="0"/>
              <w:numPr>
                <w:ilvl w:val="0"/>
                <w:numId w:val="0"/>
              </w:numP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14:paraId="74C8CF5E">
            <w:pPr>
              <w:pStyle w:val="57"/>
              <w:keepNext w:val="0"/>
              <w:keepLines w:val="0"/>
              <w:pageBreakBefore w:val="0"/>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rPr>
              <w:t>人/d，则产生餐厨垃圾为</w:t>
            </w:r>
            <w:r>
              <w:rPr>
                <w:rFonts w:hint="eastAsia"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rPr>
              <w:t>kg/d，</w:t>
            </w:r>
            <w:r>
              <w:rPr>
                <w:rFonts w:hint="eastAsia" w:eastAsia="宋体"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14:paraId="7384BCEB">
            <w:pPr>
              <w:pStyle w:val="78"/>
              <w:keepNext w:val="0"/>
              <w:keepLines w:val="0"/>
              <w:pageBreakBefore w:val="0"/>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14:paraId="3CAE99C1">
            <w:pPr>
              <w:keepNext w:val="0"/>
              <w:keepLines w:val="0"/>
              <w:pageBreakBefore w:val="0"/>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14:paraId="1EBE5A7E">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Style w:val="93"/>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3"/>
                <w:rFonts w:hint="default" w:ascii="Times New Roman" w:hAnsi="Times New Roman" w:eastAsia="宋体" w:cs="Times New Roman"/>
                <w:color w:val="auto"/>
                <w:spacing w:val="0"/>
                <w:sz w:val="24"/>
                <w:szCs w:val="24"/>
                <w:highlight w:val="none"/>
              </w:rPr>
              <w:t>。</w:t>
            </w:r>
          </w:p>
          <w:p w14:paraId="58130B03">
            <w:pPr>
              <w:adjustRightInd w:val="0"/>
              <w:snapToGrid w:val="0"/>
              <w:spacing w:line="360" w:lineRule="auto"/>
              <w:ind w:firstLine="480" w:firstLineChars="200"/>
              <w:jc w:val="left"/>
              <w:rPr>
                <w:color w:val="auto"/>
                <w:sz w:val="24"/>
                <w:szCs w:val="28"/>
              </w:rPr>
            </w:pPr>
            <w:r>
              <w:rPr>
                <w:rFonts w:hint="eastAsia" w:eastAsia="宋体" w:cs="Times New Roman"/>
                <w:color w:val="auto"/>
                <w:sz w:val="24"/>
                <w:szCs w:val="24"/>
                <w:highlight w:val="none"/>
                <w:lang w:val="en-US" w:eastAsia="zh-CN"/>
              </w:rPr>
              <w:t>（2）</w:t>
            </w:r>
            <w:r>
              <w:rPr>
                <w:rFonts w:hint="eastAsia"/>
                <w:color w:val="auto"/>
                <w:sz w:val="24"/>
                <w:szCs w:val="28"/>
              </w:rPr>
              <w:t>废导热油</w:t>
            </w:r>
          </w:p>
          <w:p w14:paraId="404DD55E">
            <w:p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color w:val="auto"/>
                <w:sz w:val="24"/>
              </w:rPr>
              <w:t>本项目导热油用量为2.0t/a，导热油经不断加热循环使用后会变质，每5年更换一次，则废导热油产生量为0.4t/a，</w:t>
            </w:r>
            <w:r>
              <w:rPr>
                <w:color w:val="auto"/>
                <w:kern w:val="0"/>
                <w:sz w:val="24"/>
                <w:lang w:bidi="ar"/>
              </w:rPr>
              <w:t>根据《国家危险废物名录》(</w:t>
            </w:r>
            <w:r>
              <w:rPr>
                <w:rFonts w:hint="eastAsia"/>
                <w:color w:val="auto"/>
                <w:kern w:val="0"/>
                <w:sz w:val="24"/>
                <w:lang w:bidi="ar"/>
              </w:rPr>
              <w:t>2021年</w:t>
            </w:r>
            <w:r>
              <w:rPr>
                <w:color w:val="auto"/>
                <w:kern w:val="0"/>
                <w:sz w:val="24"/>
                <w:lang w:bidi="ar"/>
              </w:rPr>
              <w:t>版)，</w:t>
            </w:r>
            <w:r>
              <w:rPr>
                <w:rFonts w:hint="eastAsia"/>
                <w:color w:val="auto"/>
                <w:kern w:val="0"/>
                <w:sz w:val="24"/>
                <w:lang w:bidi="ar"/>
              </w:rPr>
              <w:t>废导热油属于危险废物，</w:t>
            </w:r>
            <w:r>
              <w:rPr>
                <w:rFonts w:hint="eastAsia"/>
                <w:color w:val="auto"/>
                <w:sz w:val="24"/>
              </w:rPr>
              <w:t>废物类别</w:t>
            </w:r>
            <w:r>
              <w:rPr>
                <w:color w:val="auto"/>
                <w:sz w:val="24"/>
              </w:rPr>
              <w:t>为HW</w:t>
            </w:r>
            <w:r>
              <w:rPr>
                <w:rFonts w:hint="eastAsia"/>
                <w:color w:val="auto"/>
                <w:sz w:val="24"/>
              </w:rPr>
              <w:t>08，废物代码为</w:t>
            </w:r>
            <w:r>
              <w:rPr>
                <w:color w:val="auto"/>
                <w:sz w:val="24"/>
              </w:rPr>
              <w:t>900-</w:t>
            </w:r>
            <w:r>
              <w:rPr>
                <w:rFonts w:hint="eastAsia"/>
                <w:color w:val="auto"/>
                <w:sz w:val="24"/>
              </w:rPr>
              <w:t>249</w:t>
            </w:r>
            <w:r>
              <w:rPr>
                <w:color w:val="auto"/>
                <w:sz w:val="24"/>
              </w:rPr>
              <w:t>-</w:t>
            </w:r>
            <w:r>
              <w:rPr>
                <w:rFonts w:hint="eastAsia"/>
                <w:color w:val="auto"/>
                <w:sz w:val="24"/>
              </w:rPr>
              <w:t>08</w:t>
            </w:r>
            <w:r>
              <w:rPr>
                <w:color w:val="auto"/>
                <w:sz w:val="24"/>
                <w:lang w:bidi="ar"/>
              </w:rPr>
              <w:t>“</w:t>
            </w:r>
            <w:r>
              <w:rPr>
                <w:rFonts w:hint="eastAsia"/>
                <w:color w:val="auto"/>
                <w:sz w:val="24"/>
                <w:lang w:bidi="ar"/>
              </w:rPr>
              <w:t>其他生产、销售、使用过程中产生的废矿物油及沾染矿物油的废弃包装物</w:t>
            </w:r>
            <w:r>
              <w:rPr>
                <w:color w:val="auto"/>
                <w:sz w:val="24"/>
                <w:lang w:bidi="ar"/>
              </w:rPr>
              <w:t>”，</w:t>
            </w:r>
            <w:r>
              <w:rPr>
                <w:rFonts w:hint="eastAsia"/>
                <w:color w:val="auto"/>
                <w:sz w:val="24"/>
                <w:lang w:bidi="ar"/>
              </w:rPr>
              <w:t>废导热油</w:t>
            </w:r>
            <w:r>
              <w:rPr>
                <w:color w:val="auto"/>
                <w:sz w:val="24"/>
                <w:lang w:bidi="ar"/>
              </w:rPr>
              <w:t>经专用收集容器收集后暂存于危废暂存间</w:t>
            </w:r>
            <w:r>
              <w:rPr>
                <w:rFonts w:hint="eastAsia"/>
                <w:color w:val="auto"/>
                <w:sz w:val="24"/>
                <w:lang w:bidi="ar"/>
              </w:rPr>
              <w:t>，</w:t>
            </w:r>
            <w:r>
              <w:rPr>
                <w:color w:val="auto"/>
                <w:kern w:val="0"/>
                <w:sz w:val="24"/>
                <w:lang w:bidi="ar"/>
              </w:rPr>
              <w:t>委托</w:t>
            </w:r>
            <w:r>
              <w:rPr>
                <w:rFonts w:hint="eastAsia"/>
                <w:color w:val="auto"/>
                <w:kern w:val="0"/>
                <w:sz w:val="24"/>
                <w:lang w:bidi="ar"/>
              </w:rPr>
              <w:t>有资质的单位</w:t>
            </w:r>
            <w:r>
              <w:rPr>
                <w:color w:val="auto"/>
                <w:kern w:val="0"/>
                <w:sz w:val="24"/>
                <w:lang w:bidi="ar"/>
              </w:rPr>
              <w:t>定期清运处置</w:t>
            </w:r>
            <w:r>
              <w:rPr>
                <w:rFonts w:hint="eastAsia"/>
                <w:color w:val="auto"/>
                <w:kern w:val="0"/>
                <w:sz w:val="24"/>
                <w:lang w:bidi="ar"/>
              </w:rPr>
              <w:t>，</w:t>
            </w:r>
            <w:r>
              <w:rPr>
                <w:rFonts w:hint="eastAsia"/>
                <w:color w:val="auto"/>
                <w:sz w:val="24"/>
                <w:lang w:bidi="ar"/>
              </w:rPr>
              <w:t>对环境影响较小</w:t>
            </w:r>
            <w:r>
              <w:rPr>
                <w:color w:val="auto"/>
                <w:sz w:val="24"/>
                <w:lang w:bidi="ar"/>
              </w:rPr>
              <w:t>。</w:t>
            </w:r>
          </w:p>
          <w:p w14:paraId="1D590C5B">
            <w:pPr>
              <w:pStyle w:val="57"/>
              <w:keepNext w:val="0"/>
              <w:keepLines w:val="0"/>
              <w:pageBreakBefore w:val="0"/>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14:paraId="4803B04D">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z w:val="24"/>
                <w:szCs w:val="24"/>
                <w:highlight w:val="none"/>
              </w:rPr>
              <w:t>《危险废物贮存污染控制标准》（GB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w:t>
            </w:r>
            <w:r>
              <w:rPr>
                <w:rFonts w:hint="eastAsia" w:cs="Times New Roman"/>
                <w:b w:val="0"/>
                <w:bCs/>
                <w:color w:val="auto"/>
                <w:kern w:val="0"/>
                <w:sz w:val="24"/>
                <w:szCs w:val="24"/>
                <w:highlight w:val="none"/>
                <w:lang w:eastAsia="zh-CN"/>
              </w:rPr>
              <w:t>相应的记录</w:t>
            </w:r>
            <w:r>
              <w:rPr>
                <w:rFonts w:hint="default" w:ascii="Times New Roman" w:hAnsi="Times New Roman" w:eastAsia="宋体" w:cs="Times New Roman"/>
                <w:b w:val="0"/>
                <w:bCs/>
                <w:color w:val="auto"/>
                <w:kern w:val="0"/>
                <w:sz w:val="24"/>
                <w:szCs w:val="24"/>
                <w:highlight w:val="none"/>
              </w:rPr>
              <w:t>。对相应的暂存场建设基础防渗设施、防风、防雨、防晒并配备照明设施等，并与厂区内其它生产单元、办公生活区严格区分、单独隔离。对危险废物的转移处理须严格按照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14:paraId="114C2149">
            <w:pPr>
              <w:pStyle w:val="24"/>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14:paraId="0C62C89C">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4-2</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6"/>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3"/>
              <w:gridCol w:w="1330"/>
              <w:gridCol w:w="900"/>
              <w:gridCol w:w="820"/>
              <w:gridCol w:w="3626"/>
              <w:gridCol w:w="748"/>
            </w:tblGrid>
            <w:tr w14:paraId="6DA37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14:paraId="6B7BA1C5">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330" w:type="dxa"/>
                  <w:tcBorders>
                    <w:tl2br w:val="nil"/>
                    <w:tr2bl w:val="nil"/>
                  </w:tcBorders>
                  <w:noWrap w:val="0"/>
                  <w:vAlign w:val="center"/>
                </w:tcPr>
                <w:p w14:paraId="4F1DD6CB">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14:paraId="5CEC998B">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820" w:type="dxa"/>
                  <w:tcBorders>
                    <w:tl2br w:val="nil"/>
                    <w:tr2bl w:val="nil"/>
                  </w:tcBorders>
                  <w:noWrap w:val="0"/>
                  <w:vAlign w:val="center"/>
                </w:tcPr>
                <w:p w14:paraId="2562CB71">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626" w:type="dxa"/>
                  <w:tcBorders>
                    <w:tl2br w:val="nil"/>
                    <w:tr2bl w:val="nil"/>
                  </w:tcBorders>
                  <w:noWrap w:val="0"/>
                  <w:vAlign w:val="center"/>
                </w:tcPr>
                <w:p w14:paraId="5162FB9E">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14:paraId="19F7213C">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14:paraId="4294F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14:paraId="287839E2">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330" w:type="dxa"/>
                  <w:tcBorders>
                    <w:tl2br w:val="nil"/>
                    <w:tr2bl w:val="nil"/>
                  </w:tcBorders>
                  <w:noWrap w:val="0"/>
                  <w:vAlign w:val="center"/>
                </w:tcPr>
                <w:p w14:paraId="1295314C">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14:paraId="2C0FA7DF">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820" w:type="dxa"/>
                  <w:tcBorders>
                    <w:tl2br w:val="nil"/>
                    <w:tr2bl w:val="nil"/>
                  </w:tcBorders>
                  <w:noWrap w:val="0"/>
                  <w:vAlign w:val="center"/>
                </w:tcPr>
                <w:p w14:paraId="1F7E45F4">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626" w:type="dxa"/>
                  <w:tcBorders>
                    <w:tl2br w:val="nil"/>
                    <w:tr2bl w:val="nil"/>
                  </w:tcBorders>
                  <w:noWrap w:val="0"/>
                  <w:vAlign w:val="center"/>
                </w:tcPr>
                <w:p w14:paraId="636D1F2A">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14:paraId="065A7751">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14:paraId="02CE4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14:paraId="7BE7EEA1">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30" w:type="dxa"/>
                  <w:tcBorders>
                    <w:tl2br w:val="nil"/>
                    <w:tr2bl w:val="nil"/>
                  </w:tcBorders>
                  <w:noWrap w:val="0"/>
                  <w:vAlign w:val="center"/>
                </w:tcPr>
                <w:p w14:paraId="16C71D53">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14:paraId="3DF8E6A1">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820" w:type="dxa"/>
                  <w:tcBorders>
                    <w:tl2br w:val="nil"/>
                    <w:tr2bl w:val="nil"/>
                  </w:tcBorders>
                  <w:noWrap w:val="0"/>
                  <w:vAlign w:val="center"/>
                </w:tcPr>
                <w:p w14:paraId="417B42F9">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626" w:type="dxa"/>
                  <w:tcBorders>
                    <w:tl2br w:val="nil"/>
                    <w:tr2bl w:val="nil"/>
                  </w:tcBorders>
                  <w:noWrap w:val="0"/>
                  <w:vAlign w:val="center"/>
                </w:tcPr>
                <w:p w14:paraId="361BAFF9">
                  <w:pP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14:paraId="47C0BA56">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r w14:paraId="47B27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093" w:type="dxa"/>
                  <w:tcBorders>
                    <w:tl2br w:val="nil"/>
                    <w:tr2bl w:val="nil"/>
                  </w:tcBorders>
                  <w:noWrap w:val="0"/>
                  <w:vAlign w:val="center"/>
                </w:tcPr>
                <w:p w14:paraId="6CCE858E">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废导热油</w:t>
                  </w:r>
                </w:p>
              </w:tc>
              <w:tc>
                <w:tcPr>
                  <w:tcW w:w="1330" w:type="dxa"/>
                  <w:tcBorders>
                    <w:tl2br w:val="nil"/>
                    <w:tr2bl w:val="nil"/>
                  </w:tcBorders>
                  <w:noWrap w:val="0"/>
                  <w:vAlign w:val="center"/>
                </w:tcPr>
                <w:p w14:paraId="75CE279F">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spacing w:val="0"/>
                      <w:kern w:val="2"/>
                      <w:sz w:val="21"/>
                      <w:szCs w:val="21"/>
                      <w:highlight w:val="none"/>
                      <w:lang w:val="en-US" w:eastAsia="zh-CN" w:bidi="ar-SA"/>
                    </w:rPr>
                  </w:pPr>
                  <w:r>
                    <w:rPr>
                      <w:rFonts w:hint="default" w:ascii="Times New Roman" w:hAnsi="Times New Roman" w:eastAsia="宋体" w:cs="Times New Roman"/>
                      <w:snapToGrid/>
                      <w:color w:val="auto"/>
                      <w:spacing w:val="0"/>
                      <w:kern w:val="2"/>
                      <w:sz w:val="21"/>
                      <w:szCs w:val="21"/>
                      <w:highlight w:val="none"/>
                      <w:lang w:val="en-US" w:eastAsia="zh-CN" w:bidi="ar-SA"/>
                    </w:rPr>
                    <w:t>HW08废矿物油</w:t>
                  </w:r>
                </w:p>
              </w:tc>
              <w:tc>
                <w:tcPr>
                  <w:tcW w:w="900" w:type="dxa"/>
                  <w:tcBorders>
                    <w:tl2br w:val="nil"/>
                    <w:tr2bl w:val="nil"/>
                  </w:tcBorders>
                  <w:noWrap w:val="0"/>
                  <w:vAlign w:val="center"/>
                </w:tcPr>
                <w:p w14:paraId="3F24B04E">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spacing w:val="0"/>
                      <w:kern w:val="2"/>
                      <w:sz w:val="21"/>
                      <w:szCs w:val="21"/>
                      <w:highlight w:val="none"/>
                      <w:lang w:val="en-US" w:eastAsia="zh-CN" w:bidi="ar-SA"/>
                    </w:rPr>
                  </w:pPr>
                  <w:r>
                    <w:rPr>
                      <w:rFonts w:hint="default" w:ascii="Times New Roman" w:hAnsi="Times New Roman" w:eastAsia="宋体" w:cs="Times New Roman"/>
                      <w:snapToGrid/>
                      <w:color w:val="auto"/>
                      <w:spacing w:val="0"/>
                      <w:kern w:val="2"/>
                      <w:sz w:val="21"/>
                      <w:szCs w:val="21"/>
                      <w:highlight w:val="none"/>
                      <w:lang w:val="en-US" w:eastAsia="zh-CN" w:bidi="ar-SA"/>
                    </w:rPr>
                    <w:t>非特定行业</w:t>
                  </w:r>
                </w:p>
              </w:tc>
              <w:tc>
                <w:tcPr>
                  <w:tcW w:w="820" w:type="dxa"/>
                  <w:tcBorders>
                    <w:tl2br w:val="nil"/>
                    <w:tr2bl w:val="nil"/>
                  </w:tcBorders>
                  <w:noWrap w:val="0"/>
                  <w:vAlign w:val="center"/>
                </w:tcPr>
                <w:p w14:paraId="279A19A1">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color w:val="auto"/>
                      <w:spacing w:val="0"/>
                      <w:kern w:val="2"/>
                      <w:sz w:val="21"/>
                      <w:szCs w:val="21"/>
                      <w:highlight w:val="none"/>
                      <w:lang w:val="en-US" w:eastAsia="zh-CN" w:bidi="ar-SA"/>
                    </w:rPr>
                  </w:pPr>
                  <w:r>
                    <w:rPr>
                      <w:rFonts w:hint="default" w:ascii="Times New Roman" w:hAnsi="Times New Roman" w:eastAsia="宋体" w:cs="Times New Roman"/>
                      <w:snapToGrid/>
                      <w:color w:val="auto"/>
                      <w:spacing w:val="0"/>
                      <w:kern w:val="2"/>
                      <w:sz w:val="21"/>
                      <w:szCs w:val="21"/>
                      <w:highlight w:val="none"/>
                      <w:lang w:val="en-US" w:eastAsia="zh-CN" w:bidi="ar-SA"/>
                    </w:rPr>
                    <w:t>900-</w:t>
                  </w:r>
                  <w:r>
                    <w:rPr>
                      <w:rFonts w:hint="eastAsia" w:ascii="Times New Roman" w:hAnsi="Times New Roman" w:eastAsia="宋体" w:cs="Times New Roman"/>
                      <w:snapToGrid/>
                      <w:color w:val="auto"/>
                      <w:spacing w:val="0"/>
                      <w:kern w:val="2"/>
                      <w:sz w:val="21"/>
                      <w:szCs w:val="21"/>
                      <w:highlight w:val="none"/>
                      <w:lang w:val="en-US" w:eastAsia="zh-CN" w:bidi="ar-SA"/>
                    </w:rPr>
                    <w:t>249</w:t>
                  </w:r>
                  <w:r>
                    <w:rPr>
                      <w:rFonts w:hint="default" w:ascii="Times New Roman" w:hAnsi="Times New Roman" w:eastAsia="宋体" w:cs="Times New Roman"/>
                      <w:snapToGrid/>
                      <w:color w:val="auto"/>
                      <w:spacing w:val="0"/>
                      <w:kern w:val="2"/>
                      <w:sz w:val="21"/>
                      <w:szCs w:val="21"/>
                      <w:highlight w:val="none"/>
                      <w:lang w:val="en-US" w:eastAsia="zh-CN" w:bidi="ar-SA"/>
                    </w:rPr>
                    <w:t>-</w:t>
                  </w:r>
                  <w:r>
                    <w:rPr>
                      <w:rFonts w:hint="eastAsia" w:ascii="Times New Roman" w:hAnsi="Times New Roman" w:eastAsia="宋体" w:cs="Times New Roman"/>
                      <w:snapToGrid/>
                      <w:color w:val="auto"/>
                      <w:spacing w:val="0"/>
                      <w:kern w:val="2"/>
                      <w:sz w:val="21"/>
                      <w:szCs w:val="21"/>
                      <w:highlight w:val="none"/>
                      <w:lang w:val="en-US" w:eastAsia="zh-CN" w:bidi="ar-SA"/>
                    </w:rPr>
                    <w:t>08</w:t>
                  </w:r>
                </w:p>
              </w:tc>
              <w:tc>
                <w:tcPr>
                  <w:tcW w:w="3626" w:type="dxa"/>
                  <w:tcBorders>
                    <w:tl2br w:val="nil"/>
                    <w:tr2bl w:val="nil"/>
                  </w:tcBorders>
                  <w:noWrap w:val="0"/>
                  <w:vAlign w:val="center"/>
                </w:tcPr>
                <w:p w14:paraId="4288C625">
                  <w:pPr>
                    <w:spacing w:beforeLines="0" w:afterLines="0"/>
                    <w:jc w:val="left"/>
                    <w:rPr>
                      <w:rFonts w:hint="default" w:ascii="Times New Roman" w:hAnsi="Times New Roman" w:eastAsia="宋体" w:cs="Times New Roman"/>
                      <w:snapToGrid/>
                      <w:color w:val="auto"/>
                      <w:spacing w:val="0"/>
                      <w:kern w:val="2"/>
                      <w:sz w:val="21"/>
                      <w:szCs w:val="21"/>
                      <w:highlight w:val="none"/>
                      <w:lang w:val="en-US" w:eastAsia="zh-CN" w:bidi="ar-SA"/>
                    </w:rPr>
                  </w:pPr>
                  <w:r>
                    <w:rPr>
                      <w:rFonts w:hint="eastAsia" w:ascii="Times New Roman" w:hAnsi="Times New Roman" w:eastAsia="宋体" w:cs="Times New Roman"/>
                      <w:snapToGrid/>
                      <w:color w:val="auto"/>
                      <w:spacing w:val="0"/>
                      <w:kern w:val="2"/>
                      <w:sz w:val="21"/>
                      <w:szCs w:val="21"/>
                      <w:highlight w:val="none"/>
                      <w:lang w:val="en-US" w:eastAsia="zh-CN" w:bidi="ar-SA"/>
                    </w:rPr>
                    <w:t>其他生产、销售、使用过程中产生的废矿物油及沾染矿物油的废弃包装物</w:t>
                  </w:r>
                </w:p>
              </w:tc>
              <w:tc>
                <w:tcPr>
                  <w:tcW w:w="748" w:type="dxa"/>
                  <w:tcBorders>
                    <w:tl2br w:val="nil"/>
                    <w:tr2bl w:val="nil"/>
                  </w:tcBorders>
                  <w:noWrap w:val="0"/>
                  <w:vAlign w:val="center"/>
                </w:tcPr>
                <w:p w14:paraId="01C21E7E">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Style w:val="47"/>
                      <w:rFonts w:hint="eastAsia"/>
                      <w:bCs/>
                      <w:color w:val="auto"/>
                      <w:sz w:val="21"/>
                      <w:szCs w:val="21"/>
                    </w:rPr>
                    <w:t>T，I</w:t>
                  </w:r>
                </w:p>
              </w:tc>
            </w:tr>
          </w:tbl>
          <w:p w14:paraId="064700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7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w:t>
            </w:r>
            <w:r>
              <w:rPr>
                <w:rFonts w:hint="eastAsia"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处置，各固体废弃物去向明确，处置率达到100%，对环境的影响较小。</w:t>
            </w:r>
          </w:p>
          <w:p w14:paraId="2D825E30">
            <w:pPr>
              <w:pStyle w:val="5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47"/>
                <w:rFonts w:hint="default" w:ascii="Times New Roman" w:hAnsi="Times New Roman" w:eastAsia="宋体" w:cs="Times New Roman"/>
                <w:b/>
                <w:bCs w:val="0"/>
                <w:color w:val="auto"/>
                <w:sz w:val="21"/>
                <w:szCs w:val="21"/>
                <w:highlight w:val="none"/>
                <w:lang w:val="en-US" w:eastAsia="zh-CN"/>
              </w:rPr>
            </w:pPr>
            <w:r>
              <w:rPr>
                <w:rStyle w:val="47"/>
                <w:rFonts w:hint="default" w:ascii="Times New Roman" w:hAnsi="Times New Roman" w:eastAsia="宋体" w:cs="Times New Roman"/>
                <w:b/>
                <w:bCs w:val="0"/>
                <w:color w:val="auto"/>
                <w:sz w:val="21"/>
                <w:szCs w:val="21"/>
                <w:highlight w:val="none"/>
                <w:lang w:val="en-US" w:eastAsia="zh-CN"/>
              </w:rPr>
              <w:t>表4-2</w:t>
            </w:r>
            <w:r>
              <w:rPr>
                <w:rStyle w:val="47"/>
                <w:rFonts w:hint="eastAsia" w:cs="Times New Roman"/>
                <w:b/>
                <w:bCs w:val="0"/>
                <w:color w:val="auto"/>
                <w:sz w:val="21"/>
                <w:szCs w:val="21"/>
                <w:highlight w:val="none"/>
                <w:lang w:val="en-US" w:eastAsia="zh-CN"/>
              </w:rPr>
              <w:t>7</w:t>
            </w:r>
            <w:r>
              <w:rPr>
                <w:rStyle w:val="47"/>
                <w:rFonts w:hint="default" w:ascii="Times New Roman" w:hAnsi="Times New Roman" w:eastAsia="宋体" w:cs="Times New Roman"/>
                <w:b/>
                <w:bCs w:val="0"/>
                <w:color w:val="auto"/>
                <w:sz w:val="21"/>
                <w:szCs w:val="21"/>
                <w:highlight w:val="none"/>
                <w:lang w:val="en-US" w:eastAsia="zh-CN"/>
              </w:rPr>
              <w:t xml:space="preserve">  本项目固体废弃物处置情况</w:t>
            </w:r>
          </w:p>
          <w:tbl>
            <w:tblPr>
              <w:tblStyle w:val="27"/>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365"/>
              <w:gridCol w:w="529"/>
              <w:gridCol w:w="7"/>
              <w:gridCol w:w="522"/>
              <w:gridCol w:w="15"/>
              <w:gridCol w:w="529"/>
              <w:gridCol w:w="5"/>
              <w:gridCol w:w="533"/>
              <w:gridCol w:w="527"/>
              <w:gridCol w:w="487"/>
              <w:gridCol w:w="7"/>
              <w:gridCol w:w="648"/>
              <w:gridCol w:w="529"/>
              <w:gridCol w:w="529"/>
              <w:gridCol w:w="653"/>
              <w:gridCol w:w="808"/>
              <w:gridCol w:w="675"/>
              <w:gridCol w:w="664"/>
            </w:tblGrid>
            <w:tr w14:paraId="631F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14:paraId="3C139B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产污环节</w:t>
                  </w:r>
                </w:p>
              </w:tc>
              <w:tc>
                <w:tcPr>
                  <w:tcW w:w="536" w:type="dxa"/>
                  <w:gridSpan w:val="2"/>
                  <w:noWrap w:val="0"/>
                  <w:vAlign w:val="center"/>
                </w:tcPr>
                <w:p w14:paraId="2A91310F">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生产过程</w:t>
                  </w:r>
                </w:p>
              </w:tc>
              <w:tc>
                <w:tcPr>
                  <w:tcW w:w="537" w:type="dxa"/>
                  <w:gridSpan w:val="2"/>
                  <w:noWrap w:val="0"/>
                  <w:vAlign w:val="center"/>
                </w:tcPr>
                <w:p w14:paraId="6951FE04">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油渣压榨</w:t>
                  </w:r>
                </w:p>
              </w:tc>
              <w:tc>
                <w:tcPr>
                  <w:tcW w:w="529" w:type="dxa"/>
                  <w:noWrap w:val="0"/>
                  <w:vAlign w:val="center"/>
                </w:tcPr>
                <w:p w14:paraId="2C84F5FA">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脱色过程</w:t>
                  </w:r>
                </w:p>
              </w:tc>
              <w:tc>
                <w:tcPr>
                  <w:tcW w:w="538" w:type="dxa"/>
                  <w:gridSpan w:val="2"/>
                  <w:noWrap w:val="0"/>
                  <w:vAlign w:val="center"/>
                </w:tcPr>
                <w:p w14:paraId="4466FE3A">
                  <w:pPr>
                    <w:pStyle w:val="50"/>
                    <w:adjustRightInd w:val="0"/>
                    <w:snapToGrid w:val="0"/>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eastAsia="zh-CN"/>
                    </w:rPr>
                    <w:t>脱胶脱磷</w:t>
                  </w:r>
                  <w:r>
                    <w:rPr>
                      <w:rStyle w:val="47"/>
                      <w:bCs/>
                      <w:color w:val="auto"/>
                      <w:sz w:val="21"/>
                      <w:szCs w:val="21"/>
                    </w:rPr>
                    <w:t>过程</w:t>
                  </w:r>
                </w:p>
              </w:tc>
              <w:tc>
                <w:tcPr>
                  <w:tcW w:w="527" w:type="dxa"/>
                  <w:noWrap w:val="0"/>
                  <w:vAlign w:val="center"/>
                </w:tcPr>
                <w:p w14:paraId="776265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布袋除尘器除尘灰</w:t>
                  </w:r>
                </w:p>
              </w:tc>
              <w:tc>
                <w:tcPr>
                  <w:tcW w:w="494" w:type="dxa"/>
                  <w:gridSpan w:val="2"/>
                  <w:noWrap w:val="0"/>
                  <w:vAlign w:val="center"/>
                </w:tcPr>
                <w:p w14:paraId="5801D1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生物质燃料燃烧</w:t>
                  </w:r>
                </w:p>
              </w:tc>
              <w:tc>
                <w:tcPr>
                  <w:tcW w:w="648" w:type="dxa"/>
                  <w:noWrap w:val="0"/>
                  <w:vAlign w:val="center"/>
                </w:tcPr>
                <w:p w14:paraId="34D22C29">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废水处理过程</w:t>
                  </w:r>
                </w:p>
              </w:tc>
              <w:tc>
                <w:tcPr>
                  <w:tcW w:w="529" w:type="dxa"/>
                  <w:noWrap w:val="0"/>
                  <w:vAlign w:val="center"/>
                </w:tcPr>
                <w:p w14:paraId="5016BA67">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lang w:eastAsia="zh-CN"/>
                    </w:rPr>
                    <w:t>脱酸脱臭工序</w:t>
                  </w:r>
                </w:p>
              </w:tc>
              <w:tc>
                <w:tcPr>
                  <w:tcW w:w="529" w:type="dxa"/>
                  <w:noWrap w:val="0"/>
                  <w:vAlign w:val="center"/>
                </w:tcPr>
                <w:p w14:paraId="73416A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日常生活</w:t>
                  </w:r>
                </w:p>
              </w:tc>
              <w:tc>
                <w:tcPr>
                  <w:tcW w:w="653" w:type="dxa"/>
                  <w:noWrap w:val="0"/>
                  <w:vAlign w:val="center"/>
                </w:tcPr>
                <w:p w14:paraId="14A9FA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p>
              </w:tc>
              <w:tc>
                <w:tcPr>
                  <w:tcW w:w="1483" w:type="dxa"/>
                  <w:gridSpan w:val="2"/>
                  <w:noWrap w:val="0"/>
                  <w:vAlign w:val="center"/>
                </w:tcPr>
                <w:p w14:paraId="287CF1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机修</w:t>
                  </w:r>
                </w:p>
              </w:tc>
              <w:tc>
                <w:tcPr>
                  <w:tcW w:w="664" w:type="dxa"/>
                  <w:noWrap w:val="0"/>
                  <w:vAlign w:val="center"/>
                </w:tcPr>
                <w:p w14:paraId="5B3E6A38">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供热过程</w:t>
                  </w:r>
                </w:p>
              </w:tc>
            </w:tr>
            <w:tr w14:paraId="7219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14:paraId="0618C3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536" w:type="dxa"/>
                  <w:gridSpan w:val="2"/>
                  <w:noWrap w:val="0"/>
                  <w:vAlign w:val="center"/>
                </w:tcPr>
                <w:p w14:paraId="57C6D7C0">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rPr>
                    <w:t>废包装材料</w:t>
                  </w:r>
                </w:p>
              </w:tc>
              <w:tc>
                <w:tcPr>
                  <w:tcW w:w="537" w:type="dxa"/>
                  <w:gridSpan w:val="2"/>
                  <w:noWrap w:val="0"/>
                  <w:vAlign w:val="center"/>
                </w:tcPr>
                <w:p w14:paraId="406A576F">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rPr>
                    <w:t>油渣</w:t>
                  </w:r>
                </w:p>
              </w:tc>
              <w:tc>
                <w:tcPr>
                  <w:tcW w:w="529" w:type="dxa"/>
                  <w:noWrap w:val="0"/>
                  <w:vAlign w:val="center"/>
                </w:tcPr>
                <w:p w14:paraId="0FAC3DFF">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rPr>
                    <w:t>废白土</w:t>
                  </w:r>
                </w:p>
              </w:tc>
              <w:tc>
                <w:tcPr>
                  <w:tcW w:w="538" w:type="dxa"/>
                  <w:gridSpan w:val="2"/>
                  <w:noWrap w:val="0"/>
                  <w:vAlign w:val="center"/>
                </w:tcPr>
                <w:p w14:paraId="429150C4">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lang w:val="zh-CN"/>
                    </w:rPr>
                    <w:t>油脚</w:t>
                  </w:r>
                </w:p>
              </w:tc>
              <w:tc>
                <w:tcPr>
                  <w:tcW w:w="527" w:type="dxa"/>
                  <w:noWrap w:val="0"/>
                  <w:vAlign w:val="center"/>
                </w:tcPr>
                <w:p w14:paraId="5E4C85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除尘灰</w:t>
                  </w:r>
                </w:p>
              </w:tc>
              <w:tc>
                <w:tcPr>
                  <w:tcW w:w="494" w:type="dxa"/>
                  <w:gridSpan w:val="2"/>
                  <w:noWrap w:val="0"/>
                  <w:vAlign w:val="center"/>
                </w:tcPr>
                <w:p w14:paraId="0581B2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炉渣</w:t>
                  </w:r>
                </w:p>
              </w:tc>
              <w:tc>
                <w:tcPr>
                  <w:tcW w:w="648" w:type="dxa"/>
                  <w:noWrap w:val="0"/>
                  <w:vAlign w:val="center"/>
                </w:tcPr>
                <w:p w14:paraId="44C398DB">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lang w:eastAsia="zh-CN"/>
                    </w:rPr>
                    <w:t>污泥、废油</w:t>
                  </w:r>
                </w:p>
              </w:tc>
              <w:tc>
                <w:tcPr>
                  <w:tcW w:w="529" w:type="dxa"/>
                  <w:noWrap w:val="0"/>
                  <w:vAlign w:val="center"/>
                </w:tcPr>
                <w:p w14:paraId="1C1FA1CB">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lang w:eastAsia="zh-CN"/>
                    </w:rPr>
                    <w:t>脂肪酸</w:t>
                  </w:r>
                </w:p>
              </w:tc>
              <w:tc>
                <w:tcPr>
                  <w:tcW w:w="529" w:type="dxa"/>
                  <w:noWrap w:val="0"/>
                  <w:vAlign w:val="center"/>
                </w:tcPr>
                <w:p w14:paraId="1CAE97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653" w:type="dxa"/>
                  <w:noWrap w:val="0"/>
                  <w:vAlign w:val="center"/>
                </w:tcPr>
                <w:p w14:paraId="3E21E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808" w:type="dxa"/>
                  <w:noWrap w:val="0"/>
                  <w:vAlign w:val="center"/>
                </w:tcPr>
                <w:p w14:paraId="20BFA3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含油废劳保用品</w:t>
                  </w:r>
                </w:p>
              </w:tc>
              <w:tc>
                <w:tcPr>
                  <w:tcW w:w="675" w:type="dxa"/>
                  <w:noWrap w:val="0"/>
                  <w:vAlign w:val="center"/>
                </w:tcPr>
                <w:p w14:paraId="2EE19B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664" w:type="dxa"/>
                  <w:noWrap w:val="0"/>
                  <w:vAlign w:val="center"/>
                </w:tcPr>
                <w:p w14:paraId="5657ED9A">
                  <w:pPr>
                    <w:pStyle w:val="50"/>
                    <w:adjustRightInd w:val="0"/>
                    <w:snapToGrid w:val="0"/>
                    <w:rPr>
                      <w:rFonts w:hint="default" w:ascii="Times New Roman" w:hAnsi="Times New Roman" w:eastAsia="宋体" w:cs="Times New Roman"/>
                      <w:color w:val="auto"/>
                      <w:sz w:val="21"/>
                      <w:szCs w:val="21"/>
                      <w:highlight w:val="none"/>
                      <w:lang w:val="en-US" w:eastAsia="zh-CN"/>
                    </w:rPr>
                  </w:pPr>
                  <w:r>
                    <w:rPr>
                      <w:rStyle w:val="47"/>
                      <w:rFonts w:hint="eastAsia"/>
                      <w:bCs/>
                      <w:color w:val="auto"/>
                      <w:sz w:val="21"/>
                      <w:szCs w:val="21"/>
                    </w:rPr>
                    <w:t>废导热油</w:t>
                  </w:r>
                </w:p>
              </w:tc>
            </w:tr>
            <w:tr w14:paraId="0173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dxa"/>
                  <w:vMerge w:val="restart"/>
                  <w:noWrap w:val="0"/>
                  <w:vAlign w:val="center"/>
                </w:tcPr>
                <w:p w14:paraId="1B037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属性</w:t>
                  </w:r>
                </w:p>
              </w:tc>
              <w:tc>
                <w:tcPr>
                  <w:tcW w:w="365" w:type="dxa"/>
                  <w:noWrap w:val="0"/>
                  <w:vAlign w:val="center"/>
                </w:tcPr>
                <w:p w14:paraId="10187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属性</w:t>
                  </w:r>
                </w:p>
              </w:tc>
              <w:tc>
                <w:tcPr>
                  <w:tcW w:w="4338" w:type="dxa"/>
                  <w:gridSpan w:val="12"/>
                  <w:noWrap w:val="0"/>
                  <w:vAlign w:val="center"/>
                </w:tcPr>
                <w:p w14:paraId="525783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529" w:type="dxa"/>
                  <w:noWrap w:val="0"/>
                  <w:vAlign w:val="center"/>
                </w:tcPr>
                <w:p w14:paraId="7E2EB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653" w:type="dxa"/>
                  <w:noWrap w:val="0"/>
                  <w:vAlign w:val="center"/>
                </w:tcPr>
                <w:p w14:paraId="0FD59C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808" w:type="dxa"/>
                  <w:noWrap w:val="0"/>
                  <w:vAlign w:val="center"/>
                </w:tcPr>
                <w:p w14:paraId="277FF5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675" w:type="dxa"/>
                  <w:noWrap w:val="0"/>
                  <w:vAlign w:val="center"/>
                </w:tcPr>
                <w:p w14:paraId="3FDC7D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664" w:type="dxa"/>
                  <w:noWrap w:val="0"/>
                  <w:vAlign w:val="center"/>
                </w:tcPr>
                <w:p w14:paraId="6FE04D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r>
            <w:tr w14:paraId="440A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dxa"/>
                  <w:vMerge w:val="continue"/>
                  <w:noWrap w:val="0"/>
                  <w:vAlign w:val="center"/>
                </w:tcPr>
                <w:p w14:paraId="6F20E2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p>
              </w:tc>
              <w:tc>
                <w:tcPr>
                  <w:tcW w:w="365" w:type="dxa"/>
                  <w:noWrap w:val="0"/>
                  <w:vAlign w:val="center"/>
                </w:tcPr>
                <w:p w14:paraId="3F7753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危险废物代码</w:t>
                  </w:r>
                </w:p>
              </w:tc>
              <w:tc>
                <w:tcPr>
                  <w:tcW w:w="529" w:type="dxa"/>
                  <w:noWrap w:val="0"/>
                  <w:vAlign w:val="center"/>
                </w:tcPr>
                <w:p w14:paraId="4C099F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gridSpan w:val="2"/>
                  <w:noWrap w:val="0"/>
                  <w:vAlign w:val="center"/>
                </w:tcPr>
                <w:p w14:paraId="3D1FA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49" w:type="dxa"/>
                  <w:gridSpan w:val="3"/>
                  <w:noWrap w:val="0"/>
                  <w:vAlign w:val="center"/>
                </w:tcPr>
                <w:p w14:paraId="7612ED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33" w:type="dxa"/>
                  <w:noWrap w:val="0"/>
                  <w:vAlign w:val="center"/>
                </w:tcPr>
                <w:p w14:paraId="5F1291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7" w:type="dxa"/>
                  <w:noWrap w:val="0"/>
                  <w:vAlign w:val="center"/>
                </w:tcPr>
                <w:p w14:paraId="1290D8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7" w:type="dxa"/>
                  <w:noWrap w:val="0"/>
                  <w:vAlign w:val="center"/>
                </w:tcPr>
                <w:p w14:paraId="24C46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5" w:type="dxa"/>
                  <w:gridSpan w:val="2"/>
                  <w:noWrap w:val="0"/>
                  <w:vAlign w:val="center"/>
                </w:tcPr>
                <w:p w14:paraId="5F1CD8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14:paraId="749958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14:paraId="069FF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3" w:type="dxa"/>
                  <w:noWrap w:val="0"/>
                  <w:vAlign w:val="center"/>
                </w:tcPr>
                <w:p w14:paraId="70DF3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8" w:type="dxa"/>
                  <w:noWrap w:val="0"/>
                  <w:vAlign w:val="center"/>
                </w:tcPr>
                <w:p w14:paraId="51FF6D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HW08</w:t>
                  </w: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675" w:type="dxa"/>
                  <w:noWrap w:val="0"/>
                  <w:vAlign w:val="center"/>
                </w:tcPr>
                <w:p w14:paraId="0AD4AE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900-041-49</w:t>
                  </w:r>
                </w:p>
              </w:tc>
              <w:tc>
                <w:tcPr>
                  <w:tcW w:w="664" w:type="dxa"/>
                  <w:noWrap w:val="0"/>
                  <w:vAlign w:val="center"/>
                </w:tcPr>
                <w:p w14:paraId="37A39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w:t>
                  </w: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-08</w:t>
                  </w:r>
                </w:p>
              </w:tc>
            </w:tr>
            <w:tr w14:paraId="05CB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14:paraId="63219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主要有毒有害物质名称</w:t>
                  </w:r>
                </w:p>
              </w:tc>
              <w:tc>
                <w:tcPr>
                  <w:tcW w:w="529" w:type="dxa"/>
                  <w:noWrap w:val="0"/>
                  <w:vAlign w:val="center"/>
                </w:tcPr>
                <w:p w14:paraId="7AA2E2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gridSpan w:val="2"/>
                  <w:noWrap w:val="0"/>
                  <w:vAlign w:val="center"/>
                </w:tcPr>
                <w:p w14:paraId="77C193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49" w:type="dxa"/>
                  <w:gridSpan w:val="3"/>
                  <w:noWrap w:val="0"/>
                  <w:vAlign w:val="center"/>
                </w:tcPr>
                <w:p w14:paraId="76E744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33" w:type="dxa"/>
                  <w:noWrap w:val="0"/>
                  <w:vAlign w:val="center"/>
                </w:tcPr>
                <w:p w14:paraId="2F87C8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7" w:type="dxa"/>
                  <w:noWrap w:val="0"/>
                  <w:vAlign w:val="center"/>
                </w:tcPr>
                <w:p w14:paraId="3ABE2D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7" w:type="dxa"/>
                  <w:noWrap w:val="0"/>
                  <w:vAlign w:val="center"/>
                </w:tcPr>
                <w:p w14:paraId="288F0D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5" w:type="dxa"/>
                  <w:gridSpan w:val="2"/>
                  <w:noWrap w:val="0"/>
                  <w:vAlign w:val="center"/>
                </w:tcPr>
                <w:p w14:paraId="7738FC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14:paraId="573D21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14:paraId="2B620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3" w:type="dxa"/>
                  <w:noWrap w:val="0"/>
                  <w:vAlign w:val="center"/>
                </w:tcPr>
                <w:p w14:paraId="2505E0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8" w:type="dxa"/>
                  <w:noWrap w:val="0"/>
                  <w:vAlign w:val="center"/>
                </w:tcPr>
                <w:p w14:paraId="5A9B43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675" w:type="dxa"/>
                  <w:noWrap w:val="0"/>
                  <w:vAlign w:val="center"/>
                </w:tcPr>
                <w:p w14:paraId="58672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664" w:type="dxa"/>
                  <w:noWrap w:val="0"/>
                  <w:vAlign w:val="center"/>
                </w:tcPr>
                <w:p w14:paraId="70C69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r>
            <w:tr w14:paraId="618D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14:paraId="6ACD49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物理性状</w:t>
                  </w:r>
                </w:p>
              </w:tc>
              <w:tc>
                <w:tcPr>
                  <w:tcW w:w="529" w:type="dxa"/>
                  <w:noWrap w:val="0"/>
                  <w:vAlign w:val="center"/>
                </w:tcPr>
                <w:p w14:paraId="4708FC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29" w:type="dxa"/>
                  <w:gridSpan w:val="2"/>
                  <w:noWrap w:val="0"/>
                  <w:vAlign w:val="center"/>
                </w:tcPr>
                <w:p w14:paraId="3E3073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49" w:type="dxa"/>
                  <w:gridSpan w:val="3"/>
                  <w:noWrap w:val="0"/>
                  <w:vAlign w:val="center"/>
                </w:tcPr>
                <w:p w14:paraId="7225E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33" w:type="dxa"/>
                  <w:noWrap w:val="0"/>
                  <w:vAlign w:val="center"/>
                </w:tcPr>
                <w:p w14:paraId="674766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527" w:type="dxa"/>
                  <w:noWrap w:val="0"/>
                  <w:vAlign w:val="center"/>
                </w:tcPr>
                <w:p w14:paraId="46A47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487" w:type="dxa"/>
                  <w:noWrap w:val="0"/>
                  <w:vAlign w:val="center"/>
                </w:tcPr>
                <w:p w14:paraId="72125D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655" w:type="dxa"/>
                  <w:gridSpan w:val="2"/>
                  <w:noWrap w:val="0"/>
                  <w:vAlign w:val="center"/>
                </w:tcPr>
                <w:p w14:paraId="25073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固体、油状</w:t>
                  </w:r>
                </w:p>
              </w:tc>
              <w:tc>
                <w:tcPr>
                  <w:tcW w:w="529" w:type="dxa"/>
                  <w:noWrap w:val="0"/>
                  <w:vAlign w:val="center"/>
                </w:tcPr>
                <w:p w14:paraId="7597A2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液体</w:t>
                  </w:r>
                </w:p>
              </w:tc>
              <w:tc>
                <w:tcPr>
                  <w:tcW w:w="529" w:type="dxa"/>
                  <w:noWrap w:val="0"/>
                  <w:vAlign w:val="center"/>
                </w:tcPr>
                <w:p w14:paraId="41BED0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653" w:type="dxa"/>
                  <w:noWrap w:val="0"/>
                  <w:vAlign w:val="center"/>
                </w:tcPr>
                <w:p w14:paraId="08FCB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固体、油状</w:t>
                  </w:r>
                </w:p>
              </w:tc>
              <w:tc>
                <w:tcPr>
                  <w:tcW w:w="808" w:type="dxa"/>
                  <w:noWrap w:val="0"/>
                  <w:vAlign w:val="center"/>
                </w:tcPr>
                <w:p w14:paraId="261239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w:t>
                  </w:r>
                </w:p>
              </w:tc>
              <w:tc>
                <w:tcPr>
                  <w:tcW w:w="675" w:type="dxa"/>
                  <w:noWrap w:val="0"/>
                  <w:vAlign w:val="center"/>
                </w:tcPr>
                <w:p w14:paraId="1D2A2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油状</w:t>
                  </w:r>
                </w:p>
              </w:tc>
              <w:tc>
                <w:tcPr>
                  <w:tcW w:w="664" w:type="dxa"/>
                  <w:noWrap w:val="0"/>
                  <w:vAlign w:val="center"/>
                </w:tcPr>
                <w:p w14:paraId="7DE47E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油状</w:t>
                  </w:r>
                </w:p>
              </w:tc>
            </w:tr>
            <w:tr w14:paraId="25DA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14:paraId="10EB41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环境危险特性</w:t>
                  </w:r>
                </w:p>
              </w:tc>
              <w:tc>
                <w:tcPr>
                  <w:tcW w:w="529" w:type="dxa"/>
                  <w:noWrap w:val="0"/>
                  <w:vAlign w:val="center"/>
                </w:tcPr>
                <w:p w14:paraId="45012E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gridSpan w:val="2"/>
                  <w:noWrap w:val="0"/>
                  <w:vAlign w:val="center"/>
                </w:tcPr>
                <w:p w14:paraId="1C9201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49" w:type="dxa"/>
                  <w:gridSpan w:val="3"/>
                  <w:noWrap w:val="0"/>
                  <w:vAlign w:val="center"/>
                </w:tcPr>
                <w:p w14:paraId="2F1C8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33" w:type="dxa"/>
                  <w:noWrap w:val="0"/>
                  <w:vAlign w:val="center"/>
                </w:tcPr>
                <w:p w14:paraId="0CC6FC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7" w:type="dxa"/>
                  <w:noWrap w:val="0"/>
                  <w:vAlign w:val="center"/>
                </w:tcPr>
                <w:p w14:paraId="41FD1C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87" w:type="dxa"/>
                  <w:noWrap w:val="0"/>
                  <w:vAlign w:val="center"/>
                </w:tcPr>
                <w:p w14:paraId="7BA99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5" w:type="dxa"/>
                  <w:gridSpan w:val="2"/>
                  <w:noWrap w:val="0"/>
                  <w:vAlign w:val="center"/>
                </w:tcPr>
                <w:p w14:paraId="4A57CD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14:paraId="3564B4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9" w:type="dxa"/>
                  <w:noWrap w:val="0"/>
                  <w:vAlign w:val="center"/>
                </w:tcPr>
                <w:p w14:paraId="16FB72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53" w:type="dxa"/>
                  <w:noWrap w:val="0"/>
                  <w:vAlign w:val="center"/>
                </w:tcPr>
                <w:p w14:paraId="365872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8" w:type="dxa"/>
                  <w:noWrap w:val="0"/>
                  <w:vAlign w:val="center"/>
                </w:tcPr>
                <w:p w14:paraId="582E0A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c>
                <w:tcPr>
                  <w:tcW w:w="675" w:type="dxa"/>
                  <w:noWrap w:val="0"/>
                  <w:vAlign w:val="center"/>
                </w:tcPr>
                <w:p w14:paraId="704D4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c>
                <w:tcPr>
                  <w:tcW w:w="664" w:type="dxa"/>
                  <w:noWrap w:val="0"/>
                  <w:vAlign w:val="center"/>
                </w:tcPr>
                <w:p w14:paraId="76D868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14:paraId="2A8B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30" w:type="dxa"/>
                  <w:gridSpan w:val="2"/>
                  <w:noWrap w:val="0"/>
                  <w:vAlign w:val="center"/>
                </w:tcPr>
                <w:p w14:paraId="0FFAD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年度产生量（t/a）</w:t>
                  </w:r>
                </w:p>
              </w:tc>
              <w:tc>
                <w:tcPr>
                  <w:tcW w:w="529" w:type="dxa"/>
                  <w:noWrap w:val="0"/>
                  <w:vAlign w:val="center"/>
                </w:tcPr>
                <w:p w14:paraId="3A04F8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29" w:type="dxa"/>
                  <w:gridSpan w:val="2"/>
                  <w:noWrap w:val="0"/>
                  <w:vAlign w:val="center"/>
                </w:tcPr>
                <w:p w14:paraId="06D022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c>
                <w:tcPr>
                  <w:tcW w:w="549" w:type="dxa"/>
                  <w:gridSpan w:val="3"/>
                  <w:noWrap w:val="0"/>
                  <w:vAlign w:val="center"/>
                </w:tcPr>
                <w:p w14:paraId="54F69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0</w:t>
                  </w:r>
                </w:p>
              </w:tc>
              <w:tc>
                <w:tcPr>
                  <w:tcW w:w="533" w:type="dxa"/>
                  <w:noWrap w:val="0"/>
                  <w:vAlign w:val="center"/>
                </w:tcPr>
                <w:p w14:paraId="59BCF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27" w:type="dxa"/>
                  <w:noWrap w:val="0"/>
                  <w:vAlign w:val="center"/>
                </w:tcPr>
                <w:p w14:paraId="7B3627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3.188</w:t>
                  </w:r>
                </w:p>
              </w:tc>
              <w:tc>
                <w:tcPr>
                  <w:tcW w:w="487" w:type="dxa"/>
                  <w:noWrap w:val="0"/>
                  <w:vAlign w:val="center"/>
                </w:tcPr>
                <w:p w14:paraId="05EC5E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20.7190</w:t>
                  </w:r>
                </w:p>
              </w:tc>
              <w:tc>
                <w:tcPr>
                  <w:tcW w:w="655" w:type="dxa"/>
                  <w:gridSpan w:val="2"/>
                  <w:noWrap w:val="0"/>
                  <w:vAlign w:val="center"/>
                </w:tcPr>
                <w:p w14:paraId="233D89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3.6966</w:t>
                  </w:r>
                </w:p>
              </w:tc>
              <w:tc>
                <w:tcPr>
                  <w:tcW w:w="529" w:type="dxa"/>
                  <w:noWrap w:val="0"/>
                  <w:vAlign w:val="center"/>
                </w:tcPr>
                <w:p w14:paraId="289D5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29" w:type="dxa"/>
                  <w:noWrap w:val="0"/>
                  <w:vAlign w:val="center"/>
                </w:tcPr>
                <w:p w14:paraId="40E543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53" w:type="dxa"/>
                  <w:noWrap w:val="0"/>
                  <w:vAlign w:val="center"/>
                </w:tcPr>
                <w:p w14:paraId="02576B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808" w:type="dxa"/>
                  <w:noWrap w:val="0"/>
                  <w:vAlign w:val="center"/>
                </w:tcPr>
                <w:p w14:paraId="2A9E48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675" w:type="dxa"/>
                  <w:noWrap w:val="0"/>
                  <w:vAlign w:val="center"/>
                </w:tcPr>
                <w:p w14:paraId="444B3C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664" w:type="dxa"/>
                  <w:noWrap w:val="0"/>
                  <w:vAlign w:val="center"/>
                </w:tcPr>
                <w:p w14:paraId="3C2CFA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r w14:paraId="70D0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14:paraId="7EDC90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贮存方式</w:t>
                  </w:r>
                </w:p>
              </w:tc>
              <w:tc>
                <w:tcPr>
                  <w:tcW w:w="2140" w:type="dxa"/>
                  <w:gridSpan w:val="7"/>
                  <w:noWrap w:val="0"/>
                  <w:vAlign w:val="center"/>
                </w:tcPr>
                <w:p w14:paraId="5CFB30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一般固废暂存区</w:t>
                  </w:r>
                </w:p>
              </w:tc>
              <w:tc>
                <w:tcPr>
                  <w:tcW w:w="1014" w:type="dxa"/>
                  <w:gridSpan w:val="2"/>
                  <w:noWrap w:val="0"/>
                  <w:vAlign w:val="center"/>
                </w:tcPr>
                <w:p w14:paraId="5C4FD0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锅炉房内</w:t>
                  </w:r>
                </w:p>
              </w:tc>
              <w:tc>
                <w:tcPr>
                  <w:tcW w:w="1184" w:type="dxa"/>
                  <w:gridSpan w:val="3"/>
                  <w:noWrap w:val="0"/>
                  <w:vAlign w:val="center"/>
                </w:tcPr>
                <w:p w14:paraId="5ADFD2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一般固废暂存区</w:t>
                  </w:r>
                </w:p>
              </w:tc>
              <w:tc>
                <w:tcPr>
                  <w:tcW w:w="529" w:type="dxa"/>
                  <w:noWrap w:val="0"/>
                  <w:vAlign w:val="center"/>
                </w:tcPr>
                <w:p w14:paraId="4F951D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生活垃圾桶</w:t>
                  </w:r>
                </w:p>
              </w:tc>
              <w:tc>
                <w:tcPr>
                  <w:tcW w:w="653" w:type="dxa"/>
                  <w:noWrap w:val="0"/>
                  <w:vAlign w:val="center"/>
                </w:tcPr>
                <w:p w14:paraId="30F28A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泔水桶、废油桶</w:t>
                  </w:r>
                </w:p>
              </w:tc>
              <w:tc>
                <w:tcPr>
                  <w:tcW w:w="2147" w:type="dxa"/>
                  <w:gridSpan w:val="3"/>
                  <w:noWrap w:val="0"/>
                  <w:vAlign w:val="center"/>
                </w:tcPr>
                <w:p w14:paraId="7F2F7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w:t>
                  </w:r>
                  <w:r>
                    <w:rPr>
                      <w:rFonts w:hint="eastAsia" w:cs="Times New Roman"/>
                      <w:color w:val="auto"/>
                      <w:sz w:val="21"/>
                      <w:szCs w:val="21"/>
                      <w:highlight w:val="none"/>
                      <w:lang w:val="en-US" w:eastAsia="zh-CN"/>
                    </w:rPr>
                    <w:t>暂存间</w:t>
                  </w:r>
                </w:p>
              </w:tc>
            </w:tr>
            <w:tr w14:paraId="560F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14:paraId="4BA4C4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利用处置方式和去向</w:t>
                  </w:r>
                </w:p>
              </w:tc>
              <w:tc>
                <w:tcPr>
                  <w:tcW w:w="529" w:type="dxa"/>
                  <w:noWrap w:val="0"/>
                  <w:vAlign w:val="center"/>
                </w:tcPr>
                <w:p w14:paraId="605CD0DF">
                  <w:pPr>
                    <w:pStyle w:val="50"/>
                    <w:adjustRightInd w:val="0"/>
                    <w:snapToGrid w:val="0"/>
                    <w:rPr>
                      <w:rFonts w:hint="default" w:ascii="Times New Roman" w:hAnsi="Times New Roman" w:eastAsia="宋体" w:cs="Times New Roman"/>
                      <w:color w:val="auto"/>
                      <w:sz w:val="21"/>
                      <w:szCs w:val="21"/>
                      <w:lang w:val="en-US" w:eastAsia="zh-CN"/>
                    </w:rPr>
                  </w:pPr>
                  <w:r>
                    <w:rPr>
                      <w:rStyle w:val="47"/>
                      <w:bCs/>
                      <w:color w:val="auto"/>
                      <w:szCs w:val="21"/>
                    </w:rPr>
                    <w:t>出售给废品收购商</w:t>
                  </w:r>
                </w:p>
              </w:tc>
              <w:tc>
                <w:tcPr>
                  <w:tcW w:w="529" w:type="dxa"/>
                  <w:gridSpan w:val="2"/>
                  <w:noWrap w:val="0"/>
                  <w:vAlign w:val="center"/>
                </w:tcPr>
                <w:p w14:paraId="322361B8">
                  <w:pPr>
                    <w:pStyle w:val="50"/>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统一收集后外售合法饲料厂作为原料。</w:t>
                  </w:r>
                </w:p>
              </w:tc>
              <w:tc>
                <w:tcPr>
                  <w:tcW w:w="549" w:type="dxa"/>
                  <w:gridSpan w:val="3"/>
                  <w:noWrap w:val="0"/>
                  <w:vAlign w:val="center"/>
                </w:tcPr>
                <w:p w14:paraId="25B8985B">
                  <w:pPr>
                    <w:pStyle w:val="50"/>
                    <w:adjustRightInd w:val="0"/>
                    <w:snapToGrid w:val="0"/>
                    <w:rPr>
                      <w:rFonts w:hint="default" w:ascii="Times New Roman" w:hAnsi="Times New Roman" w:eastAsia="宋体" w:cs="Times New Roman"/>
                      <w:color w:val="auto"/>
                      <w:sz w:val="21"/>
                      <w:szCs w:val="21"/>
                      <w:lang w:val="en-US" w:eastAsia="zh-CN"/>
                    </w:rPr>
                  </w:pPr>
                  <w:r>
                    <w:rPr>
                      <w:rStyle w:val="47"/>
                      <w:rFonts w:hint="eastAsia"/>
                      <w:bCs/>
                      <w:color w:val="auto"/>
                      <w:szCs w:val="21"/>
                    </w:rPr>
                    <w:t>定期交由专门公司回收分离废油和白土分离处置。</w:t>
                  </w:r>
                </w:p>
              </w:tc>
              <w:tc>
                <w:tcPr>
                  <w:tcW w:w="533" w:type="dxa"/>
                  <w:noWrap w:val="0"/>
                  <w:vAlign w:val="center"/>
                </w:tcPr>
                <w:p w14:paraId="1438CB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统一收集后外售合法饲料厂作为原料。</w:t>
                  </w:r>
                </w:p>
              </w:tc>
              <w:tc>
                <w:tcPr>
                  <w:tcW w:w="1014" w:type="dxa"/>
                  <w:gridSpan w:val="2"/>
                  <w:noWrap w:val="0"/>
                  <w:vAlign w:val="center"/>
                </w:tcPr>
                <w:p w14:paraId="7BBEBF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r>
                    <w:rPr>
                      <w:rFonts w:hint="default" w:ascii="Times New Roman" w:hAnsi="Times New Roman" w:eastAsia="宋体" w:cs="Times New Roman"/>
                      <w:color w:val="auto"/>
                      <w:sz w:val="21"/>
                      <w:szCs w:val="21"/>
                      <w:lang w:val="en-US" w:eastAsia="zh-CN"/>
                    </w:rPr>
                    <w:t>给</w:t>
                  </w:r>
                  <w:r>
                    <w:rPr>
                      <w:rFonts w:hint="default" w:ascii="Times New Roman" w:hAnsi="Times New Roman" w:eastAsia="宋体" w:cs="Times New Roman"/>
                      <w:color w:val="auto"/>
                      <w:sz w:val="21"/>
                      <w:szCs w:val="21"/>
                    </w:rPr>
                    <w:t>建材生产企业</w:t>
                  </w:r>
                  <w:r>
                    <w:rPr>
                      <w:rFonts w:hint="default" w:ascii="Times New Roman" w:hAnsi="Times New Roman" w:eastAsia="宋体" w:cs="Times New Roman"/>
                      <w:color w:val="auto"/>
                      <w:sz w:val="21"/>
                      <w:szCs w:val="21"/>
                      <w:lang w:val="en-US" w:eastAsia="zh-CN"/>
                    </w:rPr>
                    <w:t>进行使用</w:t>
                  </w:r>
                  <w:r>
                    <w:rPr>
                      <w:rFonts w:hint="default" w:ascii="Times New Roman" w:hAnsi="Times New Roman" w:eastAsia="宋体" w:cs="Times New Roman"/>
                      <w:color w:val="auto"/>
                      <w:sz w:val="21"/>
                      <w:szCs w:val="21"/>
                      <w:highlight w:val="none"/>
                      <w:lang w:val="zh-CN" w:eastAsia="zh-CN"/>
                    </w:rPr>
                    <w:t>。</w:t>
                  </w:r>
                </w:p>
              </w:tc>
              <w:tc>
                <w:tcPr>
                  <w:tcW w:w="655" w:type="dxa"/>
                  <w:gridSpan w:val="2"/>
                  <w:noWrap w:val="0"/>
                  <w:vAlign w:val="center"/>
                </w:tcPr>
                <w:p w14:paraId="0EE7CA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Style w:val="47"/>
                      <w:bCs/>
                      <w:color w:val="auto"/>
                      <w:szCs w:val="21"/>
                    </w:rPr>
                    <w:t>定期委托有资质的单位进行清运、处置</w:t>
                  </w:r>
                </w:p>
              </w:tc>
              <w:tc>
                <w:tcPr>
                  <w:tcW w:w="529" w:type="dxa"/>
                  <w:noWrap w:val="0"/>
                  <w:vAlign w:val="center"/>
                </w:tcPr>
                <w:p w14:paraId="078B1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lang w:eastAsia="zh-CN"/>
                    </w:rPr>
                    <w:t>外售</w:t>
                  </w:r>
                </w:p>
              </w:tc>
              <w:tc>
                <w:tcPr>
                  <w:tcW w:w="529" w:type="dxa"/>
                  <w:noWrap w:val="0"/>
                  <w:vAlign w:val="center"/>
                </w:tcPr>
                <w:p w14:paraId="234DB8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委托环卫部门清运处置。</w:t>
                  </w:r>
                </w:p>
              </w:tc>
              <w:tc>
                <w:tcPr>
                  <w:tcW w:w="653" w:type="dxa"/>
                  <w:noWrap w:val="0"/>
                  <w:vAlign w:val="center"/>
                </w:tcPr>
                <w:p w14:paraId="5B21C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委托有资质</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zh-CN" w:eastAsia="zh-CN"/>
                    </w:rPr>
                    <w:t>单位进行处置。</w:t>
                  </w:r>
                </w:p>
              </w:tc>
              <w:tc>
                <w:tcPr>
                  <w:tcW w:w="2147" w:type="dxa"/>
                  <w:gridSpan w:val="3"/>
                  <w:noWrap w:val="0"/>
                  <w:vAlign w:val="center"/>
                </w:tcPr>
                <w:p w14:paraId="46833F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委托有资质单位进行处置。</w:t>
                  </w:r>
                </w:p>
              </w:tc>
            </w:tr>
            <w:tr w14:paraId="6559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14:paraId="76ADE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利用或处置量（t/a）</w:t>
                  </w:r>
                </w:p>
              </w:tc>
              <w:tc>
                <w:tcPr>
                  <w:tcW w:w="529" w:type="dxa"/>
                  <w:noWrap w:val="0"/>
                  <w:vAlign w:val="center"/>
                </w:tcPr>
                <w:p w14:paraId="0240B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29" w:type="dxa"/>
                  <w:gridSpan w:val="2"/>
                  <w:noWrap w:val="0"/>
                  <w:vAlign w:val="center"/>
                </w:tcPr>
                <w:p w14:paraId="252025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c>
                <w:tcPr>
                  <w:tcW w:w="549" w:type="dxa"/>
                  <w:gridSpan w:val="3"/>
                  <w:noWrap w:val="0"/>
                  <w:vAlign w:val="center"/>
                </w:tcPr>
                <w:p w14:paraId="791AC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0</w:t>
                  </w:r>
                </w:p>
              </w:tc>
              <w:tc>
                <w:tcPr>
                  <w:tcW w:w="533" w:type="dxa"/>
                  <w:noWrap w:val="0"/>
                  <w:vAlign w:val="center"/>
                </w:tcPr>
                <w:p w14:paraId="45652F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527" w:type="dxa"/>
                  <w:noWrap w:val="0"/>
                  <w:vAlign w:val="center"/>
                </w:tcPr>
                <w:p w14:paraId="213EE7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3.188</w:t>
                  </w:r>
                </w:p>
              </w:tc>
              <w:tc>
                <w:tcPr>
                  <w:tcW w:w="487" w:type="dxa"/>
                  <w:noWrap w:val="0"/>
                  <w:vAlign w:val="center"/>
                </w:tcPr>
                <w:p w14:paraId="430528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20.7190</w:t>
                  </w:r>
                </w:p>
              </w:tc>
              <w:tc>
                <w:tcPr>
                  <w:tcW w:w="655" w:type="dxa"/>
                  <w:gridSpan w:val="2"/>
                  <w:noWrap w:val="0"/>
                  <w:vAlign w:val="center"/>
                </w:tcPr>
                <w:p w14:paraId="5FC6C8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3.6966</w:t>
                  </w:r>
                </w:p>
              </w:tc>
              <w:tc>
                <w:tcPr>
                  <w:tcW w:w="529" w:type="dxa"/>
                  <w:noWrap w:val="0"/>
                  <w:vAlign w:val="center"/>
                </w:tcPr>
                <w:p w14:paraId="3B5B5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529" w:type="dxa"/>
                  <w:noWrap w:val="0"/>
                  <w:vAlign w:val="center"/>
                </w:tcPr>
                <w:p w14:paraId="3099B2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53" w:type="dxa"/>
                  <w:noWrap w:val="0"/>
                  <w:vAlign w:val="center"/>
                </w:tcPr>
                <w:p w14:paraId="0316E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808" w:type="dxa"/>
                  <w:noWrap w:val="0"/>
                  <w:vAlign w:val="center"/>
                </w:tcPr>
                <w:p w14:paraId="470E2B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675" w:type="dxa"/>
                  <w:noWrap w:val="0"/>
                  <w:vAlign w:val="center"/>
                </w:tcPr>
                <w:p w14:paraId="0628A9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664" w:type="dxa"/>
                  <w:noWrap w:val="0"/>
                  <w:vAlign w:val="center"/>
                </w:tcPr>
                <w:p w14:paraId="5FE91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r w14:paraId="08F6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0" w:type="dxa"/>
                  <w:gridSpan w:val="2"/>
                  <w:noWrap w:val="0"/>
                  <w:vAlign w:val="center"/>
                </w:tcPr>
                <w:p w14:paraId="2FF586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环境管理要求</w:t>
                  </w:r>
                </w:p>
              </w:tc>
              <w:tc>
                <w:tcPr>
                  <w:tcW w:w="7667" w:type="dxa"/>
                  <w:gridSpan w:val="17"/>
                  <w:noWrap w:val="0"/>
                  <w:vAlign w:val="center"/>
                </w:tcPr>
                <w:p w14:paraId="3B53DA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100%处置。</w:t>
                  </w:r>
                </w:p>
              </w:tc>
            </w:tr>
          </w:tbl>
          <w:p w14:paraId="7F7BFAD8">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14:paraId="0402F920">
            <w:pPr>
              <w:pStyle w:val="78"/>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14:paraId="7EE4189B">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w:t>
            </w:r>
            <w:r>
              <w:rPr>
                <w:rFonts w:hint="default" w:ascii="Times New Roman" w:hAnsi="Times New Roman" w:eastAsia="宋体" w:cs="Times New Roman"/>
                <w:color w:val="auto"/>
                <w:sz w:val="24"/>
                <w:szCs w:val="24"/>
                <w:highlight w:val="none"/>
                <w:lang w:val="zh-CN" w:eastAsia="zh-CN"/>
              </w:rPr>
              <w:t>用“</w:t>
            </w:r>
            <w:r>
              <w:rPr>
                <w:rFonts w:hint="default" w:ascii="Times New Roman" w:hAnsi="Times New Roman" w:eastAsia="宋体" w:cs="Times New Roman"/>
                <w:color w:val="auto"/>
                <w:sz w:val="24"/>
                <w:szCs w:val="24"/>
                <w:highlight w:val="none"/>
                <w:lang w:val="en-US" w:eastAsia="zh-CN"/>
              </w:rPr>
              <w:t>抗渗混凝</w:t>
            </w:r>
            <w:r>
              <w:rPr>
                <w:rFonts w:hint="default" w:ascii="Times New Roman" w:hAnsi="Times New Roman" w:eastAsia="宋体" w:cs="Times New Roman"/>
                <w:color w:val="auto"/>
                <w:sz w:val="24"/>
                <w:szCs w:val="24"/>
                <w:highlight w:val="none"/>
              </w:rPr>
              <w:t>土</w:t>
            </w:r>
            <w:r>
              <w:rPr>
                <w:rFonts w:hint="default" w:ascii="Times New Roman" w:hAnsi="Times New Roman" w:eastAsia="宋体" w:cs="Times New Roman"/>
                <w:color w:val="auto"/>
                <w:sz w:val="24"/>
                <w:szCs w:val="24"/>
                <w:highlight w:val="none"/>
                <w:lang w:val="zh-CN"/>
              </w:rPr>
              <w:t>+2mm厚HDPE+环氧树脂”</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14:paraId="7D50D70D">
            <w:pPr>
              <w:pStyle w:val="78"/>
              <w:keepNext w:val="0"/>
              <w:keepLines w:val="0"/>
              <w:pageBreakBefore w:val="0"/>
              <w:widowControl w:val="0"/>
              <w:numPr>
                <w:ilvl w:val="0"/>
                <w:numId w:val="0"/>
              </w:numP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14:paraId="2148FB5B">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14:paraId="3AD3B783">
            <w:pPr>
              <w:pStyle w:val="78"/>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14:paraId="633417A8">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14:paraId="36749CD4">
            <w:pPr>
              <w:pStyle w:val="78"/>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14:paraId="160EE8D2">
            <w:pPr>
              <w:pStyle w:val="78"/>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 mm 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14:paraId="6CFB6519">
            <w:pPr>
              <w:pStyle w:val="78"/>
              <w:keepNext w:val="0"/>
              <w:keepLines w:val="0"/>
              <w:pageBreakBefore w:val="0"/>
              <w:widowControl/>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14:paraId="733921E0">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14:paraId="0E486AD6">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14:paraId="0AED2377">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14:paraId="501F3CE2">
            <w:pPr>
              <w:pStyle w:val="78"/>
              <w:keepNext w:val="0"/>
              <w:keepLines w:val="0"/>
              <w:pageBreakBefore w:val="0"/>
              <w:widowControl w:val="0"/>
              <w:numPr>
                <w:ilvl w:val="0"/>
                <w:numId w:val="0"/>
              </w:numP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14:paraId="3EA0D8D5">
            <w:pPr>
              <w:pStyle w:val="78"/>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14:paraId="337C04B6">
            <w:pPr>
              <w:pStyle w:val="78"/>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14:paraId="6D49A24E">
            <w:pPr>
              <w:pStyle w:val="78"/>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14:paraId="52A95B1B">
            <w:pPr>
              <w:pStyle w:val="78"/>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w:t>
            </w:r>
            <w:r>
              <w:rPr>
                <w:rFonts w:hint="eastAsia"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处理和处置，不会对周围环境造成大的影响。</w:t>
            </w:r>
          </w:p>
          <w:p w14:paraId="0ADE06E0">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五、土壤、地下水环境影响分析</w:t>
            </w:r>
          </w:p>
          <w:p w14:paraId="6DACDFC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zh-CN"/>
              </w:rPr>
              <w:t>污染源分析</w:t>
            </w:r>
          </w:p>
          <w:p w14:paraId="4EAF871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本项目正常工况下，不会产生地下水、土壤污染，只有在事故状态下，项目内暂存的废矿物油可能会发生</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等情况，可能对周边土壤造成污染，长时间</w:t>
            </w:r>
            <w:r>
              <w:rPr>
                <w:rFonts w:hint="default" w:ascii="Times New Roman" w:hAnsi="Times New Roman" w:eastAsia="宋体" w:cs="Times New Roman"/>
                <w:color w:val="auto"/>
                <w:sz w:val="24"/>
                <w:highlight w:val="none"/>
              </w:rPr>
              <w:t>泄漏</w:t>
            </w:r>
            <w:r>
              <w:rPr>
                <w:rFonts w:hint="default" w:ascii="Times New Roman" w:hAnsi="Times New Roman" w:eastAsia="宋体" w:cs="Times New Roman"/>
                <w:color w:val="auto"/>
                <w:sz w:val="24"/>
                <w:highlight w:val="none"/>
                <w:lang w:val="zh-CN"/>
              </w:rPr>
              <w:t>可能深入地下对地下水造成污染。</w:t>
            </w:r>
          </w:p>
          <w:p w14:paraId="4EF16E6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本项目设置的水池为混凝土结构，不易破损也不易造成废水泄漏等情况。</w:t>
            </w:r>
          </w:p>
          <w:p w14:paraId="35887AE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zh-CN"/>
              </w:rPr>
              <w:t>污染物类型和污染途径识别</w:t>
            </w:r>
          </w:p>
          <w:p w14:paraId="5D6A898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1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lang w:val="zh-CN"/>
              </w:rPr>
              <w:t>①</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环境影响类型与影响途径识别</w:t>
            </w:r>
          </w:p>
          <w:p w14:paraId="0F98BD5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本项目对周边</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土壤环境影响的类型与影响途径见表4-</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lang w:val="zh-CN"/>
              </w:rPr>
              <w:t>。</w:t>
            </w:r>
          </w:p>
          <w:p w14:paraId="64F3A684">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表4-</w:t>
            </w:r>
            <w:r>
              <w:rPr>
                <w:rStyle w:val="47"/>
                <w:rFonts w:hint="default" w:ascii="Times New Roman" w:hAnsi="Times New Roman" w:eastAsia="宋体" w:cs="Times New Roman"/>
                <w:b/>
                <w:color w:val="auto"/>
                <w:szCs w:val="21"/>
                <w:highlight w:val="none"/>
                <w:lang w:val="en-US" w:eastAsia="zh-CN"/>
              </w:rPr>
              <w:t>2</w:t>
            </w:r>
            <w:r>
              <w:rPr>
                <w:rStyle w:val="47"/>
                <w:rFonts w:hint="eastAsia" w:cs="Times New Roman"/>
                <w:b/>
                <w:color w:val="auto"/>
                <w:szCs w:val="21"/>
                <w:highlight w:val="none"/>
                <w:lang w:val="en-US" w:eastAsia="zh-CN"/>
              </w:rPr>
              <w:t>8</w:t>
            </w:r>
            <w:r>
              <w:rPr>
                <w:rStyle w:val="47"/>
                <w:rFonts w:hint="default" w:ascii="Times New Roman" w:hAnsi="Times New Roman" w:eastAsia="宋体" w:cs="Times New Roman"/>
                <w:b/>
                <w:color w:val="auto"/>
                <w:szCs w:val="21"/>
                <w:highlight w:val="none"/>
              </w:rPr>
              <w:t xml:space="preserve">  项目土壤、地下水环境影响类型与影响途径识别表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14:paraId="2D22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restart"/>
                  <w:vAlign w:val="center"/>
                </w:tcPr>
                <w:p w14:paraId="21B53700">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时段</w:t>
                  </w:r>
                </w:p>
              </w:tc>
              <w:tc>
                <w:tcPr>
                  <w:tcW w:w="6525" w:type="dxa"/>
                  <w:gridSpan w:val="4"/>
                  <w:vAlign w:val="center"/>
                </w:tcPr>
                <w:p w14:paraId="2BA83D47">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污染影响类型</w:t>
                  </w:r>
                </w:p>
              </w:tc>
            </w:tr>
            <w:tr w14:paraId="4BB3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14:paraId="296B5C18">
                  <w:pPr>
                    <w:pStyle w:val="50"/>
                    <w:adjustRightInd w:val="0"/>
                    <w:snapToGrid w:val="0"/>
                    <w:rPr>
                      <w:rStyle w:val="47"/>
                      <w:rFonts w:hint="default" w:ascii="Times New Roman" w:hAnsi="Times New Roman" w:eastAsia="宋体" w:cs="Times New Roman"/>
                      <w:bCs/>
                      <w:color w:val="auto"/>
                      <w:szCs w:val="21"/>
                      <w:highlight w:val="none"/>
                    </w:rPr>
                  </w:pPr>
                </w:p>
              </w:tc>
              <w:tc>
                <w:tcPr>
                  <w:tcW w:w="1484" w:type="dxa"/>
                  <w:vAlign w:val="center"/>
                </w:tcPr>
                <w:p w14:paraId="1109ADD0">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大气沉降</w:t>
                  </w:r>
                </w:p>
              </w:tc>
              <w:tc>
                <w:tcPr>
                  <w:tcW w:w="1724" w:type="dxa"/>
                  <w:vAlign w:val="center"/>
                </w:tcPr>
                <w:p w14:paraId="6D8F8ADF">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地面漫流</w:t>
                  </w:r>
                </w:p>
              </w:tc>
              <w:tc>
                <w:tcPr>
                  <w:tcW w:w="1760" w:type="dxa"/>
                  <w:vAlign w:val="center"/>
                </w:tcPr>
                <w:p w14:paraId="3760CDE8">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垂直入渗</w:t>
                  </w:r>
                </w:p>
              </w:tc>
              <w:tc>
                <w:tcPr>
                  <w:tcW w:w="1557" w:type="dxa"/>
                  <w:vAlign w:val="center"/>
                </w:tcPr>
                <w:p w14:paraId="55D06C8C">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其他</w:t>
                  </w:r>
                </w:p>
              </w:tc>
            </w:tr>
            <w:tr w14:paraId="774F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14:paraId="4FB4A8C2">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运营期</w:t>
                  </w:r>
                </w:p>
              </w:tc>
              <w:tc>
                <w:tcPr>
                  <w:tcW w:w="1484" w:type="dxa"/>
                  <w:vAlign w:val="center"/>
                </w:tcPr>
                <w:p w14:paraId="41D28160">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w:t>
                  </w:r>
                </w:p>
              </w:tc>
              <w:tc>
                <w:tcPr>
                  <w:tcW w:w="1724" w:type="dxa"/>
                  <w:vAlign w:val="center"/>
                </w:tcPr>
                <w:p w14:paraId="453E60E8">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w:t>
                  </w:r>
                </w:p>
              </w:tc>
              <w:tc>
                <w:tcPr>
                  <w:tcW w:w="1760" w:type="dxa"/>
                  <w:vAlign w:val="center"/>
                </w:tcPr>
                <w:p w14:paraId="27158775">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w:t>
                  </w:r>
                </w:p>
              </w:tc>
              <w:tc>
                <w:tcPr>
                  <w:tcW w:w="1557" w:type="dxa"/>
                  <w:vAlign w:val="center"/>
                </w:tcPr>
                <w:p w14:paraId="3315CCE6">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w:t>
                  </w:r>
                </w:p>
              </w:tc>
            </w:tr>
          </w:tbl>
          <w:p w14:paraId="553A3FC2">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fldChar w:fldCharType="begin"/>
            </w:r>
            <w:r>
              <w:rPr>
                <w:rFonts w:hint="default" w:ascii="Times New Roman" w:hAnsi="Times New Roman" w:eastAsia="宋体" w:cs="Times New Roman"/>
                <w:color w:val="auto"/>
                <w:sz w:val="24"/>
                <w:highlight w:val="none"/>
                <w:lang w:val="zh-CN"/>
              </w:rPr>
              <w:instrText xml:space="preserve"> = 2 \* GB3 \* MERGEFORMAT </w:instrText>
            </w:r>
            <w:r>
              <w:rPr>
                <w:rFonts w:hint="default" w:ascii="Times New Roman" w:hAnsi="Times New Roman" w:eastAsia="宋体" w:cs="Times New Roman"/>
                <w:color w:val="auto"/>
                <w:sz w:val="24"/>
                <w:highlight w:val="none"/>
                <w:lang w:val="zh-CN"/>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zh-CN"/>
              </w:rPr>
              <w:fldChar w:fldCharType="end"/>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环境影响</w:t>
            </w:r>
            <w:r>
              <w:rPr>
                <w:rFonts w:hint="default" w:ascii="Times New Roman" w:hAnsi="Times New Roman" w:eastAsia="宋体" w:cs="Times New Roman"/>
                <w:color w:val="auto"/>
                <w:sz w:val="24"/>
                <w:highlight w:val="none"/>
              </w:rPr>
              <w:t>源及影响因子</w:t>
            </w:r>
          </w:p>
          <w:p w14:paraId="7C28FA88">
            <w:pP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项目对</w:t>
            </w:r>
            <w:r>
              <w:rPr>
                <w:rFonts w:hint="default" w:ascii="Times New Roman" w:hAnsi="Times New Roman" w:eastAsia="宋体" w:cs="Times New Roman"/>
                <w:color w:val="auto"/>
                <w:sz w:val="24"/>
                <w:highlight w:val="none"/>
                <w:lang w:val="zh-CN"/>
              </w:rPr>
              <w:t>土壤、</w:t>
            </w:r>
            <w:r>
              <w:rPr>
                <w:rFonts w:hint="default" w:ascii="Times New Roman" w:hAnsi="Times New Roman" w:eastAsia="宋体" w:cs="Times New Roman"/>
                <w:color w:val="auto"/>
                <w:sz w:val="24"/>
                <w:highlight w:val="none"/>
              </w:rPr>
              <w:t>地下水</w:t>
            </w:r>
            <w:r>
              <w:rPr>
                <w:rFonts w:hint="default" w:ascii="Times New Roman" w:hAnsi="Times New Roman" w:eastAsia="宋体" w:cs="Times New Roman"/>
                <w:color w:val="auto"/>
                <w:sz w:val="24"/>
                <w:highlight w:val="none"/>
                <w:lang w:val="zh-CN"/>
              </w:rPr>
              <w:t>环境</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zh-CN"/>
              </w:rPr>
              <w:t>影响</w:t>
            </w:r>
            <w:r>
              <w:rPr>
                <w:rFonts w:hint="default" w:ascii="Times New Roman" w:hAnsi="Times New Roman" w:eastAsia="宋体" w:cs="Times New Roman"/>
                <w:color w:val="auto"/>
                <w:sz w:val="24"/>
                <w:highlight w:val="none"/>
              </w:rPr>
              <w:t>源及影响因子</w:t>
            </w:r>
            <w:r>
              <w:rPr>
                <w:rFonts w:hint="default" w:ascii="Times New Roman" w:hAnsi="Times New Roman" w:eastAsia="宋体" w:cs="Times New Roman"/>
                <w:color w:val="auto"/>
                <w:sz w:val="24"/>
                <w:highlight w:val="none"/>
                <w:lang w:val="zh-CN"/>
              </w:rPr>
              <w:t>见表4-</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lang w:val="zh-CN"/>
              </w:rPr>
              <w:t>。</w:t>
            </w:r>
          </w:p>
          <w:p w14:paraId="032B1119">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表4-</w:t>
            </w:r>
            <w:r>
              <w:rPr>
                <w:rStyle w:val="47"/>
                <w:rFonts w:hint="default" w:ascii="Times New Roman" w:hAnsi="Times New Roman" w:eastAsia="宋体" w:cs="Times New Roman"/>
                <w:b/>
                <w:color w:val="auto"/>
                <w:szCs w:val="21"/>
                <w:highlight w:val="none"/>
                <w:lang w:val="en-US" w:eastAsia="zh-CN"/>
              </w:rPr>
              <w:t>2</w:t>
            </w:r>
            <w:r>
              <w:rPr>
                <w:rStyle w:val="47"/>
                <w:rFonts w:hint="eastAsia" w:cs="Times New Roman"/>
                <w:b/>
                <w:color w:val="auto"/>
                <w:szCs w:val="21"/>
                <w:highlight w:val="none"/>
                <w:lang w:val="en-US" w:eastAsia="zh-CN"/>
              </w:rPr>
              <w:t>9</w:t>
            </w:r>
            <w:r>
              <w:rPr>
                <w:rStyle w:val="47"/>
                <w:rFonts w:hint="default" w:ascii="Times New Roman" w:hAnsi="Times New Roman" w:eastAsia="宋体" w:cs="Times New Roman"/>
                <w:b/>
                <w:color w:val="auto"/>
                <w:szCs w:val="21"/>
                <w:highlight w:val="none"/>
              </w:rPr>
              <w:t xml:space="preserve">  项目土壤、地下水环境影响源及影响因子识别表</w:t>
            </w:r>
          </w:p>
          <w:tbl>
            <w:tblPr>
              <w:tblStyle w:val="27"/>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620"/>
              <w:gridCol w:w="1168"/>
              <w:gridCol w:w="1593"/>
              <w:gridCol w:w="2902"/>
            </w:tblGrid>
            <w:tr w14:paraId="252A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5FB1014D">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污染源</w:t>
                  </w:r>
                </w:p>
              </w:tc>
              <w:tc>
                <w:tcPr>
                  <w:tcW w:w="1620" w:type="dxa"/>
                  <w:vAlign w:val="center"/>
                </w:tcPr>
                <w:p w14:paraId="4890E1A7">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工艺流程/环节</w:t>
                  </w:r>
                </w:p>
              </w:tc>
              <w:tc>
                <w:tcPr>
                  <w:tcW w:w="1168" w:type="dxa"/>
                  <w:vAlign w:val="center"/>
                </w:tcPr>
                <w:p w14:paraId="4EC5D9F8">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污染途径</w:t>
                  </w:r>
                </w:p>
              </w:tc>
              <w:tc>
                <w:tcPr>
                  <w:tcW w:w="1593" w:type="dxa"/>
                  <w:vAlign w:val="center"/>
                </w:tcPr>
                <w:p w14:paraId="2943B75C">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污染物</w:t>
                  </w:r>
                </w:p>
              </w:tc>
              <w:tc>
                <w:tcPr>
                  <w:tcW w:w="2902" w:type="dxa"/>
                  <w:vAlign w:val="center"/>
                </w:tcPr>
                <w:p w14:paraId="327AE550">
                  <w:pPr>
                    <w:pStyle w:val="50"/>
                    <w:adjustRightInd w:val="0"/>
                    <w:snapToGrid w:val="0"/>
                    <w:rPr>
                      <w:rStyle w:val="47"/>
                      <w:rFonts w:hint="default" w:ascii="Times New Roman" w:hAnsi="Times New Roman" w:eastAsia="宋体" w:cs="Times New Roman"/>
                      <w:b/>
                      <w:color w:val="auto"/>
                      <w:szCs w:val="21"/>
                      <w:highlight w:val="none"/>
                    </w:rPr>
                  </w:pPr>
                  <w:r>
                    <w:rPr>
                      <w:rStyle w:val="47"/>
                      <w:rFonts w:hint="default" w:ascii="Times New Roman" w:hAnsi="Times New Roman" w:eastAsia="宋体" w:cs="Times New Roman"/>
                      <w:b/>
                      <w:color w:val="auto"/>
                      <w:szCs w:val="21"/>
                      <w:highlight w:val="none"/>
                    </w:rPr>
                    <w:t>备注</w:t>
                  </w:r>
                </w:p>
              </w:tc>
            </w:tr>
            <w:tr w14:paraId="60D2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70B4112C">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危险废物暂存间</w:t>
                  </w:r>
                </w:p>
              </w:tc>
              <w:tc>
                <w:tcPr>
                  <w:tcW w:w="1620" w:type="dxa"/>
                  <w:vAlign w:val="center"/>
                </w:tcPr>
                <w:p w14:paraId="3DB9D478">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危险废物暂存</w:t>
                  </w:r>
                </w:p>
              </w:tc>
              <w:tc>
                <w:tcPr>
                  <w:tcW w:w="1168" w:type="dxa"/>
                  <w:vAlign w:val="center"/>
                </w:tcPr>
                <w:p w14:paraId="6A4C3553">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垂直入渗</w:t>
                  </w:r>
                </w:p>
              </w:tc>
              <w:tc>
                <w:tcPr>
                  <w:tcW w:w="1593" w:type="dxa"/>
                  <w:vAlign w:val="center"/>
                </w:tcPr>
                <w:p w14:paraId="580B8882">
                  <w:pPr>
                    <w:pStyle w:val="50"/>
                    <w:adjustRightInd w:val="0"/>
                    <w:snapToGrid w:val="0"/>
                    <w:rPr>
                      <w:rStyle w:val="47"/>
                      <w:rFonts w:hint="eastAsia" w:ascii="Times New Roman" w:hAnsi="Times New Roman" w:eastAsia="宋体" w:cs="Times New Roman"/>
                      <w:bCs/>
                      <w:color w:val="auto"/>
                      <w:szCs w:val="21"/>
                      <w:highlight w:val="none"/>
                      <w:lang w:eastAsia="zh-CN"/>
                    </w:rPr>
                  </w:pPr>
                  <w:r>
                    <w:rPr>
                      <w:rStyle w:val="47"/>
                      <w:rFonts w:hint="default" w:ascii="Times New Roman" w:hAnsi="Times New Roman" w:eastAsia="宋体" w:cs="Times New Roman"/>
                      <w:bCs/>
                      <w:color w:val="auto"/>
                      <w:szCs w:val="21"/>
                      <w:highlight w:val="none"/>
                    </w:rPr>
                    <w:t>废矿物油</w:t>
                  </w:r>
                  <w:r>
                    <w:rPr>
                      <w:rStyle w:val="47"/>
                      <w:rFonts w:hint="eastAsia" w:cs="Times New Roman"/>
                      <w:bCs/>
                      <w:color w:val="auto"/>
                      <w:szCs w:val="21"/>
                      <w:highlight w:val="none"/>
                      <w:lang w:eastAsia="zh-CN"/>
                    </w:rPr>
                    <w:t>、废导热油</w:t>
                  </w:r>
                </w:p>
              </w:tc>
              <w:tc>
                <w:tcPr>
                  <w:tcW w:w="2902" w:type="dxa"/>
                  <w:vAlign w:val="center"/>
                </w:tcPr>
                <w:p w14:paraId="511D1EE6">
                  <w:pPr>
                    <w:pStyle w:val="50"/>
                    <w:adjustRightInd w:val="0"/>
                    <w:snapToGrid w:val="0"/>
                    <w:rPr>
                      <w:rStyle w:val="47"/>
                      <w:rFonts w:hint="default" w:ascii="Times New Roman" w:hAnsi="Times New Roman" w:eastAsia="宋体" w:cs="Times New Roman"/>
                      <w:bCs/>
                      <w:color w:val="auto"/>
                      <w:szCs w:val="21"/>
                      <w:highlight w:val="none"/>
                    </w:rPr>
                  </w:pPr>
                  <w:r>
                    <w:rPr>
                      <w:rStyle w:val="47"/>
                      <w:rFonts w:hint="default" w:ascii="Times New Roman" w:hAnsi="Times New Roman" w:eastAsia="宋体" w:cs="Times New Roman"/>
                      <w:bCs/>
                      <w:color w:val="auto"/>
                      <w:szCs w:val="21"/>
                      <w:highlight w:val="none"/>
                    </w:rPr>
                    <w:t>危废收集容器损坏，废矿物油泄漏渗入土壤造成污染</w:t>
                  </w:r>
                </w:p>
              </w:tc>
            </w:tr>
            <w:tr w14:paraId="7204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14:paraId="3041752F">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Style w:val="47"/>
                      <w:rFonts w:hint="default" w:ascii="Times New Roman" w:hAnsi="Times New Roman" w:eastAsia="宋体" w:cs="Times New Roman"/>
                      <w:bCs/>
                      <w:color w:val="auto"/>
                      <w:szCs w:val="21"/>
                      <w:highlight w:val="none"/>
                      <w:lang w:val="en-US" w:eastAsia="zh-CN"/>
                    </w:rPr>
                    <w:t>污水处理站</w:t>
                  </w:r>
                </w:p>
              </w:tc>
              <w:tc>
                <w:tcPr>
                  <w:tcW w:w="1620" w:type="dxa"/>
                  <w:vAlign w:val="center"/>
                </w:tcPr>
                <w:p w14:paraId="44F09267">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Style w:val="47"/>
                      <w:rFonts w:hint="default" w:ascii="Times New Roman" w:hAnsi="Times New Roman" w:eastAsia="宋体" w:cs="Times New Roman"/>
                      <w:bCs/>
                      <w:color w:val="auto"/>
                      <w:szCs w:val="21"/>
                      <w:highlight w:val="none"/>
                      <w:lang w:val="en-US" w:eastAsia="zh-CN"/>
                    </w:rPr>
                    <w:t>生活污水、生产废水</w:t>
                  </w:r>
                </w:p>
              </w:tc>
              <w:tc>
                <w:tcPr>
                  <w:tcW w:w="1168" w:type="dxa"/>
                  <w:vAlign w:val="center"/>
                </w:tcPr>
                <w:p w14:paraId="00AF9041">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Style w:val="47"/>
                      <w:rFonts w:hint="default" w:ascii="Times New Roman" w:hAnsi="Times New Roman" w:eastAsia="宋体" w:cs="Times New Roman"/>
                      <w:bCs/>
                      <w:color w:val="auto"/>
                      <w:szCs w:val="21"/>
                      <w:highlight w:val="none"/>
                    </w:rPr>
                    <w:t>垂直入渗</w:t>
                  </w:r>
                  <w:r>
                    <w:rPr>
                      <w:rStyle w:val="47"/>
                      <w:rFonts w:hint="default" w:ascii="Times New Roman" w:hAnsi="Times New Roman" w:eastAsia="宋体" w:cs="Times New Roman"/>
                      <w:bCs/>
                      <w:color w:val="auto"/>
                      <w:szCs w:val="21"/>
                      <w:highlight w:val="none"/>
                      <w:lang w:eastAsia="zh-CN"/>
                    </w:rPr>
                    <w:t>、</w:t>
                  </w:r>
                  <w:r>
                    <w:rPr>
                      <w:rStyle w:val="47"/>
                      <w:rFonts w:hint="default" w:ascii="Times New Roman" w:hAnsi="Times New Roman" w:eastAsia="宋体" w:cs="Times New Roman"/>
                      <w:bCs/>
                      <w:color w:val="auto"/>
                      <w:szCs w:val="21"/>
                      <w:highlight w:val="none"/>
                      <w:lang w:val="en-US" w:eastAsia="zh-CN"/>
                    </w:rPr>
                    <w:t>地面漫流</w:t>
                  </w:r>
                </w:p>
              </w:tc>
              <w:tc>
                <w:tcPr>
                  <w:tcW w:w="1593" w:type="dxa"/>
                  <w:vAlign w:val="center"/>
                </w:tcPr>
                <w:p w14:paraId="632047C5">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w:t>
                  </w:r>
                </w:p>
              </w:tc>
              <w:tc>
                <w:tcPr>
                  <w:tcW w:w="2902" w:type="dxa"/>
                  <w:vAlign w:val="center"/>
                </w:tcPr>
                <w:p w14:paraId="51F1A443">
                  <w:pPr>
                    <w:pStyle w:val="50"/>
                    <w:adjustRightInd w:val="0"/>
                    <w:snapToGrid w:val="0"/>
                    <w:rPr>
                      <w:rStyle w:val="47"/>
                      <w:rFonts w:hint="default" w:ascii="Times New Roman" w:hAnsi="Times New Roman" w:eastAsia="宋体" w:cs="Times New Roman"/>
                      <w:bCs/>
                      <w:color w:val="auto"/>
                      <w:szCs w:val="21"/>
                      <w:highlight w:val="none"/>
                      <w:lang w:val="en-US" w:eastAsia="zh-CN"/>
                    </w:rPr>
                  </w:pPr>
                  <w:r>
                    <w:rPr>
                      <w:rStyle w:val="47"/>
                      <w:rFonts w:hint="default" w:ascii="Times New Roman" w:hAnsi="Times New Roman" w:eastAsia="宋体" w:cs="Times New Roman"/>
                      <w:bCs/>
                      <w:color w:val="auto"/>
                      <w:szCs w:val="21"/>
                      <w:highlight w:val="none"/>
                      <w:lang w:val="en-US" w:eastAsia="zh-CN"/>
                    </w:rPr>
                    <w:t>废水外溢通过地表漫流、垂直</w:t>
                  </w:r>
                  <w:r>
                    <w:rPr>
                      <w:rStyle w:val="47"/>
                      <w:rFonts w:hint="default" w:ascii="Times New Roman" w:hAnsi="Times New Roman" w:eastAsia="宋体" w:cs="Times New Roman"/>
                      <w:bCs/>
                      <w:color w:val="auto"/>
                      <w:szCs w:val="21"/>
                      <w:highlight w:val="none"/>
                    </w:rPr>
                    <w:t>入渗</w:t>
                  </w:r>
                  <w:r>
                    <w:rPr>
                      <w:rStyle w:val="47"/>
                      <w:rFonts w:hint="default" w:ascii="Times New Roman" w:hAnsi="Times New Roman" w:eastAsia="宋体" w:cs="Times New Roman"/>
                      <w:bCs/>
                      <w:color w:val="auto"/>
                      <w:szCs w:val="21"/>
                      <w:highlight w:val="none"/>
                      <w:lang w:val="en-US" w:eastAsia="zh-CN"/>
                    </w:rPr>
                    <w:t>进入土壤、地下水造成污染</w:t>
                  </w:r>
                </w:p>
              </w:tc>
            </w:tr>
          </w:tbl>
          <w:p w14:paraId="7078A8B7">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3、分区防控措施</w:t>
            </w:r>
          </w:p>
          <w:p w14:paraId="53A3D3B8">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根据以上分析，项目存在土壤、地下水污染源的区域主要为</w:t>
            </w:r>
            <w:r>
              <w:rPr>
                <w:rFonts w:hint="default" w:ascii="Times New Roman" w:hAnsi="Times New Roman" w:eastAsia="宋体" w:cs="Times New Roman"/>
                <w:color w:val="auto"/>
                <w:sz w:val="24"/>
                <w:highlight w:val="none"/>
                <w:lang w:val="en-US" w:eastAsia="zh-CN"/>
              </w:rPr>
              <w:t>污水处理设施各水池及</w:t>
            </w:r>
            <w:r>
              <w:rPr>
                <w:rFonts w:hint="default" w:ascii="Times New Roman" w:hAnsi="Times New Roman" w:eastAsia="宋体" w:cs="Times New Roman"/>
                <w:color w:val="auto"/>
                <w:sz w:val="24"/>
                <w:highlight w:val="none"/>
                <w:lang w:val="zh-CN"/>
              </w:rPr>
              <w:t>危险废</w:t>
            </w:r>
            <w:r>
              <w:rPr>
                <w:rFonts w:hint="default" w:ascii="Times New Roman" w:hAnsi="Times New Roman" w:eastAsia="宋体" w:cs="Times New Roman"/>
                <w:color w:val="auto"/>
                <w:sz w:val="24"/>
                <w:highlight w:val="none"/>
              </w:rPr>
              <w:t>物</w:t>
            </w:r>
            <w:r>
              <w:rPr>
                <w:rFonts w:hint="default" w:ascii="Times New Roman" w:hAnsi="Times New Roman" w:eastAsia="宋体" w:cs="Times New Roman"/>
                <w:color w:val="auto"/>
                <w:sz w:val="24"/>
                <w:highlight w:val="none"/>
                <w:lang w:val="zh-CN"/>
              </w:rPr>
              <w:t>暂存间，因此</w:t>
            </w:r>
            <w:r>
              <w:rPr>
                <w:rFonts w:hint="eastAsia" w:cs="Times New Roman"/>
                <w:color w:val="auto"/>
                <w:sz w:val="24"/>
                <w:highlight w:val="none"/>
                <w:lang w:val="zh-CN"/>
              </w:rPr>
              <w:t>提出了</w:t>
            </w:r>
            <w:r>
              <w:rPr>
                <w:rFonts w:hint="default" w:ascii="Times New Roman" w:hAnsi="Times New Roman" w:eastAsia="宋体" w:cs="Times New Roman"/>
                <w:color w:val="auto"/>
                <w:sz w:val="24"/>
                <w:highlight w:val="none"/>
                <w:lang w:val="zh-CN"/>
              </w:rPr>
              <w:t>进行分区防渗措施，其中</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暂存间为重点防渗区，采用“</w:t>
            </w:r>
            <w:r>
              <w:rPr>
                <w:rFonts w:hint="default" w:ascii="Times New Roman" w:hAnsi="Times New Roman" w:eastAsia="宋体" w:cs="Times New Roman"/>
                <w:color w:val="auto"/>
                <w:sz w:val="24"/>
                <w:highlight w:val="none"/>
                <w:lang w:val="en-US" w:eastAsia="zh-CN"/>
              </w:rPr>
              <w:t>抗渗</w:t>
            </w:r>
            <w:r>
              <w:rPr>
                <w:rFonts w:hint="default" w:ascii="Times New Roman" w:hAnsi="Times New Roman" w:eastAsia="宋体" w:cs="Times New Roman"/>
                <w:color w:val="auto"/>
                <w:sz w:val="24"/>
                <w:highlight w:val="none"/>
                <w:lang w:val="zh-CN"/>
              </w:rPr>
              <w:t>混</w:t>
            </w:r>
            <w:r>
              <w:rPr>
                <w:rFonts w:hint="default" w:ascii="Times New Roman" w:hAnsi="Times New Roman" w:eastAsia="宋体" w:cs="Times New Roman"/>
                <w:color w:val="auto"/>
                <w:sz w:val="24"/>
                <w:szCs w:val="24"/>
                <w:highlight w:val="none"/>
              </w:rPr>
              <w:t>凝土</w:t>
            </w:r>
            <w:r>
              <w:rPr>
                <w:rFonts w:hint="default" w:ascii="Times New Roman" w:hAnsi="Times New Roman" w:eastAsia="宋体" w:cs="Times New Roman"/>
                <w:color w:val="auto"/>
                <w:sz w:val="24"/>
                <w:highlight w:val="none"/>
                <w:lang w:val="zh-CN"/>
              </w:rPr>
              <w:t>+2mm厚HDPE+环氧树脂”</w:t>
            </w:r>
            <w:r>
              <w:rPr>
                <w:rFonts w:hint="default" w:ascii="Times New Roman" w:hAnsi="Times New Roman" w:eastAsia="宋体" w:cs="Times New Roman"/>
                <w:color w:val="auto"/>
                <w:sz w:val="24"/>
                <w:highlight w:val="none"/>
              </w:rPr>
              <w:t>进行重点防渗处理</w:t>
            </w:r>
            <w:r>
              <w:rPr>
                <w:rFonts w:hint="default" w:ascii="Times New Roman" w:hAnsi="Times New Roman" w:eastAsia="宋体" w:cs="Times New Roman"/>
                <w:color w:val="auto"/>
                <w:sz w:val="24"/>
                <w:highlight w:val="none"/>
                <w:lang w:val="zh-CN"/>
              </w:rPr>
              <w:t>，渗透系数≤10</w:t>
            </w:r>
            <w:r>
              <w:rPr>
                <w:rFonts w:hint="default" w:ascii="Times New Roman" w:hAnsi="Times New Roman" w:eastAsia="宋体" w:cs="Times New Roman"/>
                <w:color w:val="auto"/>
                <w:sz w:val="24"/>
                <w:highlight w:val="none"/>
                <w:vertAlign w:val="superscript"/>
                <w:lang w:val="zh-CN"/>
              </w:rPr>
              <w:t>-10</w:t>
            </w:r>
            <w:r>
              <w:rPr>
                <w:rFonts w:hint="default" w:ascii="Times New Roman" w:hAnsi="Times New Roman" w:eastAsia="宋体" w:cs="Times New Roman"/>
                <w:color w:val="auto"/>
                <w:sz w:val="24"/>
                <w:highlight w:val="none"/>
                <w:lang w:val="zh-CN"/>
              </w:rPr>
              <w:t>cm/s；</w:t>
            </w:r>
            <w:r>
              <w:rPr>
                <w:rFonts w:hint="default" w:ascii="Times New Roman" w:hAnsi="Times New Roman" w:eastAsia="宋体" w:cs="Times New Roman"/>
                <w:color w:val="auto"/>
                <w:sz w:val="24"/>
                <w:highlight w:val="none"/>
              </w:rPr>
              <w:t>危险废物</w:t>
            </w:r>
            <w:r>
              <w:rPr>
                <w:rFonts w:hint="default" w:ascii="Times New Roman" w:hAnsi="Times New Roman" w:eastAsia="宋体" w:cs="Times New Roman"/>
                <w:color w:val="auto"/>
                <w:sz w:val="24"/>
                <w:highlight w:val="none"/>
                <w:lang w:val="zh-CN"/>
              </w:rPr>
              <w:t>暂存间地面及</w:t>
            </w:r>
            <w:r>
              <w:rPr>
                <w:rFonts w:hint="default" w:ascii="Times New Roman" w:hAnsi="Times New Roman" w:eastAsia="宋体" w:cs="Times New Roman"/>
                <w:color w:val="auto"/>
                <w:sz w:val="24"/>
                <w:highlight w:val="none"/>
              </w:rPr>
              <w:t>四周墙裙脚应</w:t>
            </w:r>
            <w:r>
              <w:rPr>
                <w:rFonts w:hint="default" w:ascii="Times New Roman" w:hAnsi="Times New Roman" w:eastAsia="宋体" w:cs="Times New Roman"/>
                <w:color w:val="auto"/>
                <w:sz w:val="24"/>
                <w:highlight w:val="none"/>
                <w:lang w:val="zh-CN"/>
              </w:rPr>
              <w:t>按照</w:t>
            </w:r>
            <w:r>
              <w:rPr>
                <w:rStyle w:val="7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中要求</w:t>
            </w:r>
            <w:r>
              <w:rPr>
                <w:rFonts w:hint="default" w:ascii="Times New Roman" w:hAnsi="Times New Roman" w:eastAsia="宋体" w:cs="Times New Roman"/>
                <w:color w:val="auto"/>
                <w:sz w:val="24"/>
                <w:highlight w:val="none"/>
              </w:rPr>
              <w:t>进行重点防渗</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并设危险废物备用储存容器，避免废矿物油泄漏污染土壤、地下水</w:t>
            </w:r>
            <w:r>
              <w:rPr>
                <w:rFonts w:hint="eastAsia" w:cs="Times New Roman"/>
                <w:color w:val="auto"/>
                <w:sz w:val="24"/>
                <w:highlight w:val="none"/>
                <w:lang w:eastAsia="zh-CN"/>
              </w:rPr>
              <w:t>；</w:t>
            </w:r>
            <w:r>
              <w:rPr>
                <w:rFonts w:hint="eastAsia" w:cs="Times New Roman"/>
                <w:color w:val="auto"/>
                <w:sz w:val="24"/>
                <w:szCs w:val="24"/>
                <w:highlight w:val="none"/>
                <w:lang w:eastAsia="zh-CN"/>
              </w:rPr>
              <w:t>成品</w:t>
            </w:r>
            <w:r>
              <w:rPr>
                <w:rFonts w:hint="eastAsia"/>
                <w:color w:val="auto"/>
                <w:sz w:val="24"/>
                <w:szCs w:val="24"/>
                <w:lang w:eastAsia="zh-CN"/>
              </w:rPr>
              <w:t>油罐区做重点防渗，</w:t>
            </w:r>
            <w:r>
              <w:rPr>
                <w:rFonts w:hint="eastAsia" w:cs="Times New Roman"/>
                <w:color w:val="auto"/>
                <w:sz w:val="24"/>
                <w:szCs w:val="24"/>
                <w:lang w:val="zh-CN"/>
              </w:rPr>
              <w:t>防渗要求</w:t>
            </w:r>
            <w:r>
              <w:rPr>
                <w:color w:val="auto"/>
                <w:sz w:val="24"/>
                <w:szCs w:val="24"/>
              </w:rPr>
              <w:t>等效黏土层Mb≥</w:t>
            </w:r>
            <w:r>
              <w:rPr>
                <w:rFonts w:hint="eastAsia"/>
                <w:color w:val="auto"/>
                <w:sz w:val="24"/>
                <w:szCs w:val="24"/>
                <w:lang w:val="en-US" w:eastAsia="zh-CN"/>
              </w:rPr>
              <w:t>6.0</w:t>
            </w:r>
            <w:r>
              <w:rPr>
                <w:color w:val="auto"/>
                <w:sz w:val="24"/>
                <w:szCs w:val="24"/>
              </w:rPr>
              <w:t>m，K≤1.0×10</w:t>
            </w:r>
            <w:r>
              <w:rPr>
                <w:color w:val="auto"/>
                <w:sz w:val="24"/>
                <w:szCs w:val="24"/>
                <w:vertAlign w:val="superscript"/>
              </w:rPr>
              <w:t>-7</w:t>
            </w:r>
            <w:r>
              <w:rPr>
                <w:color w:val="auto"/>
                <w:sz w:val="24"/>
                <w:szCs w:val="24"/>
              </w:rPr>
              <w:t>cm/s</w:t>
            </w:r>
            <w:r>
              <w:rPr>
                <w:rFonts w:hint="eastAsia"/>
                <w:color w:val="auto"/>
                <w:sz w:val="24"/>
                <w:szCs w:val="24"/>
                <w:lang w:eastAsia="zh-CN"/>
              </w:rPr>
              <w:t>。</w:t>
            </w:r>
            <w:r>
              <w:rPr>
                <w:rFonts w:hint="default" w:ascii="Times New Roman" w:hAnsi="Times New Roman" w:eastAsia="宋体" w:cs="Times New Roman"/>
                <w:color w:val="auto"/>
                <w:sz w:val="24"/>
                <w:szCs w:val="24"/>
                <w:highlight w:val="none"/>
                <w:vertAlign w:val="baseline"/>
                <w:lang w:val="en-US" w:eastAsia="zh-CN"/>
              </w:rPr>
              <w:t>隔油池、化粪池、污水处理设施</w:t>
            </w:r>
            <w:r>
              <w:rPr>
                <w:rFonts w:hint="eastAsia" w:cs="Times New Roman"/>
                <w:color w:val="auto"/>
                <w:sz w:val="24"/>
                <w:szCs w:val="24"/>
                <w:highlight w:val="none"/>
                <w:vertAlign w:val="baseline"/>
                <w:lang w:val="en-US" w:eastAsia="zh-CN"/>
              </w:rPr>
              <w:t>隔</w:t>
            </w:r>
            <w:r>
              <w:rPr>
                <w:rFonts w:hint="default" w:ascii="Times New Roman" w:hAnsi="Times New Roman" w:eastAsia="宋体" w:cs="Times New Roman"/>
                <w:color w:val="auto"/>
                <w:sz w:val="24"/>
                <w:szCs w:val="24"/>
                <w:highlight w:val="none"/>
                <w:vertAlign w:val="baseline"/>
                <w:lang w:val="en-US" w:eastAsia="zh-CN"/>
              </w:rPr>
              <w:t>水池、事故应急池、一般固体废物暂存区</w:t>
            </w:r>
            <w:r>
              <w:rPr>
                <w:rFonts w:hint="eastAsia" w:cs="Times New Roman"/>
                <w:color w:val="auto"/>
                <w:sz w:val="24"/>
                <w:szCs w:val="24"/>
                <w:highlight w:val="none"/>
                <w:vertAlign w:val="baseline"/>
                <w:lang w:val="en-US" w:eastAsia="zh-CN"/>
              </w:rPr>
              <w:t>、冰池</w:t>
            </w:r>
            <w:r>
              <w:rPr>
                <w:rFonts w:hint="default" w:ascii="Times New Roman" w:hAnsi="Times New Roman" w:eastAsia="宋体" w:cs="Times New Roman"/>
                <w:color w:val="auto"/>
                <w:sz w:val="24"/>
                <w:szCs w:val="24"/>
                <w:highlight w:val="none"/>
                <w:vertAlign w:val="baseline"/>
                <w:lang w:val="en-US" w:eastAsia="zh-CN"/>
              </w:rPr>
              <w:t>进行一般防渗，</w:t>
            </w:r>
            <w:r>
              <w:rPr>
                <w:rFonts w:hint="default" w:ascii="Times New Roman" w:hAnsi="Times New Roman" w:eastAsia="宋体" w:cs="Times New Roman"/>
                <w:b w:val="0"/>
                <w:bCs w:val="0"/>
                <w:color w:val="auto"/>
                <w:sz w:val="24"/>
                <w:szCs w:val="24"/>
                <w:highlight w:val="none"/>
                <w:lang w:val="zh-CN"/>
              </w:rPr>
              <w:t>防渗技术要求达到等效黏土防渗层Mb≥1.5m，渗透系数≤10</w:t>
            </w:r>
            <w:r>
              <w:rPr>
                <w:rFonts w:hint="default" w:ascii="Times New Roman" w:hAnsi="Times New Roman" w:eastAsia="宋体" w:cs="Times New Roman"/>
                <w:b w:val="0"/>
                <w:bCs w:val="0"/>
                <w:color w:val="auto"/>
                <w:sz w:val="24"/>
                <w:szCs w:val="24"/>
                <w:highlight w:val="none"/>
                <w:vertAlign w:val="superscript"/>
                <w:lang w:val="zh-CN"/>
              </w:rPr>
              <w:t>-</w:t>
            </w:r>
            <w:r>
              <w:rPr>
                <w:rFonts w:hint="default" w:ascii="Times New Roman" w:hAnsi="Times New Roman" w:eastAsia="宋体" w:cs="Times New Roman"/>
                <w:b w:val="0"/>
                <w:bCs w:val="0"/>
                <w:color w:val="auto"/>
                <w:sz w:val="24"/>
                <w:szCs w:val="24"/>
                <w:highlight w:val="none"/>
                <w:vertAlign w:val="superscript"/>
                <w:lang w:val="en-US" w:eastAsia="zh-CN"/>
              </w:rPr>
              <w:t>7</w:t>
            </w:r>
            <w:r>
              <w:rPr>
                <w:rFonts w:hint="default" w:ascii="Times New Roman" w:hAnsi="Times New Roman" w:eastAsia="宋体" w:cs="Times New Roman"/>
                <w:b w:val="0"/>
                <w:bCs w:val="0"/>
                <w:color w:val="auto"/>
                <w:sz w:val="24"/>
                <w:szCs w:val="24"/>
                <w:highlight w:val="none"/>
                <w:lang w:val="zh-CN"/>
              </w:rPr>
              <w:t>cm/s。</w:t>
            </w:r>
            <w:r>
              <w:rPr>
                <w:rFonts w:hint="default" w:ascii="Times New Roman" w:hAnsi="Times New Roman" w:eastAsia="宋体" w:cs="Times New Roman"/>
                <w:color w:val="auto"/>
                <w:sz w:val="24"/>
                <w:szCs w:val="24"/>
                <w:highlight w:val="none"/>
                <w:lang w:val="zh-CN"/>
              </w:rPr>
              <w:t>其余生产区、</w:t>
            </w:r>
            <w:r>
              <w:rPr>
                <w:rFonts w:hint="default" w:ascii="Times New Roman" w:hAnsi="Times New Roman" w:eastAsia="宋体" w:cs="Times New Roman"/>
                <w:color w:val="auto"/>
                <w:sz w:val="24"/>
                <w:szCs w:val="24"/>
                <w:highlight w:val="none"/>
              </w:rPr>
              <w:t>道路及</w:t>
            </w:r>
            <w:r>
              <w:rPr>
                <w:rFonts w:hint="default" w:ascii="Times New Roman" w:hAnsi="Times New Roman" w:eastAsia="宋体" w:cs="Times New Roman"/>
                <w:color w:val="auto"/>
                <w:sz w:val="24"/>
                <w:szCs w:val="24"/>
                <w:highlight w:val="none"/>
                <w:lang w:val="en-US" w:eastAsia="zh-CN"/>
              </w:rPr>
              <w:t>办公</w:t>
            </w:r>
            <w:r>
              <w:rPr>
                <w:rFonts w:hint="default" w:ascii="Times New Roman" w:hAnsi="Times New Roman" w:eastAsia="宋体" w:cs="Times New Roman"/>
                <w:color w:val="auto"/>
                <w:sz w:val="24"/>
                <w:szCs w:val="24"/>
                <w:highlight w:val="none"/>
              </w:rPr>
              <w:t>区域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除绿化外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zh-CN"/>
              </w:rPr>
              <w:t>进行一般</w:t>
            </w:r>
            <w:r>
              <w:rPr>
                <w:rFonts w:hint="default" w:ascii="Times New Roman" w:hAnsi="Times New Roman" w:eastAsia="宋体" w:cs="Times New Roman"/>
                <w:b w:val="0"/>
                <w:bCs w:val="0"/>
                <w:color w:val="auto"/>
                <w:sz w:val="24"/>
                <w:szCs w:val="24"/>
                <w:highlight w:val="none"/>
                <w:lang w:val="en-US" w:eastAsia="zh-CN"/>
              </w:rPr>
              <w:t>硬化处理，为简单</w:t>
            </w:r>
            <w:r>
              <w:rPr>
                <w:rFonts w:hint="default" w:ascii="Times New Roman" w:hAnsi="Times New Roman" w:eastAsia="宋体" w:cs="Times New Roman"/>
                <w:color w:val="auto"/>
                <w:sz w:val="24"/>
                <w:highlight w:val="none"/>
                <w:lang w:val="en-US" w:eastAsia="zh-CN"/>
              </w:rPr>
              <w:t>防渗区。</w:t>
            </w:r>
          </w:p>
          <w:p w14:paraId="46F6E2D2">
            <w:pPr>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采取以上措施后可有效避免废水及危险废物对土壤及地下水的污染。</w:t>
            </w:r>
          </w:p>
          <w:p w14:paraId="7BFF652D">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六、生态环境</w:t>
            </w:r>
          </w:p>
          <w:p w14:paraId="120E4751">
            <w:pPr>
              <w:spacing w:line="360" w:lineRule="auto"/>
              <w:ind w:firstLine="482"/>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云南寻甸产业园区羊街片区非烟轻工产</w:t>
            </w:r>
            <w:r>
              <w:rPr>
                <w:rFonts w:hint="eastAsia" w:cs="Times New Roman"/>
                <w:color w:val="auto"/>
                <w:sz w:val="24"/>
                <w:szCs w:val="24"/>
                <w:highlight w:val="none"/>
                <w:u w:val="none"/>
                <w:lang w:val="en-US" w:eastAsia="zh-CN"/>
              </w:rPr>
              <w:t>业园</w:t>
            </w:r>
            <w:r>
              <w:rPr>
                <w:rFonts w:hint="default" w:ascii="Times New Roman" w:hAnsi="Times New Roman" w:eastAsia="宋体" w:cs="Times New Roman"/>
                <w:color w:val="auto"/>
                <w:sz w:val="24"/>
                <w:szCs w:val="24"/>
                <w:highlight w:val="none"/>
                <w:u w:val="none"/>
                <w:lang w:val="en-US" w:eastAsia="zh-CN"/>
              </w:rPr>
              <w:t>区内</w:t>
            </w:r>
            <w:r>
              <w:rPr>
                <w:rFonts w:hint="default" w:ascii="Times New Roman" w:hAnsi="Times New Roman" w:eastAsia="宋体" w:cs="Times New Roman"/>
                <w:color w:val="auto"/>
                <w:sz w:val="24"/>
                <w:szCs w:val="24"/>
                <w:highlight w:val="none"/>
                <w:lang w:val="en-US" w:eastAsia="zh-CN"/>
              </w:rPr>
              <w:t>，不涉及园区外用地，本项目用地</w:t>
            </w:r>
            <w:r>
              <w:rPr>
                <w:rFonts w:hint="eastAsia" w:cs="Times New Roman"/>
                <w:color w:val="auto"/>
                <w:sz w:val="24"/>
                <w:szCs w:val="24"/>
                <w:highlight w:val="none"/>
                <w:lang w:val="en-US" w:eastAsia="zh-CN"/>
              </w:rPr>
              <w:t>现场为空地，基本已</w:t>
            </w:r>
            <w:r>
              <w:rPr>
                <w:rFonts w:hint="default" w:ascii="Times New Roman" w:hAnsi="Times New Roman" w:eastAsia="宋体" w:cs="Times New Roman"/>
                <w:color w:val="auto"/>
                <w:sz w:val="24"/>
                <w:highlight w:val="none"/>
                <w:lang w:val="en-US" w:eastAsia="zh-CN"/>
              </w:rPr>
              <w:t>无原生植被附着，项目建设期和运营期均不会对区域生态环境造成较大影响。</w:t>
            </w:r>
          </w:p>
          <w:p w14:paraId="5E9B9D9C">
            <w:pP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七、风险分析措施</w:t>
            </w:r>
          </w:p>
          <w:p w14:paraId="126BA91D">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14:paraId="48A8EA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14:paraId="0A17B53C">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14:paraId="55A6983F">
            <w:pPr>
              <w:pStyle w:val="78"/>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14:paraId="2CA10D58">
            <w:pPr>
              <w:pStyle w:val="78"/>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附录</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rPr>
              <w:t>。</w:t>
            </w:r>
          </w:p>
          <w:p w14:paraId="4DF8CDEE">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w:t>
            </w:r>
            <w:r>
              <w:rPr>
                <w:rFonts w:hint="eastAsia" w:cs="Times New Roman"/>
                <w:b/>
                <w:color w:val="auto"/>
                <w:szCs w:val="21"/>
                <w:highlight w:val="none"/>
                <w:lang w:val="en-US" w:eastAsia="zh-CN"/>
              </w:rPr>
              <w:t>30</w:t>
            </w:r>
            <w:r>
              <w:rPr>
                <w:rFonts w:hint="default" w:ascii="Times New Roman" w:hAnsi="Times New Roman" w:eastAsia="宋体" w:cs="Times New Roman"/>
                <w:b/>
                <w:color w:val="auto"/>
                <w:szCs w:val="21"/>
                <w:highlight w:val="none"/>
              </w:rPr>
              <w:t xml:space="preserve">  矿物油理化性质及危险特性表</w:t>
            </w:r>
          </w:p>
          <w:tbl>
            <w:tblPr>
              <w:tblStyle w:val="26"/>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14:paraId="6989D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14:paraId="777E00B1">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14:paraId="3A2B493E">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14:paraId="071B0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4F6C61AB">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14:paraId="198A75BB">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2"/>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14:paraId="7C0E2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5F1F17CA">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14:paraId="3F849185">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14:paraId="34EBB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14:paraId="777FA137">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14:paraId="2866E27D">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14:paraId="67262496">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14:paraId="31F74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57E94676">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14:paraId="69FEFBAE">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14:paraId="611D9AC0">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14:paraId="12037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3567C753">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14:paraId="249C38DE">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14:paraId="23301E46">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14:paraId="535BD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1EF38343">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14:paraId="0367FC35">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饱和蒸汽</w:t>
                  </w:r>
                  <w:r>
                    <w:rPr>
                      <w:rFonts w:hint="default" w:ascii="Times New Roman" w:hAnsi="Times New Roman" w:eastAsia="宋体" w:cs="Times New Roman"/>
                      <w:color w:val="auto"/>
                      <w:szCs w:val="21"/>
                      <w:highlight w:val="none"/>
                    </w:rPr>
                    <w:t>压（KPa）：-</w:t>
                  </w:r>
                </w:p>
              </w:tc>
              <w:tc>
                <w:tcPr>
                  <w:tcW w:w="4337" w:type="dxa"/>
                  <w:noWrap w:val="0"/>
                  <w:vAlign w:val="center"/>
                </w:tcPr>
                <w:p w14:paraId="13617BAF">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14:paraId="51F98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5F1E136E">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14:paraId="23AA818A">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14:paraId="6CBBA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2DB90154">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14:paraId="57F68BA3">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14:paraId="28E48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14:paraId="4B82FB3D">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14:paraId="7A6B5978">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14:paraId="0AC27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32FA8376">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14:paraId="48DEB4FF">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14:paraId="12CA64BB">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14:paraId="17A1D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7C86F017">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14:paraId="5C5431FC">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14:paraId="6186FBFE">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14:paraId="59416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08FA88DD">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14:paraId="35442727">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14:paraId="37C164D9">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14:paraId="5D3E3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14A741C3">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14:paraId="15B0AC39">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14:paraId="4EA8857F">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14:paraId="651BDBE4">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14:paraId="7F044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00A403EE">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14:paraId="24841439">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14:paraId="1673A18A">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14:paraId="3799D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2E18CFB9">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14:paraId="4ADF79BB">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14:paraId="54AECE5A">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14:paraId="30EF9DC7">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消防人员须佩戴防毒面具、身穿全身消防服，在上风险灭活。尽可能将容器从火场移至空旷处。喷水保持火场容器冷却，直至灭活结束。处在火场中的容器若已变色或从安全泄压装置中产生声音，必须马上撤离。</w:t>
                  </w:r>
                </w:p>
                <w:p w14:paraId="21CD7DD2">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14:paraId="3C4D6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14:paraId="5D901CDD">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14:paraId="5DCD1913">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14:paraId="1A8C02A7">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14:paraId="0036A4E9">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14:paraId="6B319BAC">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14:paraId="0DED5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5E89DDA8">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14:paraId="06EDCA15">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14:paraId="5860BC16">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14:paraId="301FA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627D9E3A">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14:paraId="1B7C3E8E">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14:paraId="03768E65">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14:paraId="222C0C76">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14:paraId="33C24344">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14:paraId="6725C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67FFAABF">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14:paraId="33AFE594">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14:paraId="2F5B4736">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14:paraId="0DE11436">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14:paraId="344F96FD">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14:paraId="3185DFD8">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14:paraId="0481483C">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14:paraId="2C079A2E">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14:paraId="143B4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14:paraId="08C1DF93">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14:paraId="3B2CF12B">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14:paraId="594E290E">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14:paraId="58572890">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14:paraId="75C5573A">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eastAsia="zh-CN"/>
                    </w:rPr>
                    <w:t>眼睛</w:t>
                  </w:r>
                  <w:r>
                    <w:rPr>
                      <w:rFonts w:hint="default" w:ascii="Times New Roman" w:hAnsi="Times New Roman" w:eastAsia="宋体" w:cs="Times New Roman"/>
                      <w:color w:val="auto"/>
                      <w:szCs w:val="21"/>
                      <w:highlight w:val="none"/>
                    </w:rPr>
                    <w:t>接触：立即提起眼睑，用大量流动清水或生理盐水冲洗，就医；</w:t>
                  </w:r>
                </w:p>
                <w:p w14:paraId="3675657A">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14:paraId="3C878200">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14:paraId="7A5F2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14:paraId="21C34C58">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14:paraId="16E34763">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w:t>
                  </w:r>
                  <w:r>
                    <w:rPr>
                      <w:rFonts w:hint="eastAsia" w:cs="Times New Roman"/>
                      <w:color w:val="auto"/>
                      <w:highlight w:val="none"/>
                      <w:lang w:eastAsia="zh-CN"/>
                    </w:rPr>
                    <w:t>切忌</w:t>
                  </w:r>
                  <w:r>
                    <w:rPr>
                      <w:rFonts w:hint="default" w:ascii="Times New Roman" w:hAnsi="Times New Roman" w:eastAsia="宋体" w:cs="Times New Roman"/>
                      <w:color w:val="auto"/>
                      <w:highlight w:val="none"/>
                    </w:rPr>
                    <w:t>混储。配备相应品种和数量的消防器材。出去应备有泄漏应急处理设备和合适的收容材料。</w:t>
                  </w:r>
                </w:p>
                <w:p w14:paraId="3BD4A1EE">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14:paraId="04BEB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14:paraId="61A14E72">
                  <w:pPr>
                    <w:keepNext w:val="0"/>
                    <w:keepLines w:val="0"/>
                    <w:pageBreakBefore w:val="0"/>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14:paraId="33B135C7">
                  <w:pPr>
                    <w:keepNext w:val="0"/>
                    <w:keepLines w:val="0"/>
                    <w:pageBreakBefore w:val="0"/>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迅速撤离泄漏污染区人员至安全区，并进行隔离，严格限制出入。切断火源。建议应急处理人员戴自给正压式呼吸器，穿防毒服。尽可能切断泄漏源。防治流入下水道、排洪沟等限制性空间。</w:t>
                  </w:r>
                </w:p>
                <w:p w14:paraId="63BEA829">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14:paraId="61FEAFD3">
                  <w:pPr>
                    <w:pStyle w:val="15"/>
                    <w:keepNext w:val="0"/>
                    <w:keepLines w:val="0"/>
                    <w:pageBreakBefore w:val="0"/>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大量泄漏：构筑位堤或挖坑收容。用泵转移至槽车或专用收集器内，回收或运至废物处理场所处置</w:t>
                  </w:r>
                </w:p>
              </w:tc>
            </w:tr>
          </w:tbl>
          <w:p w14:paraId="382A79A4">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14:paraId="4B8E37BF">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14:paraId="741F183D">
            <w:pPr>
              <w:pStyle w:val="11"/>
              <w:keepNext w:val="0"/>
              <w:keepLines w:val="0"/>
              <w:pageBreakBefore w:val="0"/>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w:t>
            </w:r>
            <w:r>
              <w:rPr>
                <w:rFonts w:hint="eastAsia" w:cs="Times New Roman"/>
                <w:color w:val="auto"/>
                <w:sz w:val="24"/>
                <w:highlight w:val="none"/>
                <w:lang w:val="en-US" w:eastAsia="zh-CN"/>
              </w:rPr>
              <w:t>、废导热油</w:t>
            </w:r>
            <w:r>
              <w:rPr>
                <w:rFonts w:hint="default" w:ascii="Times New Roman" w:hAnsi="Times New Roman" w:eastAsia="宋体" w:cs="Times New Roman"/>
                <w:color w:val="auto"/>
                <w:sz w:val="24"/>
                <w:szCs w:val="24"/>
                <w:highlight w:val="none"/>
              </w:rPr>
              <w:t>。</w:t>
            </w:r>
          </w:p>
          <w:p w14:paraId="384A9F90">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14:paraId="0E283BF3">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eastAsia" w:cs="Times New Roman"/>
                <w:color w:val="auto"/>
                <w:sz w:val="24"/>
                <w:szCs w:val="24"/>
                <w:highlight w:val="none"/>
                <w:lang w:val="en-US" w:eastAsia="zh-CN"/>
              </w:rPr>
              <w:t>、废导热油</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w:t>
            </w:r>
            <w:r>
              <w:rPr>
                <w:rFonts w:hint="eastAsia" w:cs="Times New Roman"/>
                <w:color w:val="auto"/>
                <w:sz w:val="24"/>
                <w:szCs w:val="24"/>
                <w:highlight w:val="none"/>
                <w:lang w:val="en-US" w:eastAsia="zh-CN"/>
              </w:rPr>
              <w:t>、废导热油</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属易燃、易爆液体，如果在储存、输送过</w:t>
            </w:r>
            <w:r>
              <w:rPr>
                <w:rFonts w:hint="eastAsia" w:cs="Times New Roman"/>
                <w:color w:val="auto"/>
                <w:sz w:val="24"/>
                <w:szCs w:val="24"/>
                <w:highlight w:val="none"/>
                <w:lang w:eastAsia="zh-CN"/>
              </w:rPr>
              <w:t>程中</w:t>
            </w:r>
            <w:r>
              <w:rPr>
                <w:rFonts w:hint="default" w:ascii="Times New Roman" w:hAnsi="Times New Roman" w:eastAsia="宋体" w:cs="Times New Roman"/>
                <w:color w:val="auto"/>
                <w:sz w:val="24"/>
                <w:szCs w:val="24"/>
                <w:highlight w:val="none"/>
              </w:rPr>
              <w:t>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14:paraId="6FC6E024">
            <w:pPr>
              <w:pStyle w:val="11"/>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危险物质向环境转移的途径识别包括：物质泄漏，以及火灾、爆炸等引发的伴生次生污染物排放。本项目环境风险类型主要为</w:t>
            </w:r>
            <w:r>
              <w:rPr>
                <w:rFonts w:hint="default" w:ascii="Times New Roman" w:hAnsi="Times New Roman" w:eastAsia="宋体" w:cs="Times New Roman"/>
                <w:color w:val="auto"/>
                <w:sz w:val="24"/>
                <w:szCs w:val="24"/>
                <w:highlight w:val="none"/>
                <w:lang w:val="en-US" w:eastAsia="zh-CN"/>
              </w:rPr>
              <w:t>废矿物油</w:t>
            </w:r>
            <w:r>
              <w:rPr>
                <w:rFonts w:hint="eastAsia" w:cs="Times New Roman"/>
                <w:color w:val="auto"/>
                <w:sz w:val="24"/>
                <w:szCs w:val="24"/>
                <w:highlight w:val="none"/>
                <w:lang w:val="en-US" w:eastAsia="zh-CN"/>
              </w:rPr>
              <w:t>、废导热油</w:t>
            </w:r>
            <w:r>
              <w:rPr>
                <w:rFonts w:hint="default" w:ascii="Times New Roman" w:hAnsi="Times New Roman" w:eastAsia="宋体" w:cs="Times New Roman"/>
                <w:color w:val="auto"/>
                <w:sz w:val="24"/>
                <w:szCs w:val="24"/>
                <w:highlight w:val="none"/>
              </w:rPr>
              <w:t>发生泄漏、火灾、爆炸引发的伴生/次生污染物排放对大气、地表水、地下水的影响。</w:t>
            </w:r>
          </w:p>
          <w:p w14:paraId="0A37DB5B">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14:paraId="3209E8C6">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14:paraId="6D034DCF">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14:paraId="241D7A5E">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w:t>
            </w:r>
            <w:r>
              <w:rPr>
                <w:rFonts w:hint="eastAsia" w:cs="Times New Roman"/>
                <w:b/>
                <w:bCs w:val="0"/>
                <w:snapToGrid w:val="0"/>
                <w:color w:val="auto"/>
                <w:kern w:val="0"/>
                <w:sz w:val="21"/>
                <w:szCs w:val="21"/>
                <w:highlight w:val="none"/>
                <w:lang w:val="en-US" w:eastAsia="zh-CN"/>
              </w:rPr>
              <w:t>31</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7"/>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14:paraId="3663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noWrap w:val="0"/>
                  <w:vAlign w:val="center"/>
                </w:tcPr>
                <w:p w14:paraId="58252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14:paraId="6A9A64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14:paraId="6FA3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14:paraId="2CC6C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14:paraId="0B053B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14:paraId="23A170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14:paraId="261B8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14:paraId="6B3E28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14:paraId="6347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14:paraId="02B31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14:paraId="248C6A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14:paraId="73080D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14:paraId="23E5F4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14:paraId="76CA4A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14:paraId="38A9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14:paraId="37767D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14:paraId="53B584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14:paraId="52202B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14:paraId="72A05A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14:paraId="67B8FB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14:paraId="003D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14:paraId="4FE8F2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14:paraId="79BAE3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14:paraId="5BB5F9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14:paraId="3FA4B4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14:paraId="63B446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14:paraId="260B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14:paraId="5BF1BB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14:paraId="217F4D7D">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14:paraId="5A2B3934">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14:paraId="3B9FC219">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14:paraId="38230242">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14:paraId="789F972B">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14:paraId="13CAF38C">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8" o:spt="75" type="#_x0000_t75" style="height:33pt;width:106pt;" o:ole="t" filled="f" o:preferrelative="t" stroked="f" coordsize="21600,21600">
                  <v:path/>
                  <v:fill on="f" focussize="0,0"/>
                  <v:stroke on="f"/>
                  <v:imagedata r:id="rId40" o:title=""/>
                  <o:lock v:ext="edit" aspectratio="t"/>
                  <w10:wrap type="none"/>
                  <w10:anchorlock/>
                </v:shape>
                <o:OLEObject Type="Embed" ProgID="Equation.KSEE3" ShapeID="_x0000_i1038" DrawAspect="Content" ObjectID="_1468075739" r:id="rId39">
                  <o:LockedField>false</o:LockedField>
                </o:OLEObject>
              </w:object>
            </w:r>
          </w:p>
          <w:p w14:paraId="599CABBF">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14:paraId="5C897137">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14:paraId="240E8CB6">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14:paraId="1FD989CF">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14:paraId="4F42EB0D">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eastAsia" w:ascii="Times New Roman" w:hAnsi="Times New Roman" w:eastAsia="宋体" w:cs="Times New Roman"/>
                <w:b/>
                <w:bCs/>
                <w:color w:val="auto"/>
                <w:kern w:val="0"/>
                <w:highlight w:val="none"/>
                <w:lang w:eastAsia="zh-CN"/>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r>
              <w:rPr>
                <w:rFonts w:hint="eastAsia" w:cs="Times New Roman"/>
                <w:bCs/>
                <w:color w:val="auto"/>
                <w:kern w:val="0"/>
                <w:sz w:val="24"/>
                <w:highlight w:val="none"/>
                <w:lang w:eastAsia="zh-CN"/>
              </w:rPr>
              <w:t>。</w:t>
            </w:r>
          </w:p>
          <w:p w14:paraId="610DD514">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4-</w:t>
            </w:r>
            <w:r>
              <w:rPr>
                <w:rFonts w:hint="eastAsia" w:cs="Times New Roman"/>
                <w:b/>
                <w:bCs/>
                <w:color w:val="auto"/>
                <w:kern w:val="0"/>
                <w:highlight w:val="none"/>
                <w:lang w:val="en-US" w:eastAsia="zh-CN"/>
              </w:rPr>
              <w:t>32</w:t>
            </w:r>
            <w:r>
              <w:rPr>
                <w:rFonts w:hint="default" w:ascii="Times New Roman" w:hAnsi="Times New Roman" w:eastAsia="宋体" w:cs="Times New Roman"/>
                <w:b/>
                <w:bCs/>
                <w:color w:val="auto"/>
                <w:kern w:val="0"/>
                <w:highlight w:val="none"/>
              </w:rPr>
              <w:t xml:space="preserve">  重大危险源识别一览表</w:t>
            </w:r>
          </w:p>
          <w:tbl>
            <w:tblPr>
              <w:tblStyle w:val="26"/>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14:paraId="7199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59556CA2">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14:paraId="242FF4D0">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14:paraId="5766113E">
                  <w:pPr>
                    <w:pStyle w:val="78"/>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14:paraId="3900711A">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14:paraId="322B0108">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14:paraId="615E9C0F">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14:paraId="03C2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318180D4">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14:paraId="6301997C">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14:paraId="471A133A">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w:t>
                  </w:r>
                </w:p>
              </w:tc>
              <w:tc>
                <w:tcPr>
                  <w:tcW w:w="1086" w:type="dxa"/>
                  <w:noWrap w:val="0"/>
                  <w:vAlign w:val="center"/>
                </w:tcPr>
                <w:p w14:paraId="4E082198">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vMerge w:val="restart"/>
                  <w:noWrap w:val="0"/>
                  <w:vAlign w:val="center"/>
                </w:tcPr>
                <w:p w14:paraId="604193C3">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2500t</w:t>
                  </w:r>
                </w:p>
              </w:tc>
              <w:tc>
                <w:tcPr>
                  <w:tcW w:w="1997" w:type="dxa"/>
                  <w:noWrap w:val="0"/>
                  <w:vAlign w:val="center"/>
                </w:tcPr>
                <w:p w14:paraId="5898591B">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r w14:paraId="7121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4B45AEE9">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2</w:t>
                  </w:r>
                </w:p>
              </w:tc>
              <w:tc>
                <w:tcPr>
                  <w:tcW w:w="1793" w:type="dxa"/>
                  <w:noWrap w:val="0"/>
                  <w:vAlign w:val="center"/>
                </w:tcPr>
                <w:p w14:paraId="73A40D72">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废导热油</w:t>
                  </w:r>
                </w:p>
              </w:tc>
              <w:tc>
                <w:tcPr>
                  <w:tcW w:w="1500" w:type="dxa"/>
                  <w:noWrap w:val="0"/>
                  <w:vAlign w:val="center"/>
                </w:tcPr>
                <w:p w14:paraId="19B2BCE4">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086" w:type="dxa"/>
                  <w:noWrap w:val="0"/>
                  <w:vAlign w:val="center"/>
                </w:tcPr>
                <w:p w14:paraId="5A2F3688">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eastAsia" w:cs="Times New Roman"/>
                      <w:bCs/>
                      <w:color w:val="auto"/>
                      <w:kern w:val="0"/>
                      <w:szCs w:val="21"/>
                      <w:highlight w:val="none"/>
                      <w:lang w:eastAsia="zh-CN"/>
                    </w:rPr>
                    <w:t>是</w:t>
                  </w:r>
                </w:p>
              </w:tc>
              <w:tc>
                <w:tcPr>
                  <w:tcW w:w="1546" w:type="dxa"/>
                  <w:vMerge w:val="continue"/>
                  <w:noWrap w:val="0"/>
                  <w:vAlign w:val="center"/>
                </w:tcPr>
                <w:p w14:paraId="606086E2">
                  <w:pPr>
                    <w:adjustRightInd w:val="0"/>
                    <w:snapToGrid w:val="0"/>
                    <w:jc w:val="center"/>
                    <w:rPr>
                      <w:rFonts w:hint="default" w:ascii="Times New Roman" w:hAnsi="Times New Roman" w:eastAsia="宋体" w:cs="Times New Roman"/>
                      <w:bCs/>
                      <w:color w:val="auto"/>
                      <w:kern w:val="0"/>
                      <w:szCs w:val="21"/>
                      <w:highlight w:val="none"/>
                      <w:lang w:val="en-US" w:eastAsia="zh-CN"/>
                    </w:rPr>
                  </w:pPr>
                </w:p>
              </w:tc>
              <w:tc>
                <w:tcPr>
                  <w:tcW w:w="1997" w:type="dxa"/>
                  <w:noWrap w:val="0"/>
                  <w:vAlign w:val="center"/>
                </w:tcPr>
                <w:p w14:paraId="78B5BB72">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0.0008</w:t>
                  </w:r>
                </w:p>
              </w:tc>
            </w:tr>
            <w:tr w14:paraId="465E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14:paraId="220CF73D">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14:paraId="373E7B6D">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val="en-US" w:eastAsia="zh-CN"/>
                    </w:rPr>
                    <w:t>8</w:t>
                  </w:r>
                </w:p>
              </w:tc>
            </w:tr>
          </w:tbl>
          <w:p w14:paraId="0A6FD460">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综上，本项目Q=0.000</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w:t>
            </w:r>
            <w:r>
              <w:rPr>
                <w:color w:val="auto"/>
                <w:sz w:val="24"/>
                <w:szCs w:val="28"/>
              </w:rPr>
              <w:t>根据《建设项目环境风险评价技术导则》（HJ169-2018），项目环境风险评价等级为简单分析</w:t>
            </w:r>
            <w:r>
              <w:rPr>
                <w:rFonts w:hint="default" w:ascii="Times New Roman" w:hAnsi="Times New Roman" w:eastAsia="宋体" w:cs="Times New Roman"/>
                <w:color w:val="auto"/>
                <w:sz w:val="24"/>
                <w:highlight w:val="none"/>
                <w:lang w:val="en-US" w:eastAsia="zh-CN"/>
              </w:rPr>
              <w:t>。</w:t>
            </w:r>
          </w:p>
          <w:p w14:paraId="555A2AC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14:paraId="7BD7788F">
            <w:pPr>
              <w:pStyle w:val="65"/>
              <w:keepNext w:val="0"/>
              <w:keepLines w:val="0"/>
              <w:pageBreakBefore w:val="0"/>
              <w:widowControl w:val="0"/>
              <w:numPr>
                <w:ilvl w:val="0"/>
                <w:numId w:val="0"/>
              </w:numPr>
              <w:tabs>
                <w:tab w:val="left" w:pos="1330"/>
              </w:tabs>
              <w:kinsoku/>
              <w:wordWrap/>
              <w:overflowPunct/>
              <w:topLinePunct w:val="0"/>
              <w:bidi w:val="0"/>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1</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事故源项分析</w:t>
            </w:r>
          </w:p>
          <w:p w14:paraId="5D4C337C">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w:t>
            </w:r>
            <w:r>
              <w:rPr>
                <w:rFonts w:hint="eastAsia" w:cs="Times New Roman"/>
                <w:color w:val="auto"/>
                <w:spacing w:val="-3"/>
                <w:sz w:val="24"/>
                <w:szCs w:val="24"/>
                <w:highlight w:val="none"/>
                <w:lang w:eastAsia="zh-CN"/>
              </w:rPr>
              <w:t>运营</w:t>
            </w:r>
            <w:r>
              <w:rPr>
                <w:rFonts w:hint="default" w:ascii="Times New Roman" w:hAnsi="Times New Roman" w:eastAsia="宋体" w:cs="Times New Roman"/>
                <w:color w:val="auto"/>
                <w:spacing w:val="-3"/>
                <w:sz w:val="24"/>
                <w:szCs w:val="24"/>
                <w:highlight w:val="none"/>
              </w:rPr>
              <w:t>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14:paraId="68355A5B">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渗漏引起土壤及地下水的污染，根据风险识别，本项目主要存在的事故类型有：</w:t>
            </w:r>
          </w:p>
          <w:p w14:paraId="1E04789F">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14:paraId="28B64499">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泄漏后遇明火发生火灾、爆炸事故；</w:t>
            </w:r>
          </w:p>
          <w:p w14:paraId="36A00D6B">
            <w:pPr>
              <w:pStyle w:val="65"/>
              <w:keepNext w:val="0"/>
              <w:keepLines w:val="0"/>
              <w:pageBreakBefore w:val="0"/>
              <w:widowControl w:val="0"/>
              <w:numPr>
                <w:ilvl w:val="0"/>
                <w:numId w:val="0"/>
              </w:numPr>
              <w:tabs>
                <w:tab w:val="left" w:pos="1330"/>
              </w:tabs>
              <w:kinsoku/>
              <w:wordWrap/>
              <w:overflowPunct/>
              <w:topLinePunct w:val="0"/>
              <w:autoSpaceDE/>
              <w:autoSpaceDN/>
              <w:bidi w:val="0"/>
              <w:adjustRightInd/>
              <w:snapToGrid/>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事故后果分析</w:t>
            </w:r>
          </w:p>
          <w:p w14:paraId="1D536FC7">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废机油</w:t>
            </w:r>
            <w:r>
              <w:rPr>
                <w:rFonts w:hint="eastAsia" w:cs="Times New Roman"/>
                <w:color w:val="auto"/>
                <w:sz w:val="24"/>
                <w:szCs w:val="24"/>
                <w:highlight w:val="none"/>
                <w:lang w:val="en-US" w:eastAsia="zh-CN"/>
              </w:rPr>
              <w:t>、废导热油、成品油</w:t>
            </w:r>
            <w:r>
              <w:rPr>
                <w:rFonts w:hint="default" w:ascii="Times New Roman" w:hAnsi="Times New Roman" w:eastAsia="宋体" w:cs="Times New Roman"/>
                <w:color w:val="auto"/>
                <w:sz w:val="24"/>
                <w:szCs w:val="24"/>
                <w:highlight w:val="none"/>
              </w:rPr>
              <w:t>发生火灾、爆炸事故引发的次生伴生影响主要体现在火灾或爆炸过程产生的燃烧产物和灭火过程产生的固废，燃烧产物为CO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、CO和H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p>
          <w:p w14:paraId="176E64B3">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14:paraId="30616968">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14:paraId="6D775F9E">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14:paraId="3A140BF5">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14:paraId="71E279C8">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14:paraId="1879AD8F">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w:t>
            </w:r>
            <w:r>
              <w:rPr>
                <w:rFonts w:hint="eastAsia" w:cs="Times New Roman"/>
                <w:color w:val="auto"/>
                <w:spacing w:val="-3"/>
                <w:sz w:val="24"/>
                <w:szCs w:val="24"/>
                <w:highlight w:val="none"/>
                <w:lang w:eastAsia="zh-CN"/>
              </w:rPr>
              <w:t>、土壤</w:t>
            </w:r>
            <w:r>
              <w:rPr>
                <w:rFonts w:hint="default" w:ascii="Times New Roman" w:hAnsi="Times New Roman" w:eastAsia="宋体" w:cs="Times New Roman"/>
                <w:color w:val="auto"/>
                <w:spacing w:val="-3"/>
                <w:sz w:val="24"/>
                <w:szCs w:val="24"/>
                <w:highlight w:val="none"/>
              </w:rPr>
              <w:t>环境</w:t>
            </w:r>
            <w:r>
              <w:rPr>
                <w:rFonts w:hint="default" w:ascii="Times New Roman" w:hAnsi="Times New Roman" w:eastAsia="宋体" w:cs="Times New Roman"/>
                <w:color w:val="auto"/>
                <w:sz w:val="24"/>
                <w:szCs w:val="24"/>
                <w:highlight w:val="none"/>
              </w:rPr>
              <w:t>的影响分析</w:t>
            </w:r>
          </w:p>
          <w:p w14:paraId="18F1D1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color w:val="auto"/>
                <w:sz w:val="24"/>
                <w:szCs w:val="28"/>
              </w:rPr>
            </w:pPr>
            <w:r>
              <w:rPr>
                <w:color w:val="auto"/>
                <w:sz w:val="24"/>
                <w:szCs w:val="28"/>
              </w:rPr>
              <w:t>项目对地下水、土壤环境的风险影响主要是废机油</w:t>
            </w:r>
            <w:r>
              <w:rPr>
                <w:rFonts w:hint="eastAsia"/>
                <w:color w:val="auto"/>
                <w:sz w:val="24"/>
                <w:szCs w:val="28"/>
              </w:rPr>
              <w:t>、导热油</w:t>
            </w:r>
            <w:r>
              <w:rPr>
                <w:rFonts w:hint="eastAsia"/>
                <w:color w:val="auto"/>
                <w:sz w:val="24"/>
                <w:szCs w:val="28"/>
                <w:lang w:eastAsia="zh-CN"/>
              </w:rPr>
              <w:t>、成品油暂存过程中泄漏</w:t>
            </w:r>
            <w:r>
              <w:rPr>
                <w:rFonts w:hint="eastAsia"/>
                <w:color w:val="auto"/>
                <w:sz w:val="24"/>
                <w:szCs w:val="28"/>
              </w:rPr>
              <w:t>及火灾爆炸产生的次生污染物</w:t>
            </w:r>
            <w:r>
              <w:rPr>
                <w:color w:val="auto"/>
                <w:sz w:val="24"/>
                <w:szCs w:val="28"/>
              </w:rPr>
              <w:t>。当发生</w:t>
            </w:r>
            <w:r>
              <w:rPr>
                <w:rFonts w:hint="eastAsia"/>
                <w:color w:val="auto"/>
                <w:sz w:val="24"/>
                <w:szCs w:val="28"/>
                <w:lang w:eastAsia="zh-CN"/>
              </w:rPr>
              <w:t>泄漏</w:t>
            </w:r>
            <w:r>
              <w:rPr>
                <w:color w:val="auto"/>
                <w:sz w:val="24"/>
                <w:szCs w:val="28"/>
              </w:rPr>
              <w:t>后，会通过项目区地表入渗，随着时间的推移，造成区域土壤和地下水的污染。</w:t>
            </w:r>
            <w:r>
              <w:rPr>
                <w:rFonts w:hint="default" w:ascii="Times New Roman" w:hAnsi="Times New Roman" w:eastAsia="宋体" w:cs="Times New Roman"/>
                <w:color w:val="auto"/>
                <w:kern w:val="0"/>
                <w:sz w:val="24"/>
                <w:szCs w:val="24"/>
                <w:highlight w:val="none"/>
                <w:lang w:val="zh-CN" w:eastAsia="zh-CN" w:bidi="ar"/>
              </w:rPr>
              <w:t>泄漏或渗漏的</w:t>
            </w:r>
            <w:r>
              <w:rPr>
                <w:rFonts w:hint="eastAsia" w:ascii="Times New Roman" w:hAnsi="Times New Roman" w:eastAsia="宋体" w:cs="Times New Roman"/>
                <w:color w:val="auto"/>
                <w:kern w:val="0"/>
                <w:sz w:val="24"/>
                <w:szCs w:val="24"/>
                <w:highlight w:val="none"/>
                <w:lang w:val="zh-CN" w:eastAsia="zh-CN" w:bidi="ar"/>
              </w:rPr>
              <w:t>油类物质</w:t>
            </w:r>
            <w:r>
              <w:rPr>
                <w:rFonts w:hint="default" w:ascii="Times New Roman" w:hAnsi="Times New Roman" w:eastAsia="宋体" w:cs="Times New Roman"/>
                <w:color w:val="auto"/>
                <w:kern w:val="0"/>
                <w:sz w:val="24"/>
                <w:szCs w:val="24"/>
                <w:highlight w:val="none"/>
                <w:lang w:val="zh-CN" w:eastAsia="zh-CN" w:bidi="ar"/>
              </w:rPr>
              <w:t>一旦进入地表河流，将造成地表河流的污染，影响范围小到几公里大到几十公里</w:t>
            </w:r>
            <w:r>
              <w:rPr>
                <w:rFonts w:hint="eastAsia" w:ascii="Times New Roman" w:hAnsi="Times New Roman" w:eastAsia="宋体" w:cs="Times New Roman"/>
                <w:color w:val="auto"/>
                <w:kern w:val="0"/>
                <w:sz w:val="24"/>
                <w:szCs w:val="24"/>
                <w:highlight w:val="none"/>
                <w:lang w:val="zh-CN" w:eastAsia="zh-CN" w:bidi="ar"/>
              </w:rPr>
              <w:t>；</w:t>
            </w:r>
            <w:r>
              <w:rPr>
                <w:rFonts w:hint="default" w:ascii="Times New Roman" w:hAnsi="Times New Roman" w:eastAsia="宋体" w:cs="Times New Roman"/>
                <w:color w:val="auto"/>
                <w:kern w:val="0"/>
                <w:sz w:val="24"/>
                <w:szCs w:val="24"/>
                <w:highlight w:val="none"/>
                <w:lang w:val="zh-CN" w:eastAsia="zh-CN" w:bidi="ar"/>
              </w:rPr>
              <w:t>对土壤、生物造成毁灭性的污染。这种污染一般是范围较广、面积较大、后果较为严重，达到自然环境的完全恢复</w:t>
            </w:r>
            <w:r>
              <w:rPr>
                <w:rFonts w:hint="eastAsia" w:cs="Times New Roman"/>
                <w:color w:val="auto"/>
                <w:kern w:val="0"/>
                <w:sz w:val="24"/>
                <w:szCs w:val="24"/>
                <w:highlight w:val="none"/>
                <w:lang w:val="zh-CN" w:eastAsia="zh-CN" w:bidi="ar"/>
              </w:rPr>
              <w:t>需要</w:t>
            </w:r>
            <w:r>
              <w:rPr>
                <w:rFonts w:hint="default" w:ascii="Times New Roman" w:hAnsi="Times New Roman" w:eastAsia="宋体" w:cs="Times New Roman"/>
                <w:color w:val="auto"/>
                <w:kern w:val="0"/>
                <w:sz w:val="24"/>
                <w:szCs w:val="24"/>
                <w:highlight w:val="none"/>
                <w:lang w:val="zh-CN" w:eastAsia="zh-CN" w:bidi="ar"/>
              </w:rPr>
              <w:t>相当长的时间，尤其是对土壤的污染影响将是一个相当长的时间</w:t>
            </w:r>
            <w:r>
              <w:rPr>
                <w:rFonts w:hint="eastAsia" w:ascii="Times New Roman" w:hAnsi="Times New Roman" w:eastAsia="宋体" w:cs="Times New Roman"/>
                <w:color w:val="auto"/>
                <w:kern w:val="0"/>
                <w:sz w:val="24"/>
                <w:szCs w:val="24"/>
                <w:highlight w:val="none"/>
                <w:lang w:val="zh-CN" w:eastAsia="zh-CN" w:bidi="ar"/>
              </w:rPr>
              <w:t>；</w:t>
            </w:r>
            <w:r>
              <w:rPr>
                <w:rFonts w:hint="default" w:ascii="Times New Roman" w:hAnsi="Times New Roman" w:eastAsia="宋体" w:cs="Times New Roman"/>
                <w:color w:val="auto"/>
                <w:kern w:val="0"/>
                <w:sz w:val="24"/>
                <w:szCs w:val="24"/>
                <w:highlight w:val="none"/>
                <w:lang w:val="zh-CN" w:eastAsia="zh-CN" w:bidi="ar"/>
              </w:rPr>
              <w:t>对地下水的污染较为严重，地下水一旦遭到成品油的污染，将使地下水产生严重异味，并可能导致较强的致畸致癌性，根本无法饮用。又由于这种渗漏必然穿过较厚的土壤层，使土壤层中吸附了大量的油，土壤层吸附的油不仅会造成植物生物的死亡，而且土壤层吸附的油还会随着地表水的下渗对土壤层的冲刷作用补充到地下水，这样即便污染源得到及时控制，要完全恢复也需几十年甚至上百年的时间。</w:t>
            </w:r>
          </w:p>
          <w:p w14:paraId="3532368C">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14:paraId="4D910C2E">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①泄漏影响分析</w:t>
            </w:r>
          </w:p>
          <w:p w14:paraId="12A4ED61">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14:paraId="57183DB9">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14:paraId="75A8A172">
            <w:pPr>
              <w:pStyle w:val="65"/>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14:paraId="1F7DF170">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14:paraId="4F206504">
            <w:pPr>
              <w:pStyle w:val="78"/>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14:paraId="66A3F128">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14:paraId="53859885">
            <w:pPr>
              <w:pStyle w:val="78"/>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①生产车间按规范配置灭火器材和消防装备；</w:t>
            </w:r>
          </w:p>
          <w:p w14:paraId="2BD71D58">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②在生产区域明显位置张贴禁用明火的告示，加强油类物质存放区域的巡查。</w:t>
            </w:r>
          </w:p>
          <w:p w14:paraId="297B207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③工作人员要熟练掌握操作技术和防火安全管理规定；</w:t>
            </w:r>
          </w:p>
          <w:p w14:paraId="132677BE">
            <w:pPr>
              <w:pStyle w:val="78"/>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14:paraId="3DB4961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14:paraId="4D91864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14:paraId="0BD3DBE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②危废暂存间设置一定高度围堰，防范危险物质泄漏蔓延到周边区域；</w:t>
            </w:r>
          </w:p>
          <w:p w14:paraId="155B93B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p>
          <w:p w14:paraId="38914930">
            <w:pPr>
              <w:pStyle w:val="78"/>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w:t>
            </w:r>
            <w:r>
              <w:rPr>
                <w:rFonts w:hint="eastAsia" w:cs="Times New Roman"/>
                <w:bCs/>
                <w:color w:val="auto"/>
                <w:sz w:val="24"/>
                <w:szCs w:val="24"/>
                <w:highlight w:val="none"/>
                <w:lang w:val="zh-CN"/>
              </w:rPr>
              <w:t>机制</w:t>
            </w:r>
            <w:r>
              <w:rPr>
                <w:rFonts w:hint="default" w:ascii="Times New Roman" w:hAnsi="Times New Roman" w:eastAsia="宋体" w:cs="Times New Roman"/>
                <w:bCs/>
                <w:color w:val="auto"/>
                <w:sz w:val="24"/>
                <w:szCs w:val="24"/>
                <w:highlight w:val="none"/>
                <w:lang w:val="zh-CN"/>
              </w:rPr>
              <w:t>，一旦发生事故，要做到快速、高效、安全处置。</w:t>
            </w:r>
          </w:p>
          <w:p w14:paraId="68268B4B">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rPr>
                <w:rFonts w:hint="default" w:ascii="Times New Roman" w:hAnsi="Times New Roman" w:eastAsia="宋体" w:cs="Times New Roman"/>
                <w:bCs/>
                <w:color w:val="auto"/>
                <w:kern w:val="2"/>
                <w:sz w:val="24"/>
                <w:szCs w:val="24"/>
                <w:highlight w:val="none"/>
                <w:lang w:val="zh-CN" w:eastAsia="zh-CN" w:bidi="ar-SA"/>
              </w:rPr>
            </w:pPr>
            <w:r>
              <w:rPr>
                <w:rFonts w:hint="eastAsia" w:ascii="Times New Roman" w:hAnsi="Times New Roman" w:eastAsia="宋体" w:cs="Times New Roman"/>
                <w:bCs/>
                <w:color w:val="auto"/>
                <w:kern w:val="2"/>
                <w:sz w:val="24"/>
                <w:szCs w:val="24"/>
                <w:highlight w:val="none"/>
                <w:lang w:val="en-US" w:eastAsia="zh-CN" w:bidi="ar-SA"/>
              </w:rPr>
              <w:t>3</w:t>
            </w:r>
            <w:r>
              <w:rPr>
                <w:rFonts w:hint="eastAsia" w:ascii="Times New Roman" w:hAnsi="Times New Roman" w:eastAsia="宋体" w:cs="Times New Roman"/>
                <w:bCs/>
                <w:color w:val="auto"/>
                <w:kern w:val="2"/>
                <w:sz w:val="24"/>
                <w:szCs w:val="24"/>
                <w:highlight w:val="none"/>
                <w:lang w:val="zh-CN" w:eastAsia="zh-CN" w:bidi="ar-SA"/>
              </w:rPr>
              <w:t>）</w:t>
            </w:r>
            <w:r>
              <w:rPr>
                <w:rFonts w:hint="default" w:ascii="Times New Roman" w:hAnsi="Times New Roman" w:eastAsia="宋体" w:cs="Times New Roman"/>
                <w:bCs/>
                <w:color w:val="auto"/>
                <w:kern w:val="2"/>
                <w:sz w:val="24"/>
                <w:szCs w:val="24"/>
                <w:highlight w:val="none"/>
                <w:lang w:val="zh-CN" w:eastAsia="zh-CN" w:bidi="ar-SA"/>
              </w:rPr>
              <w:t>地表水、地下水</w:t>
            </w:r>
            <w:r>
              <w:rPr>
                <w:rFonts w:hint="eastAsia" w:ascii="Times New Roman" w:hAnsi="Times New Roman" w:eastAsia="宋体" w:cs="Times New Roman"/>
                <w:bCs/>
                <w:color w:val="auto"/>
                <w:kern w:val="2"/>
                <w:sz w:val="24"/>
                <w:szCs w:val="24"/>
                <w:highlight w:val="none"/>
                <w:lang w:val="zh-CN" w:eastAsia="zh-CN" w:bidi="ar-SA"/>
              </w:rPr>
              <w:t>、土壤</w:t>
            </w:r>
            <w:r>
              <w:rPr>
                <w:rFonts w:hint="default" w:ascii="Times New Roman" w:hAnsi="Times New Roman" w:eastAsia="宋体" w:cs="Times New Roman"/>
                <w:bCs/>
                <w:color w:val="auto"/>
                <w:kern w:val="2"/>
                <w:sz w:val="24"/>
                <w:szCs w:val="24"/>
                <w:highlight w:val="none"/>
                <w:lang w:val="zh-CN" w:eastAsia="zh-CN" w:bidi="ar-SA"/>
              </w:rPr>
              <w:t>环境风险防范措施</w:t>
            </w:r>
          </w:p>
          <w:p w14:paraId="0BC85D0B">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rPr>
                <w:rFonts w:hint="eastAsia" w:ascii="Times New Roman" w:hAnsi="Times New Roman" w:eastAsia="宋体" w:cs="Times New Roman"/>
                <w:bCs/>
                <w:color w:val="auto"/>
                <w:kern w:val="2"/>
                <w:sz w:val="24"/>
                <w:szCs w:val="24"/>
                <w:highlight w:val="none"/>
                <w:lang w:val="zh-CN" w:eastAsia="zh-CN" w:bidi="ar-SA"/>
              </w:rPr>
            </w:pPr>
            <w:r>
              <w:rPr>
                <w:rFonts w:hint="default" w:ascii="Times New Roman" w:hAnsi="Times New Roman" w:eastAsia="宋体" w:cs="Times New Roman"/>
                <w:bCs/>
                <w:color w:val="auto"/>
                <w:kern w:val="2"/>
                <w:sz w:val="24"/>
                <w:szCs w:val="24"/>
                <w:highlight w:val="none"/>
                <w:lang w:val="zh-CN" w:eastAsia="zh-CN" w:bidi="ar-SA"/>
              </w:rPr>
              <w:t>①危废暂存间设置应严格按照《危险废物贮存污染控制标准》（GB18597-2023）的相关要求，做好防雨、防渗，防止二次污染，各危险废物根据处理单位要求进行分类收集</w:t>
            </w:r>
            <w:r>
              <w:rPr>
                <w:rFonts w:hint="eastAsia" w:ascii="Times New Roman" w:hAnsi="Times New Roman" w:eastAsia="宋体" w:cs="Times New Roman"/>
                <w:bCs/>
                <w:color w:val="auto"/>
                <w:kern w:val="2"/>
                <w:sz w:val="24"/>
                <w:szCs w:val="24"/>
                <w:highlight w:val="none"/>
                <w:lang w:val="zh-CN" w:eastAsia="zh-CN" w:bidi="ar-SA"/>
              </w:rPr>
              <w:t>；</w:t>
            </w:r>
            <w:r>
              <w:rPr>
                <w:rFonts w:hint="eastAsia" w:cs="Times New Roman"/>
                <w:bCs/>
                <w:color w:val="auto"/>
                <w:kern w:val="2"/>
                <w:sz w:val="24"/>
                <w:szCs w:val="24"/>
                <w:highlight w:val="none"/>
                <w:lang w:val="zh-CN" w:eastAsia="zh-CN" w:bidi="ar-SA"/>
              </w:rPr>
              <w:t>成品油罐区按照要求做好防渗。</w:t>
            </w:r>
          </w:p>
          <w:p w14:paraId="6E5D0021">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zh-CN" w:eastAsia="zh-CN" w:bidi="ar-SA"/>
              </w:rPr>
              <w:t>②安排专人定期对导热油炉、输送管线</w:t>
            </w:r>
            <w:r>
              <w:rPr>
                <w:rFonts w:hint="eastAsia" w:cs="Times New Roman"/>
                <w:bCs/>
                <w:color w:val="auto"/>
                <w:kern w:val="2"/>
                <w:sz w:val="24"/>
                <w:szCs w:val="24"/>
                <w:highlight w:val="none"/>
                <w:lang w:val="zh-CN" w:eastAsia="zh-CN" w:bidi="ar-SA"/>
              </w:rPr>
              <w:t>、</w:t>
            </w:r>
            <w:r>
              <w:rPr>
                <w:rFonts w:hint="eastAsia" w:ascii="Times New Roman" w:hAnsi="Times New Roman" w:eastAsia="宋体" w:cs="Times New Roman"/>
                <w:bCs/>
                <w:color w:val="auto"/>
                <w:kern w:val="2"/>
                <w:sz w:val="24"/>
                <w:szCs w:val="24"/>
                <w:highlight w:val="none"/>
                <w:lang w:val="zh-CN" w:eastAsia="zh-CN" w:bidi="ar-SA"/>
              </w:rPr>
              <w:t>成品油罐以及暂存容器等进行检查</w:t>
            </w:r>
            <w:r>
              <w:rPr>
                <w:rFonts w:hint="default" w:ascii="Times New Roman" w:hAnsi="Times New Roman" w:eastAsia="宋体" w:cs="Times New Roman"/>
                <w:bCs/>
                <w:color w:val="auto"/>
                <w:kern w:val="2"/>
                <w:sz w:val="24"/>
                <w:szCs w:val="24"/>
                <w:highlight w:val="none"/>
                <w:lang w:val="en-US" w:eastAsia="zh-CN" w:bidi="ar-SA"/>
              </w:rPr>
              <w:t>并做好巡检记录及时发现事故隐患并迅速</w:t>
            </w:r>
            <w:r>
              <w:rPr>
                <w:rFonts w:hint="eastAsia" w:cs="Times New Roman"/>
                <w:bCs/>
                <w:color w:val="auto"/>
                <w:kern w:val="2"/>
                <w:sz w:val="24"/>
                <w:szCs w:val="24"/>
                <w:highlight w:val="none"/>
                <w:lang w:val="en-US" w:eastAsia="zh-CN" w:bidi="ar-SA"/>
              </w:rPr>
              <w:t>予以</w:t>
            </w:r>
            <w:r>
              <w:rPr>
                <w:rFonts w:hint="default" w:ascii="Times New Roman" w:hAnsi="Times New Roman" w:eastAsia="宋体" w:cs="Times New Roman"/>
                <w:bCs/>
                <w:color w:val="auto"/>
                <w:kern w:val="2"/>
                <w:sz w:val="24"/>
                <w:szCs w:val="24"/>
                <w:highlight w:val="none"/>
                <w:lang w:val="en-US" w:eastAsia="zh-CN" w:bidi="ar-SA"/>
              </w:rPr>
              <w:t>消除</w:t>
            </w:r>
            <w:r>
              <w:rPr>
                <w:rFonts w:hint="eastAsia" w:ascii="Times New Roman" w:hAnsi="Times New Roman" w:eastAsia="宋体" w:cs="Times New Roman"/>
                <w:bCs/>
                <w:color w:val="auto"/>
                <w:kern w:val="2"/>
                <w:sz w:val="24"/>
                <w:szCs w:val="24"/>
                <w:highlight w:val="none"/>
                <w:lang w:val="en-US" w:eastAsia="zh-CN" w:bidi="ar-SA"/>
              </w:rPr>
              <w:t>；</w:t>
            </w:r>
          </w:p>
          <w:p w14:paraId="12A489B1">
            <w:pPr>
              <w:pStyle w:val="36"/>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③加强对危废管理，定期检查收纳容器，与有资质单位签订协议，确保危废能得到妥善处置，建立台账制度。</w:t>
            </w:r>
          </w:p>
          <w:p w14:paraId="3E3B09C9">
            <w:pPr>
              <w:pStyle w:val="78"/>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14:paraId="0388AB3E">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14:paraId="7988FA5B">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14:paraId="3FAE0ED7">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14:paraId="29108281">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14:paraId="2D179C7D">
            <w:pPr>
              <w:adjustRightInd w:val="0"/>
              <w:spacing w:line="360" w:lineRule="auto"/>
              <w:ind w:firstLine="480" w:firstLineChars="200"/>
              <w:rPr>
                <w:rFonts w:hint="eastAsia"/>
                <w:b/>
                <w:bCs/>
                <w:color w:val="auto"/>
                <w:szCs w:val="21"/>
              </w:rPr>
            </w:pPr>
            <w:r>
              <w:rPr>
                <w:color w:val="auto"/>
                <w:sz w:val="24"/>
                <w:szCs w:val="28"/>
              </w:rPr>
              <w:t>项目环境风险简单分析内容见表</w:t>
            </w:r>
            <w:r>
              <w:rPr>
                <w:rFonts w:hint="eastAsia"/>
                <w:color w:val="auto"/>
                <w:sz w:val="24"/>
                <w:szCs w:val="28"/>
              </w:rPr>
              <w:t>4</w:t>
            </w:r>
            <w:r>
              <w:rPr>
                <w:color w:val="auto"/>
                <w:sz w:val="24"/>
                <w:szCs w:val="28"/>
              </w:rPr>
              <w:t>-</w:t>
            </w:r>
            <w:r>
              <w:rPr>
                <w:rFonts w:hint="eastAsia"/>
                <w:color w:val="auto"/>
                <w:sz w:val="24"/>
                <w:szCs w:val="28"/>
                <w:lang w:val="en-US" w:eastAsia="zh-CN"/>
              </w:rPr>
              <w:t>33</w:t>
            </w:r>
            <w:r>
              <w:rPr>
                <w:color w:val="auto"/>
                <w:sz w:val="24"/>
                <w:szCs w:val="28"/>
              </w:rPr>
              <w:t>所示。</w:t>
            </w:r>
          </w:p>
          <w:p w14:paraId="5E6D5691">
            <w:pPr>
              <w:adjustRightInd w:val="0"/>
              <w:snapToGrid w:val="0"/>
              <w:jc w:val="center"/>
              <w:rPr>
                <w:b/>
                <w:bCs/>
                <w:color w:val="auto"/>
                <w:szCs w:val="21"/>
              </w:rPr>
            </w:pPr>
            <w:r>
              <w:rPr>
                <w:rFonts w:hint="eastAsia"/>
                <w:b/>
                <w:bCs/>
                <w:color w:val="auto"/>
                <w:szCs w:val="21"/>
              </w:rPr>
              <w:t>表4-</w:t>
            </w:r>
            <w:r>
              <w:rPr>
                <w:rFonts w:hint="eastAsia"/>
                <w:b/>
                <w:bCs/>
                <w:color w:val="auto"/>
                <w:szCs w:val="21"/>
                <w:lang w:val="en-US" w:eastAsia="zh-CN"/>
              </w:rPr>
              <w:t xml:space="preserve">33 </w:t>
            </w:r>
            <w:r>
              <w:rPr>
                <w:rFonts w:hint="eastAsia"/>
                <w:b/>
                <w:bCs/>
                <w:color w:val="auto"/>
                <w:szCs w:val="21"/>
              </w:rPr>
              <w:t xml:space="preserve"> 建设项目环境风险简单分析内容表</w:t>
            </w:r>
          </w:p>
          <w:tbl>
            <w:tblPr>
              <w:tblStyle w:val="26"/>
              <w:tblW w:w="8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954"/>
              <w:gridCol w:w="1735"/>
              <w:gridCol w:w="1670"/>
              <w:gridCol w:w="2061"/>
            </w:tblGrid>
            <w:tr w14:paraId="1187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14:paraId="1EC235E6">
                  <w:pPr>
                    <w:adjustRightInd w:val="0"/>
                    <w:snapToGrid w:val="0"/>
                    <w:jc w:val="center"/>
                    <w:rPr>
                      <w:color w:val="auto"/>
                    </w:rPr>
                  </w:pPr>
                  <w:r>
                    <w:rPr>
                      <w:color w:val="auto"/>
                    </w:rPr>
                    <w:t>建设项目名称</w:t>
                  </w:r>
                </w:p>
              </w:tc>
              <w:tc>
                <w:tcPr>
                  <w:tcW w:w="6420" w:type="dxa"/>
                  <w:gridSpan w:val="4"/>
                  <w:tcBorders>
                    <w:top w:val="single" w:color="auto" w:sz="4" w:space="0"/>
                    <w:left w:val="single" w:color="auto" w:sz="4" w:space="0"/>
                    <w:bottom w:val="single" w:color="auto" w:sz="4" w:space="0"/>
                    <w:right w:val="single" w:color="auto" w:sz="4" w:space="0"/>
                  </w:tcBorders>
                  <w:vAlign w:val="center"/>
                </w:tcPr>
                <w:p w14:paraId="2073195B">
                  <w:pPr>
                    <w:adjustRightInd w:val="0"/>
                    <w:snapToGrid w:val="0"/>
                    <w:jc w:val="center"/>
                    <w:rPr>
                      <w:color w:val="auto"/>
                    </w:rPr>
                  </w:pPr>
                  <w:r>
                    <w:rPr>
                      <w:rFonts w:hint="default" w:ascii="Times New Roman" w:hAnsi="Times New Roman" w:eastAsia="宋体" w:cs="Times New Roman"/>
                      <w:color w:val="auto"/>
                      <w:lang w:val="en-US" w:eastAsia="zh-CN"/>
                    </w:rPr>
                    <w:t>寻甸县瀛瑞综合型农产品加工项目</w:t>
                  </w:r>
                </w:p>
              </w:tc>
            </w:tr>
            <w:tr w14:paraId="3D4E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14:paraId="2A36B848">
                  <w:pPr>
                    <w:adjustRightInd w:val="0"/>
                    <w:snapToGrid w:val="0"/>
                    <w:jc w:val="center"/>
                    <w:rPr>
                      <w:color w:val="auto"/>
                    </w:rPr>
                  </w:pPr>
                  <w:r>
                    <w:rPr>
                      <w:color w:val="auto"/>
                    </w:rPr>
                    <w:t>建设地点</w:t>
                  </w:r>
                </w:p>
              </w:tc>
              <w:tc>
                <w:tcPr>
                  <w:tcW w:w="6420" w:type="dxa"/>
                  <w:gridSpan w:val="4"/>
                  <w:tcBorders>
                    <w:top w:val="single" w:color="auto" w:sz="4" w:space="0"/>
                    <w:left w:val="single" w:color="auto" w:sz="4" w:space="0"/>
                    <w:bottom w:val="single" w:color="auto" w:sz="4" w:space="0"/>
                    <w:right w:val="single" w:color="auto" w:sz="4" w:space="0"/>
                  </w:tcBorders>
                  <w:vAlign w:val="center"/>
                </w:tcPr>
                <w:p w14:paraId="11577952">
                  <w:pPr>
                    <w:adjustRightInd w:val="0"/>
                    <w:snapToGrid w:val="0"/>
                    <w:jc w:val="center"/>
                    <w:rPr>
                      <w:color w:val="auto"/>
                    </w:rPr>
                  </w:pPr>
                  <w:r>
                    <w:rPr>
                      <w:rFonts w:hint="default" w:ascii="Times New Roman" w:hAnsi="Times New Roman" w:eastAsia="宋体" w:cs="Times New Roman"/>
                      <w:color w:val="auto"/>
                      <w:sz w:val="21"/>
                      <w:szCs w:val="21"/>
                      <w:highlight w:val="none"/>
                      <w:u w:val="none"/>
                      <w:lang w:val="en-US" w:eastAsia="zh-CN"/>
                    </w:rPr>
                    <w:t>云南寻甸产业园区羊街片区非烟轻工产业区内</w:t>
                  </w:r>
                </w:p>
              </w:tc>
            </w:tr>
            <w:tr w14:paraId="07BA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14:paraId="36D841FC">
                  <w:pPr>
                    <w:adjustRightInd w:val="0"/>
                    <w:snapToGrid w:val="0"/>
                    <w:jc w:val="center"/>
                    <w:rPr>
                      <w:color w:val="auto"/>
                    </w:rPr>
                  </w:pPr>
                  <w:r>
                    <w:rPr>
                      <w:color w:val="auto"/>
                    </w:rPr>
                    <w:t>地理坐标</w:t>
                  </w:r>
                </w:p>
              </w:tc>
              <w:tc>
                <w:tcPr>
                  <w:tcW w:w="954" w:type="dxa"/>
                  <w:tcBorders>
                    <w:top w:val="single" w:color="auto" w:sz="4" w:space="0"/>
                    <w:left w:val="single" w:color="auto" w:sz="4" w:space="0"/>
                    <w:bottom w:val="single" w:color="auto" w:sz="4" w:space="0"/>
                    <w:right w:val="single" w:color="auto" w:sz="4" w:space="0"/>
                  </w:tcBorders>
                  <w:vAlign w:val="center"/>
                </w:tcPr>
                <w:p w14:paraId="238AC4C5">
                  <w:pPr>
                    <w:adjustRightInd w:val="0"/>
                    <w:snapToGrid w:val="0"/>
                    <w:jc w:val="center"/>
                    <w:rPr>
                      <w:color w:val="auto"/>
                    </w:rPr>
                  </w:pPr>
                  <w:r>
                    <w:rPr>
                      <w:color w:val="auto"/>
                    </w:rPr>
                    <w:t>经度</w:t>
                  </w:r>
                </w:p>
              </w:tc>
              <w:tc>
                <w:tcPr>
                  <w:tcW w:w="1735" w:type="dxa"/>
                  <w:tcBorders>
                    <w:top w:val="single" w:color="auto" w:sz="4" w:space="0"/>
                    <w:left w:val="single" w:color="auto" w:sz="4" w:space="0"/>
                    <w:bottom w:val="single" w:color="auto" w:sz="4" w:space="0"/>
                    <w:right w:val="single" w:color="auto" w:sz="4" w:space="0"/>
                  </w:tcBorders>
                  <w:vAlign w:val="center"/>
                </w:tcPr>
                <w:p w14:paraId="453F09AD">
                  <w:pPr>
                    <w:adjustRightInd w:val="0"/>
                    <w:snapToGrid w:val="0"/>
                    <w:jc w:val="center"/>
                    <w:rPr>
                      <w:color w:val="auto"/>
                    </w:rPr>
                  </w:pPr>
                  <w:r>
                    <w:rPr>
                      <w:color w:val="auto"/>
                    </w:rPr>
                    <w:t>103°</w:t>
                  </w:r>
                  <w:r>
                    <w:rPr>
                      <w:rFonts w:hint="eastAsia"/>
                      <w:color w:val="auto"/>
                    </w:rPr>
                    <w:t>7</w:t>
                  </w:r>
                  <w:r>
                    <w:rPr>
                      <w:color w:val="auto"/>
                    </w:rPr>
                    <w:t>′</w:t>
                  </w:r>
                  <w:r>
                    <w:rPr>
                      <w:rFonts w:hint="eastAsia"/>
                      <w:color w:val="auto"/>
                    </w:rPr>
                    <w:t>50.786</w:t>
                  </w:r>
                  <w:r>
                    <w:rPr>
                      <w:color w:val="auto"/>
                    </w:rPr>
                    <w:t>″</w:t>
                  </w:r>
                </w:p>
              </w:tc>
              <w:tc>
                <w:tcPr>
                  <w:tcW w:w="1670" w:type="dxa"/>
                  <w:tcBorders>
                    <w:top w:val="single" w:color="auto" w:sz="4" w:space="0"/>
                    <w:left w:val="single" w:color="auto" w:sz="4" w:space="0"/>
                    <w:bottom w:val="single" w:color="auto" w:sz="4" w:space="0"/>
                    <w:right w:val="single" w:color="auto" w:sz="4" w:space="0"/>
                  </w:tcBorders>
                  <w:vAlign w:val="center"/>
                </w:tcPr>
                <w:p w14:paraId="34583E91">
                  <w:pPr>
                    <w:adjustRightInd w:val="0"/>
                    <w:snapToGrid w:val="0"/>
                    <w:jc w:val="center"/>
                    <w:rPr>
                      <w:color w:val="auto"/>
                    </w:rPr>
                  </w:pPr>
                  <w:r>
                    <w:rPr>
                      <w:color w:val="auto"/>
                    </w:rPr>
                    <w:t>纬度</w:t>
                  </w:r>
                </w:p>
              </w:tc>
              <w:tc>
                <w:tcPr>
                  <w:tcW w:w="2061" w:type="dxa"/>
                  <w:tcBorders>
                    <w:top w:val="single" w:color="auto" w:sz="4" w:space="0"/>
                    <w:left w:val="single" w:color="auto" w:sz="4" w:space="0"/>
                    <w:bottom w:val="single" w:color="auto" w:sz="4" w:space="0"/>
                    <w:right w:val="single" w:color="auto" w:sz="4" w:space="0"/>
                  </w:tcBorders>
                  <w:vAlign w:val="center"/>
                </w:tcPr>
                <w:p w14:paraId="1B8DEB6B">
                  <w:pPr>
                    <w:adjustRightInd w:val="0"/>
                    <w:snapToGrid w:val="0"/>
                    <w:jc w:val="center"/>
                    <w:rPr>
                      <w:color w:val="auto"/>
                    </w:rPr>
                  </w:pPr>
                  <w:r>
                    <w:rPr>
                      <w:color w:val="auto"/>
                    </w:rPr>
                    <w:t>25°</w:t>
                  </w:r>
                  <w:r>
                    <w:rPr>
                      <w:rFonts w:hint="eastAsia"/>
                      <w:color w:val="auto"/>
                    </w:rPr>
                    <w:t>26</w:t>
                  </w:r>
                  <w:r>
                    <w:rPr>
                      <w:color w:val="auto"/>
                    </w:rPr>
                    <w:t>′</w:t>
                  </w:r>
                  <w:r>
                    <w:rPr>
                      <w:rFonts w:hint="eastAsia"/>
                      <w:color w:val="auto"/>
                    </w:rPr>
                    <w:t>14.657</w:t>
                  </w:r>
                  <w:r>
                    <w:rPr>
                      <w:color w:val="auto"/>
                    </w:rPr>
                    <w:t>″</w:t>
                  </w:r>
                </w:p>
              </w:tc>
            </w:tr>
            <w:tr w14:paraId="1758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14:paraId="31BDAD1B">
                  <w:pPr>
                    <w:adjustRightInd w:val="0"/>
                    <w:snapToGrid w:val="0"/>
                    <w:jc w:val="center"/>
                    <w:rPr>
                      <w:color w:val="auto"/>
                    </w:rPr>
                  </w:pPr>
                  <w:r>
                    <w:rPr>
                      <w:color w:val="auto"/>
                    </w:rPr>
                    <w:t>主要危险物质及分布</w:t>
                  </w:r>
                </w:p>
              </w:tc>
              <w:tc>
                <w:tcPr>
                  <w:tcW w:w="6420" w:type="dxa"/>
                  <w:gridSpan w:val="4"/>
                  <w:tcBorders>
                    <w:top w:val="single" w:color="auto" w:sz="4" w:space="0"/>
                    <w:left w:val="single" w:color="auto" w:sz="4" w:space="0"/>
                    <w:bottom w:val="single" w:color="auto" w:sz="4" w:space="0"/>
                    <w:right w:val="single" w:color="auto" w:sz="4" w:space="0"/>
                  </w:tcBorders>
                  <w:vAlign w:val="center"/>
                </w:tcPr>
                <w:p w14:paraId="158EC0D8">
                  <w:pPr>
                    <w:adjustRightInd w:val="0"/>
                    <w:snapToGrid w:val="0"/>
                    <w:jc w:val="left"/>
                    <w:rPr>
                      <w:color w:val="auto"/>
                    </w:rPr>
                  </w:pPr>
                  <w:r>
                    <w:rPr>
                      <w:color w:val="auto"/>
                    </w:rPr>
                    <w:t>废机油</w:t>
                  </w:r>
                  <w:r>
                    <w:rPr>
                      <w:rFonts w:hint="eastAsia"/>
                      <w:color w:val="auto"/>
                    </w:rPr>
                    <w:t>、废导热油</w:t>
                  </w:r>
                  <w:r>
                    <w:rPr>
                      <w:color w:val="auto"/>
                    </w:rPr>
                    <w:t>—危废暂存间；</w:t>
                  </w:r>
                </w:p>
              </w:tc>
            </w:tr>
            <w:tr w14:paraId="61CA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14:paraId="3463FEE2">
                  <w:pPr>
                    <w:adjustRightInd w:val="0"/>
                    <w:snapToGrid w:val="0"/>
                    <w:jc w:val="center"/>
                    <w:rPr>
                      <w:color w:val="auto"/>
                    </w:rPr>
                  </w:pPr>
                  <w:r>
                    <w:rPr>
                      <w:color w:val="auto"/>
                    </w:rPr>
                    <w:t>环境影响途径及危害后果（大气、地表水、地下水等）</w:t>
                  </w:r>
                </w:p>
              </w:tc>
              <w:tc>
                <w:tcPr>
                  <w:tcW w:w="6420" w:type="dxa"/>
                  <w:gridSpan w:val="4"/>
                  <w:tcBorders>
                    <w:top w:val="single" w:color="auto" w:sz="4" w:space="0"/>
                    <w:left w:val="single" w:color="auto" w:sz="4" w:space="0"/>
                    <w:bottom w:val="single" w:color="auto" w:sz="4" w:space="0"/>
                    <w:right w:val="single" w:color="auto" w:sz="4" w:space="0"/>
                  </w:tcBorders>
                  <w:vAlign w:val="center"/>
                </w:tcPr>
                <w:p w14:paraId="3262B401">
                  <w:pPr>
                    <w:adjustRightInd w:val="0"/>
                    <w:spacing w:line="360" w:lineRule="auto"/>
                    <w:rPr>
                      <w:color w:val="auto"/>
                    </w:rPr>
                  </w:pPr>
                  <w:r>
                    <w:rPr>
                      <w:color w:val="auto"/>
                    </w:rPr>
                    <w:t>废机油</w:t>
                  </w:r>
                  <w:r>
                    <w:rPr>
                      <w:rFonts w:hint="eastAsia"/>
                      <w:color w:val="auto"/>
                    </w:rPr>
                    <w:t>、导热油</w:t>
                  </w:r>
                  <w:r>
                    <w:rPr>
                      <w:rFonts w:hint="eastAsia"/>
                      <w:color w:val="auto"/>
                      <w:lang w:eastAsia="zh-CN"/>
                    </w:rPr>
                    <w:t>泄漏</w:t>
                  </w:r>
                  <w:r>
                    <w:rPr>
                      <w:color w:val="auto"/>
                    </w:rPr>
                    <w:t>：地下水环境、地表水、土壤环境污染；</w:t>
                  </w:r>
                </w:p>
                <w:p w14:paraId="4BE03382">
                  <w:pPr>
                    <w:jc w:val="left"/>
                    <w:rPr>
                      <w:color w:val="auto"/>
                    </w:rPr>
                  </w:pPr>
                  <w:r>
                    <w:rPr>
                      <w:rFonts w:hint="eastAsia"/>
                      <w:color w:val="auto"/>
                    </w:rPr>
                    <w:t>火灾爆炸产生的次生污染物：大气环境污染；</w:t>
                  </w:r>
                </w:p>
              </w:tc>
            </w:tr>
            <w:tr w14:paraId="2E81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067" w:type="dxa"/>
                  <w:tcBorders>
                    <w:top w:val="single" w:color="auto" w:sz="4" w:space="0"/>
                    <w:left w:val="single" w:color="auto" w:sz="4" w:space="0"/>
                    <w:bottom w:val="single" w:color="auto" w:sz="4" w:space="0"/>
                    <w:right w:val="single" w:color="auto" w:sz="4" w:space="0"/>
                  </w:tcBorders>
                  <w:vAlign w:val="center"/>
                </w:tcPr>
                <w:p w14:paraId="232A8A30">
                  <w:pPr>
                    <w:adjustRightInd w:val="0"/>
                    <w:snapToGrid w:val="0"/>
                    <w:jc w:val="center"/>
                    <w:rPr>
                      <w:color w:val="auto"/>
                    </w:rPr>
                  </w:pPr>
                  <w:r>
                    <w:rPr>
                      <w:color w:val="auto"/>
                    </w:rPr>
                    <w:t>风险防范措施要求</w:t>
                  </w:r>
                </w:p>
              </w:tc>
              <w:tc>
                <w:tcPr>
                  <w:tcW w:w="6420" w:type="dxa"/>
                  <w:gridSpan w:val="4"/>
                  <w:tcBorders>
                    <w:top w:val="single" w:color="auto" w:sz="4" w:space="0"/>
                    <w:left w:val="single" w:color="auto" w:sz="4" w:space="0"/>
                    <w:bottom w:val="single" w:color="auto" w:sz="4" w:space="0"/>
                    <w:right w:val="single" w:color="auto" w:sz="4" w:space="0"/>
                  </w:tcBorders>
                  <w:vAlign w:val="center"/>
                </w:tcPr>
                <w:p w14:paraId="495AAC8B">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（1）风险防范措施</w:t>
                  </w:r>
                </w:p>
                <w:p w14:paraId="0F33D610">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1）火灾爆炸风险防范措施：</w:t>
                  </w:r>
                </w:p>
                <w:p w14:paraId="522C0861">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①生产车间按规范配置灭火器材和消防装备；</w:t>
                  </w:r>
                </w:p>
                <w:p w14:paraId="52286D6F">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②在生产区域明显位置张贴禁用明火的告示，加强油类物质存放区域的巡查。</w:t>
                  </w:r>
                </w:p>
                <w:p w14:paraId="6DFBAFA1">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③工作人员要熟练掌握操作技术和防火安全管理规定；</w:t>
                  </w:r>
                </w:p>
                <w:p w14:paraId="2BB6A02E">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④定期检查材料存储的安全状态，以防止泄漏引发火灾、爆炸。</w:t>
                  </w:r>
                </w:p>
                <w:p w14:paraId="02F0DFE8">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2）危险物质泄漏防范措施</w:t>
                  </w:r>
                </w:p>
                <w:p w14:paraId="04791EBD">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①仓库应做好防渗防腐处理，危废暂存间进行重点防渗；</w:t>
                  </w:r>
                </w:p>
                <w:p w14:paraId="02B7C158">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②危废暂存间设置一定高度围堰，防范危险物质泄漏蔓延到周边区域；</w:t>
                  </w:r>
                </w:p>
                <w:p w14:paraId="2CC7C7BB">
                  <w:pPr>
                    <w:adjustRightInd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③定期检查危险物质存储的安全状态，检查其包装有无破损，以防止泄漏。</w:t>
                  </w:r>
                </w:p>
                <w:p w14:paraId="46EB9C28">
                  <w:pPr>
                    <w:adjustRightIn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④</w:t>
                  </w:r>
                  <w:r>
                    <w:rPr>
                      <w:rFonts w:hint="default" w:ascii="Times New Roman" w:hAnsi="Times New Roman" w:eastAsia="宋体" w:cs="Times New Roman"/>
                      <w:color w:val="auto"/>
                      <w:lang w:val="zh-CN"/>
                    </w:rPr>
                    <w:t>建立健全安全、环境管理体系及高效的安全生产</w:t>
                  </w:r>
                  <w:r>
                    <w:rPr>
                      <w:rFonts w:hint="eastAsia" w:cs="Times New Roman"/>
                      <w:color w:val="auto"/>
                      <w:lang w:val="zh-CN"/>
                    </w:rPr>
                    <w:t>机制</w:t>
                  </w:r>
                  <w:r>
                    <w:rPr>
                      <w:rFonts w:hint="default" w:ascii="Times New Roman" w:hAnsi="Times New Roman" w:eastAsia="宋体" w:cs="Times New Roman"/>
                      <w:color w:val="auto"/>
                      <w:lang w:val="zh-CN"/>
                    </w:rPr>
                    <w:t>，一旦发生事故，要做到快速、高效、安全处置。</w:t>
                  </w:r>
                </w:p>
                <w:p w14:paraId="23588FE1">
                  <w:pPr>
                    <w:adjustRightInd w:val="0"/>
                    <w:spacing w:line="360" w:lineRule="auto"/>
                    <w:rPr>
                      <w:rFonts w:hint="default" w:ascii="Times New Roman" w:hAnsi="Times New Roman" w:eastAsia="宋体" w:cs="Times New Roman"/>
                      <w:color w:val="auto"/>
                      <w:lang w:val="zh-CN" w:eastAsia="zh-CN"/>
                    </w:rPr>
                  </w:pP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eastAsia="zh-CN"/>
                    </w:rPr>
                    <w:t>地表水、地下水</w:t>
                  </w:r>
                  <w:r>
                    <w:rPr>
                      <w:rFonts w:hint="eastAsia" w:ascii="Times New Roman" w:hAnsi="Times New Roman" w:eastAsia="宋体" w:cs="Times New Roman"/>
                      <w:color w:val="auto"/>
                      <w:lang w:val="zh-CN" w:eastAsia="zh-CN"/>
                    </w:rPr>
                    <w:t>、土壤</w:t>
                  </w:r>
                  <w:r>
                    <w:rPr>
                      <w:rFonts w:hint="default" w:ascii="Times New Roman" w:hAnsi="Times New Roman" w:eastAsia="宋体" w:cs="Times New Roman"/>
                      <w:color w:val="auto"/>
                      <w:lang w:val="zh-CN" w:eastAsia="zh-CN"/>
                    </w:rPr>
                    <w:t>环境风险防范措施</w:t>
                  </w:r>
                </w:p>
                <w:p w14:paraId="433D0643">
                  <w:pPr>
                    <w:adjustRightInd w:val="0"/>
                    <w:spacing w:line="360" w:lineRule="auto"/>
                    <w:rPr>
                      <w:rFonts w:hint="eastAsia"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①危废暂存间设置应严格按照《危险废物贮存污染控制标准》（GB18597-2023）的相关要求，做好防雨、防渗，防止二次污染，各危险废物根据处理单位要求进行分类收集</w:t>
                  </w:r>
                  <w:r>
                    <w:rPr>
                      <w:rFonts w:hint="eastAsia" w:ascii="Times New Roman" w:hAnsi="Times New Roman" w:eastAsia="宋体" w:cs="Times New Roman"/>
                      <w:color w:val="auto"/>
                      <w:lang w:val="zh-CN" w:eastAsia="zh-CN"/>
                    </w:rPr>
                    <w:t>；</w:t>
                  </w:r>
                </w:p>
                <w:p w14:paraId="5AC496A8">
                  <w:pPr>
                    <w:adjustRightInd w:val="0"/>
                    <w:spacing w:line="36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zh-CN" w:eastAsia="zh-CN"/>
                    </w:rPr>
                    <w:t>②安排专人定期对导热油炉、输送管线成品油罐以及暂存容器等进行检查</w:t>
                  </w:r>
                  <w:r>
                    <w:rPr>
                      <w:rFonts w:hint="default" w:ascii="Times New Roman" w:hAnsi="Times New Roman" w:eastAsia="宋体" w:cs="Times New Roman"/>
                      <w:color w:val="auto"/>
                      <w:lang w:val="en-US" w:eastAsia="zh-CN"/>
                    </w:rPr>
                    <w:t>并做好巡检记录及时发现事故隐患并迅速</w:t>
                  </w:r>
                  <w:r>
                    <w:rPr>
                      <w:rFonts w:hint="eastAsia" w:cs="Times New Roman"/>
                      <w:color w:val="auto"/>
                      <w:lang w:val="en-US" w:eastAsia="zh-CN"/>
                    </w:rPr>
                    <w:t>予以</w:t>
                  </w:r>
                  <w:r>
                    <w:rPr>
                      <w:rFonts w:hint="default" w:ascii="Times New Roman" w:hAnsi="Times New Roman" w:eastAsia="宋体" w:cs="Times New Roman"/>
                      <w:color w:val="auto"/>
                      <w:lang w:val="en-US" w:eastAsia="zh-CN"/>
                    </w:rPr>
                    <w:t>消除</w:t>
                  </w:r>
                  <w:r>
                    <w:rPr>
                      <w:rFonts w:hint="eastAsia" w:ascii="Times New Roman" w:hAnsi="Times New Roman" w:eastAsia="宋体" w:cs="Times New Roman"/>
                      <w:color w:val="auto"/>
                      <w:lang w:val="en-US" w:eastAsia="zh-CN"/>
                    </w:rPr>
                    <w:t>；</w:t>
                  </w:r>
                </w:p>
                <w:p w14:paraId="08DBDEFA">
                  <w:pPr>
                    <w:adjustRightInd w:val="0"/>
                    <w:spacing w:line="36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③加强对危废管理，定期检查收纳容器，与有资质单位签订协议，确保危废能得到妥善处置，建立台账制度。</w:t>
                  </w:r>
                </w:p>
                <w:p w14:paraId="1ABC5CDC">
                  <w:pPr>
                    <w:adjustRightIn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（2）应急要求</w:t>
                  </w:r>
                </w:p>
                <w:p w14:paraId="5BEDE809">
                  <w:pPr>
                    <w:adjustRightInd w:val="0"/>
                    <w:spacing w:line="360" w:lineRule="auto"/>
                    <w:rPr>
                      <w:color w:val="auto"/>
                    </w:rPr>
                  </w:pPr>
                  <w:r>
                    <w:rPr>
                      <w:rFonts w:hint="default" w:ascii="Times New Roman" w:hAnsi="Times New Roman" w:eastAsia="宋体" w:cs="Times New Roman"/>
                      <w:color w:val="auto"/>
                    </w:rPr>
                    <w:t>企业应按国家有关规定要求，编制突发环境事故应急预案，并经当地生态环境行政主管部门审查备案。当发生环境风险事故时，按应急预案要求，认真落实各项事故应急措施，做到责任到位、落实到人、常备不懈。</w:t>
                  </w:r>
                </w:p>
              </w:tc>
            </w:tr>
            <w:tr w14:paraId="0798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8487" w:type="dxa"/>
                  <w:gridSpan w:val="5"/>
                  <w:tcBorders>
                    <w:top w:val="single" w:color="auto" w:sz="4" w:space="0"/>
                    <w:left w:val="single" w:color="auto" w:sz="4" w:space="0"/>
                    <w:bottom w:val="single" w:color="auto" w:sz="4" w:space="0"/>
                    <w:right w:val="single" w:color="auto" w:sz="4" w:space="0"/>
                  </w:tcBorders>
                  <w:vAlign w:val="center"/>
                </w:tcPr>
                <w:p w14:paraId="1A2524BD">
                  <w:pPr>
                    <w:adjustRightInd w:val="0"/>
                    <w:snapToGrid w:val="0"/>
                    <w:ind w:firstLine="420" w:firstLineChars="200"/>
                    <w:rPr>
                      <w:color w:val="auto"/>
                    </w:rPr>
                  </w:pPr>
                  <w:r>
                    <w:rPr>
                      <w:color w:val="auto"/>
                    </w:rPr>
                    <w:t>填表说明（列出项目相关信息及评价说明）：</w:t>
                  </w:r>
                </w:p>
                <w:p w14:paraId="7BD2EB43">
                  <w:pPr>
                    <w:adjustRightInd w:val="0"/>
                    <w:snapToGrid w:val="0"/>
                    <w:ind w:firstLine="420" w:firstLineChars="200"/>
                    <w:rPr>
                      <w:color w:val="auto"/>
                    </w:rPr>
                  </w:pPr>
                  <w:r>
                    <w:rPr>
                      <w:color w:val="auto"/>
                    </w:rPr>
                    <w:t>项目风险主要存在于设备运行及维修中产生的</w:t>
                  </w:r>
                  <w:r>
                    <w:rPr>
                      <w:color w:val="auto"/>
                      <w:sz w:val="21"/>
                      <w:szCs w:val="21"/>
                    </w:rPr>
                    <w:t>废机油</w:t>
                  </w:r>
                  <w:r>
                    <w:rPr>
                      <w:rFonts w:hint="eastAsia"/>
                      <w:color w:val="auto"/>
                      <w:sz w:val="21"/>
                      <w:szCs w:val="21"/>
                    </w:rPr>
                    <w:t>、</w:t>
                  </w:r>
                  <w:r>
                    <w:rPr>
                      <w:rFonts w:hint="eastAsia"/>
                      <w:color w:val="auto"/>
                      <w:sz w:val="21"/>
                      <w:szCs w:val="21"/>
                      <w:lang w:eastAsia="zh-CN"/>
                    </w:rPr>
                    <w:t>导热油</w:t>
                  </w:r>
                  <w:r>
                    <w:rPr>
                      <w:color w:val="auto"/>
                    </w:rPr>
                    <w:t>存放，引起</w:t>
                  </w:r>
                  <w:r>
                    <w:rPr>
                      <w:rFonts w:hint="eastAsia"/>
                      <w:color w:val="auto"/>
                      <w:lang w:eastAsia="zh-CN"/>
                    </w:rPr>
                    <w:t>泄漏事故；</w:t>
                  </w:r>
                  <w:r>
                    <w:rPr>
                      <w:color w:val="auto"/>
                      <w:sz w:val="21"/>
                      <w:szCs w:val="21"/>
                    </w:rPr>
                    <w:t>废机油</w:t>
                  </w:r>
                  <w:r>
                    <w:rPr>
                      <w:rFonts w:hint="eastAsia"/>
                      <w:color w:val="auto"/>
                      <w:sz w:val="21"/>
                      <w:szCs w:val="21"/>
                    </w:rPr>
                    <w:t>、</w:t>
                  </w:r>
                  <w:r>
                    <w:rPr>
                      <w:rFonts w:hint="eastAsia"/>
                      <w:color w:val="auto"/>
                      <w:sz w:val="21"/>
                      <w:szCs w:val="21"/>
                      <w:lang w:eastAsia="zh-CN"/>
                    </w:rPr>
                    <w:t>导热油、成品油暂存过程中引起的火灾、爆炸事故</w:t>
                  </w:r>
                  <w:r>
                    <w:rPr>
                      <w:color w:val="auto"/>
                    </w:rPr>
                    <w:t>。</w:t>
                  </w:r>
                </w:p>
                <w:p w14:paraId="719CDEFB">
                  <w:pPr>
                    <w:adjustRightInd w:val="0"/>
                    <w:snapToGrid w:val="0"/>
                    <w:ind w:firstLine="420" w:firstLineChars="200"/>
                    <w:rPr>
                      <w:color w:val="auto"/>
                    </w:rPr>
                  </w:pPr>
                  <w:r>
                    <w:rPr>
                      <w:color w:val="auto"/>
                    </w:rPr>
                    <w:t>根据《建设项目环境风险评价技术导则》（HJ 169-2018）附录C，项目环境综合风险潜势为</w:t>
                  </w:r>
                  <w:r>
                    <w:rPr>
                      <w:color w:val="auto"/>
                    </w:rPr>
                    <w:fldChar w:fldCharType="begin"/>
                  </w:r>
                  <w:r>
                    <w:rPr>
                      <w:color w:val="auto"/>
                    </w:rPr>
                    <w:instrText xml:space="preserve"> = 2 \* ROMAN \* MERGEFORMAT </w:instrText>
                  </w:r>
                  <w:r>
                    <w:rPr>
                      <w:color w:val="auto"/>
                    </w:rPr>
                    <w:fldChar w:fldCharType="separate"/>
                  </w:r>
                  <w:r>
                    <w:rPr>
                      <w:color w:val="auto"/>
                    </w:rPr>
                    <w:t>I</w:t>
                  </w:r>
                  <w:r>
                    <w:rPr>
                      <w:color w:val="auto"/>
                    </w:rPr>
                    <w:fldChar w:fldCharType="end"/>
                  </w:r>
                  <w:r>
                    <w:rPr>
                      <w:color w:val="auto"/>
                    </w:rPr>
                    <w:t>，风险评价等级为简单分析。因此不对环境风险进行进一步预测分析。</w:t>
                  </w:r>
                </w:p>
                <w:p w14:paraId="61ACF289">
                  <w:pPr>
                    <w:adjustRightInd w:val="0"/>
                    <w:snapToGrid w:val="0"/>
                    <w:ind w:firstLine="420" w:firstLineChars="200"/>
                    <w:rPr>
                      <w:color w:val="auto"/>
                    </w:rPr>
                  </w:pPr>
                  <w:r>
                    <w:rPr>
                      <w:color w:val="auto"/>
                    </w:rPr>
                    <w:t>项目在做好应急防范措施的基础上，项目的环境风险是可控的，环境风险事故发生的概率可降低到最低。</w:t>
                  </w:r>
                </w:p>
              </w:tc>
            </w:tr>
          </w:tbl>
          <w:p w14:paraId="0F26988C">
            <w:pPr>
              <w:spacing w:line="400" w:lineRule="exact"/>
              <w:ind w:firstLine="480"/>
              <w:jc w:val="center"/>
              <w:rPr>
                <w:rFonts w:hint="default" w:ascii="Times New Roman" w:hAnsi="Times New Roman" w:eastAsia="宋体" w:cs="Times New Roman"/>
                <w:b/>
                <w:bCs/>
                <w:color w:val="auto"/>
                <w:szCs w:val="21"/>
                <w:highlight w:val="none"/>
                <w:lang w:val="zh-CN"/>
              </w:rPr>
            </w:pPr>
          </w:p>
          <w:p w14:paraId="57E6A40F">
            <w:pPr>
              <w:spacing w:line="400" w:lineRule="exact"/>
              <w:ind w:firstLine="480"/>
              <w:jc w:val="center"/>
              <w:rPr>
                <w:rFonts w:hint="default" w:ascii="Times New Roman" w:hAnsi="Times New Roman" w:eastAsia="宋体" w:cs="Times New Roman"/>
                <w:b/>
                <w:bCs/>
                <w:color w:val="auto"/>
                <w:szCs w:val="21"/>
                <w:highlight w:val="none"/>
                <w:lang w:val="zh-CN"/>
              </w:rPr>
            </w:pPr>
          </w:p>
          <w:p w14:paraId="3247082B">
            <w:pPr>
              <w:pStyle w:val="25"/>
              <w:rPr>
                <w:rFonts w:hint="default" w:ascii="Times New Roman" w:hAnsi="Times New Roman" w:eastAsia="宋体" w:cs="Times New Roman"/>
                <w:b/>
                <w:bCs/>
                <w:color w:val="auto"/>
                <w:szCs w:val="21"/>
                <w:highlight w:val="none"/>
                <w:lang w:val="zh-CN"/>
              </w:rPr>
            </w:pPr>
          </w:p>
          <w:p w14:paraId="3CD7EE4A">
            <w:pPr>
              <w:pStyle w:val="24"/>
              <w:rPr>
                <w:rFonts w:hint="default" w:ascii="Times New Roman" w:hAnsi="Times New Roman" w:eastAsia="宋体" w:cs="Times New Roman"/>
                <w:b/>
                <w:bCs/>
                <w:color w:val="auto"/>
                <w:szCs w:val="21"/>
                <w:highlight w:val="none"/>
                <w:lang w:val="zh-CN"/>
              </w:rPr>
            </w:pPr>
          </w:p>
          <w:p w14:paraId="1A82A96A">
            <w:pPr>
              <w:rPr>
                <w:rFonts w:hint="default" w:ascii="Times New Roman" w:hAnsi="Times New Roman" w:eastAsia="宋体" w:cs="Times New Roman"/>
                <w:b/>
                <w:bCs/>
                <w:color w:val="auto"/>
                <w:szCs w:val="21"/>
                <w:highlight w:val="none"/>
                <w:lang w:val="zh-CN"/>
              </w:rPr>
            </w:pPr>
          </w:p>
          <w:p w14:paraId="64F99607">
            <w:pPr>
              <w:pStyle w:val="25"/>
              <w:rPr>
                <w:rFonts w:hint="default" w:ascii="Times New Roman" w:hAnsi="Times New Roman" w:eastAsia="宋体" w:cs="Times New Roman"/>
                <w:b/>
                <w:bCs/>
                <w:color w:val="auto"/>
                <w:szCs w:val="21"/>
                <w:highlight w:val="none"/>
                <w:lang w:val="zh-CN"/>
              </w:rPr>
            </w:pPr>
          </w:p>
          <w:p w14:paraId="386FB0EF">
            <w:pPr>
              <w:pStyle w:val="24"/>
              <w:rPr>
                <w:rFonts w:hint="default" w:ascii="Times New Roman" w:hAnsi="Times New Roman" w:eastAsia="宋体" w:cs="Times New Roman"/>
                <w:b/>
                <w:bCs/>
                <w:color w:val="auto"/>
                <w:szCs w:val="21"/>
                <w:highlight w:val="none"/>
                <w:lang w:val="zh-CN"/>
              </w:rPr>
            </w:pPr>
          </w:p>
          <w:p w14:paraId="6C95D862">
            <w:pPr>
              <w:rPr>
                <w:rFonts w:hint="default" w:ascii="Times New Roman" w:hAnsi="Times New Roman" w:eastAsia="宋体" w:cs="Times New Roman"/>
                <w:b/>
                <w:bCs/>
                <w:color w:val="auto"/>
                <w:szCs w:val="21"/>
                <w:highlight w:val="none"/>
                <w:lang w:val="zh-CN"/>
              </w:rPr>
            </w:pPr>
          </w:p>
          <w:p w14:paraId="73F9CD3A">
            <w:pPr>
              <w:pStyle w:val="25"/>
              <w:rPr>
                <w:rFonts w:hint="default" w:ascii="Times New Roman" w:hAnsi="Times New Roman" w:eastAsia="宋体" w:cs="Times New Roman"/>
                <w:b/>
                <w:bCs/>
                <w:color w:val="auto"/>
                <w:szCs w:val="21"/>
                <w:highlight w:val="none"/>
                <w:lang w:val="zh-CN"/>
              </w:rPr>
            </w:pPr>
          </w:p>
          <w:p w14:paraId="5645D7DD">
            <w:pPr>
              <w:pStyle w:val="24"/>
              <w:ind w:left="0" w:leftChars="0" w:firstLine="0" w:firstLineChars="0"/>
              <w:rPr>
                <w:rFonts w:hint="eastAsia" w:cs="Times New Roman"/>
                <w:b/>
                <w:bCs/>
                <w:color w:val="auto"/>
                <w:szCs w:val="21"/>
                <w:highlight w:val="none"/>
                <w:lang w:val="en-US" w:eastAsia="zh-CN"/>
              </w:rPr>
            </w:pPr>
          </w:p>
          <w:p w14:paraId="62919D7B">
            <w:pP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14:paraId="2BD4223C">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9"/>
        <w:rPr>
          <w:rFonts w:hint="default" w:ascii="Times New Roman" w:hAnsi="Times New Roman" w:eastAsia="宋体" w:cs="Times New Roman"/>
          <w:b/>
          <w:bCs/>
          <w:snapToGrid w:val="0"/>
          <w:color w:val="auto"/>
          <w:sz w:val="30"/>
          <w:szCs w:val="30"/>
          <w:highlight w:val="none"/>
        </w:rPr>
      </w:pPr>
    </w:p>
    <w:p w14:paraId="20C5DBF0">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30" w:name="_Toc6939"/>
      <w:r>
        <w:rPr>
          <w:rFonts w:hint="default" w:ascii="Times New Roman" w:hAnsi="Times New Roman" w:eastAsia="宋体" w:cs="Times New Roman"/>
          <w:b/>
          <w:bCs/>
          <w:snapToGrid w:val="0"/>
          <w:color w:val="auto"/>
          <w:sz w:val="30"/>
          <w:szCs w:val="30"/>
          <w:highlight w:val="none"/>
        </w:rPr>
        <w:t>五、</w:t>
      </w:r>
      <w:bookmarkStart w:id="31" w:name="_Hlk54167917"/>
      <w:r>
        <w:rPr>
          <w:rFonts w:hint="default" w:ascii="Times New Roman" w:hAnsi="Times New Roman" w:eastAsia="宋体" w:cs="Times New Roman"/>
          <w:b/>
          <w:bCs/>
          <w:snapToGrid w:val="0"/>
          <w:color w:val="auto"/>
          <w:sz w:val="30"/>
          <w:szCs w:val="30"/>
          <w:highlight w:val="none"/>
        </w:rPr>
        <w:t>环境保护措施监督检查清单</w:t>
      </w:r>
      <w:bookmarkEnd w:id="26"/>
      <w:bookmarkEnd w:id="30"/>
      <w:bookmarkEnd w:id="31"/>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26"/>
        <w:gridCol w:w="1384"/>
        <w:gridCol w:w="2941"/>
        <w:gridCol w:w="2032"/>
      </w:tblGrid>
      <w:tr w14:paraId="31FE3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tcBorders>
              <w:tl2br w:val="single" w:color="auto" w:sz="4" w:space="0"/>
            </w:tcBorders>
            <w:vAlign w:val="top"/>
          </w:tcPr>
          <w:p w14:paraId="566BD2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14:paraId="71C38C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26" w:type="dxa"/>
            <w:vAlign w:val="center"/>
          </w:tcPr>
          <w:p w14:paraId="00FFE2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14:paraId="48A70B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2941" w:type="dxa"/>
            <w:vAlign w:val="center"/>
          </w:tcPr>
          <w:p w14:paraId="1DB7D2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2032" w:type="dxa"/>
            <w:vAlign w:val="center"/>
          </w:tcPr>
          <w:p w14:paraId="7072EC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14:paraId="600DA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restart"/>
            <w:vAlign w:val="center"/>
          </w:tcPr>
          <w:p w14:paraId="71531C7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726" w:type="dxa"/>
            <w:vAlign w:val="center"/>
          </w:tcPr>
          <w:p w14:paraId="1576984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生物质燃料燃烧</w:t>
            </w:r>
            <w:r>
              <w:rPr>
                <w:rFonts w:hint="default" w:ascii="Times New Roman" w:hAnsi="Times New Roman" w:eastAsia="宋体" w:cs="Times New Roman"/>
                <w:color w:val="auto"/>
                <w:sz w:val="21"/>
                <w:szCs w:val="21"/>
                <w:highlight w:val="none"/>
                <w:lang w:val="en-US" w:eastAsia="zh-CN"/>
              </w:rPr>
              <w:t>废气（DA001）</w:t>
            </w:r>
          </w:p>
        </w:tc>
        <w:tc>
          <w:tcPr>
            <w:tcW w:w="1384" w:type="dxa"/>
            <w:vAlign w:val="center"/>
          </w:tcPr>
          <w:p w14:paraId="3447E53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、烟气黑度</w:t>
            </w:r>
          </w:p>
        </w:tc>
        <w:tc>
          <w:tcPr>
            <w:tcW w:w="2941" w:type="dxa"/>
            <w:vAlign w:val="center"/>
          </w:tcPr>
          <w:p w14:paraId="16A25625">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台</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t/h的生物质锅炉</w:t>
            </w:r>
            <w:r>
              <w:rPr>
                <w:rFonts w:hint="eastAsia"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和2台导热油炉燃料燃烧废气</w:t>
            </w:r>
            <w:r>
              <w:rPr>
                <w:rFonts w:hint="default" w:ascii="Times New Roman" w:hAnsi="Times New Roman" w:eastAsia="宋体" w:cs="Times New Roman"/>
                <w:color w:val="auto"/>
                <w:sz w:val="21"/>
                <w:szCs w:val="21"/>
                <w:highlight w:val="none"/>
                <w:lang w:val="en-US" w:eastAsia="zh-CN"/>
              </w:rPr>
              <w:t>共同经1套“高温布袋除尘器”处理后+1根</w:t>
            </w: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m高排气筒（DA001）排放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17450.3649</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高温布袋除尘器对颗粒物的处理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14:paraId="42AA841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《锅炉大气污染物排放标准》（GB13271-2014）中</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2新建</w:t>
            </w: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rPr>
              <w:t>锅炉</w:t>
            </w:r>
            <w:r>
              <w:rPr>
                <w:rFonts w:hint="default" w:ascii="Times New Roman" w:hAnsi="Times New Roman" w:eastAsia="宋体" w:cs="Times New Roman"/>
                <w:color w:val="auto"/>
                <w:sz w:val="21"/>
                <w:szCs w:val="21"/>
                <w:lang w:eastAsia="zh-CN"/>
              </w:rPr>
              <w:t>大气污染物</w:t>
            </w:r>
            <w:r>
              <w:rPr>
                <w:rFonts w:hint="default" w:ascii="Times New Roman" w:hAnsi="Times New Roman" w:eastAsia="宋体" w:cs="Times New Roman"/>
                <w:color w:val="auto"/>
                <w:sz w:val="21"/>
                <w:szCs w:val="21"/>
              </w:rPr>
              <w:t>排放</w:t>
            </w:r>
            <w:r>
              <w:rPr>
                <w:rFonts w:hint="default" w:ascii="Times New Roman" w:hAnsi="Times New Roman" w:eastAsia="宋体" w:cs="Times New Roman"/>
                <w:color w:val="auto"/>
                <w:sz w:val="21"/>
                <w:szCs w:val="21"/>
                <w:lang w:eastAsia="zh-CN"/>
              </w:rPr>
              <w:t>浓度限值。</w:t>
            </w:r>
          </w:p>
        </w:tc>
      </w:tr>
      <w:tr w14:paraId="72D51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14:paraId="36310655">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14:paraId="71CB3FBE">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精炼牛油</w:t>
            </w:r>
            <w:r>
              <w:rPr>
                <w:rFonts w:hint="eastAsia"/>
                <w:bCs/>
                <w:color w:val="auto"/>
                <w:spacing w:val="-10"/>
                <w:szCs w:val="21"/>
              </w:rPr>
              <w:t>熔炼废气</w:t>
            </w:r>
            <w:r>
              <w:rPr>
                <w:rFonts w:hint="eastAsia"/>
                <w:bCs/>
                <w:color w:val="auto"/>
                <w:spacing w:val="-10"/>
                <w:szCs w:val="21"/>
                <w:lang w:eastAsia="zh-CN"/>
              </w:rPr>
              <w:t>（</w:t>
            </w:r>
            <w:r>
              <w:rPr>
                <w:rFonts w:hint="eastAsia"/>
                <w:bCs/>
                <w:color w:val="auto"/>
                <w:spacing w:val="-10"/>
                <w:szCs w:val="21"/>
                <w:lang w:val="en-US" w:eastAsia="zh-CN"/>
              </w:rPr>
              <w:t>DA002</w:t>
            </w:r>
            <w:r>
              <w:rPr>
                <w:rFonts w:hint="eastAsia"/>
                <w:bCs/>
                <w:color w:val="auto"/>
                <w:spacing w:val="-10"/>
                <w:szCs w:val="21"/>
                <w:lang w:eastAsia="zh-CN"/>
              </w:rPr>
              <w:t>）</w:t>
            </w:r>
          </w:p>
        </w:tc>
        <w:tc>
          <w:tcPr>
            <w:tcW w:w="1384" w:type="dxa"/>
            <w:vAlign w:val="center"/>
          </w:tcPr>
          <w:p w14:paraId="57B0C2F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油烟、非甲烷总烃</w:t>
            </w:r>
          </w:p>
        </w:tc>
        <w:tc>
          <w:tcPr>
            <w:tcW w:w="2941" w:type="dxa"/>
            <w:vAlign w:val="center"/>
          </w:tcPr>
          <w:p w14:paraId="1BF8B732">
            <w:pPr>
              <w:adjustRightInd w:val="0"/>
              <w:snapToGrid w:val="0"/>
              <w:jc w:val="center"/>
              <w:rPr>
                <w:rFonts w:hint="eastAsia" w:eastAsia="宋体" w:cs="Times New Roman"/>
                <w:color w:val="auto"/>
                <w:sz w:val="21"/>
                <w:szCs w:val="21"/>
                <w:highlight w:val="none"/>
                <w:lang w:val="en-US" w:eastAsia="zh-CN"/>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DA002</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30000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14:paraId="70320295">
            <w:pPr>
              <w:adjustRightInd w:val="0"/>
              <w:snapToGrid w:val="0"/>
              <w:jc w:val="center"/>
              <w:rPr>
                <w:rFonts w:hint="default" w:ascii="Times New Roman" w:hAnsi="Times New Roman" w:eastAsia="宋体" w:cs="Times New Roman"/>
                <w:color w:val="auto"/>
                <w:sz w:val="21"/>
                <w:szCs w:val="21"/>
              </w:rPr>
            </w:pPr>
            <w:r>
              <w:rPr>
                <w:color w:val="auto"/>
                <w:szCs w:val="21"/>
              </w:rPr>
              <w:t>《饮食业油烟排放标准》（GB18438-2001）执行油烟最高允许排放浓度≤2mg/m</w:t>
            </w:r>
            <w:r>
              <w:rPr>
                <w:color w:val="auto"/>
                <w:szCs w:val="21"/>
                <w:vertAlign w:val="superscript"/>
              </w:rPr>
              <w:t>3</w:t>
            </w:r>
            <w:r>
              <w:rPr>
                <w:rFonts w:hint="eastAsia"/>
                <w:color w:val="auto"/>
                <w:szCs w:val="21"/>
                <w:vertAlign w:val="baseline"/>
                <w:lang w:eastAsia="zh-CN"/>
              </w:rPr>
              <w:t>、</w:t>
            </w:r>
            <w:r>
              <w:rPr>
                <w:rFonts w:hint="eastAsia" w:cs="宋体"/>
                <w:color w:val="auto"/>
                <w:szCs w:val="21"/>
              </w:rPr>
              <w:t>《大气污染物综合排放标准》（GB16297-1996）中表2中二级标准</w:t>
            </w:r>
            <w:r>
              <w:rPr>
                <w:rFonts w:hint="eastAsia" w:cs="宋体"/>
                <w:color w:val="auto"/>
                <w:szCs w:val="21"/>
                <w:lang w:eastAsia="zh-CN"/>
              </w:rPr>
              <w:t>要求</w:t>
            </w:r>
          </w:p>
        </w:tc>
      </w:tr>
      <w:tr w14:paraId="6075D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14:paraId="3ABFC7D2">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14:paraId="507FA6DA">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动物饲料油脂</w:t>
            </w:r>
            <w:r>
              <w:rPr>
                <w:rFonts w:hint="eastAsia"/>
                <w:bCs/>
                <w:color w:val="auto"/>
                <w:spacing w:val="-10"/>
                <w:szCs w:val="21"/>
              </w:rPr>
              <w:t>熔炼废气</w:t>
            </w:r>
            <w:r>
              <w:rPr>
                <w:rFonts w:hint="eastAsia"/>
                <w:bCs/>
                <w:color w:val="auto"/>
                <w:spacing w:val="-10"/>
                <w:szCs w:val="21"/>
                <w:lang w:eastAsia="zh-CN"/>
              </w:rPr>
              <w:t>（</w:t>
            </w:r>
            <w:r>
              <w:rPr>
                <w:rFonts w:hint="eastAsia"/>
                <w:bCs/>
                <w:color w:val="auto"/>
                <w:spacing w:val="-10"/>
                <w:szCs w:val="21"/>
                <w:lang w:val="en-US" w:eastAsia="zh-CN"/>
              </w:rPr>
              <w:t>DA003</w:t>
            </w:r>
            <w:r>
              <w:rPr>
                <w:rFonts w:hint="eastAsia"/>
                <w:bCs/>
                <w:color w:val="auto"/>
                <w:spacing w:val="-10"/>
                <w:szCs w:val="21"/>
                <w:lang w:eastAsia="zh-CN"/>
              </w:rPr>
              <w:t>）</w:t>
            </w:r>
          </w:p>
        </w:tc>
        <w:tc>
          <w:tcPr>
            <w:tcW w:w="1384" w:type="dxa"/>
            <w:vAlign w:val="center"/>
          </w:tcPr>
          <w:p w14:paraId="5024149F">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auto"/>
                <w:spacing w:val="-10"/>
                <w:szCs w:val="21"/>
                <w:lang w:eastAsia="zh-CN"/>
              </w:rPr>
              <w:t>油烟、非甲烷总烃</w:t>
            </w:r>
          </w:p>
        </w:tc>
        <w:tc>
          <w:tcPr>
            <w:tcW w:w="2941" w:type="dxa"/>
            <w:vAlign w:val="center"/>
          </w:tcPr>
          <w:p w14:paraId="4CCC1D72">
            <w:pPr>
              <w:adjustRightInd w:val="0"/>
              <w:snapToGrid w:val="0"/>
              <w:jc w:val="center"/>
              <w:rPr>
                <w:rFonts w:hint="eastAsia" w:cs="Times New Roman"/>
                <w:color w:val="auto"/>
                <w:sz w:val="21"/>
                <w:szCs w:val="21"/>
                <w:highlight w:val="none"/>
                <w:lang w:val="en-US" w:eastAsia="zh-CN"/>
              </w:rPr>
            </w:pPr>
            <w:r>
              <w:rPr>
                <w:rFonts w:hint="eastAsia" w:eastAsia="Times New Roman"/>
                <w:color w:val="auto"/>
                <w:szCs w:val="21"/>
                <w:lang w:val="zh-CN"/>
              </w:rPr>
              <w:t>“油气分离器</w:t>
            </w:r>
            <w:r>
              <w:rPr>
                <w:rFonts w:hint="eastAsia" w:eastAsia="宋体"/>
                <w:color w:val="auto"/>
                <w:szCs w:val="21"/>
                <w:lang w:val="en-US" w:eastAsia="zh-CN"/>
              </w:rPr>
              <w:t>+</w:t>
            </w:r>
            <w:r>
              <w:rPr>
                <w:rFonts w:hint="eastAsia" w:eastAsia="Times New Roman"/>
                <w:color w:val="auto"/>
                <w:szCs w:val="21"/>
                <w:lang w:val="zh-CN"/>
              </w:rPr>
              <w:t>冷凝系统</w:t>
            </w:r>
            <w:r>
              <w:rPr>
                <w:rFonts w:hint="eastAsia"/>
                <w:color w:val="auto"/>
                <w:szCs w:val="21"/>
              </w:rPr>
              <w:t>+油烟</w:t>
            </w:r>
            <w:r>
              <w:rPr>
                <w:rFonts w:hint="eastAsia"/>
                <w:color w:val="auto"/>
                <w:szCs w:val="21"/>
                <w:lang w:eastAsia="zh-CN"/>
              </w:rPr>
              <w:t>处理设施</w:t>
            </w:r>
            <w:r>
              <w:rPr>
                <w:rFonts w:hint="eastAsia"/>
                <w:color w:val="auto"/>
                <w:szCs w:val="21"/>
                <w:lang w:val="en-US" w:eastAsia="zh-CN"/>
              </w:rPr>
              <w:t>+活性炭吸附装置</w:t>
            </w:r>
            <w:r>
              <w:rPr>
                <w:rFonts w:hint="eastAsia" w:eastAsia="Times New Roman"/>
                <w:color w:val="auto"/>
                <w:szCs w:val="21"/>
                <w:lang w:val="zh-CN"/>
              </w:rPr>
              <w:t>”处理后</w:t>
            </w:r>
            <w:r>
              <w:rPr>
                <w:rFonts w:hint="eastAsia"/>
                <w:color w:val="auto"/>
                <w:kern w:val="0"/>
                <w:szCs w:val="21"/>
              </w:rPr>
              <w:t>+</w:t>
            </w:r>
            <w:r>
              <w:rPr>
                <w:rFonts w:hint="eastAsia"/>
                <w:color w:val="auto"/>
                <w:kern w:val="0"/>
                <w:szCs w:val="21"/>
                <w:lang w:val="en-US" w:eastAsia="zh-CN"/>
              </w:rPr>
              <w:t>1根</w:t>
            </w:r>
            <w:r>
              <w:rPr>
                <w:rFonts w:hint="eastAsia"/>
                <w:color w:val="auto"/>
                <w:kern w:val="0"/>
                <w:szCs w:val="21"/>
              </w:rPr>
              <w:t>15m高排气筒</w:t>
            </w:r>
            <w:r>
              <w:rPr>
                <w:rFonts w:hint="eastAsia"/>
                <w:color w:val="auto"/>
                <w:kern w:val="0"/>
                <w:szCs w:val="21"/>
                <w:lang w:eastAsia="zh-CN"/>
              </w:rPr>
              <w:t>（</w:t>
            </w:r>
            <w:r>
              <w:rPr>
                <w:rFonts w:hint="eastAsia"/>
                <w:color w:val="auto"/>
                <w:kern w:val="0"/>
                <w:szCs w:val="21"/>
                <w:lang w:val="en-US" w:eastAsia="zh-CN"/>
              </w:rPr>
              <w:t>DA003</w:t>
            </w:r>
            <w:r>
              <w:rPr>
                <w:rFonts w:hint="eastAsia"/>
                <w:color w:val="auto"/>
                <w:kern w:val="0"/>
                <w:szCs w:val="21"/>
                <w:lang w:eastAsia="zh-CN"/>
              </w:rPr>
              <w:t>）排放，</w:t>
            </w:r>
            <w:r>
              <w:rPr>
                <w:rFonts w:hint="default" w:ascii="Times New Roman" w:hAnsi="Times New Roman" w:eastAsia="宋体" w:cs="Times New Roman"/>
                <w:color w:val="auto"/>
                <w:sz w:val="21"/>
                <w:szCs w:val="21"/>
                <w:highlight w:val="none"/>
                <w:lang w:eastAsia="zh-CN"/>
              </w:rPr>
              <w:t>风量</w:t>
            </w:r>
            <w:r>
              <w:rPr>
                <w:rFonts w:hint="eastAsia" w:cs="Times New Roman"/>
                <w:color w:val="auto"/>
                <w:sz w:val="21"/>
                <w:szCs w:val="21"/>
                <w:highlight w:val="none"/>
                <w:lang w:val="en-US" w:eastAsia="zh-CN"/>
              </w:rPr>
              <w:t>20000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对</w:t>
            </w:r>
            <w:r>
              <w:rPr>
                <w:rFonts w:hint="eastAsia" w:ascii="Times New Roman" w:hAnsi="Times New Roman" w:eastAsia="宋体" w:cs="Times New Roman"/>
                <w:color w:val="auto"/>
                <w:sz w:val="21"/>
                <w:szCs w:val="21"/>
                <w:highlight w:val="none"/>
                <w:lang w:val="en-US" w:eastAsia="zh-CN"/>
              </w:rPr>
              <w:t>油烟</w:t>
            </w:r>
            <w:r>
              <w:rPr>
                <w:rFonts w:hint="default" w:ascii="Times New Roman" w:hAnsi="Times New Roman" w:eastAsia="宋体" w:cs="Times New Roman"/>
                <w:color w:val="auto"/>
                <w:sz w:val="21"/>
                <w:szCs w:val="21"/>
                <w:highlight w:val="none"/>
                <w:lang w:val="en-US" w:eastAsia="zh-CN"/>
              </w:rPr>
              <w:t>的处理</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w:t>
            </w:r>
            <w:r>
              <w:rPr>
                <w:rFonts w:hint="eastAsia"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对非甲烷总烃的处理效率为80%，</w:t>
            </w:r>
            <w:r>
              <w:rPr>
                <w:rFonts w:hint="default" w:ascii="Times New Roman" w:hAnsi="Times New Roman" w:eastAsia="宋体" w:cs="Times New Roman"/>
                <w:bCs/>
                <w:color w:val="auto"/>
                <w:sz w:val="21"/>
                <w:szCs w:val="21"/>
                <w:highlight w:val="none"/>
                <w:lang w:val="en-US" w:eastAsia="zh-CN"/>
              </w:rPr>
              <w:t>排气筒内径0.</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14:paraId="52FE61DD">
            <w:pPr>
              <w:adjustRightInd w:val="0"/>
              <w:snapToGrid w:val="0"/>
              <w:jc w:val="center"/>
              <w:rPr>
                <w:rFonts w:hint="default" w:ascii="Times New Roman" w:hAnsi="Times New Roman" w:eastAsia="宋体" w:cs="Times New Roman"/>
                <w:color w:val="auto"/>
                <w:sz w:val="21"/>
                <w:szCs w:val="21"/>
              </w:rPr>
            </w:pPr>
            <w:r>
              <w:rPr>
                <w:color w:val="auto"/>
                <w:szCs w:val="21"/>
              </w:rPr>
              <w:t>《饮食业油烟排放标准》（GB18438-2001）执行油烟最高允许排放浓度≤2mg/m</w:t>
            </w:r>
            <w:r>
              <w:rPr>
                <w:color w:val="auto"/>
                <w:szCs w:val="21"/>
                <w:vertAlign w:val="superscript"/>
              </w:rPr>
              <w:t>3</w:t>
            </w:r>
            <w:r>
              <w:rPr>
                <w:rFonts w:hint="eastAsia"/>
                <w:color w:val="auto"/>
                <w:szCs w:val="21"/>
                <w:vertAlign w:val="baseline"/>
                <w:lang w:eastAsia="zh-CN"/>
              </w:rPr>
              <w:t>、</w:t>
            </w:r>
            <w:r>
              <w:rPr>
                <w:rFonts w:hint="eastAsia" w:cs="宋体"/>
                <w:color w:val="auto"/>
                <w:szCs w:val="21"/>
              </w:rPr>
              <w:t>《大气污染物综合排放标准》（GB16297-1996）中表2中二级标准</w:t>
            </w:r>
            <w:r>
              <w:rPr>
                <w:rFonts w:hint="eastAsia" w:cs="宋体"/>
                <w:color w:val="auto"/>
                <w:szCs w:val="21"/>
                <w:lang w:eastAsia="zh-CN"/>
              </w:rPr>
              <w:t>要求</w:t>
            </w:r>
          </w:p>
        </w:tc>
      </w:tr>
      <w:tr w14:paraId="527DF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14:paraId="6D51F772">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14:paraId="3EB0CBB2">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bCs/>
                <w:color w:val="auto"/>
                <w:spacing w:val="-10"/>
                <w:szCs w:val="21"/>
              </w:rPr>
              <w:t>脱酸脱臭</w:t>
            </w:r>
            <w:r>
              <w:rPr>
                <w:rFonts w:hint="eastAsia"/>
                <w:bCs/>
                <w:color w:val="auto"/>
                <w:spacing w:val="-10"/>
                <w:szCs w:val="21"/>
                <w:lang w:eastAsia="zh-CN"/>
              </w:rPr>
              <w:t>废气</w:t>
            </w:r>
          </w:p>
        </w:tc>
        <w:tc>
          <w:tcPr>
            <w:tcW w:w="1384" w:type="dxa"/>
            <w:vAlign w:val="center"/>
          </w:tcPr>
          <w:p w14:paraId="65A4521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bCs/>
                <w:color w:val="auto"/>
                <w:spacing w:val="-10"/>
                <w:szCs w:val="21"/>
              </w:rPr>
              <w:t>硫化氢</w:t>
            </w:r>
            <w:r>
              <w:rPr>
                <w:rFonts w:hint="eastAsia"/>
                <w:bCs/>
                <w:color w:val="auto"/>
                <w:spacing w:val="-10"/>
                <w:szCs w:val="21"/>
                <w:lang w:eastAsia="zh-CN"/>
              </w:rPr>
              <w:t>、氨、臭气浓度</w:t>
            </w:r>
          </w:p>
        </w:tc>
        <w:tc>
          <w:tcPr>
            <w:tcW w:w="2941" w:type="dxa"/>
            <w:vAlign w:val="center"/>
          </w:tcPr>
          <w:p w14:paraId="6AB7F474">
            <w:pPr>
              <w:adjustRightInd w:val="0"/>
              <w:snapToGrid w:val="0"/>
              <w:jc w:val="center"/>
              <w:rPr>
                <w:rFonts w:hint="eastAsia" w:cs="Times New Roman"/>
                <w:color w:val="auto"/>
                <w:sz w:val="21"/>
                <w:szCs w:val="21"/>
                <w:highlight w:val="none"/>
                <w:lang w:val="en-US" w:eastAsia="zh-CN"/>
              </w:rPr>
            </w:pPr>
            <w:r>
              <w:rPr>
                <w:rFonts w:hint="eastAsia"/>
                <w:color w:val="auto"/>
              </w:rPr>
              <w:t>捕集器+冷凝回收装置</w:t>
            </w:r>
          </w:p>
        </w:tc>
        <w:tc>
          <w:tcPr>
            <w:tcW w:w="2032" w:type="dxa"/>
            <w:vAlign w:val="center"/>
          </w:tcPr>
          <w:p w14:paraId="20748CDE">
            <w:pPr>
              <w:adjustRightInd w:val="0"/>
              <w:snapToGrid w:val="0"/>
              <w:jc w:val="center"/>
              <w:rPr>
                <w:rFonts w:hint="default" w:ascii="Times New Roman" w:hAnsi="Times New Roman" w:eastAsia="宋体" w:cs="Times New Roman"/>
                <w:color w:val="auto"/>
                <w:sz w:val="21"/>
                <w:szCs w:val="21"/>
              </w:rPr>
            </w:pPr>
            <w:r>
              <w:rPr>
                <w:color w:val="auto"/>
                <w:sz w:val="21"/>
                <w:szCs w:val="21"/>
              </w:rPr>
              <w:t>《</w:t>
            </w:r>
            <w:r>
              <w:rPr>
                <w:rFonts w:hint="eastAsia"/>
                <w:color w:val="auto"/>
                <w:sz w:val="21"/>
                <w:szCs w:val="21"/>
              </w:rPr>
              <w:t>恶臭污染物</w:t>
            </w:r>
            <w:r>
              <w:rPr>
                <w:color w:val="auto"/>
                <w:sz w:val="21"/>
                <w:szCs w:val="21"/>
              </w:rPr>
              <w:t>排放标准》（GB1</w:t>
            </w:r>
            <w:r>
              <w:rPr>
                <w:rFonts w:hint="eastAsia"/>
                <w:color w:val="auto"/>
                <w:sz w:val="21"/>
                <w:szCs w:val="21"/>
              </w:rPr>
              <w:t>4554</w:t>
            </w:r>
            <w:r>
              <w:rPr>
                <w:color w:val="auto"/>
                <w:sz w:val="21"/>
                <w:szCs w:val="21"/>
              </w:rPr>
              <w:t>-</w:t>
            </w:r>
            <w:r>
              <w:rPr>
                <w:rFonts w:hint="eastAsia"/>
                <w:color w:val="auto"/>
                <w:sz w:val="21"/>
                <w:szCs w:val="21"/>
              </w:rPr>
              <w:t>93</w:t>
            </w:r>
            <w:r>
              <w:rPr>
                <w:color w:val="auto"/>
                <w:sz w:val="21"/>
                <w:szCs w:val="21"/>
              </w:rPr>
              <w:t>）</w:t>
            </w:r>
            <w:r>
              <w:rPr>
                <w:color w:val="auto"/>
                <w:spacing w:val="-10"/>
                <w:sz w:val="21"/>
                <w:szCs w:val="21"/>
              </w:rPr>
              <w:t>表</w:t>
            </w:r>
            <w:r>
              <w:rPr>
                <w:rFonts w:hint="eastAsia"/>
                <w:color w:val="auto"/>
                <w:sz w:val="21"/>
                <w:szCs w:val="21"/>
              </w:rPr>
              <w:t>1恶臭污染物厂界标准值二级标准</w:t>
            </w:r>
          </w:p>
        </w:tc>
      </w:tr>
      <w:tr w14:paraId="6D091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14:paraId="263ECF0B">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14:paraId="55E7F55A">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生产过程、化粪池、污水处理设施</w:t>
            </w:r>
          </w:p>
        </w:tc>
        <w:tc>
          <w:tcPr>
            <w:tcW w:w="1384" w:type="dxa"/>
            <w:vAlign w:val="center"/>
          </w:tcPr>
          <w:p w14:paraId="2A1AAFFF">
            <w:pPr>
              <w:pStyle w:val="24"/>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氨、硫化氢、臭气浓度</w:t>
            </w:r>
          </w:p>
        </w:tc>
        <w:tc>
          <w:tcPr>
            <w:tcW w:w="2941" w:type="dxa"/>
            <w:vAlign w:val="center"/>
          </w:tcPr>
          <w:p w14:paraId="342204B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lang w:val="en-US" w:eastAsia="zh-CN" w:bidi="ar-SA"/>
              </w:rPr>
              <w:t>对生产车间地坪进行冲洗和消毒、加强管理；</w:t>
            </w:r>
            <w:r>
              <w:rPr>
                <w:rFonts w:hint="default" w:ascii="Times New Roman" w:hAnsi="Times New Roman" w:eastAsia="宋体" w:cs="Times New Roman"/>
                <w:color w:val="auto"/>
                <w:sz w:val="21"/>
                <w:szCs w:val="21"/>
                <w:highlight w:val="none"/>
                <w:lang w:val="en-US" w:eastAsia="zh-CN"/>
              </w:rPr>
              <w:t>加强通风及管理，</w:t>
            </w:r>
            <w:r>
              <w:rPr>
                <w:rFonts w:hint="default" w:ascii="Times New Roman" w:hAnsi="Times New Roman" w:eastAsia="宋体" w:cs="Times New Roman"/>
                <w:color w:val="auto"/>
                <w:sz w:val="21"/>
                <w:szCs w:val="21"/>
                <w:highlight w:val="none"/>
                <w:lang w:val="zh-CN" w:eastAsia="zh-CN"/>
              </w:rPr>
              <w:t>定期喷洒复合微生物除臭剂进行除臭</w:t>
            </w:r>
            <w:r>
              <w:rPr>
                <w:rFonts w:hint="default" w:ascii="Times New Roman" w:hAnsi="Times New Roman" w:eastAsia="宋体" w:cs="Times New Roman"/>
                <w:color w:val="auto"/>
                <w:sz w:val="21"/>
                <w:szCs w:val="21"/>
                <w:highlight w:val="none"/>
                <w:lang w:val="en-US" w:eastAsia="zh-CN"/>
              </w:rPr>
              <w:t>。</w:t>
            </w:r>
          </w:p>
        </w:tc>
        <w:tc>
          <w:tcPr>
            <w:tcW w:w="2032" w:type="dxa"/>
            <w:vAlign w:val="center"/>
          </w:tcPr>
          <w:p w14:paraId="292D1F9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p>
        </w:tc>
      </w:tr>
      <w:tr w14:paraId="75030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14:paraId="0109CFA1">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14:paraId="12B3DB95">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14:paraId="3B87472F">
            <w:pPr>
              <w:pStyle w:val="24"/>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2941" w:type="dxa"/>
            <w:vAlign w:val="center"/>
          </w:tcPr>
          <w:p w14:paraId="1713848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食堂油烟配套“1个集气罩+1台油烟净化设施+高于生活综合楼房顶1.5m高的排气筒”，油烟净化器净化效率不低于60%。</w:t>
            </w:r>
          </w:p>
        </w:tc>
        <w:tc>
          <w:tcPr>
            <w:tcW w:w="2032" w:type="dxa"/>
            <w:vAlign w:val="center"/>
          </w:tcPr>
          <w:p w14:paraId="7E91F3A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14:paraId="7717B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Merge w:val="continue"/>
            <w:vAlign w:val="center"/>
          </w:tcPr>
          <w:p w14:paraId="14823DC9">
            <w:pPr>
              <w:adjustRightInd w:val="0"/>
              <w:snapToGrid w:val="0"/>
              <w:jc w:val="center"/>
              <w:rPr>
                <w:rFonts w:hint="default" w:ascii="Times New Roman" w:hAnsi="Times New Roman" w:eastAsia="宋体" w:cs="Times New Roman"/>
                <w:color w:val="auto"/>
                <w:sz w:val="21"/>
                <w:szCs w:val="21"/>
                <w:highlight w:val="none"/>
              </w:rPr>
            </w:pPr>
          </w:p>
        </w:tc>
        <w:tc>
          <w:tcPr>
            <w:tcW w:w="1726" w:type="dxa"/>
            <w:vAlign w:val="center"/>
          </w:tcPr>
          <w:p w14:paraId="4446A17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食堂废水、其他办公生活污水、生产废水</w:t>
            </w:r>
          </w:p>
        </w:tc>
        <w:tc>
          <w:tcPr>
            <w:tcW w:w="1384" w:type="dxa"/>
            <w:vAlign w:val="center"/>
          </w:tcPr>
          <w:p w14:paraId="4B4BC8C1">
            <w:pP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Cs w:val="21"/>
                <w:highlight w:val="none"/>
                <w:lang w:val="en-US" w:eastAsia="zh-CN"/>
              </w:rPr>
              <w:t>PH、</w:t>
            </w: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总氮、动植物油</w:t>
            </w:r>
          </w:p>
        </w:tc>
        <w:tc>
          <w:tcPr>
            <w:tcW w:w="2941" w:type="dxa"/>
            <w:vAlign w:val="center"/>
          </w:tcPr>
          <w:p w14:paraId="6BB7734F">
            <w:pPr>
              <w:spacing w:beforeLines="0" w:afterLine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w:t>
            </w:r>
            <w:r>
              <w:rPr>
                <w:rFonts w:hint="eastAsia" w:cs="Times New Roman"/>
                <w:b w:val="0"/>
                <w:bCs w:val="0"/>
                <w:color w:val="auto"/>
                <w:sz w:val="21"/>
                <w:szCs w:val="21"/>
                <w:highlight w:val="none"/>
                <w:lang w:val="en-US" w:eastAsia="zh-CN"/>
              </w:rPr>
              <w:t>、</w:t>
            </w:r>
            <w:r>
              <w:rPr>
                <w:rFonts w:hint="eastAsia"/>
                <w:color w:val="auto"/>
                <w:sz w:val="21"/>
                <w:szCs w:val="21"/>
              </w:rPr>
              <w:t>脱胶脱磷废水</w:t>
            </w:r>
            <w:r>
              <w:rPr>
                <w:rFonts w:hint="eastAsia"/>
                <w:color w:val="auto"/>
                <w:sz w:val="21"/>
                <w:szCs w:val="21"/>
                <w:lang w:eastAsia="zh-CN"/>
              </w:rPr>
              <w:t>、牛肉腌制废水、</w:t>
            </w:r>
            <w:r>
              <w:rPr>
                <w:rFonts w:hint="eastAsia" w:ascii="Times New Roman" w:hAnsi="Times New Roman" w:eastAsia="宋体" w:cs="Times New Roman"/>
                <w:color w:val="auto"/>
                <w:sz w:val="21"/>
                <w:szCs w:val="21"/>
                <w:lang w:val="en-US" w:eastAsia="zh-CN"/>
              </w:rPr>
              <w:t>车间地面清洗</w:t>
            </w:r>
            <w:r>
              <w:rPr>
                <w:rFonts w:hint="default"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设备清洗废水</w:t>
            </w:r>
            <w:r>
              <w:rPr>
                <w:rFonts w:hint="default" w:ascii="Times New Roman" w:hAnsi="Times New Roman" w:eastAsia="宋体" w:cs="Times New Roman"/>
                <w:b w:val="0"/>
                <w:bCs w:val="0"/>
                <w:color w:val="auto"/>
                <w:sz w:val="21"/>
                <w:szCs w:val="21"/>
                <w:highlight w:val="none"/>
                <w:lang w:val="en-US" w:eastAsia="zh-CN"/>
              </w:rPr>
              <w:t>经隔油池预处理后与其他办公生活污水、生产废水一并进入化粪池、自建污水处理设施处理达《污水排入城镇下水道水质标准》（GB/T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标准后经市政污水管网排入寻甸产业园区羊街片区污水处理厂进行处理。</w:t>
            </w:r>
          </w:p>
        </w:tc>
        <w:tc>
          <w:tcPr>
            <w:tcW w:w="2032" w:type="dxa"/>
            <w:vAlign w:val="center"/>
          </w:tcPr>
          <w:p w14:paraId="33373A2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《污水排入城镇下水道水质标准》（GB/T 31962-2015）A等级标准及</w:t>
            </w:r>
            <w:r>
              <w:rPr>
                <w:rFonts w:hint="default" w:ascii="Times New Roman" w:hAnsi="Times New Roman" w:eastAsia="宋体" w:cs="Times New Roman"/>
                <w:b w:val="0"/>
                <w:bCs w:val="0"/>
                <w:color w:val="auto"/>
                <w:sz w:val="21"/>
                <w:szCs w:val="21"/>
              </w:rPr>
              <w:t>《工业企业废水氮、磷污染物间接排放限值》（DB5301</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T</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49-2021）</w:t>
            </w:r>
            <w:r>
              <w:rPr>
                <w:rFonts w:hint="default" w:ascii="Times New Roman" w:hAnsi="Times New Roman" w:eastAsia="宋体" w:cs="Times New Roman"/>
                <w:b w:val="0"/>
                <w:bCs w:val="0"/>
                <w:color w:val="auto"/>
                <w:sz w:val="21"/>
                <w:szCs w:val="21"/>
                <w:highlight w:val="none"/>
                <w:lang w:val="en-US" w:eastAsia="zh-CN"/>
              </w:rPr>
              <w:t>标准</w:t>
            </w:r>
            <w:r>
              <w:rPr>
                <w:rFonts w:hint="default" w:ascii="Times New Roman" w:hAnsi="Times New Roman" w:eastAsia="宋体" w:cs="Times New Roman"/>
                <w:color w:val="auto"/>
                <w:sz w:val="21"/>
                <w:szCs w:val="21"/>
                <w:highlight w:val="none"/>
              </w:rPr>
              <w:t>。</w:t>
            </w:r>
          </w:p>
        </w:tc>
      </w:tr>
      <w:tr w14:paraId="36577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14:paraId="33888A5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26" w:type="dxa"/>
            <w:vAlign w:val="center"/>
          </w:tcPr>
          <w:p w14:paraId="33473051">
            <w:pP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99"/>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84" w:type="dxa"/>
            <w:vAlign w:val="center"/>
          </w:tcPr>
          <w:p w14:paraId="062898A2">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941" w:type="dxa"/>
            <w:vAlign w:val="center"/>
          </w:tcPr>
          <w:p w14:paraId="2056C583">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olor w:val="auto"/>
              </w:rPr>
              <w:t>优先选用先进低噪声设备；主要产噪设备安装减震垫；加强设备管理与维护等措施</w:t>
            </w:r>
            <w:r>
              <w:rPr>
                <w:rFonts w:hint="eastAsia"/>
                <w:color w:val="auto"/>
                <w:lang w:eastAsia="zh-CN"/>
              </w:rPr>
              <w:t>。</w:t>
            </w:r>
          </w:p>
        </w:tc>
        <w:tc>
          <w:tcPr>
            <w:tcW w:w="2032" w:type="dxa"/>
            <w:vAlign w:val="center"/>
          </w:tcPr>
          <w:p w14:paraId="2A877FC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w:t>
            </w:r>
          </w:p>
        </w:tc>
      </w:tr>
      <w:tr w14:paraId="553F4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14:paraId="62A1F3B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26" w:type="dxa"/>
            <w:vAlign w:val="center"/>
          </w:tcPr>
          <w:p w14:paraId="644AB3D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14:paraId="66BCDA6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941" w:type="dxa"/>
            <w:vAlign w:val="center"/>
          </w:tcPr>
          <w:p w14:paraId="16EA66D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32" w:type="dxa"/>
            <w:vAlign w:val="center"/>
          </w:tcPr>
          <w:p w14:paraId="50B37F8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CCFF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14:paraId="665DDAB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8083" w:type="dxa"/>
            <w:gridSpan w:val="4"/>
            <w:vAlign w:val="center"/>
          </w:tcPr>
          <w:p w14:paraId="3B4D5BD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eastAsia="zh-CN"/>
              </w:rPr>
              <w:t>废包装材料</w:t>
            </w:r>
            <w:r>
              <w:rPr>
                <w:rFonts w:hint="default" w:ascii="Times New Roman" w:hAnsi="Times New Roman" w:eastAsia="宋体" w:cs="Times New Roman"/>
                <w:color w:val="auto"/>
                <w:sz w:val="21"/>
                <w:szCs w:val="21"/>
                <w:highlight w:val="none"/>
                <w:lang w:val="en-US" w:eastAsia="zh-CN"/>
              </w:rPr>
              <w:t>统一收集后暂存于一般固体废物暂存处，定期外售给废品收购站；</w:t>
            </w:r>
            <w:r>
              <w:rPr>
                <w:rFonts w:hint="eastAsia" w:ascii="Times New Roman" w:hAnsi="Times New Roman" w:eastAsia="宋体" w:cs="Times New Roman"/>
                <w:color w:val="auto"/>
                <w:sz w:val="21"/>
                <w:szCs w:val="21"/>
                <w:highlight w:val="none"/>
                <w:lang w:eastAsia="zh-CN"/>
              </w:rPr>
              <w:t>油渣、油脚</w:t>
            </w:r>
            <w:r>
              <w:rPr>
                <w:rFonts w:hint="default" w:ascii="Times New Roman" w:hAnsi="Times New Roman" w:eastAsia="宋体" w:cs="Times New Roman"/>
                <w:color w:val="auto"/>
                <w:sz w:val="21"/>
                <w:szCs w:val="21"/>
                <w:highlight w:val="none"/>
                <w:lang w:val="en-US" w:eastAsia="zh-CN"/>
              </w:rPr>
              <w:t>收集后外售合法饲料厂作为原料；</w:t>
            </w:r>
            <w:r>
              <w:rPr>
                <w:rFonts w:hint="eastAsia" w:ascii="Times New Roman" w:hAnsi="Times New Roman" w:eastAsia="宋体" w:cs="Times New Roman"/>
                <w:color w:val="auto"/>
                <w:sz w:val="21"/>
                <w:szCs w:val="21"/>
                <w:highlight w:val="none"/>
                <w:lang w:eastAsia="zh-CN"/>
              </w:rPr>
              <w:t>废白土定期交由专门公司回收分离废油和白土分离处置</w:t>
            </w:r>
            <w:r>
              <w:rPr>
                <w:rFonts w:hint="default" w:ascii="Times New Roman" w:hAnsi="Times New Roman" w:eastAsia="宋体" w:cs="Times New Roman"/>
                <w:color w:val="auto"/>
                <w:sz w:val="21"/>
                <w:szCs w:val="21"/>
                <w:highlight w:val="none"/>
                <w:lang w:val="en-US" w:eastAsia="zh-CN"/>
              </w:rPr>
              <w:t>；锅炉炉渣、布袋除尘器除尘灰定期清理袋装后暂存于锅炉房内，</w:t>
            </w:r>
            <w:r>
              <w:rPr>
                <w:rFonts w:hint="default" w:ascii="Times New Roman" w:hAnsi="Times New Roman" w:eastAsia="宋体" w:cs="Times New Roman"/>
                <w:color w:val="auto"/>
                <w:sz w:val="21"/>
                <w:szCs w:val="21"/>
                <w:highlight w:val="none"/>
                <w:lang w:eastAsia="zh-CN"/>
              </w:rPr>
              <w:t>外售</w:t>
            </w:r>
            <w:r>
              <w:rPr>
                <w:rFonts w:hint="default" w:ascii="Times New Roman" w:hAnsi="Times New Roman" w:eastAsia="宋体" w:cs="Times New Roman"/>
                <w:color w:val="auto"/>
                <w:sz w:val="21"/>
                <w:szCs w:val="21"/>
                <w:highlight w:val="none"/>
                <w:lang w:val="en-US" w:eastAsia="zh-CN"/>
              </w:rPr>
              <w:t>给</w:t>
            </w:r>
            <w:r>
              <w:rPr>
                <w:rFonts w:hint="default" w:ascii="Times New Roman" w:hAnsi="Times New Roman" w:eastAsia="宋体" w:cs="Times New Roman"/>
                <w:color w:val="auto"/>
                <w:sz w:val="21"/>
                <w:szCs w:val="21"/>
                <w:highlight w:val="none"/>
                <w:lang w:eastAsia="zh-CN"/>
              </w:rPr>
              <w:t>建材生产企业</w:t>
            </w:r>
            <w:r>
              <w:rPr>
                <w:rFonts w:hint="default" w:ascii="Times New Roman" w:hAnsi="Times New Roman" w:eastAsia="宋体" w:cs="Times New Roman"/>
                <w:color w:val="auto"/>
                <w:sz w:val="21"/>
                <w:szCs w:val="21"/>
                <w:highlight w:val="none"/>
                <w:lang w:val="en-US" w:eastAsia="zh-CN"/>
              </w:rPr>
              <w:t>进行使用；</w:t>
            </w:r>
            <w:r>
              <w:rPr>
                <w:rFonts w:hint="eastAsia" w:ascii="Times New Roman" w:hAnsi="Times New Roman" w:eastAsia="宋体" w:cs="Times New Roman"/>
                <w:color w:val="auto"/>
                <w:sz w:val="21"/>
                <w:szCs w:val="21"/>
                <w:highlight w:val="none"/>
                <w:lang w:eastAsia="zh-CN"/>
              </w:rPr>
              <w:t>废油、污泥</w:t>
            </w:r>
            <w:r>
              <w:rPr>
                <w:rFonts w:hint="default" w:ascii="Times New Roman" w:hAnsi="Times New Roman" w:eastAsia="宋体" w:cs="Times New Roman"/>
                <w:color w:val="auto"/>
                <w:sz w:val="21"/>
                <w:szCs w:val="21"/>
                <w:highlight w:val="none"/>
                <w:lang w:eastAsia="zh-CN"/>
              </w:rPr>
              <w:t>委托</w:t>
            </w:r>
            <w:r>
              <w:rPr>
                <w:rFonts w:hint="eastAsia" w:ascii="Times New Roman" w:hAnsi="Times New Roman" w:eastAsia="宋体" w:cs="Times New Roman"/>
                <w:color w:val="auto"/>
                <w:sz w:val="21"/>
                <w:szCs w:val="21"/>
                <w:highlight w:val="none"/>
                <w:lang w:eastAsia="zh-CN"/>
              </w:rPr>
              <w:t>有资质的单位</w:t>
            </w:r>
            <w:r>
              <w:rPr>
                <w:rFonts w:hint="default" w:ascii="Times New Roman" w:hAnsi="Times New Roman" w:eastAsia="宋体" w:cs="Times New Roman"/>
                <w:color w:val="auto"/>
                <w:sz w:val="21"/>
                <w:szCs w:val="21"/>
                <w:highlight w:val="none"/>
                <w:lang w:eastAsia="zh-CN"/>
              </w:rPr>
              <w:t>定期清运处置</w:t>
            </w:r>
            <w:r>
              <w:rPr>
                <w:rFonts w:hint="eastAsia" w:ascii="Times New Roman" w:hAnsi="Times New Roman" w:eastAsia="宋体" w:cs="Times New Roman"/>
                <w:color w:val="auto"/>
                <w:sz w:val="21"/>
                <w:szCs w:val="21"/>
                <w:highlight w:val="none"/>
                <w:lang w:eastAsia="zh-CN"/>
              </w:rPr>
              <w:t>；回收后的脂肪酸</w:t>
            </w:r>
            <w:r>
              <w:rPr>
                <w:rFonts w:hint="eastAsia" w:cs="Times New Roman"/>
                <w:color w:val="auto"/>
                <w:sz w:val="21"/>
                <w:szCs w:val="21"/>
                <w:highlight w:val="none"/>
                <w:lang w:eastAsia="zh-CN"/>
              </w:rPr>
              <w:t>外售</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生活垃圾统一收集后由当地环卫部门定期清运、处置；食堂餐厨垃圾通过加盖塑料桶收集后由有资质的单位定期清运、处置；</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lang w:eastAsia="zh-CN"/>
              </w:rPr>
              <w:t>废弃的含油抹布、劳保用品</w:t>
            </w:r>
            <w:r>
              <w:rPr>
                <w:rFonts w:hint="eastAsia" w:ascii="Times New Roman" w:hAnsi="Times New Roman" w:eastAsia="宋体" w:cs="Times New Roman"/>
                <w:color w:val="auto"/>
                <w:sz w:val="21"/>
                <w:szCs w:val="21"/>
                <w:highlight w:val="none"/>
                <w:lang w:eastAsia="zh-CN"/>
              </w:rPr>
              <w:t>、废导热油</w:t>
            </w:r>
            <w:r>
              <w:rPr>
                <w:rFonts w:hint="default" w:ascii="Times New Roman" w:hAnsi="Times New Roman" w:eastAsia="宋体" w:cs="Times New Roman"/>
                <w:color w:val="auto"/>
                <w:sz w:val="21"/>
                <w:szCs w:val="21"/>
                <w:highlight w:val="none"/>
                <w:lang w:eastAsia="zh-CN"/>
              </w:rPr>
              <w:t>收集暂存于危废暂存间后，委托资质单位清运处置。</w:t>
            </w:r>
          </w:p>
        </w:tc>
      </w:tr>
      <w:tr w14:paraId="56E82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14:paraId="1CD17C7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083" w:type="dxa"/>
            <w:gridSpan w:val="4"/>
            <w:vAlign w:val="center"/>
          </w:tcPr>
          <w:p w14:paraId="5F5BA700">
            <w:pPr>
              <w:widowControl/>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w:t>
            </w:r>
            <w:r>
              <w:rPr>
                <w:rFonts w:hint="default" w:ascii="Times New Roman" w:hAnsi="Times New Roman" w:eastAsia="宋体" w:cs="Times New Roman"/>
                <w:b w:val="0"/>
                <w:bCs w:val="0"/>
                <w:color w:val="auto"/>
                <w:sz w:val="21"/>
                <w:szCs w:val="21"/>
                <w:highlight w:val="none"/>
                <w:lang w:val="en-US" w:eastAsia="zh-CN"/>
              </w:rPr>
              <w:t>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w:t>
            </w:r>
            <w:r>
              <w:rPr>
                <w:rFonts w:hint="eastAsia" w:cs="Times New Roman"/>
                <w:color w:val="auto"/>
                <w:sz w:val="21"/>
                <w:szCs w:val="21"/>
                <w:lang w:val="zh-CN"/>
              </w:rPr>
              <w:t>成品油罐区防渗要求</w:t>
            </w:r>
            <w:r>
              <w:rPr>
                <w:color w:val="auto"/>
                <w:sz w:val="21"/>
                <w:szCs w:val="21"/>
              </w:rPr>
              <w:t>等效黏土层Mb≥</w:t>
            </w:r>
            <w:r>
              <w:rPr>
                <w:rFonts w:hint="eastAsia"/>
                <w:color w:val="auto"/>
                <w:sz w:val="21"/>
                <w:szCs w:val="21"/>
                <w:lang w:val="en-US" w:eastAsia="zh-CN"/>
              </w:rPr>
              <w:t>6.0</w:t>
            </w:r>
            <w:r>
              <w:rPr>
                <w:color w:val="auto"/>
                <w:sz w:val="21"/>
                <w:szCs w:val="21"/>
              </w:rPr>
              <w:t>m，K≤1.0×10</w:t>
            </w:r>
            <w:r>
              <w:rPr>
                <w:color w:val="auto"/>
                <w:sz w:val="21"/>
                <w:szCs w:val="21"/>
                <w:vertAlign w:val="superscript"/>
              </w:rPr>
              <w:t>-7</w:t>
            </w:r>
            <w:r>
              <w:rPr>
                <w:color w:val="auto"/>
                <w:sz w:val="21"/>
                <w:szCs w:val="21"/>
              </w:rPr>
              <w:t>cm/s</w:t>
            </w:r>
            <w:r>
              <w:rPr>
                <w:rFonts w:hint="eastAsia"/>
                <w:color w:val="auto"/>
                <w:sz w:val="21"/>
                <w:szCs w:val="21"/>
                <w:lang w:eastAsia="zh-CN"/>
              </w:rPr>
              <w:t>，</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vertAlign w:val="baseline"/>
                <w:lang w:val="en-US" w:eastAsia="zh-CN"/>
              </w:rPr>
              <w:t>隔油池、化粪池、污水处理设施</w:t>
            </w:r>
            <w:r>
              <w:rPr>
                <w:rFonts w:hint="eastAsia" w:cs="Times New Roman"/>
                <w:color w:val="auto"/>
                <w:sz w:val="21"/>
                <w:szCs w:val="21"/>
                <w:highlight w:val="none"/>
                <w:vertAlign w:val="baseline"/>
                <w:lang w:val="en-US" w:eastAsia="zh-CN"/>
              </w:rPr>
              <w:t>隔</w:t>
            </w:r>
            <w:r>
              <w:rPr>
                <w:rFonts w:hint="default" w:ascii="Times New Roman" w:hAnsi="Times New Roman" w:eastAsia="宋体" w:cs="Times New Roman"/>
                <w:color w:val="auto"/>
                <w:sz w:val="21"/>
                <w:szCs w:val="21"/>
                <w:highlight w:val="none"/>
                <w:vertAlign w:val="baseline"/>
                <w:lang w:val="en-US" w:eastAsia="zh-CN"/>
              </w:rPr>
              <w:t>水池、事故应急池、一般固体废物暂存区</w:t>
            </w:r>
            <w:r>
              <w:rPr>
                <w:rFonts w:hint="eastAsia" w:cs="Times New Roman"/>
                <w:color w:val="auto"/>
                <w:sz w:val="21"/>
                <w:szCs w:val="21"/>
                <w:highlight w:val="none"/>
                <w:vertAlign w:val="baseline"/>
                <w:lang w:val="en-US" w:eastAsia="zh-CN"/>
              </w:rPr>
              <w:t>、冰池</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r>
      <w:tr w14:paraId="4D851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14:paraId="6E99CCF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083" w:type="dxa"/>
            <w:gridSpan w:val="4"/>
            <w:vAlign w:val="center"/>
          </w:tcPr>
          <w:p w14:paraId="15555E9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14:paraId="288E7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14:paraId="4981CDE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8083" w:type="dxa"/>
            <w:gridSpan w:val="4"/>
            <w:vAlign w:val="center"/>
          </w:tcPr>
          <w:p w14:paraId="00226E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lang w:val="en-US" w:eastAsia="zh-CN"/>
              </w:rPr>
              <w:t>抗渗混凝土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w:t>
            </w:r>
            <w:r>
              <w:rPr>
                <w:rFonts w:hint="eastAsia" w:cs="Times New Roman"/>
                <w:color w:val="auto"/>
                <w:sz w:val="21"/>
                <w:szCs w:val="21"/>
                <w:highlight w:val="none"/>
                <w:lang w:val="en-US" w:eastAsia="zh-CN"/>
              </w:rPr>
              <w:t>予以</w:t>
            </w:r>
            <w:r>
              <w:rPr>
                <w:rFonts w:hint="default" w:ascii="Times New Roman" w:hAnsi="Times New Roman" w:eastAsia="宋体" w:cs="Times New Roman"/>
                <w:color w:val="auto"/>
                <w:sz w:val="21"/>
                <w:szCs w:val="21"/>
                <w:highlight w:val="none"/>
                <w:lang w:val="en-US" w:eastAsia="zh-CN"/>
              </w:rPr>
              <w:t>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备案。建立完善的应急报告制度，落实应急物资和经费，日常加强突发环境事件应急演练。</w:t>
            </w:r>
          </w:p>
        </w:tc>
      </w:tr>
      <w:tr w14:paraId="60C8C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14:paraId="7902F9D3">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083" w:type="dxa"/>
            <w:gridSpan w:val="4"/>
            <w:vAlign w:val="center"/>
          </w:tcPr>
          <w:p w14:paraId="23D9E8F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14:paraId="2487D8B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14:paraId="0699A9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14:paraId="6FD6962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14:paraId="7E5A25F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14:paraId="5941A19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14:paraId="0F58EE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14:paraId="5F3749D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、排污许可证 </w:t>
            </w:r>
          </w:p>
          <w:p w14:paraId="3551D76C">
            <w:pPr>
              <w:keepNext w:val="0"/>
              <w:keepLines w:val="0"/>
              <w:pageBreakBefore w:val="0"/>
              <w:kinsoku/>
              <w:wordWrap/>
              <w:overflowPunct/>
              <w:topLinePunct w:val="0"/>
              <w:autoSpaceDE/>
              <w:autoSpaceDN/>
              <w:bidi w:val="0"/>
              <w:adjustRightInd w:val="0"/>
              <w:snapToGrid w:val="0"/>
              <w:spacing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本项目为</w:t>
            </w:r>
            <w:r>
              <w:rPr>
                <w:rFonts w:hint="eastAsia" w:ascii="Times New Roman" w:hAnsi="Times New Roman" w:eastAsia="宋体" w:cs="Times New Roman"/>
                <w:color w:val="auto"/>
                <w:sz w:val="21"/>
                <w:szCs w:val="21"/>
                <w:highlight w:val="none"/>
                <w:lang w:val="zh-CN" w:eastAsia="zh-CN"/>
              </w:rPr>
              <w:t>牛油、牛干巴</w:t>
            </w:r>
            <w:r>
              <w:rPr>
                <w:rFonts w:hint="default" w:ascii="Times New Roman" w:hAnsi="Times New Roman" w:eastAsia="宋体" w:cs="Times New Roman"/>
                <w:color w:val="auto"/>
                <w:sz w:val="21"/>
                <w:szCs w:val="21"/>
                <w:highlight w:val="none"/>
                <w:lang w:val="zh-CN" w:eastAsia="zh-CN"/>
              </w:rPr>
              <w:t>及</w:t>
            </w:r>
            <w:r>
              <w:rPr>
                <w:rFonts w:hint="eastAsia" w:ascii="Times New Roman" w:hAnsi="Times New Roman" w:eastAsia="宋体" w:cs="Times New Roman"/>
                <w:color w:val="auto"/>
                <w:sz w:val="21"/>
                <w:szCs w:val="21"/>
                <w:highlight w:val="none"/>
                <w:lang w:val="zh-CN" w:eastAsia="zh-CN"/>
              </w:rPr>
              <w:t>饲料油脂</w:t>
            </w:r>
            <w:r>
              <w:rPr>
                <w:rFonts w:hint="default" w:ascii="Times New Roman" w:hAnsi="Times New Roman" w:eastAsia="宋体" w:cs="Times New Roman"/>
                <w:color w:val="auto"/>
                <w:sz w:val="21"/>
                <w:szCs w:val="21"/>
                <w:highlight w:val="none"/>
                <w:lang w:val="zh-CN" w:eastAsia="zh-CN"/>
              </w:rPr>
              <w:t>加工项目</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国</w:t>
            </w:r>
            <w:r>
              <w:rPr>
                <w:rFonts w:hint="default" w:ascii="Times New Roman" w:hAnsi="Times New Roman" w:eastAsia="宋体" w:cs="Times New Roman"/>
                <w:color w:val="auto"/>
                <w:sz w:val="21"/>
                <w:szCs w:val="21"/>
                <w:highlight w:val="none"/>
                <w:lang w:val="en-US" w:eastAsia="zh-CN"/>
              </w:rPr>
              <w:t>民经济行业类别为“</w:t>
            </w:r>
            <w:r>
              <w:rPr>
                <w:rFonts w:hint="eastAsia"/>
                <w:color w:val="auto"/>
                <w:sz w:val="21"/>
                <w:szCs w:val="21"/>
                <w:lang w:eastAsia="zh-CN"/>
              </w:rPr>
              <w:t>其他饲料加工</w:t>
            </w:r>
            <w:r>
              <w:rPr>
                <w:color w:val="auto"/>
                <w:sz w:val="21"/>
                <w:szCs w:val="21"/>
              </w:rPr>
              <w:t>（C</w:t>
            </w:r>
            <w:r>
              <w:rPr>
                <w:rFonts w:hint="eastAsia"/>
                <w:color w:val="auto"/>
                <w:sz w:val="21"/>
                <w:szCs w:val="21"/>
              </w:rPr>
              <w:t>13</w:t>
            </w:r>
            <w:r>
              <w:rPr>
                <w:rFonts w:hint="eastAsia"/>
                <w:color w:val="auto"/>
                <w:sz w:val="21"/>
                <w:szCs w:val="21"/>
                <w:lang w:val="en-US" w:eastAsia="zh-CN"/>
              </w:rPr>
              <w:t>29</w:t>
            </w:r>
            <w:r>
              <w:rPr>
                <w:color w:val="auto"/>
                <w:sz w:val="21"/>
                <w:szCs w:val="21"/>
              </w:rPr>
              <w:t>）</w:t>
            </w:r>
            <w:r>
              <w:rPr>
                <w:rFonts w:hint="eastAsia"/>
                <w:color w:val="auto"/>
                <w:sz w:val="21"/>
                <w:szCs w:val="21"/>
                <w:lang w:eastAsia="zh-CN"/>
              </w:rPr>
              <w:t>、肉制品及副产品</w:t>
            </w:r>
            <w:r>
              <w:rPr>
                <w:rFonts w:hint="eastAsia"/>
                <w:color w:val="auto"/>
                <w:sz w:val="21"/>
                <w:szCs w:val="21"/>
              </w:rPr>
              <w:t>加工</w:t>
            </w:r>
            <w:r>
              <w:rPr>
                <w:color w:val="auto"/>
                <w:sz w:val="21"/>
                <w:szCs w:val="21"/>
              </w:rPr>
              <w:t>（C</w:t>
            </w:r>
            <w:r>
              <w:rPr>
                <w:rFonts w:hint="eastAsia"/>
                <w:color w:val="auto"/>
                <w:sz w:val="21"/>
                <w:szCs w:val="21"/>
              </w:rPr>
              <w:t>13</w:t>
            </w:r>
            <w:r>
              <w:rPr>
                <w:rFonts w:hint="eastAsia"/>
                <w:color w:val="auto"/>
                <w:sz w:val="21"/>
                <w:szCs w:val="21"/>
                <w:lang w:val="en-US" w:eastAsia="zh-CN"/>
              </w:rPr>
              <w:t>53</w:t>
            </w:r>
            <w:r>
              <w:rPr>
                <w:color w:val="auto"/>
                <w:sz w:val="21"/>
                <w:szCs w:val="21"/>
              </w:rPr>
              <w:t>）</w:t>
            </w:r>
            <w:r>
              <w:rPr>
                <w:rFonts w:hint="eastAsia"/>
                <w:color w:val="auto"/>
                <w:sz w:val="21"/>
                <w:szCs w:val="21"/>
                <w:lang w:eastAsia="zh-CN"/>
              </w:rPr>
              <w:t>、</w:t>
            </w:r>
            <w:r>
              <w:rPr>
                <w:rFonts w:hint="default" w:ascii="Times New Roman" w:hAnsi="Times New Roman" w:eastAsia="宋体" w:cs="Times New Roman"/>
                <w:color w:val="auto"/>
                <w:sz w:val="21"/>
                <w:szCs w:val="21"/>
                <w:highlight w:val="none"/>
                <w:lang w:val="en-US" w:eastAsia="zh-CN"/>
              </w:rPr>
              <w:t>热力生产和供应（D4430）”，根据《固定污染源排污许可分类管理名录（2019版）》，</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需进行</w:t>
            </w:r>
            <w:r>
              <w:rPr>
                <w:rFonts w:hint="eastAsia" w:cs="Times New Roman"/>
                <w:color w:val="auto"/>
                <w:sz w:val="21"/>
                <w:szCs w:val="21"/>
                <w:highlight w:val="none"/>
                <w:lang w:val="en-US" w:eastAsia="zh-CN"/>
              </w:rPr>
              <w:t>登记</w:t>
            </w:r>
            <w:r>
              <w:rPr>
                <w:rFonts w:hint="default" w:ascii="Times New Roman" w:hAnsi="Times New Roman" w:eastAsia="宋体" w:cs="Times New Roman"/>
                <w:color w:val="auto"/>
                <w:sz w:val="21"/>
                <w:szCs w:val="21"/>
                <w:highlight w:val="none"/>
                <w:lang w:val="en-US" w:eastAsia="zh-CN"/>
              </w:rPr>
              <w:t>管理</w:t>
            </w:r>
            <w:r>
              <w:rPr>
                <w:rFonts w:hint="default" w:ascii="Times New Roman" w:hAnsi="Times New Roman" w:eastAsia="宋体" w:cs="Times New Roman"/>
                <w:color w:val="auto"/>
                <w:sz w:val="21"/>
                <w:szCs w:val="24"/>
                <w:highlight w:val="none"/>
                <w:lang w:val="en-US" w:eastAsia="zh-CN"/>
              </w:rPr>
              <w:t>，</w:t>
            </w:r>
            <w:r>
              <w:rPr>
                <w:rFonts w:ascii="Times New Roman" w:hAnsi="Times New Roman" w:eastAsia="宋体" w:cs="Times New Roman"/>
                <w:color w:val="auto"/>
                <w:sz w:val="21"/>
                <w:szCs w:val="21"/>
              </w:rPr>
              <w:t>项目需按《排污许可管理</w:t>
            </w:r>
            <w:r>
              <w:rPr>
                <w:rFonts w:hint="eastAsia" w:ascii="Times New Roman" w:hAnsi="Times New Roman" w:eastAsia="宋体" w:cs="Times New Roman"/>
                <w:color w:val="auto"/>
                <w:sz w:val="21"/>
                <w:szCs w:val="21"/>
                <w:lang w:eastAsia="zh-CN"/>
              </w:rPr>
              <w:t>条例</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highlight w:val="none"/>
                <w:lang w:val="en-US" w:eastAsia="zh-CN"/>
              </w:rPr>
              <w:t>《排污申请与核发技术规范  农副食品加工工业-屠宰及肉类加工工业》（HJ860.3-2018）</w:t>
            </w:r>
            <w:r>
              <w:rPr>
                <w:rFonts w:ascii="Times New Roman" w:hAnsi="Times New Roman" w:eastAsia="宋体" w:cs="Times New Roman"/>
                <w:color w:val="auto"/>
                <w:sz w:val="21"/>
                <w:szCs w:val="21"/>
              </w:rPr>
              <w:t>等要求取得</w:t>
            </w:r>
            <w:r>
              <w:rPr>
                <w:rFonts w:hint="eastAsia" w:ascii="Times New Roman" w:hAnsi="Times New Roman" w:eastAsia="宋体" w:cs="Times New Roman"/>
                <w:color w:val="auto"/>
                <w:sz w:val="21"/>
                <w:szCs w:val="21"/>
              </w:rPr>
              <w:t>固定污染源排污登记回执，</w:t>
            </w:r>
            <w:r>
              <w:rPr>
                <w:rFonts w:ascii="Times New Roman" w:hAnsi="Times New Roman" w:eastAsia="宋体" w:cs="Times New Roman"/>
                <w:color w:val="auto"/>
                <w:sz w:val="21"/>
                <w:szCs w:val="21"/>
              </w:rPr>
              <w:t>不得无证排污。</w:t>
            </w:r>
          </w:p>
          <w:p w14:paraId="781F07A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、排污口规范化设置</w:t>
            </w:r>
          </w:p>
          <w:p w14:paraId="02836BD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排污口是</w:t>
            </w:r>
            <w:r>
              <w:rPr>
                <w:rFonts w:hint="default" w:ascii="Times New Roman" w:hAnsi="Times New Roman" w:eastAsia="宋体" w:cs="Times New Roman"/>
                <w:color w:val="auto"/>
                <w:szCs w:val="21"/>
                <w:highlight w:val="none"/>
                <w:lang w:val="en-US" w:eastAsia="zh-CN"/>
              </w:rPr>
              <w:t>项目运营期</w:t>
            </w:r>
            <w:r>
              <w:rPr>
                <w:rFonts w:hint="default" w:ascii="Times New Roman" w:hAnsi="Times New Roman" w:eastAsia="宋体" w:cs="Times New Roman"/>
                <w:color w:val="auto"/>
                <w:szCs w:val="21"/>
                <w:highlight w:val="none"/>
              </w:rPr>
              <w:t>污染物进入环境、污染环境的通道，强化总排口管理是实施污染物总量控制的基础工作之一，也是环境管理逐步实现污染物科学化、定量化的主要手段。</w:t>
            </w:r>
          </w:p>
          <w:p w14:paraId="7206F51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14:paraId="5DEB3A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14:paraId="3E68E0E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p w14:paraId="5A2051EE">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14:paraId="497F9DA8">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14:paraId="02612B57">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14:paraId="38431599">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14:paraId="0E0D8E3C">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14:paraId="333C1BF4">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p>
          <w:p w14:paraId="7278E39E">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rPr>
                <w:rFonts w:hint="default" w:ascii="Times New Roman" w:hAnsi="Times New Roman" w:eastAsia="宋体" w:cs="Times New Roman"/>
                <w:color w:val="auto"/>
                <w:sz w:val="21"/>
                <w:szCs w:val="21"/>
                <w:highlight w:val="none"/>
                <w:lang w:val="en-US" w:eastAsia="zh-CN"/>
              </w:rPr>
            </w:pPr>
          </w:p>
        </w:tc>
      </w:tr>
    </w:tbl>
    <w:p w14:paraId="5E635157">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2" w:name="_Toc1582"/>
      <w:bookmarkStart w:id="33" w:name="_Toc24787"/>
      <w:r>
        <w:rPr>
          <w:rFonts w:hint="default" w:ascii="Times New Roman" w:hAnsi="Times New Roman" w:eastAsia="宋体" w:cs="Times New Roman"/>
          <w:b/>
          <w:bCs/>
          <w:snapToGrid w:val="0"/>
          <w:color w:val="auto"/>
          <w:sz w:val="30"/>
          <w:szCs w:val="30"/>
          <w:highlight w:val="none"/>
        </w:rPr>
        <w:t>六、结论</w:t>
      </w:r>
      <w:bookmarkEnd w:id="32"/>
      <w:bookmarkEnd w:id="33"/>
    </w:p>
    <w:tbl>
      <w:tblPr>
        <w:tblStyle w:val="2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522A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1E86BDDC">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14:paraId="22349EDF">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tc>
      </w:tr>
    </w:tbl>
    <w:p w14:paraId="50B37B9B">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FE07F3E">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34" w:name="_Toc6881"/>
      <w:bookmarkStart w:id="35" w:name="_Toc24156"/>
      <w:bookmarkStart w:id="36" w:name="_Toc9427"/>
      <w:r>
        <w:rPr>
          <w:rFonts w:hint="default" w:ascii="Times New Roman" w:hAnsi="Times New Roman" w:eastAsia="宋体" w:cs="Times New Roman"/>
          <w:b/>
          <w:bCs/>
          <w:snapToGrid w:val="0"/>
          <w:color w:val="auto"/>
          <w:sz w:val="30"/>
          <w:szCs w:val="30"/>
          <w:highlight w:val="none"/>
        </w:rPr>
        <w:t>附表</w:t>
      </w:r>
      <w:bookmarkEnd w:id="34"/>
      <w:bookmarkEnd w:id="35"/>
      <w:bookmarkEnd w:id="36"/>
    </w:p>
    <w:p w14:paraId="75142068">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7" w:name="_Toc18631"/>
      <w:bookmarkStart w:id="38" w:name="_Toc29979"/>
      <w:r>
        <w:rPr>
          <w:rFonts w:hint="default" w:ascii="Times New Roman" w:hAnsi="Times New Roman" w:eastAsia="宋体" w:cs="Times New Roman"/>
          <w:snapToGrid w:val="0"/>
          <w:color w:val="auto"/>
          <w:sz w:val="24"/>
          <w:szCs w:val="24"/>
          <w:highlight w:val="none"/>
        </w:rPr>
        <w:t>建设项目污染物排放量汇总表</w:t>
      </w:r>
      <w:bookmarkEnd w:id="37"/>
      <w:bookmarkEnd w:id="38"/>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6"/>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55"/>
        <w:gridCol w:w="1378"/>
        <w:gridCol w:w="1488"/>
        <w:gridCol w:w="1402"/>
        <w:gridCol w:w="1415"/>
        <w:gridCol w:w="1317"/>
        <w:gridCol w:w="1627"/>
        <w:gridCol w:w="1017"/>
      </w:tblGrid>
      <w:tr w14:paraId="0EF7D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14:paraId="3968F4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14:paraId="29FD0E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3255" w:type="dxa"/>
            <w:tcMar>
              <w:left w:w="28" w:type="dxa"/>
              <w:right w:w="28" w:type="dxa"/>
            </w:tcMar>
            <w:vAlign w:val="center"/>
          </w:tcPr>
          <w:p w14:paraId="5EF83C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378" w:type="dxa"/>
            <w:tcMar>
              <w:left w:w="28" w:type="dxa"/>
              <w:right w:w="28" w:type="dxa"/>
            </w:tcMar>
            <w:vAlign w:val="center"/>
          </w:tcPr>
          <w:p w14:paraId="09F5FB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488" w:type="dxa"/>
            <w:tcMar>
              <w:left w:w="28" w:type="dxa"/>
              <w:right w:w="28" w:type="dxa"/>
            </w:tcMar>
            <w:vAlign w:val="center"/>
          </w:tcPr>
          <w:p w14:paraId="722950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402" w:type="dxa"/>
            <w:tcMar>
              <w:left w:w="28" w:type="dxa"/>
              <w:right w:w="28" w:type="dxa"/>
            </w:tcMar>
            <w:vAlign w:val="center"/>
          </w:tcPr>
          <w:p w14:paraId="197BAA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415" w:type="dxa"/>
            <w:tcMar>
              <w:left w:w="28" w:type="dxa"/>
              <w:right w:w="28" w:type="dxa"/>
            </w:tcMar>
            <w:vAlign w:val="center"/>
          </w:tcPr>
          <w:p w14:paraId="7161EB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317" w:type="dxa"/>
            <w:tcMar>
              <w:left w:w="28" w:type="dxa"/>
              <w:right w:w="28" w:type="dxa"/>
            </w:tcMar>
            <w:vAlign w:val="center"/>
          </w:tcPr>
          <w:p w14:paraId="488129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627" w:type="dxa"/>
            <w:tcMar>
              <w:left w:w="28" w:type="dxa"/>
              <w:right w:w="28" w:type="dxa"/>
            </w:tcMar>
            <w:vAlign w:val="center"/>
          </w:tcPr>
          <w:p w14:paraId="342C2E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017" w:type="dxa"/>
            <w:tcMar>
              <w:left w:w="28" w:type="dxa"/>
              <w:right w:w="28" w:type="dxa"/>
            </w:tcMar>
            <w:vAlign w:val="center"/>
          </w:tcPr>
          <w:p w14:paraId="114B44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14:paraId="363222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14:paraId="2323BB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14:paraId="73801A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3255" w:type="dxa"/>
            <w:vAlign w:val="center"/>
          </w:tcPr>
          <w:p w14:paraId="4D5823BA">
            <w:pPr>
              <w:snapToGrid w:val="0"/>
              <w:spacing w:afterLine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1378" w:type="dxa"/>
            <w:vAlign w:val="center"/>
          </w:tcPr>
          <w:p w14:paraId="48D25D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249CEF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166E24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099B4E9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1678</w:t>
            </w:r>
          </w:p>
        </w:tc>
        <w:tc>
          <w:tcPr>
            <w:tcW w:w="1317" w:type="dxa"/>
            <w:vAlign w:val="center"/>
          </w:tcPr>
          <w:p w14:paraId="200423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4C27A87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1678</w:t>
            </w:r>
          </w:p>
        </w:tc>
        <w:tc>
          <w:tcPr>
            <w:tcW w:w="1017" w:type="dxa"/>
            <w:vAlign w:val="center"/>
          </w:tcPr>
          <w:p w14:paraId="687A795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1678</w:t>
            </w:r>
          </w:p>
        </w:tc>
      </w:tr>
      <w:tr w14:paraId="523DF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2DE5C2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7A7EEF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378" w:type="dxa"/>
            <w:vAlign w:val="center"/>
          </w:tcPr>
          <w:p w14:paraId="230DB4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18A302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1A1767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6D72C4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5.7049</w:t>
            </w:r>
          </w:p>
        </w:tc>
        <w:tc>
          <w:tcPr>
            <w:tcW w:w="1317" w:type="dxa"/>
            <w:vAlign w:val="center"/>
          </w:tcPr>
          <w:p w14:paraId="115A9C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6236E7B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5.7049</w:t>
            </w:r>
          </w:p>
        </w:tc>
        <w:tc>
          <w:tcPr>
            <w:tcW w:w="1017" w:type="dxa"/>
            <w:vAlign w:val="center"/>
          </w:tcPr>
          <w:p w14:paraId="44711E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+5.7049</w:t>
            </w:r>
          </w:p>
        </w:tc>
      </w:tr>
      <w:tr w14:paraId="036BC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3A633D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226C66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1378" w:type="dxa"/>
            <w:vAlign w:val="center"/>
          </w:tcPr>
          <w:p w14:paraId="74BBE7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308DD5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3EFE4C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0102972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6.8459</w:t>
            </w:r>
          </w:p>
        </w:tc>
        <w:tc>
          <w:tcPr>
            <w:tcW w:w="1317" w:type="dxa"/>
            <w:vAlign w:val="center"/>
          </w:tcPr>
          <w:p w14:paraId="3072BA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5BE69E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6.8459</w:t>
            </w:r>
          </w:p>
        </w:tc>
        <w:tc>
          <w:tcPr>
            <w:tcW w:w="1017" w:type="dxa"/>
            <w:vAlign w:val="center"/>
          </w:tcPr>
          <w:p w14:paraId="4808EF2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+6.8459</w:t>
            </w:r>
          </w:p>
        </w:tc>
      </w:tr>
      <w:tr w14:paraId="2845A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33D641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44F01C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油烟</w:t>
            </w:r>
          </w:p>
        </w:tc>
        <w:tc>
          <w:tcPr>
            <w:tcW w:w="1378" w:type="dxa"/>
            <w:vAlign w:val="center"/>
          </w:tcPr>
          <w:p w14:paraId="48D5AE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599CA1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05EF8C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2C313A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0.21</w:t>
            </w:r>
          </w:p>
        </w:tc>
        <w:tc>
          <w:tcPr>
            <w:tcW w:w="1317" w:type="dxa"/>
            <w:vAlign w:val="center"/>
          </w:tcPr>
          <w:p w14:paraId="74F1A7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5534A3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0.21</w:t>
            </w:r>
          </w:p>
        </w:tc>
        <w:tc>
          <w:tcPr>
            <w:tcW w:w="1017" w:type="dxa"/>
            <w:vAlign w:val="center"/>
          </w:tcPr>
          <w:p w14:paraId="0FEEDB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highlight w:val="none"/>
                <w:u w:val="none"/>
                <w:lang w:val="en-US" w:eastAsia="zh-CN" w:bidi="ar"/>
              </w:rPr>
              <w:t>+0.21</w:t>
            </w:r>
          </w:p>
        </w:tc>
      </w:tr>
      <w:tr w14:paraId="49D19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89" w:type="dxa"/>
            <w:vMerge w:val="continue"/>
            <w:vAlign w:val="center"/>
          </w:tcPr>
          <w:p w14:paraId="2650E7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11F428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非甲烷总烃</w:t>
            </w:r>
          </w:p>
        </w:tc>
        <w:tc>
          <w:tcPr>
            <w:tcW w:w="1378" w:type="dxa"/>
            <w:vAlign w:val="center"/>
          </w:tcPr>
          <w:p w14:paraId="15AE60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21EE57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199B9A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6AFF4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color w:val="auto"/>
                <w:sz w:val="21"/>
                <w:szCs w:val="21"/>
                <w:highlight w:val="none"/>
                <w:lang w:val="en-US" w:eastAsia="zh-CN"/>
              </w:rPr>
              <w:t>0.28</w:t>
            </w:r>
          </w:p>
        </w:tc>
        <w:tc>
          <w:tcPr>
            <w:tcW w:w="1317" w:type="dxa"/>
            <w:vAlign w:val="center"/>
          </w:tcPr>
          <w:p w14:paraId="30598F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62C522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color w:val="auto"/>
                <w:sz w:val="21"/>
                <w:szCs w:val="21"/>
                <w:highlight w:val="none"/>
                <w:lang w:val="en-US" w:eastAsia="zh-CN"/>
              </w:rPr>
              <w:t>0.28</w:t>
            </w:r>
          </w:p>
        </w:tc>
        <w:tc>
          <w:tcPr>
            <w:tcW w:w="1017" w:type="dxa"/>
            <w:vAlign w:val="center"/>
          </w:tcPr>
          <w:p w14:paraId="5B29F7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 w:val="0"/>
                <w:bCs w:val="0"/>
                <w:color w:val="auto"/>
                <w:sz w:val="21"/>
                <w:szCs w:val="21"/>
                <w:highlight w:val="none"/>
                <w:lang w:val="en-US" w:eastAsia="zh-CN"/>
              </w:rPr>
              <w:t>+0.28</w:t>
            </w:r>
          </w:p>
        </w:tc>
      </w:tr>
      <w:tr w14:paraId="052BD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89" w:type="dxa"/>
            <w:vMerge w:val="continue"/>
            <w:vAlign w:val="center"/>
          </w:tcPr>
          <w:p w14:paraId="1B28F530">
            <w:pPr>
              <w:keepNext w:val="0"/>
              <w:keepLines w:val="0"/>
              <w:widowControl/>
              <w:suppressLineNumbers w:val="0"/>
              <w:jc w:val="center"/>
              <w:textAlignment w:val="center"/>
              <w:rPr>
                <w:color w:val="auto"/>
              </w:rPr>
            </w:pPr>
          </w:p>
        </w:tc>
        <w:tc>
          <w:tcPr>
            <w:tcW w:w="3255" w:type="dxa"/>
            <w:vAlign w:val="center"/>
          </w:tcPr>
          <w:p w14:paraId="7D4F79E6">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氨</w:t>
            </w:r>
          </w:p>
        </w:tc>
        <w:tc>
          <w:tcPr>
            <w:tcW w:w="1378" w:type="dxa"/>
            <w:vAlign w:val="center"/>
          </w:tcPr>
          <w:p w14:paraId="42AA3D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5088F6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01F577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6684A5E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63</w:t>
            </w:r>
          </w:p>
        </w:tc>
        <w:tc>
          <w:tcPr>
            <w:tcW w:w="1317" w:type="dxa"/>
            <w:vAlign w:val="center"/>
          </w:tcPr>
          <w:p w14:paraId="218B94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7F4A620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63</w:t>
            </w:r>
          </w:p>
        </w:tc>
        <w:tc>
          <w:tcPr>
            <w:tcW w:w="1017" w:type="dxa"/>
            <w:vAlign w:val="center"/>
          </w:tcPr>
          <w:p w14:paraId="657CB4EA">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cs="Times New Roman"/>
                <w:i w:val="0"/>
                <w:iCs w:val="0"/>
                <w:color w:val="auto"/>
                <w:kern w:val="0"/>
                <w:sz w:val="21"/>
                <w:szCs w:val="21"/>
                <w:highlight w:val="none"/>
                <w:u w:val="none"/>
                <w:lang w:val="en-US" w:eastAsia="zh-CN" w:bidi="ar"/>
              </w:rPr>
              <w:t>63</w:t>
            </w:r>
          </w:p>
        </w:tc>
      </w:tr>
      <w:tr w14:paraId="0A3A8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89" w:type="dxa"/>
            <w:vMerge w:val="continue"/>
            <w:vAlign w:val="center"/>
          </w:tcPr>
          <w:p w14:paraId="433340D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3255" w:type="dxa"/>
            <w:vAlign w:val="center"/>
          </w:tcPr>
          <w:p w14:paraId="652A8896">
            <w:pPr>
              <w:pStyle w:val="42"/>
              <w:keepNext w:val="0"/>
              <w:keepLines w:val="0"/>
              <w:pageBreakBefore w:val="0"/>
              <w:widowControl w:val="0"/>
              <w:kinsoku/>
              <w:wordWrap/>
              <w:overflowPunct/>
              <w:topLinePunct w:val="0"/>
              <w:autoSpaceDE/>
              <w:autoSpaceDN/>
              <w:bidi w:val="0"/>
              <w:adjustRightInd/>
              <w:snapToGrid w:val="0"/>
              <w:spacing w:beforeLines="0" w:afterLines="0"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硫化氢</w:t>
            </w:r>
          </w:p>
        </w:tc>
        <w:tc>
          <w:tcPr>
            <w:tcW w:w="1378" w:type="dxa"/>
            <w:vAlign w:val="center"/>
          </w:tcPr>
          <w:p w14:paraId="0628D0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245E88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4696F1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29A9AC7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c>
          <w:tcPr>
            <w:tcW w:w="1317" w:type="dxa"/>
            <w:vAlign w:val="center"/>
          </w:tcPr>
          <w:p w14:paraId="19CD7F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1C132C5A">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c>
          <w:tcPr>
            <w:tcW w:w="1017" w:type="dxa"/>
            <w:vAlign w:val="center"/>
          </w:tcPr>
          <w:p w14:paraId="6689E5E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0.0000</w:t>
            </w:r>
            <w:r>
              <w:rPr>
                <w:rFonts w:hint="eastAsia" w:cs="Times New Roman"/>
                <w:i w:val="0"/>
                <w:iCs w:val="0"/>
                <w:color w:val="auto"/>
                <w:kern w:val="0"/>
                <w:sz w:val="21"/>
                <w:szCs w:val="21"/>
                <w:highlight w:val="none"/>
                <w:u w:val="none"/>
                <w:lang w:val="en-US" w:eastAsia="zh-CN" w:bidi="ar"/>
              </w:rPr>
              <w:t>3</w:t>
            </w:r>
          </w:p>
        </w:tc>
      </w:tr>
      <w:tr w14:paraId="4D819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vMerge w:val="restart"/>
            <w:vAlign w:val="center"/>
          </w:tcPr>
          <w:p w14:paraId="4CD628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3255" w:type="dxa"/>
            <w:vAlign w:val="center"/>
          </w:tcPr>
          <w:p w14:paraId="11512D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378" w:type="dxa"/>
            <w:vAlign w:val="center"/>
          </w:tcPr>
          <w:p w14:paraId="35D052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6B2AF7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70EAEC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662EDC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1471</w:t>
            </w:r>
          </w:p>
        </w:tc>
        <w:tc>
          <w:tcPr>
            <w:tcW w:w="1317" w:type="dxa"/>
            <w:vAlign w:val="center"/>
          </w:tcPr>
          <w:p w14:paraId="4CC430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6EBBD7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1471</w:t>
            </w:r>
          </w:p>
        </w:tc>
        <w:tc>
          <w:tcPr>
            <w:tcW w:w="1017" w:type="dxa"/>
            <w:vAlign w:val="center"/>
          </w:tcPr>
          <w:p w14:paraId="10C16A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1471</w:t>
            </w:r>
          </w:p>
        </w:tc>
      </w:tr>
      <w:tr w14:paraId="7E630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74CC79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43F0E3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378" w:type="dxa"/>
            <w:vAlign w:val="center"/>
          </w:tcPr>
          <w:p w14:paraId="0964A4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40BBA6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137DE7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4DFC08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147</w:t>
            </w:r>
          </w:p>
        </w:tc>
        <w:tc>
          <w:tcPr>
            <w:tcW w:w="1317" w:type="dxa"/>
            <w:vAlign w:val="center"/>
          </w:tcPr>
          <w:p w14:paraId="4C23A1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75EBFF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147</w:t>
            </w:r>
          </w:p>
        </w:tc>
        <w:tc>
          <w:tcPr>
            <w:tcW w:w="1017" w:type="dxa"/>
            <w:vAlign w:val="center"/>
          </w:tcPr>
          <w:p w14:paraId="195627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147</w:t>
            </w:r>
          </w:p>
        </w:tc>
      </w:tr>
      <w:tr w14:paraId="1949F9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14:paraId="594346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3255" w:type="dxa"/>
            <w:vAlign w:val="center"/>
          </w:tcPr>
          <w:p w14:paraId="0E0670D3">
            <w:pPr>
              <w:jc w:val="center"/>
              <w:rPr>
                <w:rFonts w:hint="default" w:ascii="Times New Roman" w:hAnsi="Times New Roman" w:eastAsia="宋体" w:cs="Times New Roman"/>
                <w:color w:val="auto"/>
                <w:sz w:val="21"/>
                <w:szCs w:val="21"/>
                <w:highlight w:val="none"/>
                <w:lang w:val="en-US" w:eastAsia="zh-CN"/>
              </w:rPr>
            </w:pPr>
            <w:r>
              <w:rPr>
                <w:rStyle w:val="47"/>
                <w:rFonts w:hint="eastAsia"/>
                <w:bCs/>
                <w:color w:val="auto"/>
                <w:szCs w:val="21"/>
              </w:rPr>
              <w:t>废包装材料</w:t>
            </w:r>
          </w:p>
        </w:tc>
        <w:tc>
          <w:tcPr>
            <w:tcW w:w="1378" w:type="dxa"/>
            <w:vAlign w:val="center"/>
          </w:tcPr>
          <w:p w14:paraId="172F43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5D55F0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0593B0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3A35A7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317" w:type="dxa"/>
            <w:vAlign w:val="center"/>
          </w:tcPr>
          <w:p w14:paraId="49643D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111D61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w:t>
            </w:r>
          </w:p>
        </w:tc>
        <w:tc>
          <w:tcPr>
            <w:tcW w:w="1017" w:type="dxa"/>
            <w:vAlign w:val="center"/>
          </w:tcPr>
          <w:p w14:paraId="32DC4C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w:t>
            </w:r>
          </w:p>
        </w:tc>
      </w:tr>
      <w:tr w14:paraId="01128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58F25B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459B31B5">
            <w:pPr>
              <w:jc w:val="center"/>
              <w:rPr>
                <w:rFonts w:hint="default" w:ascii="Times New Roman" w:hAnsi="Times New Roman" w:eastAsia="宋体" w:cs="Times New Roman"/>
                <w:color w:val="auto"/>
                <w:sz w:val="21"/>
                <w:szCs w:val="21"/>
                <w:highlight w:val="none"/>
              </w:rPr>
            </w:pPr>
            <w:r>
              <w:rPr>
                <w:rStyle w:val="47"/>
                <w:rFonts w:hint="eastAsia"/>
                <w:bCs/>
                <w:color w:val="auto"/>
                <w:szCs w:val="21"/>
              </w:rPr>
              <w:t>油渣</w:t>
            </w:r>
          </w:p>
        </w:tc>
        <w:tc>
          <w:tcPr>
            <w:tcW w:w="1378" w:type="dxa"/>
            <w:vAlign w:val="center"/>
          </w:tcPr>
          <w:p w14:paraId="7B00DB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14:paraId="57A374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14:paraId="2FF0D2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14:paraId="5D61E7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c>
          <w:tcPr>
            <w:tcW w:w="1317" w:type="dxa"/>
            <w:vAlign w:val="center"/>
          </w:tcPr>
          <w:p w14:paraId="04B2E9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14:paraId="5E9428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c>
          <w:tcPr>
            <w:tcW w:w="1017" w:type="dxa"/>
            <w:vAlign w:val="center"/>
          </w:tcPr>
          <w:p w14:paraId="48B0B3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+505.8965</w:t>
            </w:r>
          </w:p>
        </w:tc>
      </w:tr>
      <w:tr w14:paraId="49AEF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76DC59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3F13E903">
            <w:pPr>
              <w:jc w:val="center"/>
              <w:rPr>
                <w:rFonts w:hint="default" w:ascii="Times New Roman" w:hAnsi="Times New Roman" w:eastAsia="宋体" w:cs="Times New Roman"/>
                <w:color w:val="auto"/>
                <w:sz w:val="21"/>
                <w:szCs w:val="21"/>
                <w:highlight w:val="none"/>
              </w:rPr>
            </w:pPr>
            <w:r>
              <w:rPr>
                <w:rStyle w:val="47"/>
                <w:rFonts w:hint="eastAsia"/>
                <w:bCs/>
                <w:color w:val="auto"/>
                <w:szCs w:val="21"/>
              </w:rPr>
              <w:t>废白土</w:t>
            </w:r>
          </w:p>
        </w:tc>
        <w:tc>
          <w:tcPr>
            <w:tcW w:w="1378" w:type="dxa"/>
            <w:vAlign w:val="center"/>
          </w:tcPr>
          <w:p w14:paraId="199798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14:paraId="2A8133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14:paraId="75BC67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14:paraId="095D49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317" w:type="dxa"/>
            <w:vAlign w:val="center"/>
          </w:tcPr>
          <w:p w14:paraId="15967E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14:paraId="23ED45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017" w:type="dxa"/>
            <w:vAlign w:val="center"/>
          </w:tcPr>
          <w:p w14:paraId="34ABB1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14:paraId="1749C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4DAF53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10E1949E">
            <w:pPr>
              <w:jc w:val="center"/>
              <w:rPr>
                <w:rStyle w:val="47"/>
                <w:rFonts w:hint="default" w:ascii="Times New Roman" w:hAnsi="Times New Roman" w:eastAsia="宋体" w:cs="Times New Roman"/>
                <w:bCs/>
                <w:color w:val="auto"/>
                <w:szCs w:val="21"/>
                <w:lang w:val="en-US" w:eastAsia="zh-CN"/>
              </w:rPr>
            </w:pPr>
            <w:r>
              <w:rPr>
                <w:rStyle w:val="47"/>
                <w:rFonts w:hint="eastAsia" w:ascii="Times New Roman" w:hAnsi="Times New Roman" w:eastAsia="宋体" w:cs="Times New Roman"/>
                <w:bCs/>
                <w:color w:val="auto"/>
                <w:szCs w:val="21"/>
                <w:lang w:val="zh-CN"/>
              </w:rPr>
              <w:t>油脚</w:t>
            </w:r>
          </w:p>
        </w:tc>
        <w:tc>
          <w:tcPr>
            <w:tcW w:w="1378" w:type="dxa"/>
            <w:vAlign w:val="center"/>
          </w:tcPr>
          <w:p w14:paraId="0D5DE2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37CB82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2890DB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4F6AF5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317" w:type="dxa"/>
            <w:vAlign w:val="center"/>
          </w:tcPr>
          <w:p w14:paraId="546CE0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68F954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w:t>
            </w:r>
          </w:p>
        </w:tc>
        <w:tc>
          <w:tcPr>
            <w:tcW w:w="1017" w:type="dxa"/>
            <w:vAlign w:val="center"/>
          </w:tcPr>
          <w:p w14:paraId="130B88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+10</w:t>
            </w:r>
          </w:p>
        </w:tc>
      </w:tr>
      <w:tr w14:paraId="779099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0AB94F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1B7C9402">
            <w:pPr>
              <w:jc w:val="center"/>
              <w:rPr>
                <w:rStyle w:val="47"/>
                <w:rFonts w:hint="default" w:ascii="Times New Roman" w:hAnsi="Times New Roman" w:eastAsia="宋体" w:cs="Times New Roman"/>
                <w:bCs/>
                <w:color w:val="auto"/>
                <w:szCs w:val="21"/>
                <w:lang w:val="en-US" w:eastAsia="zh-CN"/>
              </w:rPr>
            </w:pPr>
            <w:r>
              <w:rPr>
                <w:rStyle w:val="47"/>
                <w:rFonts w:hint="default" w:ascii="Times New Roman" w:hAnsi="Times New Roman" w:eastAsia="宋体" w:cs="Times New Roman"/>
                <w:bCs/>
                <w:color w:val="auto"/>
                <w:szCs w:val="21"/>
                <w:lang w:val="en-US" w:eastAsia="zh-CN"/>
              </w:rPr>
              <w:t>布袋除尘器除尘灰</w:t>
            </w:r>
          </w:p>
        </w:tc>
        <w:tc>
          <w:tcPr>
            <w:tcW w:w="1378" w:type="dxa"/>
            <w:vAlign w:val="center"/>
          </w:tcPr>
          <w:p w14:paraId="6C6CF9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5FE33A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6CA58C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02104A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3.188</w:t>
            </w:r>
          </w:p>
        </w:tc>
        <w:tc>
          <w:tcPr>
            <w:tcW w:w="1317" w:type="dxa"/>
            <w:vAlign w:val="center"/>
          </w:tcPr>
          <w:p w14:paraId="7F42B4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322E37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3.188</w:t>
            </w:r>
          </w:p>
        </w:tc>
        <w:tc>
          <w:tcPr>
            <w:tcW w:w="1017" w:type="dxa"/>
            <w:vAlign w:val="center"/>
          </w:tcPr>
          <w:p w14:paraId="05ABD0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+3.188</w:t>
            </w:r>
          </w:p>
        </w:tc>
      </w:tr>
      <w:tr w14:paraId="71FFB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156272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6C7E60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燃烧</w:t>
            </w:r>
            <w:r>
              <w:rPr>
                <w:rFonts w:hint="default" w:ascii="Times New Roman" w:hAnsi="Times New Roman" w:eastAsia="宋体" w:cs="Times New Roman"/>
                <w:color w:val="auto"/>
                <w:sz w:val="21"/>
                <w:szCs w:val="21"/>
                <w:highlight w:val="none"/>
                <w:lang w:val="en-US" w:eastAsia="zh-CN"/>
              </w:rPr>
              <w:t>炉渣</w:t>
            </w:r>
          </w:p>
        </w:tc>
        <w:tc>
          <w:tcPr>
            <w:tcW w:w="1378" w:type="dxa"/>
            <w:vAlign w:val="center"/>
          </w:tcPr>
          <w:p w14:paraId="4EBB0E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667057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138FFD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42D0CE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20.7190</w:t>
            </w:r>
          </w:p>
        </w:tc>
        <w:tc>
          <w:tcPr>
            <w:tcW w:w="1317" w:type="dxa"/>
            <w:vAlign w:val="center"/>
          </w:tcPr>
          <w:p w14:paraId="160F5E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77C651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sz w:val="21"/>
                <w:szCs w:val="21"/>
                <w:highlight w:val="none"/>
                <w:lang w:val="en-US" w:eastAsia="zh-CN"/>
              </w:rPr>
              <w:t>20.7190</w:t>
            </w:r>
          </w:p>
        </w:tc>
        <w:tc>
          <w:tcPr>
            <w:tcW w:w="1017" w:type="dxa"/>
            <w:vAlign w:val="center"/>
          </w:tcPr>
          <w:p w14:paraId="43647D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+20.7190</w:t>
            </w:r>
          </w:p>
        </w:tc>
      </w:tr>
      <w:tr w14:paraId="091C3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105717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4B9065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Style w:val="47"/>
                <w:rFonts w:hint="eastAsia"/>
                <w:bCs/>
                <w:snapToGrid w:val="0"/>
                <w:color w:val="auto"/>
                <w:kern w:val="0"/>
                <w:szCs w:val="21"/>
              </w:rPr>
              <w:t>废水处理系统污泥</w:t>
            </w:r>
            <w:r>
              <w:rPr>
                <w:rStyle w:val="47"/>
                <w:rFonts w:hint="eastAsia"/>
                <w:bCs/>
                <w:snapToGrid w:val="0"/>
                <w:color w:val="auto"/>
                <w:kern w:val="0"/>
                <w:szCs w:val="21"/>
                <w:lang w:eastAsia="zh-CN"/>
              </w:rPr>
              <w:t>、废油</w:t>
            </w:r>
          </w:p>
        </w:tc>
        <w:tc>
          <w:tcPr>
            <w:tcW w:w="1378" w:type="dxa"/>
            <w:vAlign w:val="center"/>
          </w:tcPr>
          <w:p w14:paraId="416B6B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14:paraId="2CC0E6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14:paraId="600575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14:paraId="0C9D3A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3.6966</w:t>
            </w:r>
          </w:p>
        </w:tc>
        <w:tc>
          <w:tcPr>
            <w:tcW w:w="1317" w:type="dxa"/>
            <w:vAlign w:val="center"/>
          </w:tcPr>
          <w:p w14:paraId="609011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14:paraId="3925DA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3.6966</w:t>
            </w:r>
          </w:p>
        </w:tc>
        <w:tc>
          <w:tcPr>
            <w:tcW w:w="1017" w:type="dxa"/>
            <w:vAlign w:val="center"/>
          </w:tcPr>
          <w:p w14:paraId="0AAA6F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+3.6966</w:t>
            </w:r>
          </w:p>
        </w:tc>
      </w:tr>
      <w:tr w14:paraId="09895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46CCF9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5623E6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Style w:val="47"/>
                <w:rFonts w:hint="eastAsia" w:eastAsia="宋体"/>
                <w:bCs/>
                <w:snapToGrid w:val="0"/>
                <w:color w:val="auto"/>
                <w:kern w:val="0"/>
                <w:szCs w:val="21"/>
                <w:lang w:eastAsia="zh-CN"/>
              </w:rPr>
            </w:pPr>
            <w:r>
              <w:rPr>
                <w:rStyle w:val="47"/>
                <w:rFonts w:hint="eastAsia"/>
                <w:bCs/>
                <w:snapToGrid w:val="0"/>
                <w:color w:val="auto"/>
                <w:kern w:val="0"/>
                <w:szCs w:val="21"/>
                <w:lang w:eastAsia="zh-CN"/>
              </w:rPr>
              <w:t>脂肪酸</w:t>
            </w:r>
          </w:p>
        </w:tc>
        <w:tc>
          <w:tcPr>
            <w:tcW w:w="1378" w:type="dxa"/>
            <w:vAlign w:val="center"/>
          </w:tcPr>
          <w:p w14:paraId="04F137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14:paraId="43FBBA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14:paraId="4F872B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14:paraId="2CD92A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w:t>
            </w:r>
          </w:p>
        </w:tc>
        <w:tc>
          <w:tcPr>
            <w:tcW w:w="1317" w:type="dxa"/>
            <w:vAlign w:val="center"/>
          </w:tcPr>
          <w:p w14:paraId="09C1E6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14:paraId="7F9D8B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w:t>
            </w:r>
          </w:p>
        </w:tc>
        <w:tc>
          <w:tcPr>
            <w:tcW w:w="1017" w:type="dxa"/>
            <w:vAlign w:val="center"/>
          </w:tcPr>
          <w:p w14:paraId="1F9FB0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+80</w:t>
            </w:r>
          </w:p>
        </w:tc>
      </w:tr>
      <w:tr w14:paraId="44966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4AB4AD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098014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78" w:type="dxa"/>
            <w:vAlign w:val="center"/>
          </w:tcPr>
          <w:p w14:paraId="318160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594FA7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2F6FBC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75B47E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317" w:type="dxa"/>
            <w:vAlign w:val="center"/>
          </w:tcPr>
          <w:p w14:paraId="0E37FE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44F480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6.0</w:t>
            </w:r>
          </w:p>
        </w:tc>
        <w:tc>
          <w:tcPr>
            <w:tcW w:w="1017" w:type="dxa"/>
            <w:vAlign w:val="center"/>
          </w:tcPr>
          <w:p w14:paraId="3637BD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+6.0</w:t>
            </w:r>
          </w:p>
        </w:tc>
      </w:tr>
      <w:tr w14:paraId="4755F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1972D3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2F09CA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378" w:type="dxa"/>
            <w:vAlign w:val="center"/>
          </w:tcPr>
          <w:p w14:paraId="3B8988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09F760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3C3574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5C96DA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1317" w:type="dxa"/>
            <w:vAlign w:val="center"/>
          </w:tcPr>
          <w:p w14:paraId="3A0C3E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7BDD63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1.8</w:t>
            </w:r>
          </w:p>
        </w:tc>
        <w:tc>
          <w:tcPr>
            <w:tcW w:w="1017" w:type="dxa"/>
            <w:vAlign w:val="center"/>
          </w:tcPr>
          <w:p w14:paraId="7DC3D8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+1.8</w:t>
            </w:r>
          </w:p>
        </w:tc>
      </w:tr>
      <w:tr w14:paraId="4A95F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14:paraId="6DB628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255" w:type="dxa"/>
            <w:vAlign w:val="center"/>
          </w:tcPr>
          <w:p w14:paraId="335EE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378" w:type="dxa"/>
            <w:vAlign w:val="center"/>
          </w:tcPr>
          <w:p w14:paraId="21A4D8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34E1E7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202BFC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2E34B6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317" w:type="dxa"/>
            <w:vAlign w:val="center"/>
          </w:tcPr>
          <w:p w14:paraId="13B634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48592C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017" w:type="dxa"/>
            <w:vAlign w:val="center"/>
          </w:tcPr>
          <w:p w14:paraId="5E0B35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r>
      <w:tr w14:paraId="638AB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739DE8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2AD760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78" w:type="dxa"/>
            <w:vAlign w:val="center"/>
          </w:tcPr>
          <w:p w14:paraId="1E2003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677008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6F33AE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18B0DF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317" w:type="dxa"/>
            <w:vAlign w:val="center"/>
          </w:tcPr>
          <w:p w14:paraId="30A329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14:paraId="7D086A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017" w:type="dxa"/>
            <w:vAlign w:val="center"/>
          </w:tcPr>
          <w:p w14:paraId="46459B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r>
      <w:tr w14:paraId="7EDBC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14:paraId="579146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14:paraId="4BC0A3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废导热油</w:t>
            </w:r>
          </w:p>
        </w:tc>
        <w:tc>
          <w:tcPr>
            <w:tcW w:w="1378" w:type="dxa"/>
            <w:vAlign w:val="center"/>
          </w:tcPr>
          <w:p w14:paraId="3B4537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14:paraId="05E1A0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14:paraId="550142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14:paraId="1D5E02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317" w:type="dxa"/>
            <w:vAlign w:val="center"/>
          </w:tcPr>
          <w:p w14:paraId="13023C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14:paraId="487156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17" w:type="dxa"/>
            <w:vAlign w:val="center"/>
          </w:tcPr>
          <w:p w14:paraId="598B32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bl>
    <w:p w14:paraId="73DA044F">
      <w:pPr>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14:paraId="4A604675">
      <w:pPr>
        <w:rPr>
          <w:rFonts w:hint="default" w:ascii="Times New Roman" w:hAnsi="Times New Roman" w:eastAsia="宋体" w:cs="Times New Roman"/>
          <w:color w:val="auto"/>
        </w:rPr>
      </w:pPr>
    </w:p>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7A392">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DB421">
    <w:pPr>
      <w:pStyle w:val="18"/>
      <w:framePr w:wrap="around" w:vAnchor="text" w:hAnchor="margin" w:xAlign="center" w:y="1"/>
      <w:rPr>
        <w:rStyle w:val="30"/>
      </w:rPr>
    </w:pPr>
    <w:r>
      <w:fldChar w:fldCharType="begin"/>
    </w:r>
    <w:r>
      <w:rPr>
        <w:rStyle w:val="30"/>
      </w:rPr>
      <w:instrText xml:space="preserve">PAGE  </w:instrText>
    </w:r>
    <w:r>
      <w:fldChar w:fldCharType="end"/>
    </w:r>
  </w:p>
  <w:p w14:paraId="65925DD7">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48AF9">
    <w:pPr>
      <w:pStyle w:val="18"/>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B030F">
    <w:pPr>
      <w:pStyle w:val="1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4F837">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28F5B">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E228F5B">
                    <w:pPr>
                      <w:pStyle w:val="18"/>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9</w:t>
                    </w:r>
                    <w:r>
                      <w:rPr>
                        <w:rStyle w:val="30"/>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17845">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33CAA0"/>
    <w:multiLevelType w:val="singleLevel"/>
    <w:tmpl w:val="1E33CAA0"/>
    <w:lvl w:ilvl="0" w:tentative="0">
      <w:start w:val="6"/>
      <w:numFmt w:val="upperLetter"/>
      <w:suff w:val="nothing"/>
      <w:lvlText w:val="%1、"/>
      <w:lvlJc w:val="left"/>
    </w:lvl>
  </w:abstractNum>
  <w:abstractNum w:abstractNumId="1">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5"/>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2">
    <w:nsid w:val="670799FE"/>
    <w:multiLevelType w:val="singleLevel"/>
    <w:tmpl w:val="670799FE"/>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3504"/>
    <w:rsid w:val="00051995"/>
    <w:rsid w:val="000E7B1F"/>
    <w:rsid w:val="000F6956"/>
    <w:rsid w:val="0011760F"/>
    <w:rsid w:val="001315D9"/>
    <w:rsid w:val="00144231"/>
    <w:rsid w:val="00195B31"/>
    <w:rsid w:val="001A2968"/>
    <w:rsid w:val="001A2B41"/>
    <w:rsid w:val="00205621"/>
    <w:rsid w:val="00224C7A"/>
    <w:rsid w:val="002D269B"/>
    <w:rsid w:val="002F4511"/>
    <w:rsid w:val="00327CB1"/>
    <w:rsid w:val="00340FEF"/>
    <w:rsid w:val="00381040"/>
    <w:rsid w:val="003C28DE"/>
    <w:rsid w:val="003C3010"/>
    <w:rsid w:val="00551409"/>
    <w:rsid w:val="006360BD"/>
    <w:rsid w:val="00675306"/>
    <w:rsid w:val="00692FA7"/>
    <w:rsid w:val="006A623D"/>
    <w:rsid w:val="006B09BB"/>
    <w:rsid w:val="006C1441"/>
    <w:rsid w:val="006D0CE9"/>
    <w:rsid w:val="006D6F3B"/>
    <w:rsid w:val="006E177F"/>
    <w:rsid w:val="007E4E77"/>
    <w:rsid w:val="00884CAE"/>
    <w:rsid w:val="0089189B"/>
    <w:rsid w:val="008E40E1"/>
    <w:rsid w:val="00980EC9"/>
    <w:rsid w:val="00A10993"/>
    <w:rsid w:val="00A124D7"/>
    <w:rsid w:val="00A23CA3"/>
    <w:rsid w:val="00A43F55"/>
    <w:rsid w:val="00A86FB1"/>
    <w:rsid w:val="00AB07CF"/>
    <w:rsid w:val="00B431AC"/>
    <w:rsid w:val="00B52CB1"/>
    <w:rsid w:val="00BA691D"/>
    <w:rsid w:val="00BB3D69"/>
    <w:rsid w:val="00BC791B"/>
    <w:rsid w:val="00C71683"/>
    <w:rsid w:val="00C74E44"/>
    <w:rsid w:val="00C823C4"/>
    <w:rsid w:val="00CA1B74"/>
    <w:rsid w:val="00CB1EB4"/>
    <w:rsid w:val="00CD79DA"/>
    <w:rsid w:val="00CF0661"/>
    <w:rsid w:val="00D5761F"/>
    <w:rsid w:val="00D91EDB"/>
    <w:rsid w:val="00DC19CB"/>
    <w:rsid w:val="00DE5743"/>
    <w:rsid w:val="00E865C2"/>
    <w:rsid w:val="00EA40E8"/>
    <w:rsid w:val="00F74A57"/>
    <w:rsid w:val="01022F84"/>
    <w:rsid w:val="01062EEC"/>
    <w:rsid w:val="01064671"/>
    <w:rsid w:val="010A79CD"/>
    <w:rsid w:val="010F5955"/>
    <w:rsid w:val="01115B19"/>
    <w:rsid w:val="01167F7D"/>
    <w:rsid w:val="01186083"/>
    <w:rsid w:val="01233A9E"/>
    <w:rsid w:val="01234F0E"/>
    <w:rsid w:val="012C34B7"/>
    <w:rsid w:val="012E439E"/>
    <w:rsid w:val="013378DB"/>
    <w:rsid w:val="0136518B"/>
    <w:rsid w:val="013A432D"/>
    <w:rsid w:val="01413E0E"/>
    <w:rsid w:val="01431C2E"/>
    <w:rsid w:val="01472C04"/>
    <w:rsid w:val="01512B4A"/>
    <w:rsid w:val="0163340B"/>
    <w:rsid w:val="017023A7"/>
    <w:rsid w:val="01710A00"/>
    <w:rsid w:val="01730582"/>
    <w:rsid w:val="018D0F17"/>
    <w:rsid w:val="01940A17"/>
    <w:rsid w:val="019450FA"/>
    <w:rsid w:val="0198234B"/>
    <w:rsid w:val="01991C4C"/>
    <w:rsid w:val="019F1377"/>
    <w:rsid w:val="01A2544F"/>
    <w:rsid w:val="01A37B56"/>
    <w:rsid w:val="01AF1275"/>
    <w:rsid w:val="01B131E0"/>
    <w:rsid w:val="01BE7323"/>
    <w:rsid w:val="01C53654"/>
    <w:rsid w:val="01C74429"/>
    <w:rsid w:val="01CE02A5"/>
    <w:rsid w:val="01CF66BA"/>
    <w:rsid w:val="01D227E9"/>
    <w:rsid w:val="01D51CEF"/>
    <w:rsid w:val="01D52DEE"/>
    <w:rsid w:val="01D547F9"/>
    <w:rsid w:val="01D628BE"/>
    <w:rsid w:val="01DA508E"/>
    <w:rsid w:val="01DF713D"/>
    <w:rsid w:val="01E07FB3"/>
    <w:rsid w:val="01E274B5"/>
    <w:rsid w:val="01E54191"/>
    <w:rsid w:val="01EA3F2D"/>
    <w:rsid w:val="01F013C1"/>
    <w:rsid w:val="01F568EE"/>
    <w:rsid w:val="01F677A7"/>
    <w:rsid w:val="01F82835"/>
    <w:rsid w:val="01FE5971"/>
    <w:rsid w:val="02023F4B"/>
    <w:rsid w:val="020A7A90"/>
    <w:rsid w:val="020D3724"/>
    <w:rsid w:val="02104022"/>
    <w:rsid w:val="02117558"/>
    <w:rsid w:val="02160608"/>
    <w:rsid w:val="021805A0"/>
    <w:rsid w:val="021826DA"/>
    <w:rsid w:val="021F6013"/>
    <w:rsid w:val="022A49B8"/>
    <w:rsid w:val="023000CF"/>
    <w:rsid w:val="0234328A"/>
    <w:rsid w:val="023831E6"/>
    <w:rsid w:val="02427F54"/>
    <w:rsid w:val="02441F1E"/>
    <w:rsid w:val="024737BC"/>
    <w:rsid w:val="024A4B13"/>
    <w:rsid w:val="024B0EA1"/>
    <w:rsid w:val="024C1467"/>
    <w:rsid w:val="024C35ED"/>
    <w:rsid w:val="024C492F"/>
    <w:rsid w:val="024C63F3"/>
    <w:rsid w:val="024E20A3"/>
    <w:rsid w:val="02503F29"/>
    <w:rsid w:val="0250441F"/>
    <w:rsid w:val="02572632"/>
    <w:rsid w:val="025817C9"/>
    <w:rsid w:val="02725808"/>
    <w:rsid w:val="02730CBD"/>
    <w:rsid w:val="027B0375"/>
    <w:rsid w:val="027B5F7F"/>
    <w:rsid w:val="027E2E67"/>
    <w:rsid w:val="027F637D"/>
    <w:rsid w:val="028203C5"/>
    <w:rsid w:val="0284056C"/>
    <w:rsid w:val="02866093"/>
    <w:rsid w:val="029213A5"/>
    <w:rsid w:val="02955AF6"/>
    <w:rsid w:val="029562D6"/>
    <w:rsid w:val="029C58B6"/>
    <w:rsid w:val="029E7C2F"/>
    <w:rsid w:val="02A1631F"/>
    <w:rsid w:val="02A35910"/>
    <w:rsid w:val="02A53D13"/>
    <w:rsid w:val="02A66735"/>
    <w:rsid w:val="02B315C6"/>
    <w:rsid w:val="02B50098"/>
    <w:rsid w:val="02B50726"/>
    <w:rsid w:val="02B76EA0"/>
    <w:rsid w:val="02C72207"/>
    <w:rsid w:val="02CB1CF7"/>
    <w:rsid w:val="02D0730E"/>
    <w:rsid w:val="02E078A9"/>
    <w:rsid w:val="02E1776D"/>
    <w:rsid w:val="02E42DB9"/>
    <w:rsid w:val="02F23758"/>
    <w:rsid w:val="02FF23DD"/>
    <w:rsid w:val="03084CFA"/>
    <w:rsid w:val="030C6E5A"/>
    <w:rsid w:val="03153BB5"/>
    <w:rsid w:val="031561CA"/>
    <w:rsid w:val="03172975"/>
    <w:rsid w:val="0317318F"/>
    <w:rsid w:val="0323259A"/>
    <w:rsid w:val="032A1114"/>
    <w:rsid w:val="032B47D4"/>
    <w:rsid w:val="032E299E"/>
    <w:rsid w:val="03302C1B"/>
    <w:rsid w:val="033905F3"/>
    <w:rsid w:val="033B50CF"/>
    <w:rsid w:val="03477077"/>
    <w:rsid w:val="03477A8E"/>
    <w:rsid w:val="0348159A"/>
    <w:rsid w:val="034D4E02"/>
    <w:rsid w:val="034E2BCA"/>
    <w:rsid w:val="034F000F"/>
    <w:rsid w:val="03550A4B"/>
    <w:rsid w:val="035703B8"/>
    <w:rsid w:val="03591C06"/>
    <w:rsid w:val="035E4CED"/>
    <w:rsid w:val="036A5AAA"/>
    <w:rsid w:val="036F4ACF"/>
    <w:rsid w:val="037567E0"/>
    <w:rsid w:val="03786668"/>
    <w:rsid w:val="037C09BB"/>
    <w:rsid w:val="037E4AB1"/>
    <w:rsid w:val="03870314"/>
    <w:rsid w:val="0397607D"/>
    <w:rsid w:val="039B3DC0"/>
    <w:rsid w:val="03A73E08"/>
    <w:rsid w:val="03A92761"/>
    <w:rsid w:val="03A9365C"/>
    <w:rsid w:val="03AC1B29"/>
    <w:rsid w:val="03AE1559"/>
    <w:rsid w:val="03C055D4"/>
    <w:rsid w:val="03C427E7"/>
    <w:rsid w:val="03D33559"/>
    <w:rsid w:val="03DD5A9E"/>
    <w:rsid w:val="03DD7F34"/>
    <w:rsid w:val="03DF20E6"/>
    <w:rsid w:val="03E84AD5"/>
    <w:rsid w:val="03EA75CC"/>
    <w:rsid w:val="03F139E0"/>
    <w:rsid w:val="03FB485E"/>
    <w:rsid w:val="03FC7FF0"/>
    <w:rsid w:val="03FD42A4"/>
    <w:rsid w:val="03FD436B"/>
    <w:rsid w:val="04025BED"/>
    <w:rsid w:val="040C25C7"/>
    <w:rsid w:val="041365C4"/>
    <w:rsid w:val="04172478"/>
    <w:rsid w:val="04180F6C"/>
    <w:rsid w:val="04182BE0"/>
    <w:rsid w:val="041D2A27"/>
    <w:rsid w:val="041D47D5"/>
    <w:rsid w:val="04273BA4"/>
    <w:rsid w:val="04292697"/>
    <w:rsid w:val="042A2D98"/>
    <w:rsid w:val="042E24FA"/>
    <w:rsid w:val="04337931"/>
    <w:rsid w:val="043A35D9"/>
    <w:rsid w:val="044048B6"/>
    <w:rsid w:val="04455CBC"/>
    <w:rsid w:val="04485834"/>
    <w:rsid w:val="045253A0"/>
    <w:rsid w:val="04553F6E"/>
    <w:rsid w:val="0456591D"/>
    <w:rsid w:val="04590024"/>
    <w:rsid w:val="045A1585"/>
    <w:rsid w:val="045C2D6E"/>
    <w:rsid w:val="045F6DD7"/>
    <w:rsid w:val="046046D6"/>
    <w:rsid w:val="04776088"/>
    <w:rsid w:val="047F4146"/>
    <w:rsid w:val="04864599"/>
    <w:rsid w:val="048C120B"/>
    <w:rsid w:val="048F32CE"/>
    <w:rsid w:val="049158F0"/>
    <w:rsid w:val="04941A17"/>
    <w:rsid w:val="049C20C4"/>
    <w:rsid w:val="049F3A8D"/>
    <w:rsid w:val="04A60661"/>
    <w:rsid w:val="04AE3779"/>
    <w:rsid w:val="04AE464C"/>
    <w:rsid w:val="04B14484"/>
    <w:rsid w:val="04B213C1"/>
    <w:rsid w:val="04B5525E"/>
    <w:rsid w:val="04BC3FEE"/>
    <w:rsid w:val="04C335CE"/>
    <w:rsid w:val="04C410F4"/>
    <w:rsid w:val="04CA305F"/>
    <w:rsid w:val="04CB7A9A"/>
    <w:rsid w:val="04CD6D06"/>
    <w:rsid w:val="04DC4690"/>
    <w:rsid w:val="04E179AB"/>
    <w:rsid w:val="04E62991"/>
    <w:rsid w:val="04E83035"/>
    <w:rsid w:val="04F35535"/>
    <w:rsid w:val="04FB120F"/>
    <w:rsid w:val="05025D14"/>
    <w:rsid w:val="050442C2"/>
    <w:rsid w:val="0507507E"/>
    <w:rsid w:val="050B009A"/>
    <w:rsid w:val="05143B80"/>
    <w:rsid w:val="05145A0C"/>
    <w:rsid w:val="05145BD8"/>
    <w:rsid w:val="051554AC"/>
    <w:rsid w:val="052120A3"/>
    <w:rsid w:val="052370D3"/>
    <w:rsid w:val="05263B5D"/>
    <w:rsid w:val="05273155"/>
    <w:rsid w:val="052B2F21"/>
    <w:rsid w:val="052E6005"/>
    <w:rsid w:val="053775DF"/>
    <w:rsid w:val="053814B3"/>
    <w:rsid w:val="054377AC"/>
    <w:rsid w:val="054B5371"/>
    <w:rsid w:val="0552515F"/>
    <w:rsid w:val="05551D4C"/>
    <w:rsid w:val="055A5241"/>
    <w:rsid w:val="055D3573"/>
    <w:rsid w:val="055E50A5"/>
    <w:rsid w:val="05600E1D"/>
    <w:rsid w:val="056401E1"/>
    <w:rsid w:val="056F2E0E"/>
    <w:rsid w:val="0571302A"/>
    <w:rsid w:val="05753A6C"/>
    <w:rsid w:val="05790131"/>
    <w:rsid w:val="05796D93"/>
    <w:rsid w:val="057A4A23"/>
    <w:rsid w:val="05820786"/>
    <w:rsid w:val="05830037"/>
    <w:rsid w:val="05854CE9"/>
    <w:rsid w:val="059357C9"/>
    <w:rsid w:val="059463E6"/>
    <w:rsid w:val="059565ED"/>
    <w:rsid w:val="05A23AEA"/>
    <w:rsid w:val="05A32D8D"/>
    <w:rsid w:val="05A607FA"/>
    <w:rsid w:val="05B20F4D"/>
    <w:rsid w:val="05C10C2D"/>
    <w:rsid w:val="05C148D2"/>
    <w:rsid w:val="05C501A9"/>
    <w:rsid w:val="05C83664"/>
    <w:rsid w:val="05DB3FDB"/>
    <w:rsid w:val="05E02329"/>
    <w:rsid w:val="05E25CD6"/>
    <w:rsid w:val="05E774E6"/>
    <w:rsid w:val="05EA5338"/>
    <w:rsid w:val="05F477B7"/>
    <w:rsid w:val="05FA2A55"/>
    <w:rsid w:val="05FB0B46"/>
    <w:rsid w:val="05FC1F0A"/>
    <w:rsid w:val="06025659"/>
    <w:rsid w:val="060856F4"/>
    <w:rsid w:val="060914B4"/>
    <w:rsid w:val="060A7287"/>
    <w:rsid w:val="060C2D53"/>
    <w:rsid w:val="060C5B05"/>
    <w:rsid w:val="06110369"/>
    <w:rsid w:val="06147E59"/>
    <w:rsid w:val="06191684"/>
    <w:rsid w:val="061C7051"/>
    <w:rsid w:val="061D0ABC"/>
    <w:rsid w:val="061F6AB5"/>
    <w:rsid w:val="062067FE"/>
    <w:rsid w:val="062B6E9A"/>
    <w:rsid w:val="062C65EA"/>
    <w:rsid w:val="062C6F51"/>
    <w:rsid w:val="062F2FDC"/>
    <w:rsid w:val="06302974"/>
    <w:rsid w:val="063B7CCA"/>
    <w:rsid w:val="063D2F0C"/>
    <w:rsid w:val="063E50AD"/>
    <w:rsid w:val="064249C6"/>
    <w:rsid w:val="064529FB"/>
    <w:rsid w:val="064E12C8"/>
    <w:rsid w:val="0654294E"/>
    <w:rsid w:val="06555537"/>
    <w:rsid w:val="065869FD"/>
    <w:rsid w:val="065B0CF6"/>
    <w:rsid w:val="065E2E82"/>
    <w:rsid w:val="065F4847"/>
    <w:rsid w:val="066761DB"/>
    <w:rsid w:val="066801DD"/>
    <w:rsid w:val="06712BB6"/>
    <w:rsid w:val="067A04CA"/>
    <w:rsid w:val="067D3568"/>
    <w:rsid w:val="067F3525"/>
    <w:rsid w:val="068230B2"/>
    <w:rsid w:val="06867DFC"/>
    <w:rsid w:val="06872F1A"/>
    <w:rsid w:val="06915006"/>
    <w:rsid w:val="06947999"/>
    <w:rsid w:val="06952D48"/>
    <w:rsid w:val="069B6A6E"/>
    <w:rsid w:val="069B7C96"/>
    <w:rsid w:val="069D1BFD"/>
    <w:rsid w:val="069D785C"/>
    <w:rsid w:val="06A27213"/>
    <w:rsid w:val="06A34A08"/>
    <w:rsid w:val="06AE5BB8"/>
    <w:rsid w:val="06B156A8"/>
    <w:rsid w:val="06B7213F"/>
    <w:rsid w:val="06BA5030"/>
    <w:rsid w:val="06C7630B"/>
    <w:rsid w:val="06C947A0"/>
    <w:rsid w:val="06CB676A"/>
    <w:rsid w:val="06CF066E"/>
    <w:rsid w:val="06CF4373"/>
    <w:rsid w:val="06D6469C"/>
    <w:rsid w:val="06EB0BBA"/>
    <w:rsid w:val="06EE6375"/>
    <w:rsid w:val="07035F04"/>
    <w:rsid w:val="071B32B6"/>
    <w:rsid w:val="07267541"/>
    <w:rsid w:val="07281E30"/>
    <w:rsid w:val="07287718"/>
    <w:rsid w:val="072B545A"/>
    <w:rsid w:val="072E3524"/>
    <w:rsid w:val="07310263"/>
    <w:rsid w:val="0743707D"/>
    <w:rsid w:val="074C325F"/>
    <w:rsid w:val="074E2EF7"/>
    <w:rsid w:val="075958CC"/>
    <w:rsid w:val="075F3ED9"/>
    <w:rsid w:val="07660241"/>
    <w:rsid w:val="076646E5"/>
    <w:rsid w:val="076A70CA"/>
    <w:rsid w:val="076B3AA9"/>
    <w:rsid w:val="07767EF0"/>
    <w:rsid w:val="077C7D1E"/>
    <w:rsid w:val="07822CFC"/>
    <w:rsid w:val="07990119"/>
    <w:rsid w:val="07A128D4"/>
    <w:rsid w:val="07A1396F"/>
    <w:rsid w:val="07A174CB"/>
    <w:rsid w:val="07A5520D"/>
    <w:rsid w:val="07A953B1"/>
    <w:rsid w:val="07AE0617"/>
    <w:rsid w:val="07B0770E"/>
    <w:rsid w:val="07B34569"/>
    <w:rsid w:val="07BA4244"/>
    <w:rsid w:val="07BE6026"/>
    <w:rsid w:val="07C25320"/>
    <w:rsid w:val="07C25615"/>
    <w:rsid w:val="07CA07CF"/>
    <w:rsid w:val="07CE1789"/>
    <w:rsid w:val="07DD7326"/>
    <w:rsid w:val="07E436C5"/>
    <w:rsid w:val="07EC6998"/>
    <w:rsid w:val="07F21110"/>
    <w:rsid w:val="07F32AD5"/>
    <w:rsid w:val="07FF6D7E"/>
    <w:rsid w:val="0800140A"/>
    <w:rsid w:val="08031F33"/>
    <w:rsid w:val="080D0674"/>
    <w:rsid w:val="080E2836"/>
    <w:rsid w:val="080E5162"/>
    <w:rsid w:val="08116EAC"/>
    <w:rsid w:val="08126F6C"/>
    <w:rsid w:val="082425D6"/>
    <w:rsid w:val="08254FB4"/>
    <w:rsid w:val="082751D4"/>
    <w:rsid w:val="0828199A"/>
    <w:rsid w:val="082D338F"/>
    <w:rsid w:val="08367B67"/>
    <w:rsid w:val="08371AF0"/>
    <w:rsid w:val="08393BA7"/>
    <w:rsid w:val="083E11BD"/>
    <w:rsid w:val="0842480A"/>
    <w:rsid w:val="08430582"/>
    <w:rsid w:val="0849203C"/>
    <w:rsid w:val="084F6F27"/>
    <w:rsid w:val="08512C9F"/>
    <w:rsid w:val="08517028"/>
    <w:rsid w:val="08564759"/>
    <w:rsid w:val="08591B53"/>
    <w:rsid w:val="085E716A"/>
    <w:rsid w:val="08640C24"/>
    <w:rsid w:val="08644C05"/>
    <w:rsid w:val="08707CF7"/>
    <w:rsid w:val="08713027"/>
    <w:rsid w:val="08730E67"/>
    <w:rsid w:val="08744F7A"/>
    <w:rsid w:val="087644CB"/>
    <w:rsid w:val="087D7F38"/>
    <w:rsid w:val="08821A3A"/>
    <w:rsid w:val="08852292"/>
    <w:rsid w:val="08857F71"/>
    <w:rsid w:val="088766C0"/>
    <w:rsid w:val="088E7A4F"/>
    <w:rsid w:val="0895702F"/>
    <w:rsid w:val="08961A12"/>
    <w:rsid w:val="08964B56"/>
    <w:rsid w:val="089F7EAE"/>
    <w:rsid w:val="08AB6408"/>
    <w:rsid w:val="08AC4379"/>
    <w:rsid w:val="08B80F70"/>
    <w:rsid w:val="08BA0844"/>
    <w:rsid w:val="08C16076"/>
    <w:rsid w:val="08C43471"/>
    <w:rsid w:val="08D15B8E"/>
    <w:rsid w:val="08D2511C"/>
    <w:rsid w:val="08D430F6"/>
    <w:rsid w:val="08D768B3"/>
    <w:rsid w:val="08DC2B16"/>
    <w:rsid w:val="08E06BFE"/>
    <w:rsid w:val="08E65530"/>
    <w:rsid w:val="08E65ADD"/>
    <w:rsid w:val="08EA1120"/>
    <w:rsid w:val="08F06081"/>
    <w:rsid w:val="08F81457"/>
    <w:rsid w:val="08FD1DEA"/>
    <w:rsid w:val="08FD31A9"/>
    <w:rsid w:val="090222B2"/>
    <w:rsid w:val="090D12BC"/>
    <w:rsid w:val="091B682D"/>
    <w:rsid w:val="09206DDD"/>
    <w:rsid w:val="09212671"/>
    <w:rsid w:val="0926412B"/>
    <w:rsid w:val="092C7268"/>
    <w:rsid w:val="09364775"/>
    <w:rsid w:val="093920B1"/>
    <w:rsid w:val="0941451D"/>
    <w:rsid w:val="09491D98"/>
    <w:rsid w:val="09497E1A"/>
    <w:rsid w:val="094A557B"/>
    <w:rsid w:val="094E7F51"/>
    <w:rsid w:val="09507563"/>
    <w:rsid w:val="09510A7C"/>
    <w:rsid w:val="095A2027"/>
    <w:rsid w:val="095C4F27"/>
    <w:rsid w:val="095C7B4D"/>
    <w:rsid w:val="0963712E"/>
    <w:rsid w:val="09672AD3"/>
    <w:rsid w:val="096C40EB"/>
    <w:rsid w:val="096E75D6"/>
    <w:rsid w:val="097B395C"/>
    <w:rsid w:val="097F55EA"/>
    <w:rsid w:val="09825F4A"/>
    <w:rsid w:val="098904FD"/>
    <w:rsid w:val="098D41AA"/>
    <w:rsid w:val="099217C1"/>
    <w:rsid w:val="09946EFF"/>
    <w:rsid w:val="09AD03A9"/>
    <w:rsid w:val="09BE4F1A"/>
    <w:rsid w:val="09C00789"/>
    <w:rsid w:val="09C33728"/>
    <w:rsid w:val="09C561C3"/>
    <w:rsid w:val="09C70C60"/>
    <w:rsid w:val="09D370FD"/>
    <w:rsid w:val="09D5345C"/>
    <w:rsid w:val="09D674F6"/>
    <w:rsid w:val="09D74B85"/>
    <w:rsid w:val="09E21C85"/>
    <w:rsid w:val="09EA11A2"/>
    <w:rsid w:val="09EA6F07"/>
    <w:rsid w:val="09EC032D"/>
    <w:rsid w:val="09F14739"/>
    <w:rsid w:val="09F16108"/>
    <w:rsid w:val="0A012637"/>
    <w:rsid w:val="0A06008E"/>
    <w:rsid w:val="0A0A0CD7"/>
    <w:rsid w:val="0A0B22A6"/>
    <w:rsid w:val="0A0D3EBF"/>
    <w:rsid w:val="0A1103F9"/>
    <w:rsid w:val="0A12645E"/>
    <w:rsid w:val="0A1D552E"/>
    <w:rsid w:val="0A211B30"/>
    <w:rsid w:val="0A21573F"/>
    <w:rsid w:val="0A261B64"/>
    <w:rsid w:val="0A2A1AFE"/>
    <w:rsid w:val="0A2C39C3"/>
    <w:rsid w:val="0A2C447B"/>
    <w:rsid w:val="0A2C5771"/>
    <w:rsid w:val="0A36214C"/>
    <w:rsid w:val="0A3B7763"/>
    <w:rsid w:val="0A3D7FAC"/>
    <w:rsid w:val="0A411AE4"/>
    <w:rsid w:val="0A430D0D"/>
    <w:rsid w:val="0A454A85"/>
    <w:rsid w:val="0A5C52FF"/>
    <w:rsid w:val="0A6007AB"/>
    <w:rsid w:val="0A693506"/>
    <w:rsid w:val="0A69398C"/>
    <w:rsid w:val="0A694362"/>
    <w:rsid w:val="0A6A44EC"/>
    <w:rsid w:val="0A6B77AC"/>
    <w:rsid w:val="0A6D5B9E"/>
    <w:rsid w:val="0A792992"/>
    <w:rsid w:val="0A7E6F9F"/>
    <w:rsid w:val="0A80786B"/>
    <w:rsid w:val="0A883A89"/>
    <w:rsid w:val="0A88783C"/>
    <w:rsid w:val="0A8F5D00"/>
    <w:rsid w:val="0A911907"/>
    <w:rsid w:val="0A913826"/>
    <w:rsid w:val="0A93759F"/>
    <w:rsid w:val="0A946A55"/>
    <w:rsid w:val="0A960E3D"/>
    <w:rsid w:val="0A963AAE"/>
    <w:rsid w:val="0A9D4330"/>
    <w:rsid w:val="0AA27E70"/>
    <w:rsid w:val="0AAB489B"/>
    <w:rsid w:val="0AAC240E"/>
    <w:rsid w:val="0AB75863"/>
    <w:rsid w:val="0AB94A79"/>
    <w:rsid w:val="0ABD0ABF"/>
    <w:rsid w:val="0ABE2142"/>
    <w:rsid w:val="0AC27AB4"/>
    <w:rsid w:val="0ACB31DC"/>
    <w:rsid w:val="0ACE0286"/>
    <w:rsid w:val="0AD32091"/>
    <w:rsid w:val="0ADB6EF4"/>
    <w:rsid w:val="0AE24082"/>
    <w:rsid w:val="0AE36ECE"/>
    <w:rsid w:val="0AF26D2D"/>
    <w:rsid w:val="0AF60B31"/>
    <w:rsid w:val="0AF96715"/>
    <w:rsid w:val="0AFA13CC"/>
    <w:rsid w:val="0AFC77D6"/>
    <w:rsid w:val="0B0264D2"/>
    <w:rsid w:val="0B093D05"/>
    <w:rsid w:val="0B09418A"/>
    <w:rsid w:val="0B0A75BD"/>
    <w:rsid w:val="0B163D2C"/>
    <w:rsid w:val="0B1A19B4"/>
    <w:rsid w:val="0B217FC5"/>
    <w:rsid w:val="0B224DC6"/>
    <w:rsid w:val="0B2522D8"/>
    <w:rsid w:val="0B2F5832"/>
    <w:rsid w:val="0B3150EA"/>
    <w:rsid w:val="0B33619E"/>
    <w:rsid w:val="0B3E67C2"/>
    <w:rsid w:val="0B41524D"/>
    <w:rsid w:val="0B45421B"/>
    <w:rsid w:val="0B5605CC"/>
    <w:rsid w:val="0B5B3783"/>
    <w:rsid w:val="0B5C708E"/>
    <w:rsid w:val="0B5D50A1"/>
    <w:rsid w:val="0B622A02"/>
    <w:rsid w:val="0B6536B8"/>
    <w:rsid w:val="0B674CBC"/>
    <w:rsid w:val="0B6874E1"/>
    <w:rsid w:val="0B6C50CB"/>
    <w:rsid w:val="0B6D1AC3"/>
    <w:rsid w:val="0B6E19A7"/>
    <w:rsid w:val="0B6E5916"/>
    <w:rsid w:val="0B7030D5"/>
    <w:rsid w:val="0B7B0B24"/>
    <w:rsid w:val="0B7C44D7"/>
    <w:rsid w:val="0B8475F4"/>
    <w:rsid w:val="0B883F1F"/>
    <w:rsid w:val="0B920E35"/>
    <w:rsid w:val="0B9A6BA7"/>
    <w:rsid w:val="0B9B7DD7"/>
    <w:rsid w:val="0BA23811"/>
    <w:rsid w:val="0BA354C3"/>
    <w:rsid w:val="0BA82455"/>
    <w:rsid w:val="0BB579E9"/>
    <w:rsid w:val="0BBC0D77"/>
    <w:rsid w:val="0BBE064B"/>
    <w:rsid w:val="0BBE4AFD"/>
    <w:rsid w:val="0BC10245"/>
    <w:rsid w:val="0BCB4B16"/>
    <w:rsid w:val="0BDC4F58"/>
    <w:rsid w:val="0BE5201B"/>
    <w:rsid w:val="0BE56C3C"/>
    <w:rsid w:val="0BED2CDE"/>
    <w:rsid w:val="0BF26547"/>
    <w:rsid w:val="0BF56E60"/>
    <w:rsid w:val="0C0539DD"/>
    <w:rsid w:val="0C076BE1"/>
    <w:rsid w:val="0C0804DC"/>
    <w:rsid w:val="0C100447"/>
    <w:rsid w:val="0C112AE3"/>
    <w:rsid w:val="0C197FE3"/>
    <w:rsid w:val="0C1A4BEB"/>
    <w:rsid w:val="0C1B6E61"/>
    <w:rsid w:val="0C1C1816"/>
    <w:rsid w:val="0C2649DF"/>
    <w:rsid w:val="0C2E6944"/>
    <w:rsid w:val="0C395F24"/>
    <w:rsid w:val="0C3B16D4"/>
    <w:rsid w:val="0C3D30AA"/>
    <w:rsid w:val="0C4072B2"/>
    <w:rsid w:val="0C486239"/>
    <w:rsid w:val="0C545836"/>
    <w:rsid w:val="0C550FAC"/>
    <w:rsid w:val="0C5C7E64"/>
    <w:rsid w:val="0C6236CC"/>
    <w:rsid w:val="0C77337C"/>
    <w:rsid w:val="0C82288B"/>
    <w:rsid w:val="0C91395E"/>
    <w:rsid w:val="0C914370"/>
    <w:rsid w:val="0C9B7F52"/>
    <w:rsid w:val="0CA163FD"/>
    <w:rsid w:val="0CA30FB8"/>
    <w:rsid w:val="0CA37841"/>
    <w:rsid w:val="0CAD06C0"/>
    <w:rsid w:val="0CB97065"/>
    <w:rsid w:val="0CBD2EAF"/>
    <w:rsid w:val="0CBD4DA7"/>
    <w:rsid w:val="0CBF0B1F"/>
    <w:rsid w:val="0CC2416B"/>
    <w:rsid w:val="0CC53C5B"/>
    <w:rsid w:val="0CCC0710"/>
    <w:rsid w:val="0CD50DD3"/>
    <w:rsid w:val="0CDE3470"/>
    <w:rsid w:val="0CE06855"/>
    <w:rsid w:val="0CE143B2"/>
    <w:rsid w:val="0CF04ACE"/>
    <w:rsid w:val="0D04428B"/>
    <w:rsid w:val="0D0A343A"/>
    <w:rsid w:val="0D0E5602"/>
    <w:rsid w:val="0D191630"/>
    <w:rsid w:val="0D1F336B"/>
    <w:rsid w:val="0D305D1E"/>
    <w:rsid w:val="0D364756"/>
    <w:rsid w:val="0D3875BE"/>
    <w:rsid w:val="0D417345"/>
    <w:rsid w:val="0D4F52D6"/>
    <w:rsid w:val="0D600C33"/>
    <w:rsid w:val="0D637D73"/>
    <w:rsid w:val="0D643474"/>
    <w:rsid w:val="0D7C4200"/>
    <w:rsid w:val="0D7C6A10"/>
    <w:rsid w:val="0D863B28"/>
    <w:rsid w:val="0D960D3E"/>
    <w:rsid w:val="0D995783"/>
    <w:rsid w:val="0D9F26FE"/>
    <w:rsid w:val="0DA254C0"/>
    <w:rsid w:val="0DA5675A"/>
    <w:rsid w:val="0DA675E9"/>
    <w:rsid w:val="0DA837B8"/>
    <w:rsid w:val="0DAB10A3"/>
    <w:rsid w:val="0DB31787"/>
    <w:rsid w:val="0DB55A7E"/>
    <w:rsid w:val="0DBD6BE3"/>
    <w:rsid w:val="0DBF4B4E"/>
    <w:rsid w:val="0DC21F49"/>
    <w:rsid w:val="0DCD09F0"/>
    <w:rsid w:val="0DCE08EE"/>
    <w:rsid w:val="0DCE4BD6"/>
    <w:rsid w:val="0DD51C7C"/>
    <w:rsid w:val="0DE563A5"/>
    <w:rsid w:val="0DE61A0D"/>
    <w:rsid w:val="0DE72CCE"/>
    <w:rsid w:val="0DEB1EA7"/>
    <w:rsid w:val="0DEF06BB"/>
    <w:rsid w:val="0DF30ACF"/>
    <w:rsid w:val="0DFF5C3B"/>
    <w:rsid w:val="0E081147"/>
    <w:rsid w:val="0E102753"/>
    <w:rsid w:val="0E1A3B33"/>
    <w:rsid w:val="0E296834"/>
    <w:rsid w:val="0E296B13"/>
    <w:rsid w:val="0E386C18"/>
    <w:rsid w:val="0E3C2671"/>
    <w:rsid w:val="0E4018D9"/>
    <w:rsid w:val="0E467795"/>
    <w:rsid w:val="0E482A4A"/>
    <w:rsid w:val="0E5139F9"/>
    <w:rsid w:val="0E567261"/>
    <w:rsid w:val="0E5C05EF"/>
    <w:rsid w:val="0E6F3E7F"/>
    <w:rsid w:val="0E770F85"/>
    <w:rsid w:val="0E792F4F"/>
    <w:rsid w:val="0E7D63D0"/>
    <w:rsid w:val="0E80608C"/>
    <w:rsid w:val="0E80692A"/>
    <w:rsid w:val="0E807E3A"/>
    <w:rsid w:val="0E862CBC"/>
    <w:rsid w:val="0E8813E4"/>
    <w:rsid w:val="0E887F44"/>
    <w:rsid w:val="0E894549"/>
    <w:rsid w:val="0E8E5325"/>
    <w:rsid w:val="0E9125B0"/>
    <w:rsid w:val="0E927E61"/>
    <w:rsid w:val="0E9438E5"/>
    <w:rsid w:val="0E9457C5"/>
    <w:rsid w:val="0E971CEC"/>
    <w:rsid w:val="0E9953A0"/>
    <w:rsid w:val="0EA35EB1"/>
    <w:rsid w:val="0EA3623F"/>
    <w:rsid w:val="0EA7186A"/>
    <w:rsid w:val="0EA72B92"/>
    <w:rsid w:val="0EAA1E72"/>
    <w:rsid w:val="0EAD7E75"/>
    <w:rsid w:val="0EB16A5D"/>
    <w:rsid w:val="0EB83A78"/>
    <w:rsid w:val="0EB977F0"/>
    <w:rsid w:val="0EC264DD"/>
    <w:rsid w:val="0EC56195"/>
    <w:rsid w:val="0EC71F0D"/>
    <w:rsid w:val="0EC97C3C"/>
    <w:rsid w:val="0ECB7C45"/>
    <w:rsid w:val="0ED10695"/>
    <w:rsid w:val="0EE20AF5"/>
    <w:rsid w:val="0EE71214"/>
    <w:rsid w:val="0EE7435D"/>
    <w:rsid w:val="0EF20FBD"/>
    <w:rsid w:val="0EF3685E"/>
    <w:rsid w:val="0EFC6BE3"/>
    <w:rsid w:val="0EFD592E"/>
    <w:rsid w:val="0F032819"/>
    <w:rsid w:val="0F0526A1"/>
    <w:rsid w:val="0F0C3DC3"/>
    <w:rsid w:val="0F114F36"/>
    <w:rsid w:val="0F142919"/>
    <w:rsid w:val="0F1B4006"/>
    <w:rsid w:val="0F1C245B"/>
    <w:rsid w:val="0F235324"/>
    <w:rsid w:val="0F256C33"/>
    <w:rsid w:val="0F36468A"/>
    <w:rsid w:val="0F386966"/>
    <w:rsid w:val="0F3927D6"/>
    <w:rsid w:val="0F3E028F"/>
    <w:rsid w:val="0F455900"/>
    <w:rsid w:val="0F470958"/>
    <w:rsid w:val="0F4A3109"/>
    <w:rsid w:val="0F4E1581"/>
    <w:rsid w:val="0F582B65"/>
    <w:rsid w:val="0F597A04"/>
    <w:rsid w:val="0F5A38D7"/>
    <w:rsid w:val="0F5B2655"/>
    <w:rsid w:val="0F600249"/>
    <w:rsid w:val="0F611DE9"/>
    <w:rsid w:val="0F6255B7"/>
    <w:rsid w:val="0F625791"/>
    <w:rsid w:val="0F676827"/>
    <w:rsid w:val="0F6A64B9"/>
    <w:rsid w:val="0F6E4136"/>
    <w:rsid w:val="0F76123D"/>
    <w:rsid w:val="0F82499F"/>
    <w:rsid w:val="0F8B118C"/>
    <w:rsid w:val="0F917E25"/>
    <w:rsid w:val="0F9A589C"/>
    <w:rsid w:val="0F9B7951"/>
    <w:rsid w:val="0FA609CC"/>
    <w:rsid w:val="0FAC3659"/>
    <w:rsid w:val="0FAD1102"/>
    <w:rsid w:val="0FC77ADA"/>
    <w:rsid w:val="0FD0094D"/>
    <w:rsid w:val="0FEB06D8"/>
    <w:rsid w:val="0FF26075"/>
    <w:rsid w:val="0FF44180"/>
    <w:rsid w:val="0FF7237E"/>
    <w:rsid w:val="0FF860F6"/>
    <w:rsid w:val="0FFA1E6E"/>
    <w:rsid w:val="0FFA3C1C"/>
    <w:rsid w:val="0FFC1427"/>
    <w:rsid w:val="0FFC3E38"/>
    <w:rsid w:val="10014FAA"/>
    <w:rsid w:val="10090303"/>
    <w:rsid w:val="10093E5F"/>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C1361"/>
    <w:rsid w:val="10556DBB"/>
    <w:rsid w:val="10595FBD"/>
    <w:rsid w:val="105C0433"/>
    <w:rsid w:val="105C33D3"/>
    <w:rsid w:val="105E23FD"/>
    <w:rsid w:val="1067038F"/>
    <w:rsid w:val="106F63B8"/>
    <w:rsid w:val="10711DBE"/>
    <w:rsid w:val="10817E99"/>
    <w:rsid w:val="1082023E"/>
    <w:rsid w:val="10953945"/>
    <w:rsid w:val="1096761C"/>
    <w:rsid w:val="109951E3"/>
    <w:rsid w:val="109D1177"/>
    <w:rsid w:val="109F26BD"/>
    <w:rsid w:val="10A5614F"/>
    <w:rsid w:val="10AE1D05"/>
    <w:rsid w:val="10B91E62"/>
    <w:rsid w:val="10B95885"/>
    <w:rsid w:val="10BE1BE7"/>
    <w:rsid w:val="10BF3AD4"/>
    <w:rsid w:val="10C6786D"/>
    <w:rsid w:val="10C85AC8"/>
    <w:rsid w:val="10D12BCF"/>
    <w:rsid w:val="10D31FAC"/>
    <w:rsid w:val="10DB57FB"/>
    <w:rsid w:val="10DD253A"/>
    <w:rsid w:val="10DD419A"/>
    <w:rsid w:val="10DD5A17"/>
    <w:rsid w:val="10DF0BC6"/>
    <w:rsid w:val="10E072B6"/>
    <w:rsid w:val="10E16EA2"/>
    <w:rsid w:val="10EF74F9"/>
    <w:rsid w:val="10F55143"/>
    <w:rsid w:val="10F93234"/>
    <w:rsid w:val="10FA431D"/>
    <w:rsid w:val="10FC6398"/>
    <w:rsid w:val="11003900"/>
    <w:rsid w:val="110A7E8F"/>
    <w:rsid w:val="110B7891"/>
    <w:rsid w:val="11124E2C"/>
    <w:rsid w:val="11124F95"/>
    <w:rsid w:val="111C3A3A"/>
    <w:rsid w:val="111D1A3C"/>
    <w:rsid w:val="111D7BC2"/>
    <w:rsid w:val="11287AF5"/>
    <w:rsid w:val="112D6274"/>
    <w:rsid w:val="11335637"/>
    <w:rsid w:val="113D2012"/>
    <w:rsid w:val="113E3FDC"/>
    <w:rsid w:val="113E7392"/>
    <w:rsid w:val="113F4FF3"/>
    <w:rsid w:val="11401B02"/>
    <w:rsid w:val="114C3FF6"/>
    <w:rsid w:val="114F2D0E"/>
    <w:rsid w:val="115418F7"/>
    <w:rsid w:val="11543643"/>
    <w:rsid w:val="1159185D"/>
    <w:rsid w:val="115B3BDC"/>
    <w:rsid w:val="115B4B8E"/>
    <w:rsid w:val="115E37E9"/>
    <w:rsid w:val="116D6B65"/>
    <w:rsid w:val="116F79B7"/>
    <w:rsid w:val="117143B2"/>
    <w:rsid w:val="1178642B"/>
    <w:rsid w:val="117A4716"/>
    <w:rsid w:val="11813B96"/>
    <w:rsid w:val="118449A9"/>
    <w:rsid w:val="118A31F7"/>
    <w:rsid w:val="118E1F67"/>
    <w:rsid w:val="119074D8"/>
    <w:rsid w:val="119360D6"/>
    <w:rsid w:val="1194344E"/>
    <w:rsid w:val="119B4D4D"/>
    <w:rsid w:val="11A42091"/>
    <w:rsid w:val="11AB623A"/>
    <w:rsid w:val="11AE2F10"/>
    <w:rsid w:val="11B10BD6"/>
    <w:rsid w:val="11C412E0"/>
    <w:rsid w:val="11CB13F5"/>
    <w:rsid w:val="11CC15E8"/>
    <w:rsid w:val="11D23F92"/>
    <w:rsid w:val="11D86EAE"/>
    <w:rsid w:val="11DA5AB3"/>
    <w:rsid w:val="11DC2C5C"/>
    <w:rsid w:val="11E1766F"/>
    <w:rsid w:val="11E22BBA"/>
    <w:rsid w:val="11E64B3D"/>
    <w:rsid w:val="11E74565"/>
    <w:rsid w:val="11E76422"/>
    <w:rsid w:val="11E9616D"/>
    <w:rsid w:val="11EB41F5"/>
    <w:rsid w:val="11EE77B0"/>
    <w:rsid w:val="11EF60BB"/>
    <w:rsid w:val="11F052D6"/>
    <w:rsid w:val="11F62EE9"/>
    <w:rsid w:val="11F86D77"/>
    <w:rsid w:val="12045226"/>
    <w:rsid w:val="12095A3E"/>
    <w:rsid w:val="120C0775"/>
    <w:rsid w:val="120D35E2"/>
    <w:rsid w:val="1212349F"/>
    <w:rsid w:val="121355DB"/>
    <w:rsid w:val="12210E7B"/>
    <w:rsid w:val="1226659C"/>
    <w:rsid w:val="122753E4"/>
    <w:rsid w:val="122A4C8C"/>
    <w:rsid w:val="122D0061"/>
    <w:rsid w:val="123155A1"/>
    <w:rsid w:val="123769F4"/>
    <w:rsid w:val="123C43E2"/>
    <w:rsid w:val="12463148"/>
    <w:rsid w:val="12473D7F"/>
    <w:rsid w:val="124D2729"/>
    <w:rsid w:val="124E024F"/>
    <w:rsid w:val="125062A1"/>
    <w:rsid w:val="125C38BD"/>
    <w:rsid w:val="12664815"/>
    <w:rsid w:val="126C4B0A"/>
    <w:rsid w:val="127D6304"/>
    <w:rsid w:val="128C0640"/>
    <w:rsid w:val="12960CDE"/>
    <w:rsid w:val="1299596E"/>
    <w:rsid w:val="129C6349"/>
    <w:rsid w:val="129E34BA"/>
    <w:rsid w:val="12A3059B"/>
    <w:rsid w:val="12B46304"/>
    <w:rsid w:val="12BC78AF"/>
    <w:rsid w:val="12BE3627"/>
    <w:rsid w:val="12BE7183"/>
    <w:rsid w:val="12C64289"/>
    <w:rsid w:val="12C7072D"/>
    <w:rsid w:val="12CB4732"/>
    <w:rsid w:val="12D40754"/>
    <w:rsid w:val="12D44BF8"/>
    <w:rsid w:val="12D5073B"/>
    <w:rsid w:val="12D60970"/>
    <w:rsid w:val="12D75CEB"/>
    <w:rsid w:val="12D83555"/>
    <w:rsid w:val="12DE723A"/>
    <w:rsid w:val="12DF7C4D"/>
    <w:rsid w:val="12E2233F"/>
    <w:rsid w:val="12E3308D"/>
    <w:rsid w:val="12E43DCF"/>
    <w:rsid w:val="12E62E70"/>
    <w:rsid w:val="12EC0194"/>
    <w:rsid w:val="12F02E71"/>
    <w:rsid w:val="12F40DF6"/>
    <w:rsid w:val="12F64B6E"/>
    <w:rsid w:val="12FA57FD"/>
    <w:rsid w:val="130519AD"/>
    <w:rsid w:val="130538AF"/>
    <w:rsid w:val="1307145F"/>
    <w:rsid w:val="13076E22"/>
    <w:rsid w:val="131636EF"/>
    <w:rsid w:val="1319085D"/>
    <w:rsid w:val="131B3BB9"/>
    <w:rsid w:val="13280AA0"/>
    <w:rsid w:val="132B25B1"/>
    <w:rsid w:val="133631BD"/>
    <w:rsid w:val="133B0DB6"/>
    <w:rsid w:val="133B516B"/>
    <w:rsid w:val="133E0FD8"/>
    <w:rsid w:val="13405DEA"/>
    <w:rsid w:val="13426E05"/>
    <w:rsid w:val="134372EB"/>
    <w:rsid w:val="13453400"/>
    <w:rsid w:val="134A21C3"/>
    <w:rsid w:val="134A310C"/>
    <w:rsid w:val="134E648D"/>
    <w:rsid w:val="1360648C"/>
    <w:rsid w:val="13695C36"/>
    <w:rsid w:val="136C704E"/>
    <w:rsid w:val="13710699"/>
    <w:rsid w:val="13767056"/>
    <w:rsid w:val="137D703E"/>
    <w:rsid w:val="13975FCE"/>
    <w:rsid w:val="139C03FB"/>
    <w:rsid w:val="13A1426D"/>
    <w:rsid w:val="13A35FA2"/>
    <w:rsid w:val="13B50586"/>
    <w:rsid w:val="13BE63AE"/>
    <w:rsid w:val="13C44C6D"/>
    <w:rsid w:val="13C54441"/>
    <w:rsid w:val="13C82D78"/>
    <w:rsid w:val="13C87727"/>
    <w:rsid w:val="13CA2D4E"/>
    <w:rsid w:val="13CC58CF"/>
    <w:rsid w:val="13D03611"/>
    <w:rsid w:val="13D53B45"/>
    <w:rsid w:val="13DC453C"/>
    <w:rsid w:val="13DF6E73"/>
    <w:rsid w:val="13E175CD"/>
    <w:rsid w:val="13E7095B"/>
    <w:rsid w:val="13F1593A"/>
    <w:rsid w:val="13FD3CDB"/>
    <w:rsid w:val="13FD4129"/>
    <w:rsid w:val="140339E5"/>
    <w:rsid w:val="14067033"/>
    <w:rsid w:val="14092680"/>
    <w:rsid w:val="14270D58"/>
    <w:rsid w:val="142A6E60"/>
    <w:rsid w:val="142F527C"/>
    <w:rsid w:val="14327BEE"/>
    <w:rsid w:val="1434290B"/>
    <w:rsid w:val="14357918"/>
    <w:rsid w:val="14362BD1"/>
    <w:rsid w:val="143F5FAA"/>
    <w:rsid w:val="14432035"/>
    <w:rsid w:val="144B0EEA"/>
    <w:rsid w:val="144F3ACE"/>
    <w:rsid w:val="144F703F"/>
    <w:rsid w:val="14524026"/>
    <w:rsid w:val="1454727D"/>
    <w:rsid w:val="14553B17"/>
    <w:rsid w:val="145D29CB"/>
    <w:rsid w:val="14644BBB"/>
    <w:rsid w:val="147026FF"/>
    <w:rsid w:val="1477078D"/>
    <w:rsid w:val="14777F31"/>
    <w:rsid w:val="147B7FCD"/>
    <w:rsid w:val="1480655B"/>
    <w:rsid w:val="14812B5E"/>
    <w:rsid w:val="14830684"/>
    <w:rsid w:val="14832432"/>
    <w:rsid w:val="148461AA"/>
    <w:rsid w:val="148553CE"/>
    <w:rsid w:val="14883EEC"/>
    <w:rsid w:val="148E6A4C"/>
    <w:rsid w:val="148F7029"/>
    <w:rsid w:val="1492713E"/>
    <w:rsid w:val="14952165"/>
    <w:rsid w:val="149609F7"/>
    <w:rsid w:val="14991DEC"/>
    <w:rsid w:val="149C2D25"/>
    <w:rsid w:val="149E655B"/>
    <w:rsid w:val="14A31264"/>
    <w:rsid w:val="14AA3E63"/>
    <w:rsid w:val="14AB5AF9"/>
    <w:rsid w:val="14AC7060"/>
    <w:rsid w:val="14AD74AF"/>
    <w:rsid w:val="14B03698"/>
    <w:rsid w:val="14B167FF"/>
    <w:rsid w:val="14B75363"/>
    <w:rsid w:val="14BD65D4"/>
    <w:rsid w:val="14C34F24"/>
    <w:rsid w:val="14CE3295"/>
    <w:rsid w:val="14D00C57"/>
    <w:rsid w:val="14D16651"/>
    <w:rsid w:val="14D26F15"/>
    <w:rsid w:val="14D427D3"/>
    <w:rsid w:val="14D74BF1"/>
    <w:rsid w:val="14DC5FE6"/>
    <w:rsid w:val="14E32ED1"/>
    <w:rsid w:val="14E63240"/>
    <w:rsid w:val="14EA24B1"/>
    <w:rsid w:val="14EF1875"/>
    <w:rsid w:val="14F67130"/>
    <w:rsid w:val="14FC3F92"/>
    <w:rsid w:val="14FE41AE"/>
    <w:rsid w:val="15063063"/>
    <w:rsid w:val="150712B5"/>
    <w:rsid w:val="151C1DCA"/>
    <w:rsid w:val="151E65FF"/>
    <w:rsid w:val="15227E9D"/>
    <w:rsid w:val="152655BA"/>
    <w:rsid w:val="15267BD5"/>
    <w:rsid w:val="1527568C"/>
    <w:rsid w:val="152C56B4"/>
    <w:rsid w:val="153E1664"/>
    <w:rsid w:val="15400323"/>
    <w:rsid w:val="15435C00"/>
    <w:rsid w:val="15451DDD"/>
    <w:rsid w:val="1548367B"/>
    <w:rsid w:val="155073CC"/>
    <w:rsid w:val="1552003B"/>
    <w:rsid w:val="155C16B2"/>
    <w:rsid w:val="155E4A4F"/>
    <w:rsid w:val="15602773"/>
    <w:rsid w:val="15672512"/>
    <w:rsid w:val="156E2000"/>
    <w:rsid w:val="156E30E2"/>
    <w:rsid w:val="15771CF5"/>
    <w:rsid w:val="157A747A"/>
    <w:rsid w:val="15806971"/>
    <w:rsid w:val="158346B4"/>
    <w:rsid w:val="15907FDC"/>
    <w:rsid w:val="1591146B"/>
    <w:rsid w:val="159259DB"/>
    <w:rsid w:val="15973CBB"/>
    <w:rsid w:val="15995C85"/>
    <w:rsid w:val="159B12DE"/>
    <w:rsid w:val="159D1D5D"/>
    <w:rsid w:val="159D5775"/>
    <w:rsid w:val="159E329B"/>
    <w:rsid w:val="15A02B70"/>
    <w:rsid w:val="15A12DA4"/>
    <w:rsid w:val="15A41986"/>
    <w:rsid w:val="15A5462A"/>
    <w:rsid w:val="15A72150"/>
    <w:rsid w:val="15A8150E"/>
    <w:rsid w:val="15AD04C1"/>
    <w:rsid w:val="15AE7982"/>
    <w:rsid w:val="15B33262"/>
    <w:rsid w:val="15B8290E"/>
    <w:rsid w:val="15BD4731"/>
    <w:rsid w:val="15BE749A"/>
    <w:rsid w:val="15C33CB3"/>
    <w:rsid w:val="15CC1BB7"/>
    <w:rsid w:val="15D05B4B"/>
    <w:rsid w:val="15D13671"/>
    <w:rsid w:val="15D46CBD"/>
    <w:rsid w:val="15D647EB"/>
    <w:rsid w:val="15DA1140"/>
    <w:rsid w:val="15DB268D"/>
    <w:rsid w:val="15DF44BE"/>
    <w:rsid w:val="15E47D74"/>
    <w:rsid w:val="15EE1307"/>
    <w:rsid w:val="15F317A5"/>
    <w:rsid w:val="15F630D7"/>
    <w:rsid w:val="15F86E50"/>
    <w:rsid w:val="15F967B3"/>
    <w:rsid w:val="15FB06EE"/>
    <w:rsid w:val="16003FC0"/>
    <w:rsid w:val="16007AB2"/>
    <w:rsid w:val="16011215"/>
    <w:rsid w:val="160457F4"/>
    <w:rsid w:val="16077093"/>
    <w:rsid w:val="16090D0A"/>
    <w:rsid w:val="16092E0B"/>
    <w:rsid w:val="160B2645"/>
    <w:rsid w:val="160D0296"/>
    <w:rsid w:val="16140DEE"/>
    <w:rsid w:val="16196CEE"/>
    <w:rsid w:val="1622065F"/>
    <w:rsid w:val="16227A29"/>
    <w:rsid w:val="162E6FEA"/>
    <w:rsid w:val="16306CB5"/>
    <w:rsid w:val="163634D4"/>
    <w:rsid w:val="163934C9"/>
    <w:rsid w:val="163B747F"/>
    <w:rsid w:val="163C4F8E"/>
    <w:rsid w:val="163E47A2"/>
    <w:rsid w:val="16491459"/>
    <w:rsid w:val="164B51D1"/>
    <w:rsid w:val="164C1885"/>
    <w:rsid w:val="164C2CF7"/>
    <w:rsid w:val="16504596"/>
    <w:rsid w:val="16512C66"/>
    <w:rsid w:val="16534C52"/>
    <w:rsid w:val="165A5414"/>
    <w:rsid w:val="16610EFD"/>
    <w:rsid w:val="16625746"/>
    <w:rsid w:val="1666781F"/>
    <w:rsid w:val="16783AEC"/>
    <w:rsid w:val="167B0147"/>
    <w:rsid w:val="167E2E5B"/>
    <w:rsid w:val="168C2EEF"/>
    <w:rsid w:val="168E1562"/>
    <w:rsid w:val="16970417"/>
    <w:rsid w:val="169721C5"/>
    <w:rsid w:val="169D3553"/>
    <w:rsid w:val="16A12F7D"/>
    <w:rsid w:val="16B30AE1"/>
    <w:rsid w:val="16B70AB9"/>
    <w:rsid w:val="16BA4105"/>
    <w:rsid w:val="16BD5CDA"/>
    <w:rsid w:val="16BE21D6"/>
    <w:rsid w:val="16BE69CE"/>
    <w:rsid w:val="16C9226A"/>
    <w:rsid w:val="16CA259A"/>
    <w:rsid w:val="16CE3958"/>
    <w:rsid w:val="16D03928"/>
    <w:rsid w:val="16D24FDB"/>
    <w:rsid w:val="16D41238"/>
    <w:rsid w:val="16D97DC7"/>
    <w:rsid w:val="16E3365C"/>
    <w:rsid w:val="16EC492F"/>
    <w:rsid w:val="1700420E"/>
    <w:rsid w:val="170240B9"/>
    <w:rsid w:val="17081314"/>
    <w:rsid w:val="170D2487"/>
    <w:rsid w:val="17137836"/>
    <w:rsid w:val="17141D68"/>
    <w:rsid w:val="17151105"/>
    <w:rsid w:val="171B2960"/>
    <w:rsid w:val="17211B5D"/>
    <w:rsid w:val="17256CE1"/>
    <w:rsid w:val="17285513"/>
    <w:rsid w:val="172872C1"/>
    <w:rsid w:val="172D0D7B"/>
    <w:rsid w:val="17334B1E"/>
    <w:rsid w:val="173A0E4F"/>
    <w:rsid w:val="173B5246"/>
    <w:rsid w:val="173C7B40"/>
    <w:rsid w:val="173D3E77"/>
    <w:rsid w:val="173D68BB"/>
    <w:rsid w:val="17431887"/>
    <w:rsid w:val="17481C73"/>
    <w:rsid w:val="174836DA"/>
    <w:rsid w:val="175207E1"/>
    <w:rsid w:val="17542387"/>
    <w:rsid w:val="17620A24"/>
    <w:rsid w:val="17684793"/>
    <w:rsid w:val="176A5B2B"/>
    <w:rsid w:val="176B58AB"/>
    <w:rsid w:val="176D1177"/>
    <w:rsid w:val="1771514A"/>
    <w:rsid w:val="177845C9"/>
    <w:rsid w:val="178564C1"/>
    <w:rsid w:val="1787048B"/>
    <w:rsid w:val="178D1819"/>
    <w:rsid w:val="179101DD"/>
    <w:rsid w:val="17914E66"/>
    <w:rsid w:val="17917D74"/>
    <w:rsid w:val="17950011"/>
    <w:rsid w:val="17A10E21"/>
    <w:rsid w:val="17A85737"/>
    <w:rsid w:val="17B15700"/>
    <w:rsid w:val="17B814A8"/>
    <w:rsid w:val="17B86896"/>
    <w:rsid w:val="17C24895"/>
    <w:rsid w:val="17C36FE9"/>
    <w:rsid w:val="17CA7421"/>
    <w:rsid w:val="17D631C0"/>
    <w:rsid w:val="17E170AC"/>
    <w:rsid w:val="17E20185"/>
    <w:rsid w:val="17E20250"/>
    <w:rsid w:val="17E51656"/>
    <w:rsid w:val="17E958DC"/>
    <w:rsid w:val="17F329A6"/>
    <w:rsid w:val="17F378CF"/>
    <w:rsid w:val="17FE06E4"/>
    <w:rsid w:val="18055854"/>
    <w:rsid w:val="180D4E89"/>
    <w:rsid w:val="181602D3"/>
    <w:rsid w:val="18161D69"/>
    <w:rsid w:val="181A3234"/>
    <w:rsid w:val="181C3E1E"/>
    <w:rsid w:val="18277578"/>
    <w:rsid w:val="18291542"/>
    <w:rsid w:val="182C4B26"/>
    <w:rsid w:val="182D1850"/>
    <w:rsid w:val="182F3515"/>
    <w:rsid w:val="183D4058"/>
    <w:rsid w:val="184229CE"/>
    <w:rsid w:val="184B070B"/>
    <w:rsid w:val="184C6FDF"/>
    <w:rsid w:val="18577262"/>
    <w:rsid w:val="18595216"/>
    <w:rsid w:val="186802BC"/>
    <w:rsid w:val="18684356"/>
    <w:rsid w:val="186913B9"/>
    <w:rsid w:val="186F1A5A"/>
    <w:rsid w:val="187A3B4C"/>
    <w:rsid w:val="1881137E"/>
    <w:rsid w:val="18836BCC"/>
    <w:rsid w:val="188E305B"/>
    <w:rsid w:val="189B5D97"/>
    <w:rsid w:val="18A14754"/>
    <w:rsid w:val="18AF6EC4"/>
    <w:rsid w:val="18B03A11"/>
    <w:rsid w:val="18B31A70"/>
    <w:rsid w:val="18BB355D"/>
    <w:rsid w:val="18C536A3"/>
    <w:rsid w:val="18C60A94"/>
    <w:rsid w:val="18CB084B"/>
    <w:rsid w:val="18D442CB"/>
    <w:rsid w:val="18D71DD8"/>
    <w:rsid w:val="18DB7BBC"/>
    <w:rsid w:val="18E216F1"/>
    <w:rsid w:val="18E322BF"/>
    <w:rsid w:val="18E44402"/>
    <w:rsid w:val="18E52408"/>
    <w:rsid w:val="18E77701"/>
    <w:rsid w:val="18ED431E"/>
    <w:rsid w:val="18F002B2"/>
    <w:rsid w:val="18F5116E"/>
    <w:rsid w:val="18F90F15"/>
    <w:rsid w:val="18F93E57"/>
    <w:rsid w:val="190340F9"/>
    <w:rsid w:val="1905222D"/>
    <w:rsid w:val="190568F9"/>
    <w:rsid w:val="19124F6A"/>
    <w:rsid w:val="191F585A"/>
    <w:rsid w:val="19242A1C"/>
    <w:rsid w:val="19265A82"/>
    <w:rsid w:val="192B12EA"/>
    <w:rsid w:val="192E7DCB"/>
    <w:rsid w:val="19313AE7"/>
    <w:rsid w:val="1936518C"/>
    <w:rsid w:val="193E726F"/>
    <w:rsid w:val="194175B6"/>
    <w:rsid w:val="194B54E8"/>
    <w:rsid w:val="194C2307"/>
    <w:rsid w:val="194D37D0"/>
    <w:rsid w:val="195754C6"/>
    <w:rsid w:val="19596F19"/>
    <w:rsid w:val="19597DE9"/>
    <w:rsid w:val="19610E0A"/>
    <w:rsid w:val="19662322"/>
    <w:rsid w:val="196842EC"/>
    <w:rsid w:val="197174BD"/>
    <w:rsid w:val="19720CC7"/>
    <w:rsid w:val="197607B7"/>
    <w:rsid w:val="19763826"/>
    <w:rsid w:val="197930F7"/>
    <w:rsid w:val="197D7D98"/>
    <w:rsid w:val="197E74EA"/>
    <w:rsid w:val="19831126"/>
    <w:rsid w:val="19880B1B"/>
    <w:rsid w:val="1991739F"/>
    <w:rsid w:val="199364A5"/>
    <w:rsid w:val="19AF1F1B"/>
    <w:rsid w:val="19B133AF"/>
    <w:rsid w:val="19B14345"/>
    <w:rsid w:val="19B17A0A"/>
    <w:rsid w:val="19B4308D"/>
    <w:rsid w:val="19BA156E"/>
    <w:rsid w:val="19BE6530"/>
    <w:rsid w:val="19C73E97"/>
    <w:rsid w:val="19C73F26"/>
    <w:rsid w:val="19C968E8"/>
    <w:rsid w:val="19CC0E2A"/>
    <w:rsid w:val="19D9057E"/>
    <w:rsid w:val="19DC12CF"/>
    <w:rsid w:val="19DE010A"/>
    <w:rsid w:val="19E020D4"/>
    <w:rsid w:val="19E30D3E"/>
    <w:rsid w:val="19E425C2"/>
    <w:rsid w:val="19E90135"/>
    <w:rsid w:val="19EC6CCB"/>
    <w:rsid w:val="19F077E8"/>
    <w:rsid w:val="19F46874"/>
    <w:rsid w:val="19FC33CE"/>
    <w:rsid w:val="19FC385E"/>
    <w:rsid w:val="1A014D68"/>
    <w:rsid w:val="1A02204B"/>
    <w:rsid w:val="1A051B3B"/>
    <w:rsid w:val="1A077661"/>
    <w:rsid w:val="1A122BC9"/>
    <w:rsid w:val="1A163D48"/>
    <w:rsid w:val="1A18186E"/>
    <w:rsid w:val="1A1D0C33"/>
    <w:rsid w:val="1A204BC7"/>
    <w:rsid w:val="1A2361DE"/>
    <w:rsid w:val="1A240213"/>
    <w:rsid w:val="1A277D03"/>
    <w:rsid w:val="1A2D1CA6"/>
    <w:rsid w:val="1A2E6731"/>
    <w:rsid w:val="1A3174C7"/>
    <w:rsid w:val="1A383F32"/>
    <w:rsid w:val="1A3F504D"/>
    <w:rsid w:val="1A424B3D"/>
    <w:rsid w:val="1A4334AB"/>
    <w:rsid w:val="1A4408B5"/>
    <w:rsid w:val="1A4A7EC5"/>
    <w:rsid w:val="1A4D493F"/>
    <w:rsid w:val="1A4F2DB6"/>
    <w:rsid w:val="1A564145"/>
    <w:rsid w:val="1A565BF9"/>
    <w:rsid w:val="1A5D0811"/>
    <w:rsid w:val="1A6802CD"/>
    <w:rsid w:val="1A696AC4"/>
    <w:rsid w:val="1A6A64BE"/>
    <w:rsid w:val="1A6E2201"/>
    <w:rsid w:val="1A7353E6"/>
    <w:rsid w:val="1A741638"/>
    <w:rsid w:val="1A7D3DC7"/>
    <w:rsid w:val="1A807414"/>
    <w:rsid w:val="1A8326B7"/>
    <w:rsid w:val="1A8470D5"/>
    <w:rsid w:val="1A867F89"/>
    <w:rsid w:val="1A8A0CDA"/>
    <w:rsid w:val="1A906823"/>
    <w:rsid w:val="1AA107CB"/>
    <w:rsid w:val="1AAC1D72"/>
    <w:rsid w:val="1AAD228C"/>
    <w:rsid w:val="1AB943B7"/>
    <w:rsid w:val="1ABD2611"/>
    <w:rsid w:val="1AC90407"/>
    <w:rsid w:val="1ACD08AB"/>
    <w:rsid w:val="1AD75285"/>
    <w:rsid w:val="1ADC734A"/>
    <w:rsid w:val="1AEE0ED0"/>
    <w:rsid w:val="1B0167A6"/>
    <w:rsid w:val="1B03691D"/>
    <w:rsid w:val="1B110E54"/>
    <w:rsid w:val="1B1418BE"/>
    <w:rsid w:val="1B1433F2"/>
    <w:rsid w:val="1B18370C"/>
    <w:rsid w:val="1B1F59AD"/>
    <w:rsid w:val="1B231C44"/>
    <w:rsid w:val="1B251795"/>
    <w:rsid w:val="1B261D69"/>
    <w:rsid w:val="1B2673B2"/>
    <w:rsid w:val="1B2D759B"/>
    <w:rsid w:val="1B2E6E70"/>
    <w:rsid w:val="1B327DFC"/>
    <w:rsid w:val="1B43606F"/>
    <w:rsid w:val="1B4F270F"/>
    <w:rsid w:val="1B590390"/>
    <w:rsid w:val="1B5E3125"/>
    <w:rsid w:val="1B6A60FA"/>
    <w:rsid w:val="1B6C11C8"/>
    <w:rsid w:val="1B6D0B86"/>
    <w:rsid w:val="1B707488"/>
    <w:rsid w:val="1B715935"/>
    <w:rsid w:val="1B717BA4"/>
    <w:rsid w:val="1B721A08"/>
    <w:rsid w:val="1B80591D"/>
    <w:rsid w:val="1B8126FA"/>
    <w:rsid w:val="1B8371BB"/>
    <w:rsid w:val="1B855224"/>
    <w:rsid w:val="1B8A054A"/>
    <w:rsid w:val="1B8A679C"/>
    <w:rsid w:val="1B8B6070"/>
    <w:rsid w:val="1B912A8E"/>
    <w:rsid w:val="1B930AD5"/>
    <w:rsid w:val="1B965141"/>
    <w:rsid w:val="1BA2759C"/>
    <w:rsid w:val="1BA535D6"/>
    <w:rsid w:val="1BA60433"/>
    <w:rsid w:val="1BA76296"/>
    <w:rsid w:val="1BAB226E"/>
    <w:rsid w:val="1BB11F7A"/>
    <w:rsid w:val="1BB1277E"/>
    <w:rsid w:val="1BB750B7"/>
    <w:rsid w:val="1BBA62E9"/>
    <w:rsid w:val="1BC455EE"/>
    <w:rsid w:val="1BC565DC"/>
    <w:rsid w:val="1BCD48DA"/>
    <w:rsid w:val="1BD1381D"/>
    <w:rsid w:val="1BDF3A0A"/>
    <w:rsid w:val="1BE80EF6"/>
    <w:rsid w:val="1BEF424D"/>
    <w:rsid w:val="1BF954ED"/>
    <w:rsid w:val="1BF956CF"/>
    <w:rsid w:val="1BFC2ACA"/>
    <w:rsid w:val="1BFF6B87"/>
    <w:rsid w:val="1C035D31"/>
    <w:rsid w:val="1C0E117B"/>
    <w:rsid w:val="1C100BB9"/>
    <w:rsid w:val="1C136D8A"/>
    <w:rsid w:val="1C174D14"/>
    <w:rsid w:val="1C1D316C"/>
    <w:rsid w:val="1C1D75AD"/>
    <w:rsid w:val="1C1E6BE2"/>
    <w:rsid w:val="1C2C7853"/>
    <w:rsid w:val="1C3D380E"/>
    <w:rsid w:val="1C452578"/>
    <w:rsid w:val="1C46435F"/>
    <w:rsid w:val="1C4B4B3B"/>
    <w:rsid w:val="1C58699D"/>
    <w:rsid w:val="1C5A0D28"/>
    <w:rsid w:val="1C5B5A42"/>
    <w:rsid w:val="1C5D5C5E"/>
    <w:rsid w:val="1C5E7EC4"/>
    <w:rsid w:val="1C607A2E"/>
    <w:rsid w:val="1C784104"/>
    <w:rsid w:val="1C7A05BE"/>
    <w:rsid w:val="1C7C43BA"/>
    <w:rsid w:val="1C8F1B2E"/>
    <w:rsid w:val="1C954CD6"/>
    <w:rsid w:val="1C994EC8"/>
    <w:rsid w:val="1C9A4142"/>
    <w:rsid w:val="1CA2734E"/>
    <w:rsid w:val="1CA44644"/>
    <w:rsid w:val="1CAA72F4"/>
    <w:rsid w:val="1CB4492A"/>
    <w:rsid w:val="1CBA322D"/>
    <w:rsid w:val="1CBF19D2"/>
    <w:rsid w:val="1CBF5FD1"/>
    <w:rsid w:val="1CC73DEA"/>
    <w:rsid w:val="1CC916A3"/>
    <w:rsid w:val="1CCC09D0"/>
    <w:rsid w:val="1CD6156D"/>
    <w:rsid w:val="1CE65C54"/>
    <w:rsid w:val="1CF06D47"/>
    <w:rsid w:val="1CFC0FD3"/>
    <w:rsid w:val="1D081F61"/>
    <w:rsid w:val="1D0870CF"/>
    <w:rsid w:val="1D0B7468"/>
    <w:rsid w:val="1D185F8C"/>
    <w:rsid w:val="1D19579E"/>
    <w:rsid w:val="1D19735C"/>
    <w:rsid w:val="1D1D719C"/>
    <w:rsid w:val="1D1F0D32"/>
    <w:rsid w:val="1D1F6293"/>
    <w:rsid w:val="1D206B8C"/>
    <w:rsid w:val="1D293D92"/>
    <w:rsid w:val="1D2B0222"/>
    <w:rsid w:val="1D2D5293"/>
    <w:rsid w:val="1D2F2FB7"/>
    <w:rsid w:val="1D376540"/>
    <w:rsid w:val="1D4F1A4B"/>
    <w:rsid w:val="1D5305B1"/>
    <w:rsid w:val="1D5A03F0"/>
    <w:rsid w:val="1D5B5B91"/>
    <w:rsid w:val="1D5F1562"/>
    <w:rsid w:val="1D65301C"/>
    <w:rsid w:val="1D6B462A"/>
    <w:rsid w:val="1D6F3E9B"/>
    <w:rsid w:val="1D724C59"/>
    <w:rsid w:val="1D7457D3"/>
    <w:rsid w:val="1D7517E7"/>
    <w:rsid w:val="1D790876"/>
    <w:rsid w:val="1D7B481A"/>
    <w:rsid w:val="1D813BCE"/>
    <w:rsid w:val="1D84052E"/>
    <w:rsid w:val="1D862BB4"/>
    <w:rsid w:val="1D8B05A9"/>
    <w:rsid w:val="1D8B2357"/>
    <w:rsid w:val="1D8C3B39"/>
    <w:rsid w:val="1D992CC6"/>
    <w:rsid w:val="1D9B6A3E"/>
    <w:rsid w:val="1D9E2818"/>
    <w:rsid w:val="1D9F5E03"/>
    <w:rsid w:val="1DA4146D"/>
    <w:rsid w:val="1DA51BD7"/>
    <w:rsid w:val="1DA52F17"/>
    <w:rsid w:val="1DAB29F9"/>
    <w:rsid w:val="1DB13FB4"/>
    <w:rsid w:val="1DB16262"/>
    <w:rsid w:val="1DC13FCB"/>
    <w:rsid w:val="1DC615E1"/>
    <w:rsid w:val="1DC62751"/>
    <w:rsid w:val="1DC85359"/>
    <w:rsid w:val="1DCD0BC2"/>
    <w:rsid w:val="1DCD642E"/>
    <w:rsid w:val="1DD714CA"/>
    <w:rsid w:val="1DDA6E3B"/>
    <w:rsid w:val="1DE1641B"/>
    <w:rsid w:val="1DEA52D0"/>
    <w:rsid w:val="1DEE1D7B"/>
    <w:rsid w:val="1DF0613F"/>
    <w:rsid w:val="1DF44011"/>
    <w:rsid w:val="1DF4775D"/>
    <w:rsid w:val="1DFA6CCA"/>
    <w:rsid w:val="1E0565AE"/>
    <w:rsid w:val="1E0A4DB8"/>
    <w:rsid w:val="1E0D1DFA"/>
    <w:rsid w:val="1E0F4C28"/>
    <w:rsid w:val="1E1172D3"/>
    <w:rsid w:val="1E124827"/>
    <w:rsid w:val="1E144269"/>
    <w:rsid w:val="1E1660C5"/>
    <w:rsid w:val="1E1C7453"/>
    <w:rsid w:val="1E2076B7"/>
    <w:rsid w:val="1E214A6A"/>
    <w:rsid w:val="1E285DF8"/>
    <w:rsid w:val="1E2A6054"/>
    <w:rsid w:val="1E2E3A39"/>
    <w:rsid w:val="1E305C28"/>
    <w:rsid w:val="1E3173A3"/>
    <w:rsid w:val="1E34479D"/>
    <w:rsid w:val="1E370E0A"/>
    <w:rsid w:val="1E390005"/>
    <w:rsid w:val="1E3D5D47"/>
    <w:rsid w:val="1E462B8B"/>
    <w:rsid w:val="1E470974"/>
    <w:rsid w:val="1E4B4FD8"/>
    <w:rsid w:val="1E4E34DB"/>
    <w:rsid w:val="1E564243"/>
    <w:rsid w:val="1E5F1377"/>
    <w:rsid w:val="1E6C3BCE"/>
    <w:rsid w:val="1E7767C7"/>
    <w:rsid w:val="1E797BD7"/>
    <w:rsid w:val="1E817CA6"/>
    <w:rsid w:val="1E851E17"/>
    <w:rsid w:val="1E852914"/>
    <w:rsid w:val="1E86075E"/>
    <w:rsid w:val="1E875215"/>
    <w:rsid w:val="1E9A6CF6"/>
    <w:rsid w:val="1EA00084"/>
    <w:rsid w:val="1EA93EBF"/>
    <w:rsid w:val="1EB1403F"/>
    <w:rsid w:val="1EB53569"/>
    <w:rsid w:val="1EB6330F"/>
    <w:rsid w:val="1EB678A8"/>
    <w:rsid w:val="1EB82905"/>
    <w:rsid w:val="1EB83901"/>
    <w:rsid w:val="1EC51899"/>
    <w:rsid w:val="1EC9410B"/>
    <w:rsid w:val="1ECC68ED"/>
    <w:rsid w:val="1EE1179C"/>
    <w:rsid w:val="1EE214C0"/>
    <w:rsid w:val="1EF3123C"/>
    <w:rsid w:val="1EF55B62"/>
    <w:rsid w:val="1EF65EF6"/>
    <w:rsid w:val="1F0B3750"/>
    <w:rsid w:val="1F0B7084"/>
    <w:rsid w:val="1F1702FA"/>
    <w:rsid w:val="1F1B4728"/>
    <w:rsid w:val="1F2070D4"/>
    <w:rsid w:val="1F24386A"/>
    <w:rsid w:val="1F29007A"/>
    <w:rsid w:val="1F2C5FA4"/>
    <w:rsid w:val="1F2E521C"/>
    <w:rsid w:val="1F301408"/>
    <w:rsid w:val="1F325180"/>
    <w:rsid w:val="1F360D7E"/>
    <w:rsid w:val="1F36422B"/>
    <w:rsid w:val="1F433D04"/>
    <w:rsid w:val="1F4D0EF4"/>
    <w:rsid w:val="1F552FA7"/>
    <w:rsid w:val="1F574CD6"/>
    <w:rsid w:val="1F617814"/>
    <w:rsid w:val="1F666BD8"/>
    <w:rsid w:val="1F690C77"/>
    <w:rsid w:val="1F703E42"/>
    <w:rsid w:val="1F737547"/>
    <w:rsid w:val="1F784B5D"/>
    <w:rsid w:val="1F881244"/>
    <w:rsid w:val="1F923E71"/>
    <w:rsid w:val="1F9626BE"/>
    <w:rsid w:val="1F976D27"/>
    <w:rsid w:val="1F9B218F"/>
    <w:rsid w:val="1FA00D60"/>
    <w:rsid w:val="1FA228EE"/>
    <w:rsid w:val="1FA344E3"/>
    <w:rsid w:val="1FB97650"/>
    <w:rsid w:val="1FBA5176"/>
    <w:rsid w:val="1FBC7140"/>
    <w:rsid w:val="1FBD6F82"/>
    <w:rsid w:val="1FC009DE"/>
    <w:rsid w:val="1FC102B2"/>
    <w:rsid w:val="1FC14DBD"/>
    <w:rsid w:val="1FC16504"/>
    <w:rsid w:val="1FC472A5"/>
    <w:rsid w:val="1FC758F5"/>
    <w:rsid w:val="1FCD4EA9"/>
    <w:rsid w:val="1FCD625C"/>
    <w:rsid w:val="1FCD6C57"/>
    <w:rsid w:val="1FCE5246"/>
    <w:rsid w:val="1FD004A7"/>
    <w:rsid w:val="1FD004F5"/>
    <w:rsid w:val="1FD53695"/>
    <w:rsid w:val="1FE06B4D"/>
    <w:rsid w:val="1FE83A91"/>
    <w:rsid w:val="1FED37B9"/>
    <w:rsid w:val="1FF27875"/>
    <w:rsid w:val="2012795A"/>
    <w:rsid w:val="20142AD8"/>
    <w:rsid w:val="20164539"/>
    <w:rsid w:val="201E74B3"/>
    <w:rsid w:val="202A56CE"/>
    <w:rsid w:val="20311017"/>
    <w:rsid w:val="20317AED"/>
    <w:rsid w:val="203647FC"/>
    <w:rsid w:val="203E1903"/>
    <w:rsid w:val="203E74FC"/>
    <w:rsid w:val="20445069"/>
    <w:rsid w:val="20445CF6"/>
    <w:rsid w:val="20452D6E"/>
    <w:rsid w:val="204557E3"/>
    <w:rsid w:val="20457135"/>
    <w:rsid w:val="20463307"/>
    <w:rsid w:val="204721AA"/>
    <w:rsid w:val="204A474C"/>
    <w:rsid w:val="20517888"/>
    <w:rsid w:val="20537885"/>
    <w:rsid w:val="20586F07"/>
    <w:rsid w:val="205B7CB4"/>
    <w:rsid w:val="20607ACB"/>
    <w:rsid w:val="2076401A"/>
    <w:rsid w:val="20783067"/>
    <w:rsid w:val="207B26EE"/>
    <w:rsid w:val="207B3A1F"/>
    <w:rsid w:val="2080206C"/>
    <w:rsid w:val="20814CCB"/>
    <w:rsid w:val="20825957"/>
    <w:rsid w:val="20875058"/>
    <w:rsid w:val="20897B81"/>
    <w:rsid w:val="208A0FEC"/>
    <w:rsid w:val="20905FE9"/>
    <w:rsid w:val="20930891"/>
    <w:rsid w:val="2096173F"/>
    <w:rsid w:val="209E05F3"/>
    <w:rsid w:val="209E23A2"/>
    <w:rsid w:val="20A43EB9"/>
    <w:rsid w:val="20A63400"/>
    <w:rsid w:val="20A756FA"/>
    <w:rsid w:val="20AD455D"/>
    <w:rsid w:val="20AE57E6"/>
    <w:rsid w:val="20B06AF5"/>
    <w:rsid w:val="20B87907"/>
    <w:rsid w:val="20BD2233"/>
    <w:rsid w:val="20BE3384"/>
    <w:rsid w:val="20BE3E99"/>
    <w:rsid w:val="20C067BC"/>
    <w:rsid w:val="20C11FAE"/>
    <w:rsid w:val="20C456CB"/>
    <w:rsid w:val="20C462AC"/>
    <w:rsid w:val="20D33D76"/>
    <w:rsid w:val="20DB53A4"/>
    <w:rsid w:val="20DC26D0"/>
    <w:rsid w:val="20E24984"/>
    <w:rsid w:val="20E3461D"/>
    <w:rsid w:val="20E805DE"/>
    <w:rsid w:val="20EC0B7F"/>
    <w:rsid w:val="20EE7201"/>
    <w:rsid w:val="20F027FD"/>
    <w:rsid w:val="20F33B84"/>
    <w:rsid w:val="20F6042F"/>
    <w:rsid w:val="20F84942"/>
    <w:rsid w:val="20FB5A46"/>
    <w:rsid w:val="20FC5411"/>
    <w:rsid w:val="21031E9A"/>
    <w:rsid w:val="21033044"/>
    <w:rsid w:val="21130FE1"/>
    <w:rsid w:val="2128655C"/>
    <w:rsid w:val="21366A7E"/>
    <w:rsid w:val="21376B82"/>
    <w:rsid w:val="21381B3A"/>
    <w:rsid w:val="213F00CE"/>
    <w:rsid w:val="21425423"/>
    <w:rsid w:val="21457CBE"/>
    <w:rsid w:val="2147554F"/>
    <w:rsid w:val="215F4A0D"/>
    <w:rsid w:val="21676C37"/>
    <w:rsid w:val="216B59E3"/>
    <w:rsid w:val="216F4323"/>
    <w:rsid w:val="216F733B"/>
    <w:rsid w:val="2173566C"/>
    <w:rsid w:val="21750242"/>
    <w:rsid w:val="217560B0"/>
    <w:rsid w:val="21771FE5"/>
    <w:rsid w:val="21780E44"/>
    <w:rsid w:val="217C6B87"/>
    <w:rsid w:val="2188552B"/>
    <w:rsid w:val="219332B8"/>
    <w:rsid w:val="21957558"/>
    <w:rsid w:val="219D08AB"/>
    <w:rsid w:val="21A00408"/>
    <w:rsid w:val="21B423D0"/>
    <w:rsid w:val="21B53586"/>
    <w:rsid w:val="21BB3C0D"/>
    <w:rsid w:val="21C00D8A"/>
    <w:rsid w:val="21C10A3D"/>
    <w:rsid w:val="21C127EB"/>
    <w:rsid w:val="21C34002"/>
    <w:rsid w:val="21C62615"/>
    <w:rsid w:val="21C916A0"/>
    <w:rsid w:val="21D4266A"/>
    <w:rsid w:val="21D60813"/>
    <w:rsid w:val="21D71921"/>
    <w:rsid w:val="21D90BF9"/>
    <w:rsid w:val="21DC50BF"/>
    <w:rsid w:val="21F14FC0"/>
    <w:rsid w:val="21F33EFD"/>
    <w:rsid w:val="21FC1A76"/>
    <w:rsid w:val="220A5F40"/>
    <w:rsid w:val="22146DBF"/>
    <w:rsid w:val="22155086"/>
    <w:rsid w:val="221768AF"/>
    <w:rsid w:val="221A3776"/>
    <w:rsid w:val="221B1A4E"/>
    <w:rsid w:val="222114DC"/>
    <w:rsid w:val="222A37F0"/>
    <w:rsid w:val="223823A3"/>
    <w:rsid w:val="224372CA"/>
    <w:rsid w:val="22445ECF"/>
    <w:rsid w:val="22446E05"/>
    <w:rsid w:val="225418B2"/>
    <w:rsid w:val="2261178B"/>
    <w:rsid w:val="22630B62"/>
    <w:rsid w:val="226F3030"/>
    <w:rsid w:val="22717EF7"/>
    <w:rsid w:val="227E5C9D"/>
    <w:rsid w:val="229728E0"/>
    <w:rsid w:val="229B5F30"/>
    <w:rsid w:val="22AA7723"/>
    <w:rsid w:val="22B6440B"/>
    <w:rsid w:val="22B83BEE"/>
    <w:rsid w:val="22BC3EB7"/>
    <w:rsid w:val="22BD1BBF"/>
    <w:rsid w:val="22BD45D7"/>
    <w:rsid w:val="22BE6D2B"/>
    <w:rsid w:val="22C32593"/>
    <w:rsid w:val="22C60B71"/>
    <w:rsid w:val="22CB4EC9"/>
    <w:rsid w:val="22CB58FB"/>
    <w:rsid w:val="22D05933"/>
    <w:rsid w:val="22D30A28"/>
    <w:rsid w:val="22DB5B2F"/>
    <w:rsid w:val="22E22A19"/>
    <w:rsid w:val="22E61AD1"/>
    <w:rsid w:val="22F059E5"/>
    <w:rsid w:val="22FC5261"/>
    <w:rsid w:val="22FD5350"/>
    <w:rsid w:val="23007CB8"/>
    <w:rsid w:val="2302130E"/>
    <w:rsid w:val="230706D2"/>
    <w:rsid w:val="23134E96"/>
    <w:rsid w:val="23194D81"/>
    <w:rsid w:val="231A6657"/>
    <w:rsid w:val="23362D65"/>
    <w:rsid w:val="23371BDB"/>
    <w:rsid w:val="23393A5D"/>
    <w:rsid w:val="233A6758"/>
    <w:rsid w:val="23411E36"/>
    <w:rsid w:val="234436D4"/>
    <w:rsid w:val="23486C01"/>
    <w:rsid w:val="23515DF1"/>
    <w:rsid w:val="23556570"/>
    <w:rsid w:val="235A7056"/>
    <w:rsid w:val="23616034"/>
    <w:rsid w:val="23621DAC"/>
    <w:rsid w:val="23645B24"/>
    <w:rsid w:val="23672C8A"/>
    <w:rsid w:val="236B6DD9"/>
    <w:rsid w:val="237613B4"/>
    <w:rsid w:val="237C0F3C"/>
    <w:rsid w:val="23904D06"/>
    <w:rsid w:val="23906919"/>
    <w:rsid w:val="239F6B5C"/>
    <w:rsid w:val="23A300A3"/>
    <w:rsid w:val="23A67058"/>
    <w:rsid w:val="23AE4F4C"/>
    <w:rsid w:val="23BA3EF6"/>
    <w:rsid w:val="23C640E9"/>
    <w:rsid w:val="23CC35A5"/>
    <w:rsid w:val="23D06D16"/>
    <w:rsid w:val="23D902C0"/>
    <w:rsid w:val="23D9206E"/>
    <w:rsid w:val="23DD0BFC"/>
    <w:rsid w:val="23DF2FA8"/>
    <w:rsid w:val="23E00EE5"/>
    <w:rsid w:val="23F231AE"/>
    <w:rsid w:val="23F52A31"/>
    <w:rsid w:val="23F821FE"/>
    <w:rsid w:val="23FF1D1D"/>
    <w:rsid w:val="23FF5750"/>
    <w:rsid w:val="23FF584D"/>
    <w:rsid w:val="24042E63"/>
    <w:rsid w:val="24150A21"/>
    <w:rsid w:val="24174EFF"/>
    <w:rsid w:val="2419493C"/>
    <w:rsid w:val="241C63FF"/>
    <w:rsid w:val="24266E50"/>
    <w:rsid w:val="242F2F45"/>
    <w:rsid w:val="24305BD3"/>
    <w:rsid w:val="243204A7"/>
    <w:rsid w:val="24390235"/>
    <w:rsid w:val="24391C07"/>
    <w:rsid w:val="243F083D"/>
    <w:rsid w:val="2446776E"/>
    <w:rsid w:val="2449696F"/>
    <w:rsid w:val="2450029A"/>
    <w:rsid w:val="2455334D"/>
    <w:rsid w:val="245664B3"/>
    <w:rsid w:val="24577437"/>
    <w:rsid w:val="24667903"/>
    <w:rsid w:val="24695B13"/>
    <w:rsid w:val="246A1D00"/>
    <w:rsid w:val="24772B22"/>
    <w:rsid w:val="247C0C4C"/>
    <w:rsid w:val="247E4590"/>
    <w:rsid w:val="247E5135"/>
    <w:rsid w:val="2480698E"/>
    <w:rsid w:val="2481129D"/>
    <w:rsid w:val="2485604C"/>
    <w:rsid w:val="248A0A7D"/>
    <w:rsid w:val="24967F5F"/>
    <w:rsid w:val="249D60D3"/>
    <w:rsid w:val="24A65CC9"/>
    <w:rsid w:val="24A96539"/>
    <w:rsid w:val="24B93C4E"/>
    <w:rsid w:val="24BD373E"/>
    <w:rsid w:val="24C22047"/>
    <w:rsid w:val="24C46654"/>
    <w:rsid w:val="24D9609E"/>
    <w:rsid w:val="24E3729E"/>
    <w:rsid w:val="24E862E1"/>
    <w:rsid w:val="24E9569E"/>
    <w:rsid w:val="24EE1E13"/>
    <w:rsid w:val="24F75256"/>
    <w:rsid w:val="24F904EE"/>
    <w:rsid w:val="24F9229C"/>
    <w:rsid w:val="25071B35"/>
    <w:rsid w:val="250A07C3"/>
    <w:rsid w:val="25113A8A"/>
    <w:rsid w:val="251C6A9D"/>
    <w:rsid w:val="252E0198"/>
    <w:rsid w:val="253711A7"/>
    <w:rsid w:val="253D3D04"/>
    <w:rsid w:val="254A073A"/>
    <w:rsid w:val="254B6F9C"/>
    <w:rsid w:val="25513E86"/>
    <w:rsid w:val="2559688E"/>
    <w:rsid w:val="255B2F57"/>
    <w:rsid w:val="255B6AB3"/>
    <w:rsid w:val="255D0A7D"/>
    <w:rsid w:val="255E550E"/>
    <w:rsid w:val="256162F1"/>
    <w:rsid w:val="25644CD9"/>
    <w:rsid w:val="25653D07"/>
    <w:rsid w:val="2567270B"/>
    <w:rsid w:val="25694D45"/>
    <w:rsid w:val="2570349E"/>
    <w:rsid w:val="25735BDC"/>
    <w:rsid w:val="257F27A2"/>
    <w:rsid w:val="258B55EA"/>
    <w:rsid w:val="258B7119"/>
    <w:rsid w:val="258C1362"/>
    <w:rsid w:val="2591184A"/>
    <w:rsid w:val="25951FC5"/>
    <w:rsid w:val="25A00952"/>
    <w:rsid w:val="25A4045A"/>
    <w:rsid w:val="25AD2225"/>
    <w:rsid w:val="25AD37B3"/>
    <w:rsid w:val="25AD4AD5"/>
    <w:rsid w:val="25AF7C37"/>
    <w:rsid w:val="25B20291"/>
    <w:rsid w:val="25B636AB"/>
    <w:rsid w:val="25B92D29"/>
    <w:rsid w:val="25BC5F46"/>
    <w:rsid w:val="25BD776E"/>
    <w:rsid w:val="25C26B32"/>
    <w:rsid w:val="25C603D0"/>
    <w:rsid w:val="25D626A7"/>
    <w:rsid w:val="25D710E1"/>
    <w:rsid w:val="25D92344"/>
    <w:rsid w:val="25E46AA9"/>
    <w:rsid w:val="25F0369F"/>
    <w:rsid w:val="25F03E08"/>
    <w:rsid w:val="25F653DC"/>
    <w:rsid w:val="25F70468"/>
    <w:rsid w:val="25F9324C"/>
    <w:rsid w:val="25FD7077"/>
    <w:rsid w:val="26041520"/>
    <w:rsid w:val="26043568"/>
    <w:rsid w:val="26190E48"/>
    <w:rsid w:val="26233A75"/>
    <w:rsid w:val="262477ED"/>
    <w:rsid w:val="26263565"/>
    <w:rsid w:val="262F0073"/>
    <w:rsid w:val="26307F40"/>
    <w:rsid w:val="263537A8"/>
    <w:rsid w:val="263A2B6C"/>
    <w:rsid w:val="264834DB"/>
    <w:rsid w:val="265005E2"/>
    <w:rsid w:val="26561E20"/>
    <w:rsid w:val="265754CC"/>
    <w:rsid w:val="265B5C80"/>
    <w:rsid w:val="265B5FD7"/>
    <w:rsid w:val="265C4DF4"/>
    <w:rsid w:val="265D3823"/>
    <w:rsid w:val="26600825"/>
    <w:rsid w:val="26606A77"/>
    <w:rsid w:val="26661BB3"/>
    <w:rsid w:val="2669133F"/>
    <w:rsid w:val="267416E1"/>
    <w:rsid w:val="26741FA5"/>
    <w:rsid w:val="267C5E66"/>
    <w:rsid w:val="26851904"/>
    <w:rsid w:val="268C1088"/>
    <w:rsid w:val="268E11BD"/>
    <w:rsid w:val="268F41C1"/>
    <w:rsid w:val="269A673C"/>
    <w:rsid w:val="26A050C5"/>
    <w:rsid w:val="26A90AAB"/>
    <w:rsid w:val="26AF38E8"/>
    <w:rsid w:val="26AF5308"/>
    <w:rsid w:val="26B61F36"/>
    <w:rsid w:val="26B76FA5"/>
    <w:rsid w:val="26BB44D0"/>
    <w:rsid w:val="26BE1284"/>
    <w:rsid w:val="26C12ADE"/>
    <w:rsid w:val="26C27698"/>
    <w:rsid w:val="26C74B1D"/>
    <w:rsid w:val="26C8226C"/>
    <w:rsid w:val="26C827B3"/>
    <w:rsid w:val="26CA7D26"/>
    <w:rsid w:val="26CD39E1"/>
    <w:rsid w:val="26CF1A96"/>
    <w:rsid w:val="26D42823"/>
    <w:rsid w:val="26D905D7"/>
    <w:rsid w:val="26DA02E8"/>
    <w:rsid w:val="26DE5BEE"/>
    <w:rsid w:val="26DE6A53"/>
    <w:rsid w:val="26DF76F3"/>
    <w:rsid w:val="26E038BD"/>
    <w:rsid w:val="26E26D33"/>
    <w:rsid w:val="26EA49F0"/>
    <w:rsid w:val="26EA6341"/>
    <w:rsid w:val="26F24BD3"/>
    <w:rsid w:val="26FB22FC"/>
    <w:rsid w:val="26FC437E"/>
    <w:rsid w:val="26FD42C6"/>
    <w:rsid w:val="2702368A"/>
    <w:rsid w:val="27096C04"/>
    <w:rsid w:val="270A253F"/>
    <w:rsid w:val="270E4F90"/>
    <w:rsid w:val="270E64D3"/>
    <w:rsid w:val="27121405"/>
    <w:rsid w:val="2712523F"/>
    <w:rsid w:val="27195750"/>
    <w:rsid w:val="271A7958"/>
    <w:rsid w:val="27206206"/>
    <w:rsid w:val="27263487"/>
    <w:rsid w:val="272F6449"/>
    <w:rsid w:val="273B3040"/>
    <w:rsid w:val="27475258"/>
    <w:rsid w:val="27491CE2"/>
    <w:rsid w:val="27497346"/>
    <w:rsid w:val="274C00E7"/>
    <w:rsid w:val="274E4B21"/>
    <w:rsid w:val="27526510"/>
    <w:rsid w:val="27533EE6"/>
    <w:rsid w:val="27541A0C"/>
    <w:rsid w:val="27554346"/>
    <w:rsid w:val="275E4EAC"/>
    <w:rsid w:val="27710810"/>
    <w:rsid w:val="27736336"/>
    <w:rsid w:val="277F74D6"/>
    <w:rsid w:val="27893DAB"/>
    <w:rsid w:val="278C73F8"/>
    <w:rsid w:val="27913688"/>
    <w:rsid w:val="27930DA0"/>
    <w:rsid w:val="2799071E"/>
    <w:rsid w:val="279B2B20"/>
    <w:rsid w:val="279D1605"/>
    <w:rsid w:val="279D281D"/>
    <w:rsid w:val="27A1294C"/>
    <w:rsid w:val="27BA50C6"/>
    <w:rsid w:val="27C110E8"/>
    <w:rsid w:val="27C2589A"/>
    <w:rsid w:val="27C608B1"/>
    <w:rsid w:val="27C62A56"/>
    <w:rsid w:val="27CB2BC4"/>
    <w:rsid w:val="27CB2C5E"/>
    <w:rsid w:val="27CF033D"/>
    <w:rsid w:val="27D008CD"/>
    <w:rsid w:val="27D24728"/>
    <w:rsid w:val="27D46535"/>
    <w:rsid w:val="27D74B17"/>
    <w:rsid w:val="27E748A1"/>
    <w:rsid w:val="27E84793"/>
    <w:rsid w:val="27E960B2"/>
    <w:rsid w:val="27EB3F28"/>
    <w:rsid w:val="27EB6814"/>
    <w:rsid w:val="280653FC"/>
    <w:rsid w:val="280E5870"/>
    <w:rsid w:val="28137B19"/>
    <w:rsid w:val="28146ADA"/>
    <w:rsid w:val="28150670"/>
    <w:rsid w:val="28173D98"/>
    <w:rsid w:val="281966A8"/>
    <w:rsid w:val="281B6B3C"/>
    <w:rsid w:val="281E2746"/>
    <w:rsid w:val="28250CC6"/>
    <w:rsid w:val="28251E9F"/>
    <w:rsid w:val="28285372"/>
    <w:rsid w:val="2829733C"/>
    <w:rsid w:val="283A4B96"/>
    <w:rsid w:val="284B190C"/>
    <w:rsid w:val="28520641"/>
    <w:rsid w:val="28527737"/>
    <w:rsid w:val="2854351E"/>
    <w:rsid w:val="28577A06"/>
    <w:rsid w:val="285C547F"/>
    <w:rsid w:val="285D1471"/>
    <w:rsid w:val="285E0D94"/>
    <w:rsid w:val="28606245"/>
    <w:rsid w:val="28631B9C"/>
    <w:rsid w:val="28645791"/>
    <w:rsid w:val="286D0FD7"/>
    <w:rsid w:val="28701EFA"/>
    <w:rsid w:val="287462E3"/>
    <w:rsid w:val="28810F26"/>
    <w:rsid w:val="2887059C"/>
    <w:rsid w:val="288753C6"/>
    <w:rsid w:val="28893937"/>
    <w:rsid w:val="288A5FB2"/>
    <w:rsid w:val="288B58A3"/>
    <w:rsid w:val="289851FD"/>
    <w:rsid w:val="289E0A26"/>
    <w:rsid w:val="28A0427A"/>
    <w:rsid w:val="28A138D1"/>
    <w:rsid w:val="28A32C4B"/>
    <w:rsid w:val="28A36707"/>
    <w:rsid w:val="28A71382"/>
    <w:rsid w:val="28A8200F"/>
    <w:rsid w:val="28AE7D3B"/>
    <w:rsid w:val="28AF35C6"/>
    <w:rsid w:val="28B06FF1"/>
    <w:rsid w:val="28B1024A"/>
    <w:rsid w:val="28B90FF5"/>
    <w:rsid w:val="28BA20C4"/>
    <w:rsid w:val="28BC1F5F"/>
    <w:rsid w:val="28C3509B"/>
    <w:rsid w:val="28C57065"/>
    <w:rsid w:val="28C82C67"/>
    <w:rsid w:val="28D15A0A"/>
    <w:rsid w:val="28D37A3B"/>
    <w:rsid w:val="28DC43AF"/>
    <w:rsid w:val="28DE1ED5"/>
    <w:rsid w:val="28E21187"/>
    <w:rsid w:val="28ED2118"/>
    <w:rsid w:val="28F11C08"/>
    <w:rsid w:val="28FB6B38"/>
    <w:rsid w:val="28FC7098"/>
    <w:rsid w:val="28FF42B3"/>
    <w:rsid w:val="2900507C"/>
    <w:rsid w:val="290731DA"/>
    <w:rsid w:val="290D0E0E"/>
    <w:rsid w:val="29171045"/>
    <w:rsid w:val="29173245"/>
    <w:rsid w:val="29220014"/>
    <w:rsid w:val="292B0F16"/>
    <w:rsid w:val="292B1027"/>
    <w:rsid w:val="29325D7D"/>
    <w:rsid w:val="293748C1"/>
    <w:rsid w:val="293935AF"/>
    <w:rsid w:val="293B7327"/>
    <w:rsid w:val="293E0BC6"/>
    <w:rsid w:val="295372BB"/>
    <w:rsid w:val="29580D07"/>
    <w:rsid w:val="295B1778"/>
    <w:rsid w:val="295D54F0"/>
    <w:rsid w:val="29606D8E"/>
    <w:rsid w:val="296350A7"/>
    <w:rsid w:val="29653242"/>
    <w:rsid w:val="296C5604"/>
    <w:rsid w:val="298939FC"/>
    <w:rsid w:val="298C3CA4"/>
    <w:rsid w:val="298D37D0"/>
    <w:rsid w:val="299130E9"/>
    <w:rsid w:val="29930F11"/>
    <w:rsid w:val="2994513B"/>
    <w:rsid w:val="2996455E"/>
    <w:rsid w:val="299B1B74"/>
    <w:rsid w:val="299B2660"/>
    <w:rsid w:val="299B7DC6"/>
    <w:rsid w:val="29A21154"/>
    <w:rsid w:val="29A97F8A"/>
    <w:rsid w:val="29AC5B2F"/>
    <w:rsid w:val="29AD778D"/>
    <w:rsid w:val="29B175E9"/>
    <w:rsid w:val="29B47173"/>
    <w:rsid w:val="29B87B25"/>
    <w:rsid w:val="29BB1BAC"/>
    <w:rsid w:val="29C2692C"/>
    <w:rsid w:val="29C410CB"/>
    <w:rsid w:val="29C87D11"/>
    <w:rsid w:val="29C94933"/>
    <w:rsid w:val="29D05CC2"/>
    <w:rsid w:val="29D15596"/>
    <w:rsid w:val="29D77BFD"/>
    <w:rsid w:val="29DE07BC"/>
    <w:rsid w:val="29DF7CB3"/>
    <w:rsid w:val="29E057D9"/>
    <w:rsid w:val="29E1421C"/>
    <w:rsid w:val="29E4176D"/>
    <w:rsid w:val="29E6570E"/>
    <w:rsid w:val="29E94B0F"/>
    <w:rsid w:val="29EC61E5"/>
    <w:rsid w:val="29EF5A39"/>
    <w:rsid w:val="29FD2C93"/>
    <w:rsid w:val="2A0911D4"/>
    <w:rsid w:val="2A190AFA"/>
    <w:rsid w:val="2A1F09F7"/>
    <w:rsid w:val="2A1F27A5"/>
    <w:rsid w:val="2A24600D"/>
    <w:rsid w:val="2A27165A"/>
    <w:rsid w:val="2A3049B2"/>
    <w:rsid w:val="2A331DAD"/>
    <w:rsid w:val="2A3527AE"/>
    <w:rsid w:val="2A357B24"/>
    <w:rsid w:val="2A3D6440"/>
    <w:rsid w:val="2A4B5348"/>
    <w:rsid w:val="2A4B5EB3"/>
    <w:rsid w:val="2A5F0DF4"/>
    <w:rsid w:val="2A5F5BA1"/>
    <w:rsid w:val="2A622692"/>
    <w:rsid w:val="2A6308E4"/>
    <w:rsid w:val="2A656CB8"/>
    <w:rsid w:val="2A701253"/>
    <w:rsid w:val="2A765DEA"/>
    <w:rsid w:val="2A854FC4"/>
    <w:rsid w:val="2A872FE8"/>
    <w:rsid w:val="2A9211C9"/>
    <w:rsid w:val="2A932085"/>
    <w:rsid w:val="2A9413C9"/>
    <w:rsid w:val="2A944F41"/>
    <w:rsid w:val="2A9D36CA"/>
    <w:rsid w:val="2A9E191C"/>
    <w:rsid w:val="2AA42411"/>
    <w:rsid w:val="2AB056E9"/>
    <w:rsid w:val="2AB23619"/>
    <w:rsid w:val="2AB34501"/>
    <w:rsid w:val="2AB70755"/>
    <w:rsid w:val="2ABB0C08"/>
    <w:rsid w:val="2AC1560A"/>
    <w:rsid w:val="2AC60E73"/>
    <w:rsid w:val="2ACA4E23"/>
    <w:rsid w:val="2AD16F39"/>
    <w:rsid w:val="2AD27817"/>
    <w:rsid w:val="2AD30686"/>
    <w:rsid w:val="2AD57308"/>
    <w:rsid w:val="2AD838DF"/>
    <w:rsid w:val="2ADD0128"/>
    <w:rsid w:val="2ADE60B9"/>
    <w:rsid w:val="2AEA268E"/>
    <w:rsid w:val="2AF01FA9"/>
    <w:rsid w:val="2AF07C9E"/>
    <w:rsid w:val="2AF91248"/>
    <w:rsid w:val="2AFE498C"/>
    <w:rsid w:val="2B0261C7"/>
    <w:rsid w:val="2B0A6FB1"/>
    <w:rsid w:val="2B14199B"/>
    <w:rsid w:val="2B1616C0"/>
    <w:rsid w:val="2B1C6CE5"/>
    <w:rsid w:val="2B2067D5"/>
    <w:rsid w:val="2B277B63"/>
    <w:rsid w:val="2B2C172A"/>
    <w:rsid w:val="2B2D2CA0"/>
    <w:rsid w:val="2B3109E2"/>
    <w:rsid w:val="2B3202B6"/>
    <w:rsid w:val="2B365FF8"/>
    <w:rsid w:val="2B375A80"/>
    <w:rsid w:val="2B421E23"/>
    <w:rsid w:val="2B4326B6"/>
    <w:rsid w:val="2B5618EA"/>
    <w:rsid w:val="2B59251B"/>
    <w:rsid w:val="2B5D4325"/>
    <w:rsid w:val="2B5E554F"/>
    <w:rsid w:val="2B620B9B"/>
    <w:rsid w:val="2B6A60AE"/>
    <w:rsid w:val="2B710CB1"/>
    <w:rsid w:val="2B726905"/>
    <w:rsid w:val="2B747BBA"/>
    <w:rsid w:val="2B797C70"/>
    <w:rsid w:val="2B797C93"/>
    <w:rsid w:val="2B7E34FB"/>
    <w:rsid w:val="2B801021"/>
    <w:rsid w:val="2B8A00F2"/>
    <w:rsid w:val="2B8A1EA0"/>
    <w:rsid w:val="2B8C79C6"/>
    <w:rsid w:val="2B971695"/>
    <w:rsid w:val="2B976789"/>
    <w:rsid w:val="2B977CDD"/>
    <w:rsid w:val="2B9F0531"/>
    <w:rsid w:val="2B9F27E9"/>
    <w:rsid w:val="2B9F77CC"/>
    <w:rsid w:val="2BA06437"/>
    <w:rsid w:val="2BA53B64"/>
    <w:rsid w:val="2BAE0029"/>
    <w:rsid w:val="2BAE3DE1"/>
    <w:rsid w:val="2BB12FF2"/>
    <w:rsid w:val="2BB331A5"/>
    <w:rsid w:val="2BB60EE7"/>
    <w:rsid w:val="2BB86A0D"/>
    <w:rsid w:val="2BC3094D"/>
    <w:rsid w:val="2BC73198"/>
    <w:rsid w:val="2BC929C8"/>
    <w:rsid w:val="2BD60F0D"/>
    <w:rsid w:val="2BDD46C6"/>
    <w:rsid w:val="2BDF6BED"/>
    <w:rsid w:val="2BE22220"/>
    <w:rsid w:val="2BEF61A7"/>
    <w:rsid w:val="2C064ECB"/>
    <w:rsid w:val="2C0734F1"/>
    <w:rsid w:val="2C104E0B"/>
    <w:rsid w:val="2C155C0E"/>
    <w:rsid w:val="2C1B0FB3"/>
    <w:rsid w:val="2C1F4704"/>
    <w:rsid w:val="2C230890"/>
    <w:rsid w:val="2C275E71"/>
    <w:rsid w:val="2C29790B"/>
    <w:rsid w:val="2C2C11A9"/>
    <w:rsid w:val="2C2C6236"/>
    <w:rsid w:val="2C2C7D51"/>
    <w:rsid w:val="2C31056E"/>
    <w:rsid w:val="2C33078A"/>
    <w:rsid w:val="2C387B4E"/>
    <w:rsid w:val="2C390A42"/>
    <w:rsid w:val="2C3A5674"/>
    <w:rsid w:val="2C43241E"/>
    <w:rsid w:val="2C4732BE"/>
    <w:rsid w:val="2C4A2D94"/>
    <w:rsid w:val="2C4B7881"/>
    <w:rsid w:val="2C4F17BE"/>
    <w:rsid w:val="2C5A208D"/>
    <w:rsid w:val="2C5F332D"/>
    <w:rsid w:val="2C603C73"/>
    <w:rsid w:val="2C675C97"/>
    <w:rsid w:val="2C696B54"/>
    <w:rsid w:val="2C6B1CD2"/>
    <w:rsid w:val="2C6B4044"/>
    <w:rsid w:val="2C705659"/>
    <w:rsid w:val="2C714E0E"/>
    <w:rsid w:val="2C7D2489"/>
    <w:rsid w:val="2C7E7C57"/>
    <w:rsid w:val="2C854E8D"/>
    <w:rsid w:val="2C8B2374"/>
    <w:rsid w:val="2C90116A"/>
    <w:rsid w:val="2C9A4C4D"/>
    <w:rsid w:val="2CA90A4C"/>
    <w:rsid w:val="2CB7324A"/>
    <w:rsid w:val="2CBB6EF5"/>
    <w:rsid w:val="2CBC077F"/>
    <w:rsid w:val="2CC1332A"/>
    <w:rsid w:val="2CC460EE"/>
    <w:rsid w:val="2CC55886"/>
    <w:rsid w:val="2CC94C4A"/>
    <w:rsid w:val="2CCB451E"/>
    <w:rsid w:val="2CCD4076"/>
    <w:rsid w:val="2CCF3D47"/>
    <w:rsid w:val="2CD31625"/>
    <w:rsid w:val="2CD60A6C"/>
    <w:rsid w:val="2CDB5B13"/>
    <w:rsid w:val="2CDC2BCF"/>
    <w:rsid w:val="2CDC7EC4"/>
    <w:rsid w:val="2CE13E0E"/>
    <w:rsid w:val="2CEB03C6"/>
    <w:rsid w:val="2CEF2903"/>
    <w:rsid w:val="2CF25F4F"/>
    <w:rsid w:val="2CF50BA2"/>
    <w:rsid w:val="2CF55A3F"/>
    <w:rsid w:val="2D034EA5"/>
    <w:rsid w:val="2D101229"/>
    <w:rsid w:val="2D1057CD"/>
    <w:rsid w:val="2D157E8F"/>
    <w:rsid w:val="2D2307FE"/>
    <w:rsid w:val="2D2B7629"/>
    <w:rsid w:val="2D2D2CF0"/>
    <w:rsid w:val="2D2F7EFE"/>
    <w:rsid w:val="2D307726"/>
    <w:rsid w:val="2D3E1194"/>
    <w:rsid w:val="2D464494"/>
    <w:rsid w:val="2D4D587B"/>
    <w:rsid w:val="2D525F67"/>
    <w:rsid w:val="2D5573EF"/>
    <w:rsid w:val="2D5663E5"/>
    <w:rsid w:val="2D5704A8"/>
    <w:rsid w:val="2D5B79F0"/>
    <w:rsid w:val="2D5C59D6"/>
    <w:rsid w:val="2D5E1836"/>
    <w:rsid w:val="2D6329A9"/>
    <w:rsid w:val="2D686BEE"/>
    <w:rsid w:val="2D6F75A0"/>
    <w:rsid w:val="2D727090"/>
    <w:rsid w:val="2D7746A6"/>
    <w:rsid w:val="2D775A35"/>
    <w:rsid w:val="2D7B4196"/>
    <w:rsid w:val="2D8172D3"/>
    <w:rsid w:val="2D844CF6"/>
    <w:rsid w:val="2D852054"/>
    <w:rsid w:val="2D872595"/>
    <w:rsid w:val="2D872B3B"/>
    <w:rsid w:val="2D9066E8"/>
    <w:rsid w:val="2D945E18"/>
    <w:rsid w:val="2D980FF2"/>
    <w:rsid w:val="2D9D3677"/>
    <w:rsid w:val="2DA239F0"/>
    <w:rsid w:val="2DA5143D"/>
    <w:rsid w:val="2DA52FC1"/>
    <w:rsid w:val="2DAB444D"/>
    <w:rsid w:val="2DAD00C8"/>
    <w:rsid w:val="2DB245D8"/>
    <w:rsid w:val="2DB6793F"/>
    <w:rsid w:val="2DB96B52"/>
    <w:rsid w:val="2DBB4593"/>
    <w:rsid w:val="2DC0323D"/>
    <w:rsid w:val="2DC0604D"/>
    <w:rsid w:val="2DC16C9C"/>
    <w:rsid w:val="2DC378EB"/>
    <w:rsid w:val="2DC45B3D"/>
    <w:rsid w:val="2DC515B0"/>
    <w:rsid w:val="2DC729FE"/>
    <w:rsid w:val="2DC77DCA"/>
    <w:rsid w:val="2DC82F94"/>
    <w:rsid w:val="2DCD403A"/>
    <w:rsid w:val="2DD1555D"/>
    <w:rsid w:val="2DE63220"/>
    <w:rsid w:val="2DEA387E"/>
    <w:rsid w:val="2DF552BE"/>
    <w:rsid w:val="2DFB0D3B"/>
    <w:rsid w:val="2DFB52D7"/>
    <w:rsid w:val="2DFD2DFD"/>
    <w:rsid w:val="2DFE297D"/>
    <w:rsid w:val="2E010D57"/>
    <w:rsid w:val="2E0208DD"/>
    <w:rsid w:val="2E073CE1"/>
    <w:rsid w:val="2E0A444D"/>
    <w:rsid w:val="2E0C6AD8"/>
    <w:rsid w:val="2E0E2DE1"/>
    <w:rsid w:val="2E114AFB"/>
    <w:rsid w:val="2E1344DC"/>
    <w:rsid w:val="2E20085E"/>
    <w:rsid w:val="2E234885"/>
    <w:rsid w:val="2E286A42"/>
    <w:rsid w:val="2E426A62"/>
    <w:rsid w:val="2E472DE0"/>
    <w:rsid w:val="2E4E18AB"/>
    <w:rsid w:val="2E5311BD"/>
    <w:rsid w:val="2E55192F"/>
    <w:rsid w:val="2E5549E7"/>
    <w:rsid w:val="2E596761"/>
    <w:rsid w:val="2E5A3DAC"/>
    <w:rsid w:val="2E6021BF"/>
    <w:rsid w:val="2E607A11"/>
    <w:rsid w:val="2E69625B"/>
    <w:rsid w:val="2E7133BC"/>
    <w:rsid w:val="2E7C01C6"/>
    <w:rsid w:val="2E7D18A1"/>
    <w:rsid w:val="2E7E255B"/>
    <w:rsid w:val="2E7F3812"/>
    <w:rsid w:val="2E8B0409"/>
    <w:rsid w:val="2E8F628E"/>
    <w:rsid w:val="2E903C71"/>
    <w:rsid w:val="2E9077CD"/>
    <w:rsid w:val="2E9640D5"/>
    <w:rsid w:val="2E9E2638"/>
    <w:rsid w:val="2EA446A8"/>
    <w:rsid w:val="2EA5166E"/>
    <w:rsid w:val="2EB01C1E"/>
    <w:rsid w:val="2EB450E2"/>
    <w:rsid w:val="2EB46A04"/>
    <w:rsid w:val="2EB711FE"/>
    <w:rsid w:val="2ECD362D"/>
    <w:rsid w:val="2ECD7EAC"/>
    <w:rsid w:val="2ECE479A"/>
    <w:rsid w:val="2ECF4A15"/>
    <w:rsid w:val="2ED90510"/>
    <w:rsid w:val="2EE20771"/>
    <w:rsid w:val="2EE962FC"/>
    <w:rsid w:val="2EEC01FD"/>
    <w:rsid w:val="2EED0359"/>
    <w:rsid w:val="2EEE6D80"/>
    <w:rsid w:val="2EF22236"/>
    <w:rsid w:val="2EF37D5C"/>
    <w:rsid w:val="2EFC4E63"/>
    <w:rsid w:val="2F014B01"/>
    <w:rsid w:val="2F0247C0"/>
    <w:rsid w:val="2F042DC6"/>
    <w:rsid w:val="2F0A1F46"/>
    <w:rsid w:val="2F0B32F8"/>
    <w:rsid w:val="2F0C63BC"/>
    <w:rsid w:val="2F141D40"/>
    <w:rsid w:val="2F191A56"/>
    <w:rsid w:val="2F1C3757"/>
    <w:rsid w:val="2F21503B"/>
    <w:rsid w:val="2F257C3B"/>
    <w:rsid w:val="2F2A7C22"/>
    <w:rsid w:val="2F363DB4"/>
    <w:rsid w:val="2F3960B7"/>
    <w:rsid w:val="2F4231B5"/>
    <w:rsid w:val="2F446CE9"/>
    <w:rsid w:val="2F516105"/>
    <w:rsid w:val="2F533148"/>
    <w:rsid w:val="2F671275"/>
    <w:rsid w:val="2F6A03D2"/>
    <w:rsid w:val="2F723377"/>
    <w:rsid w:val="2F776BDF"/>
    <w:rsid w:val="2F787D25"/>
    <w:rsid w:val="2F7D09D9"/>
    <w:rsid w:val="2F7F10B0"/>
    <w:rsid w:val="2F80278D"/>
    <w:rsid w:val="2F8A246F"/>
    <w:rsid w:val="2F9257C7"/>
    <w:rsid w:val="2F9316C0"/>
    <w:rsid w:val="2F962126"/>
    <w:rsid w:val="2F9966D9"/>
    <w:rsid w:val="2F9E1DDD"/>
    <w:rsid w:val="2FA26362"/>
    <w:rsid w:val="2FA960BA"/>
    <w:rsid w:val="2FB62D97"/>
    <w:rsid w:val="2FBA48F0"/>
    <w:rsid w:val="2FC10CAA"/>
    <w:rsid w:val="2FC242FE"/>
    <w:rsid w:val="2FD054DB"/>
    <w:rsid w:val="2FD271D9"/>
    <w:rsid w:val="2FD42EE9"/>
    <w:rsid w:val="2FD70E26"/>
    <w:rsid w:val="2FD808A9"/>
    <w:rsid w:val="2FDF3281"/>
    <w:rsid w:val="2FDF6FE0"/>
    <w:rsid w:val="2FE35D5C"/>
    <w:rsid w:val="2FE37DD1"/>
    <w:rsid w:val="2FF41FDE"/>
    <w:rsid w:val="2FF81E0E"/>
    <w:rsid w:val="2FFB2DCC"/>
    <w:rsid w:val="2FFD65A9"/>
    <w:rsid w:val="2FFD70E5"/>
    <w:rsid w:val="30055F99"/>
    <w:rsid w:val="300C7F94"/>
    <w:rsid w:val="300E12F2"/>
    <w:rsid w:val="30134AEC"/>
    <w:rsid w:val="3015575C"/>
    <w:rsid w:val="301B6D6D"/>
    <w:rsid w:val="301C6CAC"/>
    <w:rsid w:val="302851CF"/>
    <w:rsid w:val="30314FE0"/>
    <w:rsid w:val="30316D8E"/>
    <w:rsid w:val="30335D48"/>
    <w:rsid w:val="30336FAA"/>
    <w:rsid w:val="303650C3"/>
    <w:rsid w:val="30367A6B"/>
    <w:rsid w:val="303A5707"/>
    <w:rsid w:val="303C0898"/>
    <w:rsid w:val="304765B2"/>
    <w:rsid w:val="304F5466"/>
    <w:rsid w:val="30504D60"/>
    <w:rsid w:val="305553AF"/>
    <w:rsid w:val="30614AF7"/>
    <w:rsid w:val="30662EDC"/>
    <w:rsid w:val="30670A02"/>
    <w:rsid w:val="306F78E5"/>
    <w:rsid w:val="307153DD"/>
    <w:rsid w:val="307C003B"/>
    <w:rsid w:val="307F5D4C"/>
    <w:rsid w:val="308772AD"/>
    <w:rsid w:val="30883269"/>
    <w:rsid w:val="30991074"/>
    <w:rsid w:val="309F1356"/>
    <w:rsid w:val="30C23E8A"/>
    <w:rsid w:val="30C9346B"/>
    <w:rsid w:val="30C95219"/>
    <w:rsid w:val="30CA4E30"/>
    <w:rsid w:val="30CB2D3F"/>
    <w:rsid w:val="30CC5C22"/>
    <w:rsid w:val="30CC6AB7"/>
    <w:rsid w:val="30CC6F7E"/>
    <w:rsid w:val="30CE4081"/>
    <w:rsid w:val="30D23F36"/>
    <w:rsid w:val="30D75B88"/>
    <w:rsid w:val="30DD197C"/>
    <w:rsid w:val="30DD6F16"/>
    <w:rsid w:val="30EA3B29"/>
    <w:rsid w:val="30EC0F07"/>
    <w:rsid w:val="30EE2ED1"/>
    <w:rsid w:val="30EE3F00"/>
    <w:rsid w:val="30EF1D20"/>
    <w:rsid w:val="30F767E2"/>
    <w:rsid w:val="30F779FC"/>
    <w:rsid w:val="30FA12BF"/>
    <w:rsid w:val="30FF0771"/>
    <w:rsid w:val="31210BB1"/>
    <w:rsid w:val="312E5247"/>
    <w:rsid w:val="3134032E"/>
    <w:rsid w:val="31363E4E"/>
    <w:rsid w:val="3138414C"/>
    <w:rsid w:val="313A6116"/>
    <w:rsid w:val="313B179E"/>
    <w:rsid w:val="3146148F"/>
    <w:rsid w:val="314A7BDF"/>
    <w:rsid w:val="314D409C"/>
    <w:rsid w:val="314F750B"/>
    <w:rsid w:val="315159AC"/>
    <w:rsid w:val="3153463F"/>
    <w:rsid w:val="31540F86"/>
    <w:rsid w:val="31566970"/>
    <w:rsid w:val="31580624"/>
    <w:rsid w:val="315B5C24"/>
    <w:rsid w:val="315E7B1E"/>
    <w:rsid w:val="316867E0"/>
    <w:rsid w:val="31731494"/>
    <w:rsid w:val="317D7EBB"/>
    <w:rsid w:val="317F6A68"/>
    <w:rsid w:val="31876369"/>
    <w:rsid w:val="318D450C"/>
    <w:rsid w:val="31903F88"/>
    <w:rsid w:val="319C613C"/>
    <w:rsid w:val="319F0024"/>
    <w:rsid w:val="31A812D2"/>
    <w:rsid w:val="31AB2DAB"/>
    <w:rsid w:val="31B048DD"/>
    <w:rsid w:val="31B25476"/>
    <w:rsid w:val="31B71515"/>
    <w:rsid w:val="31B959C7"/>
    <w:rsid w:val="31BD550A"/>
    <w:rsid w:val="31C3435E"/>
    <w:rsid w:val="31CC3212"/>
    <w:rsid w:val="31CE7274"/>
    <w:rsid w:val="31CF465E"/>
    <w:rsid w:val="31D2634F"/>
    <w:rsid w:val="31D40319"/>
    <w:rsid w:val="31D65860"/>
    <w:rsid w:val="31DF2946"/>
    <w:rsid w:val="31E77E49"/>
    <w:rsid w:val="31E80CC4"/>
    <w:rsid w:val="31ED3189"/>
    <w:rsid w:val="31EE10DC"/>
    <w:rsid w:val="31F27808"/>
    <w:rsid w:val="31F724B8"/>
    <w:rsid w:val="31F81AD3"/>
    <w:rsid w:val="32056724"/>
    <w:rsid w:val="32110C25"/>
    <w:rsid w:val="321142D8"/>
    <w:rsid w:val="321150C9"/>
    <w:rsid w:val="321B644E"/>
    <w:rsid w:val="321F2AA8"/>
    <w:rsid w:val="3221513D"/>
    <w:rsid w:val="32315DC4"/>
    <w:rsid w:val="32317484"/>
    <w:rsid w:val="32351DB0"/>
    <w:rsid w:val="323647E0"/>
    <w:rsid w:val="323808A8"/>
    <w:rsid w:val="32431AD0"/>
    <w:rsid w:val="324E1E79"/>
    <w:rsid w:val="32530340"/>
    <w:rsid w:val="325A3421"/>
    <w:rsid w:val="32602287"/>
    <w:rsid w:val="32607DFF"/>
    <w:rsid w:val="326501D5"/>
    <w:rsid w:val="326571C3"/>
    <w:rsid w:val="326E03CD"/>
    <w:rsid w:val="32716E51"/>
    <w:rsid w:val="32737B32"/>
    <w:rsid w:val="32793FAC"/>
    <w:rsid w:val="327A71D0"/>
    <w:rsid w:val="327F0285"/>
    <w:rsid w:val="3282040F"/>
    <w:rsid w:val="3282531E"/>
    <w:rsid w:val="328E2CF1"/>
    <w:rsid w:val="32977498"/>
    <w:rsid w:val="329B2BE5"/>
    <w:rsid w:val="32A11B7A"/>
    <w:rsid w:val="32A440C8"/>
    <w:rsid w:val="32A51FD4"/>
    <w:rsid w:val="32A55B5B"/>
    <w:rsid w:val="32AB22E8"/>
    <w:rsid w:val="32AE46C6"/>
    <w:rsid w:val="32B04DB2"/>
    <w:rsid w:val="32BA306B"/>
    <w:rsid w:val="32C569FF"/>
    <w:rsid w:val="32C71C2C"/>
    <w:rsid w:val="32CD3487"/>
    <w:rsid w:val="32CE4D68"/>
    <w:rsid w:val="32CF2B72"/>
    <w:rsid w:val="32D03638"/>
    <w:rsid w:val="32D50524"/>
    <w:rsid w:val="32E12CEE"/>
    <w:rsid w:val="32E27D3C"/>
    <w:rsid w:val="32E43B44"/>
    <w:rsid w:val="32E53A10"/>
    <w:rsid w:val="32EC5A11"/>
    <w:rsid w:val="32F00761"/>
    <w:rsid w:val="32F50547"/>
    <w:rsid w:val="32FA3431"/>
    <w:rsid w:val="32FC48DF"/>
    <w:rsid w:val="3304078A"/>
    <w:rsid w:val="3306616E"/>
    <w:rsid w:val="330662B0"/>
    <w:rsid w:val="330C6B05"/>
    <w:rsid w:val="3317027C"/>
    <w:rsid w:val="331D35FA"/>
    <w:rsid w:val="33224751"/>
    <w:rsid w:val="332350B4"/>
    <w:rsid w:val="33260700"/>
    <w:rsid w:val="333472C1"/>
    <w:rsid w:val="333A389D"/>
    <w:rsid w:val="33465F75"/>
    <w:rsid w:val="33545A64"/>
    <w:rsid w:val="336F3663"/>
    <w:rsid w:val="33716328"/>
    <w:rsid w:val="337554A3"/>
    <w:rsid w:val="337B0E24"/>
    <w:rsid w:val="33833CFC"/>
    <w:rsid w:val="338401D6"/>
    <w:rsid w:val="338C030E"/>
    <w:rsid w:val="3392223A"/>
    <w:rsid w:val="33925D96"/>
    <w:rsid w:val="33945727"/>
    <w:rsid w:val="33953AD8"/>
    <w:rsid w:val="33957634"/>
    <w:rsid w:val="33997107"/>
    <w:rsid w:val="33A45AC9"/>
    <w:rsid w:val="33A51F6D"/>
    <w:rsid w:val="33AA1331"/>
    <w:rsid w:val="33B053AF"/>
    <w:rsid w:val="33B43F5E"/>
    <w:rsid w:val="33B7681F"/>
    <w:rsid w:val="33C0222F"/>
    <w:rsid w:val="33C61EE3"/>
    <w:rsid w:val="33CA4D76"/>
    <w:rsid w:val="33CB74FA"/>
    <w:rsid w:val="33CF1C6D"/>
    <w:rsid w:val="33CF5015"/>
    <w:rsid w:val="33D041B0"/>
    <w:rsid w:val="33D34C0B"/>
    <w:rsid w:val="33D47F14"/>
    <w:rsid w:val="33D62126"/>
    <w:rsid w:val="33E011C1"/>
    <w:rsid w:val="33E0347F"/>
    <w:rsid w:val="33E0369F"/>
    <w:rsid w:val="33E16D1D"/>
    <w:rsid w:val="33EC25DA"/>
    <w:rsid w:val="33F465B4"/>
    <w:rsid w:val="33F74B02"/>
    <w:rsid w:val="33F95E15"/>
    <w:rsid w:val="34091EBE"/>
    <w:rsid w:val="34094833"/>
    <w:rsid w:val="34162F23"/>
    <w:rsid w:val="34180723"/>
    <w:rsid w:val="341A5D77"/>
    <w:rsid w:val="34210CAE"/>
    <w:rsid w:val="342A3A21"/>
    <w:rsid w:val="342B1D46"/>
    <w:rsid w:val="342D3D10"/>
    <w:rsid w:val="34367069"/>
    <w:rsid w:val="343B4069"/>
    <w:rsid w:val="344008D1"/>
    <w:rsid w:val="344572AC"/>
    <w:rsid w:val="34495444"/>
    <w:rsid w:val="345E1E65"/>
    <w:rsid w:val="345F6CD7"/>
    <w:rsid w:val="34615BAE"/>
    <w:rsid w:val="34637732"/>
    <w:rsid w:val="3465632F"/>
    <w:rsid w:val="347436ED"/>
    <w:rsid w:val="3477398A"/>
    <w:rsid w:val="348002E4"/>
    <w:rsid w:val="34802708"/>
    <w:rsid w:val="3482348D"/>
    <w:rsid w:val="34847DD4"/>
    <w:rsid w:val="3485461B"/>
    <w:rsid w:val="34925255"/>
    <w:rsid w:val="34930DA5"/>
    <w:rsid w:val="349721D9"/>
    <w:rsid w:val="349D69F2"/>
    <w:rsid w:val="34AA710F"/>
    <w:rsid w:val="34AD5CE7"/>
    <w:rsid w:val="34AE1BA1"/>
    <w:rsid w:val="34BE489F"/>
    <w:rsid w:val="34C401D1"/>
    <w:rsid w:val="34C5219B"/>
    <w:rsid w:val="34CA77B1"/>
    <w:rsid w:val="34D10B40"/>
    <w:rsid w:val="34D52F4E"/>
    <w:rsid w:val="34D643A8"/>
    <w:rsid w:val="34D661A3"/>
    <w:rsid w:val="34D7676C"/>
    <w:rsid w:val="34D81ECE"/>
    <w:rsid w:val="34D92754"/>
    <w:rsid w:val="34DC728E"/>
    <w:rsid w:val="34E35B13"/>
    <w:rsid w:val="34EB02C5"/>
    <w:rsid w:val="34EB2CDD"/>
    <w:rsid w:val="34EB7302"/>
    <w:rsid w:val="34EC2EB9"/>
    <w:rsid w:val="34EE524E"/>
    <w:rsid w:val="34EE74E4"/>
    <w:rsid w:val="35002E80"/>
    <w:rsid w:val="3504664D"/>
    <w:rsid w:val="350F40EB"/>
    <w:rsid w:val="35156C7E"/>
    <w:rsid w:val="351849C1"/>
    <w:rsid w:val="351E091F"/>
    <w:rsid w:val="351F0FAC"/>
    <w:rsid w:val="35210197"/>
    <w:rsid w:val="35285CBC"/>
    <w:rsid w:val="352A4256"/>
    <w:rsid w:val="353A75A4"/>
    <w:rsid w:val="353D61D5"/>
    <w:rsid w:val="3542559A"/>
    <w:rsid w:val="35431424"/>
    <w:rsid w:val="35474AB0"/>
    <w:rsid w:val="3547515D"/>
    <w:rsid w:val="35480CF6"/>
    <w:rsid w:val="354E3E1E"/>
    <w:rsid w:val="355D069A"/>
    <w:rsid w:val="35646B82"/>
    <w:rsid w:val="35690D78"/>
    <w:rsid w:val="356B50D9"/>
    <w:rsid w:val="356C58AD"/>
    <w:rsid w:val="357065AB"/>
    <w:rsid w:val="35774AB9"/>
    <w:rsid w:val="357E2A76"/>
    <w:rsid w:val="358335C2"/>
    <w:rsid w:val="3585521E"/>
    <w:rsid w:val="3587366D"/>
    <w:rsid w:val="35942E06"/>
    <w:rsid w:val="359F29EC"/>
    <w:rsid w:val="35A16F73"/>
    <w:rsid w:val="35A3641B"/>
    <w:rsid w:val="35A41DB0"/>
    <w:rsid w:val="35A46254"/>
    <w:rsid w:val="35A470AE"/>
    <w:rsid w:val="35A63D7A"/>
    <w:rsid w:val="35B277CF"/>
    <w:rsid w:val="35B33B03"/>
    <w:rsid w:val="35BA5E1A"/>
    <w:rsid w:val="35C366DA"/>
    <w:rsid w:val="35C84690"/>
    <w:rsid w:val="35CA7988"/>
    <w:rsid w:val="35DF15F3"/>
    <w:rsid w:val="35E14DB3"/>
    <w:rsid w:val="35E47D46"/>
    <w:rsid w:val="35EA097B"/>
    <w:rsid w:val="35ED6B48"/>
    <w:rsid w:val="35F45E8B"/>
    <w:rsid w:val="35FB5B03"/>
    <w:rsid w:val="361707D4"/>
    <w:rsid w:val="36174C78"/>
    <w:rsid w:val="36217738"/>
    <w:rsid w:val="36241293"/>
    <w:rsid w:val="36257395"/>
    <w:rsid w:val="362A675A"/>
    <w:rsid w:val="362C0972"/>
    <w:rsid w:val="36411F77"/>
    <w:rsid w:val="3655540E"/>
    <w:rsid w:val="36583083"/>
    <w:rsid w:val="365A33B7"/>
    <w:rsid w:val="366830F8"/>
    <w:rsid w:val="366C4167"/>
    <w:rsid w:val="366D23E9"/>
    <w:rsid w:val="366E276C"/>
    <w:rsid w:val="36703A01"/>
    <w:rsid w:val="36755FDE"/>
    <w:rsid w:val="368049F0"/>
    <w:rsid w:val="36832A4B"/>
    <w:rsid w:val="368340BC"/>
    <w:rsid w:val="36851BE2"/>
    <w:rsid w:val="36881445"/>
    <w:rsid w:val="368A292D"/>
    <w:rsid w:val="368A594B"/>
    <w:rsid w:val="368A71F8"/>
    <w:rsid w:val="368C1783"/>
    <w:rsid w:val="368F7238"/>
    <w:rsid w:val="36932551"/>
    <w:rsid w:val="36940077"/>
    <w:rsid w:val="369D33CF"/>
    <w:rsid w:val="36A302BA"/>
    <w:rsid w:val="36AA4451"/>
    <w:rsid w:val="36B008D8"/>
    <w:rsid w:val="36B10C29"/>
    <w:rsid w:val="36B7627B"/>
    <w:rsid w:val="36B83D65"/>
    <w:rsid w:val="36BB1AA7"/>
    <w:rsid w:val="36BC2851"/>
    <w:rsid w:val="36C95F72"/>
    <w:rsid w:val="36CE17DB"/>
    <w:rsid w:val="36D7150B"/>
    <w:rsid w:val="36D96DD9"/>
    <w:rsid w:val="36E66C40"/>
    <w:rsid w:val="36EC3A0F"/>
    <w:rsid w:val="36EE608B"/>
    <w:rsid w:val="36F10990"/>
    <w:rsid w:val="37030298"/>
    <w:rsid w:val="37051811"/>
    <w:rsid w:val="370D26A3"/>
    <w:rsid w:val="37201095"/>
    <w:rsid w:val="372235BD"/>
    <w:rsid w:val="37227431"/>
    <w:rsid w:val="37252C7D"/>
    <w:rsid w:val="373309DC"/>
    <w:rsid w:val="3736112E"/>
    <w:rsid w:val="373C4996"/>
    <w:rsid w:val="374C2271"/>
    <w:rsid w:val="374D654E"/>
    <w:rsid w:val="37503F9E"/>
    <w:rsid w:val="37520247"/>
    <w:rsid w:val="37557806"/>
    <w:rsid w:val="375665FE"/>
    <w:rsid w:val="375F4832"/>
    <w:rsid w:val="376215F9"/>
    <w:rsid w:val="376C68FE"/>
    <w:rsid w:val="376E08C8"/>
    <w:rsid w:val="376E70A4"/>
    <w:rsid w:val="37712166"/>
    <w:rsid w:val="377256DA"/>
    <w:rsid w:val="37753A04"/>
    <w:rsid w:val="377719EF"/>
    <w:rsid w:val="377C1237"/>
    <w:rsid w:val="37840143"/>
    <w:rsid w:val="378679C0"/>
    <w:rsid w:val="37885B03"/>
    <w:rsid w:val="37887BDC"/>
    <w:rsid w:val="37895702"/>
    <w:rsid w:val="379638F1"/>
    <w:rsid w:val="37985945"/>
    <w:rsid w:val="379A16BD"/>
    <w:rsid w:val="37A3555E"/>
    <w:rsid w:val="37A42346"/>
    <w:rsid w:val="37A434A3"/>
    <w:rsid w:val="37A920BC"/>
    <w:rsid w:val="37A92CD9"/>
    <w:rsid w:val="37AC7AD3"/>
    <w:rsid w:val="37B01116"/>
    <w:rsid w:val="37B073B9"/>
    <w:rsid w:val="37B63DE0"/>
    <w:rsid w:val="37C4498C"/>
    <w:rsid w:val="37C5495D"/>
    <w:rsid w:val="37D24F7E"/>
    <w:rsid w:val="37DF02D1"/>
    <w:rsid w:val="37E341DA"/>
    <w:rsid w:val="37E40DBB"/>
    <w:rsid w:val="37EA0060"/>
    <w:rsid w:val="37EA43F2"/>
    <w:rsid w:val="37EC5F7B"/>
    <w:rsid w:val="37ED6FC5"/>
    <w:rsid w:val="37F0694A"/>
    <w:rsid w:val="37F14165"/>
    <w:rsid w:val="37F6004B"/>
    <w:rsid w:val="37FE1C4C"/>
    <w:rsid w:val="380600E0"/>
    <w:rsid w:val="3806412E"/>
    <w:rsid w:val="380C7EA0"/>
    <w:rsid w:val="381257AF"/>
    <w:rsid w:val="381450F7"/>
    <w:rsid w:val="3824244F"/>
    <w:rsid w:val="38276324"/>
    <w:rsid w:val="382947EF"/>
    <w:rsid w:val="3837600C"/>
    <w:rsid w:val="383A69FC"/>
    <w:rsid w:val="38433B03"/>
    <w:rsid w:val="38441E4A"/>
    <w:rsid w:val="384927A0"/>
    <w:rsid w:val="38581D94"/>
    <w:rsid w:val="38635F53"/>
    <w:rsid w:val="386C12AB"/>
    <w:rsid w:val="38703520"/>
    <w:rsid w:val="387442BD"/>
    <w:rsid w:val="387A5AF6"/>
    <w:rsid w:val="387A74C6"/>
    <w:rsid w:val="387E2D8D"/>
    <w:rsid w:val="387E4B3B"/>
    <w:rsid w:val="38824FEC"/>
    <w:rsid w:val="388365F5"/>
    <w:rsid w:val="38883C0B"/>
    <w:rsid w:val="388C7258"/>
    <w:rsid w:val="38926E88"/>
    <w:rsid w:val="389B74EC"/>
    <w:rsid w:val="389E342F"/>
    <w:rsid w:val="38A2163C"/>
    <w:rsid w:val="38A24CCD"/>
    <w:rsid w:val="38B10CD7"/>
    <w:rsid w:val="38B371E2"/>
    <w:rsid w:val="38BC484B"/>
    <w:rsid w:val="38BF1A11"/>
    <w:rsid w:val="38C00933"/>
    <w:rsid w:val="38C01848"/>
    <w:rsid w:val="38C06F01"/>
    <w:rsid w:val="38C21810"/>
    <w:rsid w:val="38D806EF"/>
    <w:rsid w:val="38D8647F"/>
    <w:rsid w:val="38DD7AB3"/>
    <w:rsid w:val="38E758FC"/>
    <w:rsid w:val="38EC3747"/>
    <w:rsid w:val="38ED6A84"/>
    <w:rsid w:val="38F51C6A"/>
    <w:rsid w:val="38F8482E"/>
    <w:rsid w:val="38FE486E"/>
    <w:rsid w:val="390037A2"/>
    <w:rsid w:val="390115DC"/>
    <w:rsid w:val="39111C5F"/>
    <w:rsid w:val="39142431"/>
    <w:rsid w:val="39186D3D"/>
    <w:rsid w:val="39204A69"/>
    <w:rsid w:val="39227BBC"/>
    <w:rsid w:val="392C7748"/>
    <w:rsid w:val="39317DFF"/>
    <w:rsid w:val="39391637"/>
    <w:rsid w:val="393A1311"/>
    <w:rsid w:val="393A67E2"/>
    <w:rsid w:val="393C6ED0"/>
    <w:rsid w:val="39486A70"/>
    <w:rsid w:val="394B5125"/>
    <w:rsid w:val="39535396"/>
    <w:rsid w:val="39535FC7"/>
    <w:rsid w:val="3961677A"/>
    <w:rsid w:val="39640917"/>
    <w:rsid w:val="396513C2"/>
    <w:rsid w:val="39651C68"/>
    <w:rsid w:val="396C0E37"/>
    <w:rsid w:val="396C6F56"/>
    <w:rsid w:val="39730417"/>
    <w:rsid w:val="397F3DCC"/>
    <w:rsid w:val="397F500E"/>
    <w:rsid w:val="398828FC"/>
    <w:rsid w:val="39985DC1"/>
    <w:rsid w:val="399860D0"/>
    <w:rsid w:val="399E7355"/>
    <w:rsid w:val="39B12CEE"/>
    <w:rsid w:val="39B13948"/>
    <w:rsid w:val="39BA4298"/>
    <w:rsid w:val="39BD24A1"/>
    <w:rsid w:val="39C42A21"/>
    <w:rsid w:val="39C84BD3"/>
    <w:rsid w:val="39CD7B28"/>
    <w:rsid w:val="39D23088"/>
    <w:rsid w:val="39D23C11"/>
    <w:rsid w:val="39D63BC2"/>
    <w:rsid w:val="39E45F74"/>
    <w:rsid w:val="39E7260B"/>
    <w:rsid w:val="39E92488"/>
    <w:rsid w:val="39EC3D26"/>
    <w:rsid w:val="39ED1F78"/>
    <w:rsid w:val="39EE2B9C"/>
    <w:rsid w:val="39F03816"/>
    <w:rsid w:val="39F24786"/>
    <w:rsid w:val="39FB20BC"/>
    <w:rsid w:val="39FD5F33"/>
    <w:rsid w:val="3A0215EB"/>
    <w:rsid w:val="3A0B4AF4"/>
    <w:rsid w:val="3A0D1341"/>
    <w:rsid w:val="3A123E0C"/>
    <w:rsid w:val="3A125A15"/>
    <w:rsid w:val="3A1616A4"/>
    <w:rsid w:val="3A18282A"/>
    <w:rsid w:val="3A18646D"/>
    <w:rsid w:val="3A19697C"/>
    <w:rsid w:val="3A221A8C"/>
    <w:rsid w:val="3A241712"/>
    <w:rsid w:val="3A275664"/>
    <w:rsid w:val="3A296A5E"/>
    <w:rsid w:val="3A396F6B"/>
    <w:rsid w:val="3A3E27D3"/>
    <w:rsid w:val="3A483652"/>
    <w:rsid w:val="3A4B6EC2"/>
    <w:rsid w:val="3A555D6F"/>
    <w:rsid w:val="3A661D2A"/>
    <w:rsid w:val="3A672285"/>
    <w:rsid w:val="3A72247D"/>
    <w:rsid w:val="3A73258B"/>
    <w:rsid w:val="3A740FA3"/>
    <w:rsid w:val="3A744447"/>
    <w:rsid w:val="3A773F37"/>
    <w:rsid w:val="3A94332A"/>
    <w:rsid w:val="3A974782"/>
    <w:rsid w:val="3A9A69CA"/>
    <w:rsid w:val="3AAD1707"/>
    <w:rsid w:val="3AAF1923"/>
    <w:rsid w:val="3AB21A6B"/>
    <w:rsid w:val="3AB24F6F"/>
    <w:rsid w:val="3AB27C7D"/>
    <w:rsid w:val="3AB369E9"/>
    <w:rsid w:val="3AB65411"/>
    <w:rsid w:val="3AB7338B"/>
    <w:rsid w:val="3ABB4F90"/>
    <w:rsid w:val="3AC0143A"/>
    <w:rsid w:val="3AC54CA3"/>
    <w:rsid w:val="3ACD1DA9"/>
    <w:rsid w:val="3AD06FC2"/>
    <w:rsid w:val="3AD44EE6"/>
    <w:rsid w:val="3ADF71D3"/>
    <w:rsid w:val="3AE140A2"/>
    <w:rsid w:val="3AF47F00"/>
    <w:rsid w:val="3AFC1592"/>
    <w:rsid w:val="3B0A473E"/>
    <w:rsid w:val="3B0B3494"/>
    <w:rsid w:val="3B0B50DD"/>
    <w:rsid w:val="3B0C4DA2"/>
    <w:rsid w:val="3B0F4170"/>
    <w:rsid w:val="3B0F7AB3"/>
    <w:rsid w:val="3B174F09"/>
    <w:rsid w:val="3B176016"/>
    <w:rsid w:val="3B2641D4"/>
    <w:rsid w:val="3B2D45F6"/>
    <w:rsid w:val="3B3132FD"/>
    <w:rsid w:val="3B352FF6"/>
    <w:rsid w:val="3B421FAF"/>
    <w:rsid w:val="3B424B80"/>
    <w:rsid w:val="3B4267A7"/>
    <w:rsid w:val="3B48382E"/>
    <w:rsid w:val="3B4B47A2"/>
    <w:rsid w:val="3B532F34"/>
    <w:rsid w:val="3B5851E9"/>
    <w:rsid w:val="3B5A1C91"/>
    <w:rsid w:val="3B5C7645"/>
    <w:rsid w:val="3B5E3238"/>
    <w:rsid w:val="3B5F38BE"/>
    <w:rsid w:val="3B621C43"/>
    <w:rsid w:val="3B680FDB"/>
    <w:rsid w:val="3B707C26"/>
    <w:rsid w:val="3B712735"/>
    <w:rsid w:val="3B794422"/>
    <w:rsid w:val="3B892174"/>
    <w:rsid w:val="3B8C756F"/>
    <w:rsid w:val="3BA77CCD"/>
    <w:rsid w:val="3BAB4807"/>
    <w:rsid w:val="3BAD0E6A"/>
    <w:rsid w:val="3BB23E5F"/>
    <w:rsid w:val="3BB7024A"/>
    <w:rsid w:val="3BB865B6"/>
    <w:rsid w:val="3BBC42F8"/>
    <w:rsid w:val="3BC7691B"/>
    <w:rsid w:val="3BD66A3C"/>
    <w:rsid w:val="3BDA4E51"/>
    <w:rsid w:val="3BDB2906"/>
    <w:rsid w:val="3BEC3676"/>
    <w:rsid w:val="3BEE0229"/>
    <w:rsid w:val="3BEF7DD6"/>
    <w:rsid w:val="3BF66E77"/>
    <w:rsid w:val="3BF82EB3"/>
    <w:rsid w:val="3BFE4BC7"/>
    <w:rsid w:val="3C0165D0"/>
    <w:rsid w:val="3C0D1A01"/>
    <w:rsid w:val="3C1832DF"/>
    <w:rsid w:val="3C1D7D04"/>
    <w:rsid w:val="3C24099A"/>
    <w:rsid w:val="3C291261"/>
    <w:rsid w:val="3C2F01C9"/>
    <w:rsid w:val="3C2F4ACA"/>
    <w:rsid w:val="3C335C3C"/>
    <w:rsid w:val="3C353F33"/>
    <w:rsid w:val="3C3A7F27"/>
    <w:rsid w:val="3C415D6A"/>
    <w:rsid w:val="3C584054"/>
    <w:rsid w:val="3C5C33E5"/>
    <w:rsid w:val="3C5D3C4F"/>
    <w:rsid w:val="3C5F0E2E"/>
    <w:rsid w:val="3C5F3DC8"/>
    <w:rsid w:val="3C6B7ACC"/>
    <w:rsid w:val="3C746DFB"/>
    <w:rsid w:val="3C776471"/>
    <w:rsid w:val="3C7D21C7"/>
    <w:rsid w:val="3C8E046F"/>
    <w:rsid w:val="3C9E65CD"/>
    <w:rsid w:val="3CA7031E"/>
    <w:rsid w:val="3CB3794A"/>
    <w:rsid w:val="3CC2593E"/>
    <w:rsid w:val="3CCF0F6E"/>
    <w:rsid w:val="3CDA3B31"/>
    <w:rsid w:val="3CDC7007"/>
    <w:rsid w:val="3CDD5A81"/>
    <w:rsid w:val="3CE55646"/>
    <w:rsid w:val="3CE777DA"/>
    <w:rsid w:val="3CF15205"/>
    <w:rsid w:val="3D0777F5"/>
    <w:rsid w:val="3D1230BD"/>
    <w:rsid w:val="3D133F11"/>
    <w:rsid w:val="3D136EFB"/>
    <w:rsid w:val="3D154912"/>
    <w:rsid w:val="3D1A5448"/>
    <w:rsid w:val="3D233F03"/>
    <w:rsid w:val="3D2D7B8E"/>
    <w:rsid w:val="3D2F0740"/>
    <w:rsid w:val="3D3659E4"/>
    <w:rsid w:val="3D392C32"/>
    <w:rsid w:val="3D3D6D72"/>
    <w:rsid w:val="3D3E35BC"/>
    <w:rsid w:val="3D404AB5"/>
    <w:rsid w:val="3D464B66"/>
    <w:rsid w:val="3D474095"/>
    <w:rsid w:val="3D5A0B77"/>
    <w:rsid w:val="3D5B544A"/>
    <w:rsid w:val="3D5F13DF"/>
    <w:rsid w:val="3D6213C4"/>
    <w:rsid w:val="3D6267D9"/>
    <w:rsid w:val="3D6A1B31"/>
    <w:rsid w:val="3D6D7401"/>
    <w:rsid w:val="3D7442A2"/>
    <w:rsid w:val="3D780746"/>
    <w:rsid w:val="3D793B23"/>
    <w:rsid w:val="3D7A6218"/>
    <w:rsid w:val="3D7A7FC6"/>
    <w:rsid w:val="3D814A65"/>
    <w:rsid w:val="3D8438F5"/>
    <w:rsid w:val="3D864BBD"/>
    <w:rsid w:val="3D891FB8"/>
    <w:rsid w:val="3D8C006D"/>
    <w:rsid w:val="3D8E3A72"/>
    <w:rsid w:val="3D954E00"/>
    <w:rsid w:val="3D98044D"/>
    <w:rsid w:val="3DA23079"/>
    <w:rsid w:val="3DA43295"/>
    <w:rsid w:val="3DAE7C70"/>
    <w:rsid w:val="3DB159B2"/>
    <w:rsid w:val="3DB272D8"/>
    <w:rsid w:val="3DBC182E"/>
    <w:rsid w:val="3DBF1E7D"/>
    <w:rsid w:val="3DCE24ED"/>
    <w:rsid w:val="3DD376D7"/>
    <w:rsid w:val="3DDF2B68"/>
    <w:rsid w:val="3DE36705"/>
    <w:rsid w:val="3DE50366"/>
    <w:rsid w:val="3DEB1C8C"/>
    <w:rsid w:val="3DF35ACC"/>
    <w:rsid w:val="3DFA0136"/>
    <w:rsid w:val="3DFF127E"/>
    <w:rsid w:val="3E014244"/>
    <w:rsid w:val="3E025620"/>
    <w:rsid w:val="3E05072E"/>
    <w:rsid w:val="3E0B2D85"/>
    <w:rsid w:val="3E13220D"/>
    <w:rsid w:val="3E16206F"/>
    <w:rsid w:val="3E277A87"/>
    <w:rsid w:val="3E2B7513"/>
    <w:rsid w:val="3E2B7626"/>
    <w:rsid w:val="3E300685"/>
    <w:rsid w:val="3E3208A1"/>
    <w:rsid w:val="3E33045B"/>
    <w:rsid w:val="3E332E52"/>
    <w:rsid w:val="3E406979"/>
    <w:rsid w:val="3E41662A"/>
    <w:rsid w:val="3E450EE5"/>
    <w:rsid w:val="3E4D29DB"/>
    <w:rsid w:val="3E506F79"/>
    <w:rsid w:val="3E5838DD"/>
    <w:rsid w:val="3E5C4AA2"/>
    <w:rsid w:val="3E602718"/>
    <w:rsid w:val="3E614CE2"/>
    <w:rsid w:val="3E6F175D"/>
    <w:rsid w:val="3E7012AD"/>
    <w:rsid w:val="3E726EC9"/>
    <w:rsid w:val="3E73334C"/>
    <w:rsid w:val="3E75078E"/>
    <w:rsid w:val="3E76426F"/>
    <w:rsid w:val="3E831D52"/>
    <w:rsid w:val="3E8E326B"/>
    <w:rsid w:val="3E951889"/>
    <w:rsid w:val="3E9629CF"/>
    <w:rsid w:val="3EA0134A"/>
    <w:rsid w:val="3EAE0324"/>
    <w:rsid w:val="3EB158B4"/>
    <w:rsid w:val="3EB2553E"/>
    <w:rsid w:val="3EB42AFF"/>
    <w:rsid w:val="3EB72B54"/>
    <w:rsid w:val="3EC3206C"/>
    <w:rsid w:val="3ECC7844"/>
    <w:rsid w:val="3ECD00BE"/>
    <w:rsid w:val="3ECF4342"/>
    <w:rsid w:val="3ED7217B"/>
    <w:rsid w:val="3ED96C16"/>
    <w:rsid w:val="3EDF07E5"/>
    <w:rsid w:val="3EE2728E"/>
    <w:rsid w:val="3EE91D44"/>
    <w:rsid w:val="3EED1E62"/>
    <w:rsid w:val="3EEE2F1C"/>
    <w:rsid w:val="3EEF0540"/>
    <w:rsid w:val="3EF23B8C"/>
    <w:rsid w:val="3EF83214"/>
    <w:rsid w:val="3EF8449E"/>
    <w:rsid w:val="3EFB67AD"/>
    <w:rsid w:val="3EFC7DAE"/>
    <w:rsid w:val="3F010273"/>
    <w:rsid w:val="3F067638"/>
    <w:rsid w:val="3F096D0B"/>
    <w:rsid w:val="3F0B7179"/>
    <w:rsid w:val="3F151574"/>
    <w:rsid w:val="3F163D1F"/>
    <w:rsid w:val="3F1E4289"/>
    <w:rsid w:val="3F251D7D"/>
    <w:rsid w:val="3F2E1312"/>
    <w:rsid w:val="3F3225D2"/>
    <w:rsid w:val="3F3917BB"/>
    <w:rsid w:val="3F3F36A7"/>
    <w:rsid w:val="3F407AB1"/>
    <w:rsid w:val="3F42218F"/>
    <w:rsid w:val="3F4A628E"/>
    <w:rsid w:val="3F514B2D"/>
    <w:rsid w:val="3F557260"/>
    <w:rsid w:val="3F5C54AA"/>
    <w:rsid w:val="3F5D1B7A"/>
    <w:rsid w:val="3F60523E"/>
    <w:rsid w:val="3F667372"/>
    <w:rsid w:val="3F6727CC"/>
    <w:rsid w:val="3F6759F5"/>
    <w:rsid w:val="3F6D115F"/>
    <w:rsid w:val="3F7171A7"/>
    <w:rsid w:val="3F724CCD"/>
    <w:rsid w:val="3F7377B0"/>
    <w:rsid w:val="3F743FC9"/>
    <w:rsid w:val="3F7C5873"/>
    <w:rsid w:val="3F8746DD"/>
    <w:rsid w:val="3F8B74A4"/>
    <w:rsid w:val="3F93128E"/>
    <w:rsid w:val="3F9335C1"/>
    <w:rsid w:val="3F962D7E"/>
    <w:rsid w:val="3F984120"/>
    <w:rsid w:val="3F9966FE"/>
    <w:rsid w:val="3FA540B0"/>
    <w:rsid w:val="3FA541A9"/>
    <w:rsid w:val="3FB53538"/>
    <w:rsid w:val="3FB672B0"/>
    <w:rsid w:val="3FB776F5"/>
    <w:rsid w:val="3FC512A1"/>
    <w:rsid w:val="3FD80FD4"/>
    <w:rsid w:val="3FE71217"/>
    <w:rsid w:val="3FEE76F8"/>
    <w:rsid w:val="400310D8"/>
    <w:rsid w:val="40041DC9"/>
    <w:rsid w:val="40086AA5"/>
    <w:rsid w:val="400B22C6"/>
    <w:rsid w:val="400B2990"/>
    <w:rsid w:val="400E0E9A"/>
    <w:rsid w:val="400E2C48"/>
    <w:rsid w:val="4012353B"/>
    <w:rsid w:val="4014562F"/>
    <w:rsid w:val="401D24AF"/>
    <w:rsid w:val="401D3800"/>
    <w:rsid w:val="4028049C"/>
    <w:rsid w:val="402B1A4C"/>
    <w:rsid w:val="402C78D5"/>
    <w:rsid w:val="40307BC9"/>
    <w:rsid w:val="40356427"/>
    <w:rsid w:val="403A0A27"/>
    <w:rsid w:val="403D28E3"/>
    <w:rsid w:val="403F5E49"/>
    <w:rsid w:val="40430493"/>
    <w:rsid w:val="4048768D"/>
    <w:rsid w:val="404B17A6"/>
    <w:rsid w:val="404D19C2"/>
    <w:rsid w:val="40564EE7"/>
    <w:rsid w:val="40597AAF"/>
    <w:rsid w:val="405A0CFC"/>
    <w:rsid w:val="405E5CCB"/>
    <w:rsid w:val="40612D9E"/>
    <w:rsid w:val="40654236"/>
    <w:rsid w:val="406E3D2B"/>
    <w:rsid w:val="40714172"/>
    <w:rsid w:val="407F661D"/>
    <w:rsid w:val="408245ED"/>
    <w:rsid w:val="40864295"/>
    <w:rsid w:val="40926379"/>
    <w:rsid w:val="409F45CB"/>
    <w:rsid w:val="40AC7A1C"/>
    <w:rsid w:val="40B557B9"/>
    <w:rsid w:val="40B86E7B"/>
    <w:rsid w:val="40B90E06"/>
    <w:rsid w:val="40B94B83"/>
    <w:rsid w:val="40BE466E"/>
    <w:rsid w:val="40C319E2"/>
    <w:rsid w:val="40CD00BD"/>
    <w:rsid w:val="40CD4ED1"/>
    <w:rsid w:val="40D12495"/>
    <w:rsid w:val="40DC0019"/>
    <w:rsid w:val="40E31DD5"/>
    <w:rsid w:val="40E44A95"/>
    <w:rsid w:val="40E561CF"/>
    <w:rsid w:val="40E65224"/>
    <w:rsid w:val="40E85247"/>
    <w:rsid w:val="40EC27D7"/>
    <w:rsid w:val="40EC63D5"/>
    <w:rsid w:val="40EF2A79"/>
    <w:rsid w:val="40F339B5"/>
    <w:rsid w:val="40F55BB6"/>
    <w:rsid w:val="40F72B9F"/>
    <w:rsid w:val="410C127B"/>
    <w:rsid w:val="410C5573"/>
    <w:rsid w:val="410D73A4"/>
    <w:rsid w:val="41196606"/>
    <w:rsid w:val="411E6EBB"/>
    <w:rsid w:val="41242B9C"/>
    <w:rsid w:val="412A1D04"/>
    <w:rsid w:val="413466DE"/>
    <w:rsid w:val="41474664"/>
    <w:rsid w:val="41523008"/>
    <w:rsid w:val="41540B2E"/>
    <w:rsid w:val="415437EE"/>
    <w:rsid w:val="41546B10"/>
    <w:rsid w:val="41562AF9"/>
    <w:rsid w:val="415B010F"/>
    <w:rsid w:val="41616C71"/>
    <w:rsid w:val="4162149D"/>
    <w:rsid w:val="416240D8"/>
    <w:rsid w:val="41676221"/>
    <w:rsid w:val="416C40CA"/>
    <w:rsid w:val="417B1ADC"/>
    <w:rsid w:val="418238EE"/>
    <w:rsid w:val="41831414"/>
    <w:rsid w:val="418365EE"/>
    <w:rsid w:val="418401AA"/>
    <w:rsid w:val="418D20C9"/>
    <w:rsid w:val="419867DB"/>
    <w:rsid w:val="419D4283"/>
    <w:rsid w:val="41A51BAC"/>
    <w:rsid w:val="41B17F29"/>
    <w:rsid w:val="41B3338B"/>
    <w:rsid w:val="41B501A4"/>
    <w:rsid w:val="41B8730F"/>
    <w:rsid w:val="41B96BE3"/>
    <w:rsid w:val="41BF3BD9"/>
    <w:rsid w:val="41BF4A91"/>
    <w:rsid w:val="41CB3D94"/>
    <w:rsid w:val="41CC4B69"/>
    <w:rsid w:val="41D614EA"/>
    <w:rsid w:val="41D76705"/>
    <w:rsid w:val="41DC36BB"/>
    <w:rsid w:val="41E06866"/>
    <w:rsid w:val="41F51BC5"/>
    <w:rsid w:val="41FA2085"/>
    <w:rsid w:val="41FA3484"/>
    <w:rsid w:val="41FB0356"/>
    <w:rsid w:val="42022339"/>
    <w:rsid w:val="42132FE7"/>
    <w:rsid w:val="421729DE"/>
    <w:rsid w:val="4218487C"/>
    <w:rsid w:val="421A7082"/>
    <w:rsid w:val="421B648D"/>
    <w:rsid w:val="4220623E"/>
    <w:rsid w:val="42213833"/>
    <w:rsid w:val="422233B0"/>
    <w:rsid w:val="4226071D"/>
    <w:rsid w:val="42296540"/>
    <w:rsid w:val="42330CE7"/>
    <w:rsid w:val="423821FE"/>
    <w:rsid w:val="423F5B55"/>
    <w:rsid w:val="424C4C09"/>
    <w:rsid w:val="4254392F"/>
    <w:rsid w:val="425B768F"/>
    <w:rsid w:val="42674891"/>
    <w:rsid w:val="426B720D"/>
    <w:rsid w:val="42701998"/>
    <w:rsid w:val="42764C48"/>
    <w:rsid w:val="4286740D"/>
    <w:rsid w:val="42892644"/>
    <w:rsid w:val="428A7B32"/>
    <w:rsid w:val="4290203A"/>
    <w:rsid w:val="429A7093"/>
    <w:rsid w:val="429F5483"/>
    <w:rsid w:val="42A76B06"/>
    <w:rsid w:val="42A93909"/>
    <w:rsid w:val="42AD52B2"/>
    <w:rsid w:val="42B23D5F"/>
    <w:rsid w:val="42B32AAD"/>
    <w:rsid w:val="42B71734"/>
    <w:rsid w:val="42B86941"/>
    <w:rsid w:val="42B93B68"/>
    <w:rsid w:val="42BC698B"/>
    <w:rsid w:val="42BF195C"/>
    <w:rsid w:val="42CC3DFF"/>
    <w:rsid w:val="42D02437"/>
    <w:rsid w:val="42D40179"/>
    <w:rsid w:val="42D737C5"/>
    <w:rsid w:val="42DC7863"/>
    <w:rsid w:val="42DD0792"/>
    <w:rsid w:val="42DF101C"/>
    <w:rsid w:val="42E42D48"/>
    <w:rsid w:val="42E83C24"/>
    <w:rsid w:val="42EC5BE6"/>
    <w:rsid w:val="42FC4EA8"/>
    <w:rsid w:val="42FF16EA"/>
    <w:rsid w:val="43087E22"/>
    <w:rsid w:val="430A7047"/>
    <w:rsid w:val="43103916"/>
    <w:rsid w:val="43104F29"/>
    <w:rsid w:val="431920F3"/>
    <w:rsid w:val="431A3863"/>
    <w:rsid w:val="43223EC8"/>
    <w:rsid w:val="4329362C"/>
    <w:rsid w:val="433160C7"/>
    <w:rsid w:val="43317379"/>
    <w:rsid w:val="433504EC"/>
    <w:rsid w:val="434046FC"/>
    <w:rsid w:val="43410F50"/>
    <w:rsid w:val="4341198E"/>
    <w:rsid w:val="43452E25"/>
    <w:rsid w:val="434E1DB1"/>
    <w:rsid w:val="43505326"/>
    <w:rsid w:val="435272F0"/>
    <w:rsid w:val="43536554"/>
    <w:rsid w:val="43537B5E"/>
    <w:rsid w:val="43556CA5"/>
    <w:rsid w:val="4356618F"/>
    <w:rsid w:val="43617533"/>
    <w:rsid w:val="436314FD"/>
    <w:rsid w:val="436C76AE"/>
    <w:rsid w:val="436D260D"/>
    <w:rsid w:val="43710B5F"/>
    <w:rsid w:val="437F411E"/>
    <w:rsid w:val="438018E8"/>
    <w:rsid w:val="43853221"/>
    <w:rsid w:val="43864C8C"/>
    <w:rsid w:val="438A541B"/>
    <w:rsid w:val="438F7452"/>
    <w:rsid w:val="43903286"/>
    <w:rsid w:val="43972F54"/>
    <w:rsid w:val="439B4160"/>
    <w:rsid w:val="43A32A80"/>
    <w:rsid w:val="43AA2D86"/>
    <w:rsid w:val="43AD1BA2"/>
    <w:rsid w:val="43B03AF0"/>
    <w:rsid w:val="43BA62BC"/>
    <w:rsid w:val="43C43746"/>
    <w:rsid w:val="43CF7D82"/>
    <w:rsid w:val="43D16C6D"/>
    <w:rsid w:val="43E51F12"/>
    <w:rsid w:val="43E85F2B"/>
    <w:rsid w:val="43F30C80"/>
    <w:rsid w:val="43F45810"/>
    <w:rsid w:val="43F477B8"/>
    <w:rsid w:val="43F6778C"/>
    <w:rsid w:val="43F955DA"/>
    <w:rsid w:val="44033DEE"/>
    <w:rsid w:val="440452E5"/>
    <w:rsid w:val="440933B5"/>
    <w:rsid w:val="440B5E1C"/>
    <w:rsid w:val="441445A5"/>
    <w:rsid w:val="443656CE"/>
    <w:rsid w:val="4439400C"/>
    <w:rsid w:val="443F7874"/>
    <w:rsid w:val="443F79A1"/>
    <w:rsid w:val="44410337"/>
    <w:rsid w:val="444C0775"/>
    <w:rsid w:val="446472DA"/>
    <w:rsid w:val="446B0669"/>
    <w:rsid w:val="44727C49"/>
    <w:rsid w:val="44776BD6"/>
    <w:rsid w:val="447A5F85"/>
    <w:rsid w:val="44801914"/>
    <w:rsid w:val="44855C27"/>
    <w:rsid w:val="44892078"/>
    <w:rsid w:val="448E6105"/>
    <w:rsid w:val="4491249F"/>
    <w:rsid w:val="44917E58"/>
    <w:rsid w:val="44986F84"/>
    <w:rsid w:val="449A7A08"/>
    <w:rsid w:val="44A26055"/>
    <w:rsid w:val="44A67E85"/>
    <w:rsid w:val="44B00772"/>
    <w:rsid w:val="44B244EA"/>
    <w:rsid w:val="44B71B00"/>
    <w:rsid w:val="44B94074"/>
    <w:rsid w:val="44CC3666"/>
    <w:rsid w:val="44EB114B"/>
    <w:rsid w:val="44EB7ADD"/>
    <w:rsid w:val="44F10492"/>
    <w:rsid w:val="44F370A9"/>
    <w:rsid w:val="44F468B0"/>
    <w:rsid w:val="44F6398F"/>
    <w:rsid w:val="44FC7513"/>
    <w:rsid w:val="44FD328B"/>
    <w:rsid w:val="4508410A"/>
    <w:rsid w:val="450B1B4F"/>
    <w:rsid w:val="45101210"/>
    <w:rsid w:val="45121B01"/>
    <w:rsid w:val="45144E13"/>
    <w:rsid w:val="45154A79"/>
    <w:rsid w:val="45196317"/>
    <w:rsid w:val="451E1B7F"/>
    <w:rsid w:val="451F4814"/>
    <w:rsid w:val="451F76A5"/>
    <w:rsid w:val="45322415"/>
    <w:rsid w:val="45343151"/>
    <w:rsid w:val="45385419"/>
    <w:rsid w:val="453D27DA"/>
    <w:rsid w:val="453F6E28"/>
    <w:rsid w:val="454403E6"/>
    <w:rsid w:val="45565EE6"/>
    <w:rsid w:val="45566CB6"/>
    <w:rsid w:val="45612761"/>
    <w:rsid w:val="456926CF"/>
    <w:rsid w:val="456D298D"/>
    <w:rsid w:val="456F4189"/>
    <w:rsid w:val="456F5F37"/>
    <w:rsid w:val="45715A81"/>
    <w:rsid w:val="45775EA0"/>
    <w:rsid w:val="458D4D8A"/>
    <w:rsid w:val="458F0387"/>
    <w:rsid w:val="458F3DA1"/>
    <w:rsid w:val="45912351"/>
    <w:rsid w:val="45943BEF"/>
    <w:rsid w:val="459444E0"/>
    <w:rsid w:val="45957044"/>
    <w:rsid w:val="45962409"/>
    <w:rsid w:val="45965BB9"/>
    <w:rsid w:val="45981F3C"/>
    <w:rsid w:val="45991206"/>
    <w:rsid w:val="45997458"/>
    <w:rsid w:val="459B5059"/>
    <w:rsid w:val="459E05CA"/>
    <w:rsid w:val="45A03F59"/>
    <w:rsid w:val="45A831F7"/>
    <w:rsid w:val="45AF0A29"/>
    <w:rsid w:val="45B34405"/>
    <w:rsid w:val="45C07A37"/>
    <w:rsid w:val="45C619DD"/>
    <w:rsid w:val="45C85647"/>
    <w:rsid w:val="45C94ACE"/>
    <w:rsid w:val="45CD7101"/>
    <w:rsid w:val="45D160A9"/>
    <w:rsid w:val="45D16BF2"/>
    <w:rsid w:val="45D87924"/>
    <w:rsid w:val="45D93CF8"/>
    <w:rsid w:val="45DA0E56"/>
    <w:rsid w:val="45DA4673"/>
    <w:rsid w:val="45E42DDE"/>
    <w:rsid w:val="45E72A8B"/>
    <w:rsid w:val="45EC6CE6"/>
    <w:rsid w:val="45EE1552"/>
    <w:rsid w:val="45EE30CE"/>
    <w:rsid w:val="45F25DBF"/>
    <w:rsid w:val="46192360"/>
    <w:rsid w:val="461D64FB"/>
    <w:rsid w:val="462431C5"/>
    <w:rsid w:val="462474A6"/>
    <w:rsid w:val="46274A64"/>
    <w:rsid w:val="46277F1D"/>
    <w:rsid w:val="463648E9"/>
    <w:rsid w:val="464253F9"/>
    <w:rsid w:val="46491939"/>
    <w:rsid w:val="46535859"/>
    <w:rsid w:val="46607F75"/>
    <w:rsid w:val="466247F2"/>
    <w:rsid w:val="46696E2A"/>
    <w:rsid w:val="46790ADF"/>
    <w:rsid w:val="46861DC9"/>
    <w:rsid w:val="46873754"/>
    <w:rsid w:val="468A6DA0"/>
    <w:rsid w:val="46911EDD"/>
    <w:rsid w:val="469203F9"/>
    <w:rsid w:val="4696124F"/>
    <w:rsid w:val="4698326B"/>
    <w:rsid w:val="469A1FA4"/>
    <w:rsid w:val="46A51334"/>
    <w:rsid w:val="46A9225B"/>
    <w:rsid w:val="46AB11F1"/>
    <w:rsid w:val="46AC4F69"/>
    <w:rsid w:val="46BC781A"/>
    <w:rsid w:val="46C3522E"/>
    <w:rsid w:val="46C77B24"/>
    <w:rsid w:val="46C92EF6"/>
    <w:rsid w:val="46CA5F1E"/>
    <w:rsid w:val="46CB2771"/>
    <w:rsid w:val="46CE23DF"/>
    <w:rsid w:val="46D67F50"/>
    <w:rsid w:val="46E62384"/>
    <w:rsid w:val="46E7395C"/>
    <w:rsid w:val="46F16FC5"/>
    <w:rsid w:val="46F32B98"/>
    <w:rsid w:val="46F73DC3"/>
    <w:rsid w:val="46F93FAB"/>
    <w:rsid w:val="46FB46B4"/>
    <w:rsid w:val="46FD43E7"/>
    <w:rsid w:val="47037071"/>
    <w:rsid w:val="4707219F"/>
    <w:rsid w:val="470E1780"/>
    <w:rsid w:val="470E79D1"/>
    <w:rsid w:val="471548BC"/>
    <w:rsid w:val="47166879"/>
    <w:rsid w:val="471741F3"/>
    <w:rsid w:val="4717516D"/>
    <w:rsid w:val="47186BFB"/>
    <w:rsid w:val="47207C7B"/>
    <w:rsid w:val="4723347D"/>
    <w:rsid w:val="472E6063"/>
    <w:rsid w:val="472F533E"/>
    <w:rsid w:val="4732546E"/>
    <w:rsid w:val="473731F8"/>
    <w:rsid w:val="47460F19"/>
    <w:rsid w:val="47486A40"/>
    <w:rsid w:val="475950F1"/>
    <w:rsid w:val="47595427"/>
    <w:rsid w:val="475A0F43"/>
    <w:rsid w:val="475D61F0"/>
    <w:rsid w:val="475E6263"/>
    <w:rsid w:val="47685B93"/>
    <w:rsid w:val="476D294A"/>
    <w:rsid w:val="477041E8"/>
    <w:rsid w:val="477261B2"/>
    <w:rsid w:val="47762884"/>
    <w:rsid w:val="477A5EA1"/>
    <w:rsid w:val="477E6905"/>
    <w:rsid w:val="478B1B1F"/>
    <w:rsid w:val="478B2D1E"/>
    <w:rsid w:val="47906312"/>
    <w:rsid w:val="479779C7"/>
    <w:rsid w:val="479B74B7"/>
    <w:rsid w:val="47A12458"/>
    <w:rsid w:val="47AE7E19"/>
    <w:rsid w:val="47B17848"/>
    <w:rsid w:val="47C36A0E"/>
    <w:rsid w:val="47C46F79"/>
    <w:rsid w:val="47D1249A"/>
    <w:rsid w:val="47D14E3C"/>
    <w:rsid w:val="47E04ECA"/>
    <w:rsid w:val="47E26A4A"/>
    <w:rsid w:val="47E30228"/>
    <w:rsid w:val="47E723CA"/>
    <w:rsid w:val="47E8201B"/>
    <w:rsid w:val="47FE118F"/>
    <w:rsid w:val="4803794D"/>
    <w:rsid w:val="480F57AF"/>
    <w:rsid w:val="481132D5"/>
    <w:rsid w:val="48151DFF"/>
    <w:rsid w:val="48177D5A"/>
    <w:rsid w:val="48194880"/>
    <w:rsid w:val="481E3C44"/>
    <w:rsid w:val="48230E62"/>
    <w:rsid w:val="48240F71"/>
    <w:rsid w:val="48254FD3"/>
    <w:rsid w:val="48260FFD"/>
    <w:rsid w:val="482A25E9"/>
    <w:rsid w:val="4831773D"/>
    <w:rsid w:val="48383643"/>
    <w:rsid w:val="483B2A48"/>
    <w:rsid w:val="484359E3"/>
    <w:rsid w:val="48457423"/>
    <w:rsid w:val="48463DC2"/>
    <w:rsid w:val="484713ED"/>
    <w:rsid w:val="48482514"/>
    <w:rsid w:val="484A1B4B"/>
    <w:rsid w:val="484C255F"/>
    <w:rsid w:val="485737AE"/>
    <w:rsid w:val="485F4445"/>
    <w:rsid w:val="48604DA3"/>
    <w:rsid w:val="486050DE"/>
    <w:rsid w:val="486176F0"/>
    <w:rsid w:val="48691363"/>
    <w:rsid w:val="486A6E89"/>
    <w:rsid w:val="48701EA5"/>
    <w:rsid w:val="487A454A"/>
    <w:rsid w:val="487A6E4A"/>
    <w:rsid w:val="487D3F41"/>
    <w:rsid w:val="487F6A9B"/>
    <w:rsid w:val="4888027D"/>
    <w:rsid w:val="48881B7A"/>
    <w:rsid w:val="488E22EB"/>
    <w:rsid w:val="48947BBD"/>
    <w:rsid w:val="489850F6"/>
    <w:rsid w:val="489B27C5"/>
    <w:rsid w:val="489B34E7"/>
    <w:rsid w:val="489C0142"/>
    <w:rsid w:val="48A25E13"/>
    <w:rsid w:val="48A71E8C"/>
    <w:rsid w:val="48A759E8"/>
    <w:rsid w:val="48A85241"/>
    <w:rsid w:val="48A91760"/>
    <w:rsid w:val="48AE6D76"/>
    <w:rsid w:val="48AF018B"/>
    <w:rsid w:val="48B523EF"/>
    <w:rsid w:val="48B56F6C"/>
    <w:rsid w:val="48B87AB8"/>
    <w:rsid w:val="48BA1BBF"/>
    <w:rsid w:val="48BB132D"/>
    <w:rsid w:val="48BC31D4"/>
    <w:rsid w:val="48BF3E0A"/>
    <w:rsid w:val="48BF5427"/>
    <w:rsid w:val="48C1524A"/>
    <w:rsid w:val="48C2431F"/>
    <w:rsid w:val="48C60564"/>
    <w:rsid w:val="48CA52B0"/>
    <w:rsid w:val="48CB4577"/>
    <w:rsid w:val="48CD641C"/>
    <w:rsid w:val="48CD674E"/>
    <w:rsid w:val="48D86BF5"/>
    <w:rsid w:val="48DD3AFF"/>
    <w:rsid w:val="48DD7B03"/>
    <w:rsid w:val="48E62612"/>
    <w:rsid w:val="48E629B4"/>
    <w:rsid w:val="48E828E7"/>
    <w:rsid w:val="48EA5BC1"/>
    <w:rsid w:val="48EE3617"/>
    <w:rsid w:val="48F212BE"/>
    <w:rsid w:val="48F22724"/>
    <w:rsid w:val="48F30C2D"/>
    <w:rsid w:val="48F42E29"/>
    <w:rsid w:val="48F6071D"/>
    <w:rsid w:val="48F62005"/>
    <w:rsid w:val="48FF3FE4"/>
    <w:rsid w:val="490648C8"/>
    <w:rsid w:val="49080B7C"/>
    <w:rsid w:val="490B2D23"/>
    <w:rsid w:val="490E1386"/>
    <w:rsid w:val="490F1EEF"/>
    <w:rsid w:val="491450D2"/>
    <w:rsid w:val="49180A9B"/>
    <w:rsid w:val="491C2C2F"/>
    <w:rsid w:val="491C3609"/>
    <w:rsid w:val="49276855"/>
    <w:rsid w:val="492B6619"/>
    <w:rsid w:val="492E7EB7"/>
    <w:rsid w:val="493059DD"/>
    <w:rsid w:val="49310464"/>
    <w:rsid w:val="49323429"/>
    <w:rsid w:val="493556E9"/>
    <w:rsid w:val="49382AE4"/>
    <w:rsid w:val="493F7B37"/>
    <w:rsid w:val="49423962"/>
    <w:rsid w:val="49455160"/>
    <w:rsid w:val="49482783"/>
    <w:rsid w:val="494D47E1"/>
    <w:rsid w:val="494F3168"/>
    <w:rsid w:val="49543DC1"/>
    <w:rsid w:val="49554BE1"/>
    <w:rsid w:val="49580552"/>
    <w:rsid w:val="496A6BED"/>
    <w:rsid w:val="49710949"/>
    <w:rsid w:val="49731BCB"/>
    <w:rsid w:val="497467A8"/>
    <w:rsid w:val="49811526"/>
    <w:rsid w:val="498209CF"/>
    <w:rsid w:val="49843273"/>
    <w:rsid w:val="49843E14"/>
    <w:rsid w:val="499F2F0C"/>
    <w:rsid w:val="49A62736"/>
    <w:rsid w:val="49AA0075"/>
    <w:rsid w:val="49AD1724"/>
    <w:rsid w:val="49B37092"/>
    <w:rsid w:val="49C65640"/>
    <w:rsid w:val="49CB1BAA"/>
    <w:rsid w:val="49CB3958"/>
    <w:rsid w:val="49D00DC5"/>
    <w:rsid w:val="49D97E23"/>
    <w:rsid w:val="49E05427"/>
    <w:rsid w:val="49E30CA1"/>
    <w:rsid w:val="49E52C6C"/>
    <w:rsid w:val="49E62540"/>
    <w:rsid w:val="49EC7A1D"/>
    <w:rsid w:val="49F27137"/>
    <w:rsid w:val="49F570D9"/>
    <w:rsid w:val="49F66C27"/>
    <w:rsid w:val="4A0062BB"/>
    <w:rsid w:val="4A031344"/>
    <w:rsid w:val="4A113A61"/>
    <w:rsid w:val="4A116FD8"/>
    <w:rsid w:val="4A117D9D"/>
    <w:rsid w:val="4A121587"/>
    <w:rsid w:val="4A162E25"/>
    <w:rsid w:val="4A196E79"/>
    <w:rsid w:val="4A2222C5"/>
    <w:rsid w:val="4A235A4E"/>
    <w:rsid w:val="4A24383D"/>
    <w:rsid w:val="4A2F038B"/>
    <w:rsid w:val="4A3140D8"/>
    <w:rsid w:val="4A3459D1"/>
    <w:rsid w:val="4A4200BE"/>
    <w:rsid w:val="4A482FDB"/>
    <w:rsid w:val="4A4A0D22"/>
    <w:rsid w:val="4A4F6337"/>
    <w:rsid w:val="4A535A86"/>
    <w:rsid w:val="4A54703F"/>
    <w:rsid w:val="4A547DF1"/>
    <w:rsid w:val="4A5804B6"/>
    <w:rsid w:val="4A5B2F2E"/>
    <w:rsid w:val="4A5B3A9F"/>
    <w:rsid w:val="4A5E2A1E"/>
    <w:rsid w:val="4A677F4D"/>
    <w:rsid w:val="4A6D0948"/>
    <w:rsid w:val="4A6D7FA4"/>
    <w:rsid w:val="4A7B537E"/>
    <w:rsid w:val="4A9106FD"/>
    <w:rsid w:val="4A93693A"/>
    <w:rsid w:val="4A954692"/>
    <w:rsid w:val="4AA1777F"/>
    <w:rsid w:val="4AA448D5"/>
    <w:rsid w:val="4AB34B18"/>
    <w:rsid w:val="4AB44216"/>
    <w:rsid w:val="4AB84FEA"/>
    <w:rsid w:val="4ABA448F"/>
    <w:rsid w:val="4ABC61FC"/>
    <w:rsid w:val="4AC34A65"/>
    <w:rsid w:val="4AC565F9"/>
    <w:rsid w:val="4AC9433B"/>
    <w:rsid w:val="4ACA61C7"/>
    <w:rsid w:val="4ACE3700"/>
    <w:rsid w:val="4ACF01E8"/>
    <w:rsid w:val="4AD07993"/>
    <w:rsid w:val="4AD557D5"/>
    <w:rsid w:val="4AD55B10"/>
    <w:rsid w:val="4AEF09B8"/>
    <w:rsid w:val="4AF018C8"/>
    <w:rsid w:val="4AF74ADD"/>
    <w:rsid w:val="4B0F6F4D"/>
    <w:rsid w:val="4B1923E5"/>
    <w:rsid w:val="4B1B7074"/>
    <w:rsid w:val="4B3454E4"/>
    <w:rsid w:val="4B377676"/>
    <w:rsid w:val="4B3C29B6"/>
    <w:rsid w:val="4B3F79B7"/>
    <w:rsid w:val="4B423440"/>
    <w:rsid w:val="4B555C31"/>
    <w:rsid w:val="4B5861CE"/>
    <w:rsid w:val="4B5C51AF"/>
    <w:rsid w:val="4B6202EC"/>
    <w:rsid w:val="4B682440"/>
    <w:rsid w:val="4B6A1BE3"/>
    <w:rsid w:val="4B7C13AE"/>
    <w:rsid w:val="4B7E7695"/>
    <w:rsid w:val="4B882F10"/>
    <w:rsid w:val="4B8926B1"/>
    <w:rsid w:val="4B8D1D61"/>
    <w:rsid w:val="4B8D20F8"/>
    <w:rsid w:val="4B8D7117"/>
    <w:rsid w:val="4B9672B9"/>
    <w:rsid w:val="4B9763BC"/>
    <w:rsid w:val="4B985ABC"/>
    <w:rsid w:val="4B9C45C1"/>
    <w:rsid w:val="4B9D5C0C"/>
    <w:rsid w:val="4BA34342"/>
    <w:rsid w:val="4BA6642B"/>
    <w:rsid w:val="4BA72512"/>
    <w:rsid w:val="4BB24DCF"/>
    <w:rsid w:val="4BB31D91"/>
    <w:rsid w:val="4BB5041C"/>
    <w:rsid w:val="4BB943B0"/>
    <w:rsid w:val="4BBC5AC7"/>
    <w:rsid w:val="4BC3109F"/>
    <w:rsid w:val="4BC36FDC"/>
    <w:rsid w:val="4BC44E0D"/>
    <w:rsid w:val="4BC66ACD"/>
    <w:rsid w:val="4BD034A7"/>
    <w:rsid w:val="4BD048BE"/>
    <w:rsid w:val="4BE23A6B"/>
    <w:rsid w:val="4BE74BEC"/>
    <w:rsid w:val="4BE965B6"/>
    <w:rsid w:val="4BEE3EE1"/>
    <w:rsid w:val="4BF03B4A"/>
    <w:rsid w:val="4BF37E67"/>
    <w:rsid w:val="4BF5144B"/>
    <w:rsid w:val="4BFB6776"/>
    <w:rsid w:val="4BFF0BB9"/>
    <w:rsid w:val="4C047AC6"/>
    <w:rsid w:val="4C080E93"/>
    <w:rsid w:val="4C0B2731"/>
    <w:rsid w:val="4C156BCA"/>
    <w:rsid w:val="4C207F8B"/>
    <w:rsid w:val="4C2B3759"/>
    <w:rsid w:val="4C327624"/>
    <w:rsid w:val="4C3457E4"/>
    <w:rsid w:val="4C43011D"/>
    <w:rsid w:val="4C4D4AF8"/>
    <w:rsid w:val="4C581C45"/>
    <w:rsid w:val="4C5D3299"/>
    <w:rsid w:val="4C623ADB"/>
    <w:rsid w:val="4C63256E"/>
    <w:rsid w:val="4C6961C6"/>
    <w:rsid w:val="4C6C22FC"/>
    <w:rsid w:val="4C6D5A2A"/>
    <w:rsid w:val="4C767B34"/>
    <w:rsid w:val="4C7A1154"/>
    <w:rsid w:val="4C7B3413"/>
    <w:rsid w:val="4C7C31EA"/>
    <w:rsid w:val="4C7D362F"/>
    <w:rsid w:val="4C7E1155"/>
    <w:rsid w:val="4C7E73A7"/>
    <w:rsid w:val="4C804ECE"/>
    <w:rsid w:val="4C8554DD"/>
    <w:rsid w:val="4C87625C"/>
    <w:rsid w:val="4C88285A"/>
    <w:rsid w:val="4C8936D2"/>
    <w:rsid w:val="4C942475"/>
    <w:rsid w:val="4C9C159D"/>
    <w:rsid w:val="4CA2142F"/>
    <w:rsid w:val="4CA63DE7"/>
    <w:rsid w:val="4CB6655C"/>
    <w:rsid w:val="4CB73E4F"/>
    <w:rsid w:val="4CC329A2"/>
    <w:rsid w:val="4CE44D9F"/>
    <w:rsid w:val="4CE960BB"/>
    <w:rsid w:val="4CEA5226"/>
    <w:rsid w:val="4CF17B79"/>
    <w:rsid w:val="4D016156"/>
    <w:rsid w:val="4D023B34"/>
    <w:rsid w:val="4D0258E3"/>
    <w:rsid w:val="4D04165B"/>
    <w:rsid w:val="4D0653CA"/>
    <w:rsid w:val="4D0D0E37"/>
    <w:rsid w:val="4D0D695E"/>
    <w:rsid w:val="4D111FCA"/>
    <w:rsid w:val="4D113D78"/>
    <w:rsid w:val="4D14442F"/>
    <w:rsid w:val="4D16603F"/>
    <w:rsid w:val="4D1B4BF6"/>
    <w:rsid w:val="4D1D16ED"/>
    <w:rsid w:val="4D331F40"/>
    <w:rsid w:val="4D493511"/>
    <w:rsid w:val="4D4B227E"/>
    <w:rsid w:val="4D4D338A"/>
    <w:rsid w:val="4D4D6F1E"/>
    <w:rsid w:val="4D4E0B28"/>
    <w:rsid w:val="4D4E6D7A"/>
    <w:rsid w:val="4D550108"/>
    <w:rsid w:val="4D5817D9"/>
    <w:rsid w:val="4D5C1497"/>
    <w:rsid w:val="4D5E4583"/>
    <w:rsid w:val="4D6B3488"/>
    <w:rsid w:val="4D6B792C"/>
    <w:rsid w:val="4D721F65"/>
    <w:rsid w:val="4D73771A"/>
    <w:rsid w:val="4D783DF7"/>
    <w:rsid w:val="4D7A21FD"/>
    <w:rsid w:val="4D82460E"/>
    <w:rsid w:val="4D866514"/>
    <w:rsid w:val="4D8A20EA"/>
    <w:rsid w:val="4D8D78A2"/>
    <w:rsid w:val="4D9146B3"/>
    <w:rsid w:val="4D9549A9"/>
    <w:rsid w:val="4D957DB8"/>
    <w:rsid w:val="4D97249F"/>
    <w:rsid w:val="4DA35BE5"/>
    <w:rsid w:val="4DAB5F7A"/>
    <w:rsid w:val="4DAC62C6"/>
    <w:rsid w:val="4DAE7818"/>
    <w:rsid w:val="4DBB187B"/>
    <w:rsid w:val="4DCD5EF0"/>
    <w:rsid w:val="4DDE3611"/>
    <w:rsid w:val="4DDE36D5"/>
    <w:rsid w:val="4DDE46EF"/>
    <w:rsid w:val="4DF27608"/>
    <w:rsid w:val="4E0840B5"/>
    <w:rsid w:val="4E0D27AA"/>
    <w:rsid w:val="4E121D51"/>
    <w:rsid w:val="4E131F3A"/>
    <w:rsid w:val="4E1C7C1C"/>
    <w:rsid w:val="4E233D62"/>
    <w:rsid w:val="4E241749"/>
    <w:rsid w:val="4E2D35F4"/>
    <w:rsid w:val="4E2F3073"/>
    <w:rsid w:val="4E331A18"/>
    <w:rsid w:val="4E375A60"/>
    <w:rsid w:val="4E395334"/>
    <w:rsid w:val="4E537920"/>
    <w:rsid w:val="4E555954"/>
    <w:rsid w:val="4E557C94"/>
    <w:rsid w:val="4E6879C7"/>
    <w:rsid w:val="4E6B645F"/>
    <w:rsid w:val="4E721B60"/>
    <w:rsid w:val="4E734F8F"/>
    <w:rsid w:val="4E772300"/>
    <w:rsid w:val="4E77522A"/>
    <w:rsid w:val="4E821769"/>
    <w:rsid w:val="4E8A5B90"/>
    <w:rsid w:val="4E8B6898"/>
    <w:rsid w:val="4E8D38D2"/>
    <w:rsid w:val="4E931D00"/>
    <w:rsid w:val="4E9327BD"/>
    <w:rsid w:val="4EA41181"/>
    <w:rsid w:val="4EA63CE8"/>
    <w:rsid w:val="4EA67795"/>
    <w:rsid w:val="4EA824BA"/>
    <w:rsid w:val="4EAA7FE0"/>
    <w:rsid w:val="4EAB1796"/>
    <w:rsid w:val="4EAF48AA"/>
    <w:rsid w:val="4EB42C0C"/>
    <w:rsid w:val="4EB6433D"/>
    <w:rsid w:val="4EBE1CDD"/>
    <w:rsid w:val="4EC015B1"/>
    <w:rsid w:val="4EC12182"/>
    <w:rsid w:val="4EC372F3"/>
    <w:rsid w:val="4ED11A10"/>
    <w:rsid w:val="4EDA5E36"/>
    <w:rsid w:val="4EDE412D"/>
    <w:rsid w:val="4EE5726A"/>
    <w:rsid w:val="4EE9065B"/>
    <w:rsid w:val="4EEE723C"/>
    <w:rsid w:val="4EF320A0"/>
    <w:rsid w:val="4EF44962"/>
    <w:rsid w:val="4EFF5494"/>
    <w:rsid w:val="4F087956"/>
    <w:rsid w:val="4F09139A"/>
    <w:rsid w:val="4F094A9E"/>
    <w:rsid w:val="4F1212A3"/>
    <w:rsid w:val="4F1B0EDE"/>
    <w:rsid w:val="4F1C423B"/>
    <w:rsid w:val="4F1D57EB"/>
    <w:rsid w:val="4F22226C"/>
    <w:rsid w:val="4F2272E3"/>
    <w:rsid w:val="4F2A39EC"/>
    <w:rsid w:val="4F2E6E63"/>
    <w:rsid w:val="4F311B14"/>
    <w:rsid w:val="4F321354"/>
    <w:rsid w:val="4F327331"/>
    <w:rsid w:val="4F366C62"/>
    <w:rsid w:val="4F381A8F"/>
    <w:rsid w:val="4F4519D9"/>
    <w:rsid w:val="4F5368C9"/>
    <w:rsid w:val="4F5979CB"/>
    <w:rsid w:val="4F5F49C4"/>
    <w:rsid w:val="4F6939F7"/>
    <w:rsid w:val="4F744081"/>
    <w:rsid w:val="4F756840"/>
    <w:rsid w:val="4F766114"/>
    <w:rsid w:val="4F7C39A7"/>
    <w:rsid w:val="4F7F76BE"/>
    <w:rsid w:val="4F8E136D"/>
    <w:rsid w:val="4F920444"/>
    <w:rsid w:val="4F950B0E"/>
    <w:rsid w:val="4F9E4811"/>
    <w:rsid w:val="4FA51312"/>
    <w:rsid w:val="4FA7451F"/>
    <w:rsid w:val="4FB47FD6"/>
    <w:rsid w:val="4FBA5581"/>
    <w:rsid w:val="4FBA60A3"/>
    <w:rsid w:val="4FC13833"/>
    <w:rsid w:val="4FC3320E"/>
    <w:rsid w:val="4FC3725F"/>
    <w:rsid w:val="4FC864A4"/>
    <w:rsid w:val="4FC9420B"/>
    <w:rsid w:val="4FCB0034"/>
    <w:rsid w:val="4FDE13FD"/>
    <w:rsid w:val="4FE5239D"/>
    <w:rsid w:val="4FE6773D"/>
    <w:rsid w:val="4FEA269F"/>
    <w:rsid w:val="4FEC0E2A"/>
    <w:rsid w:val="4FF0487B"/>
    <w:rsid w:val="4FF25FC4"/>
    <w:rsid w:val="4FF260E2"/>
    <w:rsid w:val="4FF43C08"/>
    <w:rsid w:val="4FF97471"/>
    <w:rsid w:val="4FFF2A60"/>
    <w:rsid w:val="5004520D"/>
    <w:rsid w:val="50067073"/>
    <w:rsid w:val="500B0F52"/>
    <w:rsid w:val="500D6A78"/>
    <w:rsid w:val="50130483"/>
    <w:rsid w:val="50157ED0"/>
    <w:rsid w:val="50206009"/>
    <w:rsid w:val="50234336"/>
    <w:rsid w:val="502A714C"/>
    <w:rsid w:val="502B33A2"/>
    <w:rsid w:val="50357D7D"/>
    <w:rsid w:val="50377F99"/>
    <w:rsid w:val="503C5070"/>
    <w:rsid w:val="503E30D6"/>
    <w:rsid w:val="504306EC"/>
    <w:rsid w:val="5044508F"/>
    <w:rsid w:val="50521378"/>
    <w:rsid w:val="50534132"/>
    <w:rsid w:val="50546455"/>
    <w:rsid w:val="50556341"/>
    <w:rsid w:val="505722FA"/>
    <w:rsid w:val="505E5526"/>
    <w:rsid w:val="50616DC4"/>
    <w:rsid w:val="50665C75"/>
    <w:rsid w:val="50700DB5"/>
    <w:rsid w:val="50707269"/>
    <w:rsid w:val="50800883"/>
    <w:rsid w:val="50811214"/>
    <w:rsid w:val="50814E31"/>
    <w:rsid w:val="50852AB2"/>
    <w:rsid w:val="508710FB"/>
    <w:rsid w:val="5099030C"/>
    <w:rsid w:val="50A02428"/>
    <w:rsid w:val="50A218B6"/>
    <w:rsid w:val="50A310A9"/>
    <w:rsid w:val="50A373DC"/>
    <w:rsid w:val="50A62359"/>
    <w:rsid w:val="50AB5708"/>
    <w:rsid w:val="50AC149B"/>
    <w:rsid w:val="50B82E88"/>
    <w:rsid w:val="50B9275C"/>
    <w:rsid w:val="50BF4786"/>
    <w:rsid w:val="50C80BF1"/>
    <w:rsid w:val="50CC3A85"/>
    <w:rsid w:val="50CF3D2E"/>
    <w:rsid w:val="50D457E8"/>
    <w:rsid w:val="50DE21C3"/>
    <w:rsid w:val="50E82ABB"/>
    <w:rsid w:val="50F051B9"/>
    <w:rsid w:val="50F33EC0"/>
    <w:rsid w:val="50F43794"/>
    <w:rsid w:val="50FD6A38"/>
    <w:rsid w:val="50FF48D0"/>
    <w:rsid w:val="51065094"/>
    <w:rsid w:val="51087240"/>
    <w:rsid w:val="5116195C"/>
    <w:rsid w:val="51176022"/>
    <w:rsid w:val="511856D5"/>
    <w:rsid w:val="511F5F83"/>
    <w:rsid w:val="51260B6A"/>
    <w:rsid w:val="51363619"/>
    <w:rsid w:val="51422751"/>
    <w:rsid w:val="514A34DF"/>
    <w:rsid w:val="514B3F6A"/>
    <w:rsid w:val="5150517C"/>
    <w:rsid w:val="515626A1"/>
    <w:rsid w:val="5156444F"/>
    <w:rsid w:val="515669E7"/>
    <w:rsid w:val="5160707C"/>
    <w:rsid w:val="51624BA2"/>
    <w:rsid w:val="5167040A"/>
    <w:rsid w:val="516A4ADC"/>
    <w:rsid w:val="516E17C0"/>
    <w:rsid w:val="516E1AD1"/>
    <w:rsid w:val="5172656E"/>
    <w:rsid w:val="51810005"/>
    <w:rsid w:val="51825244"/>
    <w:rsid w:val="51880507"/>
    <w:rsid w:val="518813FC"/>
    <w:rsid w:val="519061B9"/>
    <w:rsid w:val="519A07DF"/>
    <w:rsid w:val="519F1952"/>
    <w:rsid w:val="519F2884"/>
    <w:rsid w:val="51A53C9E"/>
    <w:rsid w:val="51A62D85"/>
    <w:rsid w:val="51A90A23"/>
    <w:rsid w:val="51AA5240"/>
    <w:rsid w:val="51AB479B"/>
    <w:rsid w:val="51AE379C"/>
    <w:rsid w:val="51B855E6"/>
    <w:rsid w:val="51B92CCF"/>
    <w:rsid w:val="51BA263B"/>
    <w:rsid w:val="51BC69A8"/>
    <w:rsid w:val="51C4447B"/>
    <w:rsid w:val="51C70EA9"/>
    <w:rsid w:val="51C92E73"/>
    <w:rsid w:val="51CC64BF"/>
    <w:rsid w:val="51DA64ED"/>
    <w:rsid w:val="51DB7F4F"/>
    <w:rsid w:val="51DC2BA6"/>
    <w:rsid w:val="51DD247A"/>
    <w:rsid w:val="51DE160C"/>
    <w:rsid w:val="51E14DA1"/>
    <w:rsid w:val="51E8486B"/>
    <w:rsid w:val="51EC090F"/>
    <w:rsid w:val="51EF6702"/>
    <w:rsid w:val="51F21DCD"/>
    <w:rsid w:val="51F67DA1"/>
    <w:rsid w:val="51FD0BB6"/>
    <w:rsid w:val="51FE0D6E"/>
    <w:rsid w:val="520355E2"/>
    <w:rsid w:val="520818B6"/>
    <w:rsid w:val="520A6C76"/>
    <w:rsid w:val="520C5713"/>
    <w:rsid w:val="521F0CE5"/>
    <w:rsid w:val="521F2FAF"/>
    <w:rsid w:val="5224454D"/>
    <w:rsid w:val="5227192A"/>
    <w:rsid w:val="52271947"/>
    <w:rsid w:val="522D3402"/>
    <w:rsid w:val="522D51B0"/>
    <w:rsid w:val="52320A18"/>
    <w:rsid w:val="52374C03"/>
    <w:rsid w:val="52391DB4"/>
    <w:rsid w:val="52395E0C"/>
    <w:rsid w:val="523B771C"/>
    <w:rsid w:val="523F4EE3"/>
    <w:rsid w:val="524546A2"/>
    <w:rsid w:val="5247354A"/>
    <w:rsid w:val="52481FEA"/>
    <w:rsid w:val="526A11AC"/>
    <w:rsid w:val="526B7928"/>
    <w:rsid w:val="526D60E9"/>
    <w:rsid w:val="526D6907"/>
    <w:rsid w:val="52734B8D"/>
    <w:rsid w:val="527C6137"/>
    <w:rsid w:val="527C758B"/>
    <w:rsid w:val="527E556C"/>
    <w:rsid w:val="529C0587"/>
    <w:rsid w:val="52A15B9E"/>
    <w:rsid w:val="52A66D10"/>
    <w:rsid w:val="52A7305B"/>
    <w:rsid w:val="52AD718C"/>
    <w:rsid w:val="52AE78A0"/>
    <w:rsid w:val="52B96A43"/>
    <w:rsid w:val="52C02D79"/>
    <w:rsid w:val="52CE17AF"/>
    <w:rsid w:val="52D41ACF"/>
    <w:rsid w:val="52D95337"/>
    <w:rsid w:val="52E431D7"/>
    <w:rsid w:val="52E502A3"/>
    <w:rsid w:val="52E63A37"/>
    <w:rsid w:val="52EB483D"/>
    <w:rsid w:val="52ED0DE3"/>
    <w:rsid w:val="52ED6537"/>
    <w:rsid w:val="52EF3D6F"/>
    <w:rsid w:val="52F04AE9"/>
    <w:rsid w:val="52F11DEE"/>
    <w:rsid w:val="52F537F4"/>
    <w:rsid w:val="52F703CB"/>
    <w:rsid w:val="52F932E4"/>
    <w:rsid w:val="52FA615D"/>
    <w:rsid w:val="52FE35FA"/>
    <w:rsid w:val="5300759F"/>
    <w:rsid w:val="530321A3"/>
    <w:rsid w:val="53086C68"/>
    <w:rsid w:val="530A48DD"/>
    <w:rsid w:val="53116579"/>
    <w:rsid w:val="5311687F"/>
    <w:rsid w:val="531A55EE"/>
    <w:rsid w:val="531C00D0"/>
    <w:rsid w:val="531C6FD2"/>
    <w:rsid w:val="53206076"/>
    <w:rsid w:val="53226CDE"/>
    <w:rsid w:val="53271025"/>
    <w:rsid w:val="532E59C1"/>
    <w:rsid w:val="532E7431"/>
    <w:rsid w:val="53353F57"/>
    <w:rsid w:val="53364538"/>
    <w:rsid w:val="53380FA9"/>
    <w:rsid w:val="533A4B08"/>
    <w:rsid w:val="533D7674"/>
    <w:rsid w:val="533F07AB"/>
    <w:rsid w:val="534529CD"/>
    <w:rsid w:val="53457374"/>
    <w:rsid w:val="53486019"/>
    <w:rsid w:val="534B1475"/>
    <w:rsid w:val="535022B4"/>
    <w:rsid w:val="535075B2"/>
    <w:rsid w:val="53536636"/>
    <w:rsid w:val="53560F95"/>
    <w:rsid w:val="535A55E1"/>
    <w:rsid w:val="535A6478"/>
    <w:rsid w:val="535C1828"/>
    <w:rsid w:val="53603363"/>
    <w:rsid w:val="536A41E2"/>
    <w:rsid w:val="536C0605"/>
    <w:rsid w:val="536E636E"/>
    <w:rsid w:val="536F17F8"/>
    <w:rsid w:val="536F35A6"/>
    <w:rsid w:val="53786C46"/>
    <w:rsid w:val="53794684"/>
    <w:rsid w:val="537B019D"/>
    <w:rsid w:val="537C1E10"/>
    <w:rsid w:val="537D1A12"/>
    <w:rsid w:val="538E7ED0"/>
    <w:rsid w:val="53913AFC"/>
    <w:rsid w:val="539227A8"/>
    <w:rsid w:val="539354E6"/>
    <w:rsid w:val="53990623"/>
    <w:rsid w:val="53A019B1"/>
    <w:rsid w:val="53AE0840"/>
    <w:rsid w:val="53B631FA"/>
    <w:rsid w:val="53BF4E06"/>
    <w:rsid w:val="53C11F3C"/>
    <w:rsid w:val="53C31C9C"/>
    <w:rsid w:val="53C438F2"/>
    <w:rsid w:val="53C77352"/>
    <w:rsid w:val="53D37FD9"/>
    <w:rsid w:val="53D77DB9"/>
    <w:rsid w:val="53D8739D"/>
    <w:rsid w:val="53DA1367"/>
    <w:rsid w:val="53DB6E8D"/>
    <w:rsid w:val="53DF5A4B"/>
    <w:rsid w:val="53E2599D"/>
    <w:rsid w:val="53E40230"/>
    <w:rsid w:val="53E72565"/>
    <w:rsid w:val="53E977FC"/>
    <w:rsid w:val="53EB3ACC"/>
    <w:rsid w:val="53EB7D0C"/>
    <w:rsid w:val="53F549F0"/>
    <w:rsid w:val="53F8359B"/>
    <w:rsid w:val="53FA5565"/>
    <w:rsid w:val="54103A28"/>
    <w:rsid w:val="5410792C"/>
    <w:rsid w:val="541853DB"/>
    <w:rsid w:val="5418636F"/>
    <w:rsid w:val="541C1A6F"/>
    <w:rsid w:val="541D1254"/>
    <w:rsid w:val="54206BAB"/>
    <w:rsid w:val="54222492"/>
    <w:rsid w:val="542757CF"/>
    <w:rsid w:val="54284497"/>
    <w:rsid w:val="542B571F"/>
    <w:rsid w:val="542C6F5C"/>
    <w:rsid w:val="542D3B70"/>
    <w:rsid w:val="543433F6"/>
    <w:rsid w:val="5439467A"/>
    <w:rsid w:val="543A32AD"/>
    <w:rsid w:val="543C3DD0"/>
    <w:rsid w:val="544467E1"/>
    <w:rsid w:val="5445347D"/>
    <w:rsid w:val="5445601B"/>
    <w:rsid w:val="544F3B03"/>
    <w:rsid w:val="54525277"/>
    <w:rsid w:val="545709BF"/>
    <w:rsid w:val="54624EB9"/>
    <w:rsid w:val="5463779A"/>
    <w:rsid w:val="54661FA6"/>
    <w:rsid w:val="54692B85"/>
    <w:rsid w:val="546B4888"/>
    <w:rsid w:val="546C31A2"/>
    <w:rsid w:val="5471215C"/>
    <w:rsid w:val="547736E2"/>
    <w:rsid w:val="54780C2F"/>
    <w:rsid w:val="548573BB"/>
    <w:rsid w:val="54877909"/>
    <w:rsid w:val="548E627B"/>
    <w:rsid w:val="549332C4"/>
    <w:rsid w:val="54957CEE"/>
    <w:rsid w:val="54965ECF"/>
    <w:rsid w:val="54977258"/>
    <w:rsid w:val="5499550F"/>
    <w:rsid w:val="549C03CB"/>
    <w:rsid w:val="549C661D"/>
    <w:rsid w:val="54A53D7C"/>
    <w:rsid w:val="54C14E3F"/>
    <w:rsid w:val="54C3054C"/>
    <w:rsid w:val="54C806BA"/>
    <w:rsid w:val="54C87412"/>
    <w:rsid w:val="54CB0CB0"/>
    <w:rsid w:val="54CC7AC8"/>
    <w:rsid w:val="54D827E0"/>
    <w:rsid w:val="54DA272A"/>
    <w:rsid w:val="54DB06F3"/>
    <w:rsid w:val="54E83610"/>
    <w:rsid w:val="54EA7EC3"/>
    <w:rsid w:val="54EB1352"/>
    <w:rsid w:val="54F1026B"/>
    <w:rsid w:val="54F1103D"/>
    <w:rsid w:val="54F25C8B"/>
    <w:rsid w:val="54F678C9"/>
    <w:rsid w:val="54FE4633"/>
    <w:rsid w:val="55045144"/>
    <w:rsid w:val="55055F70"/>
    <w:rsid w:val="55166762"/>
    <w:rsid w:val="55236D3E"/>
    <w:rsid w:val="552705DC"/>
    <w:rsid w:val="55284354"/>
    <w:rsid w:val="552F56E3"/>
    <w:rsid w:val="55320D2F"/>
    <w:rsid w:val="5532240D"/>
    <w:rsid w:val="553739C0"/>
    <w:rsid w:val="553928F3"/>
    <w:rsid w:val="55421934"/>
    <w:rsid w:val="55450A62"/>
    <w:rsid w:val="554A0C9E"/>
    <w:rsid w:val="554F1507"/>
    <w:rsid w:val="554F1BF3"/>
    <w:rsid w:val="555420CC"/>
    <w:rsid w:val="55582538"/>
    <w:rsid w:val="555D68AC"/>
    <w:rsid w:val="555F65A5"/>
    <w:rsid w:val="5564034E"/>
    <w:rsid w:val="5565489D"/>
    <w:rsid w:val="556A04C9"/>
    <w:rsid w:val="556A56B6"/>
    <w:rsid w:val="556C0353"/>
    <w:rsid w:val="556E5D90"/>
    <w:rsid w:val="557E6181"/>
    <w:rsid w:val="55804B41"/>
    <w:rsid w:val="55807CEC"/>
    <w:rsid w:val="5588094F"/>
    <w:rsid w:val="558F1CDD"/>
    <w:rsid w:val="55A02195"/>
    <w:rsid w:val="55A41C2D"/>
    <w:rsid w:val="55A75279"/>
    <w:rsid w:val="55A81B76"/>
    <w:rsid w:val="55B00195"/>
    <w:rsid w:val="55B16F5E"/>
    <w:rsid w:val="55B31E70"/>
    <w:rsid w:val="55B94FAC"/>
    <w:rsid w:val="55BB2AD2"/>
    <w:rsid w:val="55BF3799"/>
    <w:rsid w:val="55C27722"/>
    <w:rsid w:val="55C36183"/>
    <w:rsid w:val="55C403A3"/>
    <w:rsid w:val="55C4407D"/>
    <w:rsid w:val="55C73193"/>
    <w:rsid w:val="55C76818"/>
    <w:rsid w:val="55C961B4"/>
    <w:rsid w:val="55D2625E"/>
    <w:rsid w:val="55DA38A0"/>
    <w:rsid w:val="55DB13C7"/>
    <w:rsid w:val="55E97640"/>
    <w:rsid w:val="55EA33B8"/>
    <w:rsid w:val="55EC5382"/>
    <w:rsid w:val="55F14746"/>
    <w:rsid w:val="55F221C8"/>
    <w:rsid w:val="55F2604B"/>
    <w:rsid w:val="55F7482D"/>
    <w:rsid w:val="55F74830"/>
    <w:rsid w:val="56026953"/>
    <w:rsid w:val="560468F6"/>
    <w:rsid w:val="56113843"/>
    <w:rsid w:val="56144780"/>
    <w:rsid w:val="56150435"/>
    <w:rsid w:val="561F15E3"/>
    <w:rsid w:val="5622420A"/>
    <w:rsid w:val="562D6668"/>
    <w:rsid w:val="56312D95"/>
    <w:rsid w:val="5637264E"/>
    <w:rsid w:val="563945B3"/>
    <w:rsid w:val="563F0D72"/>
    <w:rsid w:val="56440687"/>
    <w:rsid w:val="56444AB4"/>
    <w:rsid w:val="56452BCB"/>
    <w:rsid w:val="564927D4"/>
    <w:rsid w:val="564C6FD3"/>
    <w:rsid w:val="56545B02"/>
    <w:rsid w:val="566025B8"/>
    <w:rsid w:val="56603417"/>
    <w:rsid w:val="56644F18"/>
    <w:rsid w:val="56646BDD"/>
    <w:rsid w:val="566748DD"/>
    <w:rsid w:val="56755377"/>
    <w:rsid w:val="56785D5C"/>
    <w:rsid w:val="56837A94"/>
    <w:rsid w:val="568836AC"/>
    <w:rsid w:val="568C04A9"/>
    <w:rsid w:val="568F6618"/>
    <w:rsid w:val="569128AC"/>
    <w:rsid w:val="56921A85"/>
    <w:rsid w:val="56973DCC"/>
    <w:rsid w:val="569A4DDE"/>
    <w:rsid w:val="569C2AFB"/>
    <w:rsid w:val="56AB6D07"/>
    <w:rsid w:val="56AD2D63"/>
    <w:rsid w:val="56AD4B11"/>
    <w:rsid w:val="56B93E41"/>
    <w:rsid w:val="56C85EF8"/>
    <w:rsid w:val="56D227CA"/>
    <w:rsid w:val="56D402F0"/>
    <w:rsid w:val="56D54068"/>
    <w:rsid w:val="56D94391"/>
    <w:rsid w:val="56E01FD3"/>
    <w:rsid w:val="56E60023"/>
    <w:rsid w:val="56F72ACE"/>
    <w:rsid w:val="56F83D23"/>
    <w:rsid w:val="56FB1D20"/>
    <w:rsid w:val="56FC15F5"/>
    <w:rsid w:val="57026E46"/>
    <w:rsid w:val="57041072"/>
    <w:rsid w:val="570C4656"/>
    <w:rsid w:val="570D3802"/>
    <w:rsid w:val="57154464"/>
    <w:rsid w:val="57174680"/>
    <w:rsid w:val="5717642E"/>
    <w:rsid w:val="57203535"/>
    <w:rsid w:val="573462C4"/>
    <w:rsid w:val="57347A2F"/>
    <w:rsid w:val="5735698D"/>
    <w:rsid w:val="573B211D"/>
    <w:rsid w:val="573B6A92"/>
    <w:rsid w:val="573C40E7"/>
    <w:rsid w:val="573F088A"/>
    <w:rsid w:val="573F1A51"/>
    <w:rsid w:val="57481DED"/>
    <w:rsid w:val="574E4D83"/>
    <w:rsid w:val="575718DC"/>
    <w:rsid w:val="575D50DC"/>
    <w:rsid w:val="576176AA"/>
    <w:rsid w:val="57694C35"/>
    <w:rsid w:val="5774402B"/>
    <w:rsid w:val="577F4CE4"/>
    <w:rsid w:val="57814294"/>
    <w:rsid w:val="57945CD1"/>
    <w:rsid w:val="579542E2"/>
    <w:rsid w:val="57A05711"/>
    <w:rsid w:val="57A16CEB"/>
    <w:rsid w:val="57A314E8"/>
    <w:rsid w:val="57A33DBD"/>
    <w:rsid w:val="57A9177C"/>
    <w:rsid w:val="57AB105E"/>
    <w:rsid w:val="57B65C47"/>
    <w:rsid w:val="57B679F5"/>
    <w:rsid w:val="57B87ECB"/>
    <w:rsid w:val="57C00175"/>
    <w:rsid w:val="57C33EC0"/>
    <w:rsid w:val="57CB6AE4"/>
    <w:rsid w:val="57D8796C"/>
    <w:rsid w:val="57DB5B54"/>
    <w:rsid w:val="57E15E8A"/>
    <w:rsid w:val="57E5652D"/>
    <w:rsid w:val="57E75E01"/>
    <w:rsid w:val="57EA58F1"/>
    <w:rsid w:val="57EF14B5"/>
    <w:rsid w:val="58005114"/>
    <w:rsid w:val="580469B3"/>
    <w:rsid w:val="580A7D41"/>
    <w:rsid w:val="58117322"/>
    <w:rsid w:val="58170A85"/>
    <w:rsid w:val="581D5CC6"/>
    <w:rsid w:val="58241620"/>
    <w:rsid w:val="582818A8"/>
    <w:rsid w:val="5829466B"/>
    <w:rsid w:val="582B1367"/>
    <w:rsid w:val="5830221D"/>
    <w:rsid w:val="583161A3"/>
    <w:rsid w:val="58337D56"/>
    <w:rsid w:val="583B614D"/>
    <w:rsid w:val="583E2172"/>
    <w:rsid w:val="584A3CB1"/>
    <w:rsid w:val="584E7C2E"/>
    <w:rsid w:val="58535244"/>
    <w:rsid w:val="5853793A"/>
    <w:rsid w:val="585A69C8"/>
    <w:rsid w:val="586466E1"/>
    <w:rsid w:val="586618D3"/>
    <w:rsid w:val="58675193"/>
    <w:rsid w:val="586B4C84"/>
    <w:rsid w:val="58746BD9"/>
    <w:rsid w:val="587F24DD"/>
    <w:rsid w:val="58841452"/>
    <w:rsid w:val="58896EB8"/>
    <w:rsid w:val="588E2720"/>
    <w:rsid w:val="5895585D"/>
    <w:rsid w:val="58977827"/>
    <w:rsid w:val="589B4229"/>
    <w:rsid w:val="58A91308"/>
    <w:rsid w:val="58AD53C5"/>
    <w:rsid w:val="58B531C5"/>
    <w:rsid w:val="58B76099"/>
    <w:rsid w:val="58BC5126"/>
    <w:rsid w:val="58BD4DB3"/>
    <w:rsid w:val="58BD6086"/>
    <w:rsid w:val="58C257CD"/>
    <w:rsid w:val="58DB6D15"/>
    <w:rsid w:val="58E81E30"/>
    <w:rsid w:val="58F479E3"/>
    <w:rsid w:val="58FF22DB"/>
    <w:rsid w:val="590649AC"/>
    <w:rsid w:val="590824D3"/>
    <w:rsid w:val="590A2C81"/>
    <w:rsid w:val="590B7C9C"/>
    <w:rsid w:val="59101387"/>
    <w:rsid w:val="5915074C"/>
    <w:rsid w:val="59195665"/>
    <w:rsid w:val="591A49CA"/>
    <w:rsid w:val="59215342"/>
    <w:rsid w:val="59257140"/>
    <w:rsid w:val="592738E1"/>
    <w:rsid w:val="59305585"/>
    <w:rsid w:val="59361550"/>
    <w:rsid w:val="5947124D"/>
    <w:rsid w:val="594A4899"/>
    <w:rsid w:val="595079D6"/>
    <w:rsid w:val="59545718"/>
    <w:rsid w:val="59577BD8"/>
    <w:rsid w:val="595B79AC"/>
    <w:rsid w:val="595C637A"/>
    <w:rsid w:val="595F09CA"/>
    <w:rsid w:val="59653481"/>
    <w:rsid w:val="59657925"/>
    <w:rsid w:val="59693390"/>
    <w:rsid w:val="59725B9E"/>
    <w:rsid w:val="5973527B"/>
    <w:rsid w:val="59753252"/>
    <w:rsid w:val="59774467"/>
    <w:rsid w:val="59786A09"/>
    <w:rsid w:val="597914B4"/>
    <w:rsid w:val="597B2CA5"/>
    <w:rsid w:val="5980290A"/>
    <w:rsid w:val="598729A5"/>
    <w:rsid w:val="598A2EE8"/>
    <w:rsid w:val="598A35B0"/>
    <w:rsid w:val="599124C8"/>
    <w:rsid w:val="599B3347"/>
    <w:rsid w:val="59A01D23"/>
    <w:rsid w:val="59A12B57"/>
    <w:rsid w:val="59A87D08"/>
    <w:rsid w:val="59A9669B"/>
    <w:rsid w:val="59B17140"/>
    <w:rsid w:val="59B43525"/>
    <w:rsid w:val="59B611D6"/>
    <w:rsid w:val="59B678AD"/>
    <w:rsid w:val="59BA0642"/>
    <w:rsid w:val="59BA4AC3"/>
    <w:rsid w:val="59BA76B2"/>
    <w:rsid w:val="59BE19FA"/>
    <w:rsid w:val="59C26858"/>
    <w:rsid w:val="59C33FA5"/>
    <w:rsid w:val="59C349D5"/>
    <w:rsid w:val="59C356A8"/>
    <w:rsid w:val="59C61D34"/>
    <w:rsid w:val="59CF1242"/>
    <w:rsid w:val="59D6612D"/>
    <w:rsid w:val="59D811AC"/>
    <w:rsid w:val="59E91753"/>
    <w:rsid w:val="59EC0FAB"/>
    <w:rsid w:val="59F2707E"/>
    <w:rsid w:val="59F94AC0"/>
    <w:rsid w:val="59FE6DC7"/>
    <w:rsid w:val="5A013D74"/>
    <w:rsid w:val="5A0802B0"/>
    <w:rsid w:val="5A0C1B4F"/>
    <w:rsid w:val="5A0F6902"/>
    <w:rsid w:val="5A0F707A"/>
    <w:rsid w:val="5A137B38"/>
    <w:rsid w:val="5A1B4488"/>
    <w:rsid w:val="5A1E1882"/>
    <w:rsid w:val="5A221372"/>
    <w:rsid w:val="5A3022F6"/>
    <w:rsid w:val="5A35111C"/>
    <w:rsid w:val="5A357F97"/>
    <w:rsid w:val="5A3B5FA0"/>
    <w:rsid w:val="5A3E3CD2"/>
    <w:rsid w:val="5A424EF9"/>
    <w:rsid w:val="5A427B73"/>
    <w:rsid w:val="5A47702B"/>
    <w:rsid w:val="5A4F5EDF"/>
    <w:rsid w:val="5A5217AD"/>
    <w:rsid w:val="5A56726E"/>
    <w:rsid w:val="5A5D0617"/>
    <w:rsid w:val="5A693C91"/>
    <w:rsid w:val="5A6D3649"/>
    <w:rsid w:val="5A6E45B7"/>
    <w:rsid w:val="5A70032F"/>
    <w:rsid w:val="5A7029DE"/>
    <w:rsid w:val="5A764DB1"/>
    <w:rsid w:val="5A79768C"/>
    <w:rsid w:val="5A7D778E"/>
    <w:rsid w:val="5A830771"/>
    <w:rsid w:val="5A84202D"/>
    <w:rsid w:val="5A851901"/>
    <w:rsid w:val="5A871B1D"/>
    <w:rsid w:val="5A8A4D39"/>
    <w:rsid w:val="5A8D5B3C"/>
    <w:rsid w:val="5A8E7C34"/>
    <w:rsid w:val="5A900A91"/>
    <w:rsid w:val="5A911684"/>
    <w:rsid w:val="5A955FE8"/>
    <w:rsid w:val="5A971D60"/>
    <w:rsid w:val="5A98429A"/>
    <w:rsid w:val="5A985AD8"/>
    <w:rsid w:val="5A987886"/>
    <w:rsid w:val="5AA44D16"/>
    <w:rsid w:val="5AA71877"/>
    <w:rsid w:val="5AAB2214"/>
    <w:rsid w:val="5AAC3332"/>
    <w:rsid w:val="5AAC5656"/>
    <w:rsid w:val="5AAC58EC"/>
    <w:rsid w:val="5AAE0E58"/>
    <w:rsid w:val="5AAE2C06"/>
    <w:rsid w:val="5AB61502"/>
    <w:rsid w:val="5AB660D5"/>
    <w:rsid w:val="5AC36D53"/>
    <w:rsid w:val="5AC71F19"/>
    <w:rsid w:val="5AD02E77"/>
    <w:rsid w:val="5AD572B3"/>
    <w:rsid w:val="5ADC59C5"/>
    <w:rsid w:val="5AE40D1D"/>
    <w:rsid w:val="5AE54559"/>
    <w:rsid w:val="5AE623A0"/>
    <w:rsid w:val="5AE76118"/>
    <w:rsid w:val="5AEB6539"/>
    <w:rsid w:val="5AF341FE"/>
    <w:rsid w:val="5AF34ABD"/>
    <w:rsid w:val="5AF52F61"/>
    <w:rsid w:val="5AF56B7C"/>
    <w:rsid w:val="5B026770"/>
    <w:rsid w:val="5B0E7B10"/>
    <w:rsid w:val="5B101A24"/>
    <w:rsid w:val="5B1213E7"/>
    <w:rsid w:val="5B12588A"/>
    <w:rsid w:val="5B141BEC"/>
    <w:rsid w:val="5B14445E"/>
    <w:rsid w:val="5B162D21"/>
    <w:rsid w:val="5B184523"/>
    <w:rsid w:val="5B1B60CD"/>
    <w:rsid w:val="5B1E1D7F"/>
    <w:rsid w:val="5B24736C"/>
    <w:rsid w:val="5B3A6B8F"/>
    <w:rsid w:val="5B402FBF"/>
    <w:rsid w:val="5B4041A6"/>
    <w:rsid w:val="5B411CCC"/>
    <w:rsid w:val="5B432757"/>
    <w:rsid w:val="5B466CB4"/>
    <w:rsid w:val="5B52424E"/>
    <w:rsid w:val="5B547C51"/>
    <w:rsid w:val="5B557525"/>
    <w:rsid w:val="5B607464"/>
    <w:rsid w:val="5B6559BA"/>
    <w:rsid w:val="5B6836FC"/>
    <w:rsid w:val="5B6A0175"/>
    <w:rsid w:val="5B835E40"/>
    <w:rsid w:val="5B8878FB"/>
    <w:rsid w:val="5B8B5DF2"/>
    <w:rsid w:val="5B8B67D2"/>
    <w:rsid w:val="5B935248"/>
    <w:rsid w:val="5B94004E"/>
    <w:rsid w:val="5B962018"/>
    <w:rsid w:val="5B9938B6"/>
    <w:rsid w:val="5B995664"/>
    <w:rsid w:val="5B9B5880"/>
    <w:rsid w:val="5B9E711E"/>
    <w:rsid w:val="5BA477D9"/>
    <w:rsid w:val="5BBB1A7E"/>
    <w:rsid w:val="5BC20A0D"/>
    <w:rsid w:val="5BC36B85"/>
    <w:rsid w:val="5BC546AB"/>
    <w:rsid w:val="5BC70423"/>
    <w:rsid w:val="5BCD355F"/>
    <w:rsid w:val="5BD95D9C"/>
    <w:rsid w:val="5BDE5E3D"/>
    <w:rsid w:val="5BE32D83"/>
    <w:rsid w:val="5BE45A4A"/>
    <w:rsid w:val="5BE52C87"/>
    <w:rsid w:val="5BEA7864"/>
    <w:rsid w:val="5BED775E"/>
    <w:rsid w:val="5BF127C1"/>
    <w:rsid w:val="5BF12EF0"/>
    <w:rsid w:val="5BF5277C"/>
    <w:rsid w:val="5BFA12D2"/>
    <w:rsid w:val="5BFE196B"/>
    <w:rsid w:val="5C0351D3"/>
    <w:rsid w:val="5C036F81"/>
    <w:rsid w:val="5C050F4B"/>
    <w:rsid w:val="5C05719D"/>
    <w:rsid w:val="5C0E0F8B"/>
    <w:rsid w:val="5C0E6052"/>
    <w:rsid w:val="5C1318BA"/>
    <w:rsid w:val="5C2102D0"/>
    <w:rsid w:val="5C2869E8"/>
    <w:rsid w:val="5C2E04A2"/>
    <w:rsid w:val="5C304591"/>
    <w:rsid w:val="5C356C4B"/>
    <w:rsid w:val="5C3706D2"/>
    <w:rsid w:val="5C384E7D"/>
    <w:rsid w:val="5C3977B6"/>
    <w:rsid w:val="5C3A119E"/>
    <w:rsid w:val="5C3A6E47"/>
    <w:rsid w:val="5C3F77E8"/>
    <w:rsid w:val="5C42409E"/>
    <w:rsid w:val="5C4F2412"/>
    <w:rsid w:val="5C525071"/>
    <w:rsid w:val="5C583771"/>
    <w:rsid w:val="5C593AC2"/>
    <w:rsid w:val="5C606182"/>
    <w:rsid w:val="5C685E55"/>
    <w:rsid w:val="5C6A7000"/>
    <w:rsid w:val="5C704E57"/>
    <w:rsid w:val="5C741C2D"/>
    <w:rsid w:val="5C7834CB"/>
    <w:rsid w:val="5C79219C"/>
    <w:rsid w:val="5C7D454D"/>
    <w:rsid w:val="5C82259C"/>
    <w:rsid w:val="5C98714B"/>
    <w:rsid w:val="5C9A2256"/>
    <w:rsid w:val="5C9B540C"/>
    <w:rsid w:val="5C9C1945"/>
    <w:rsid w:val="5C9D2289"/>
    <w:rsid w:val="5CA415FB"/>
    <w:rsid w:val="5CA72002"/>
    <w:rsid w:val="5CA83399"/>
    <w:rsid w:val="5CB52971"/>
    <w:rsid w:val="5CC23BA2"/>
    <w:rsid w:val="5CC5181A"/>
    <w:rsid w:val="5CD0702B"/>
    <w:rsid w:val="5CD252D1"/>
    <w:rsid w:val="5CD64696"/>
    <w:rsid w:val="5CDF3213"/>
    <w:rsid w:val="5CE1177F"/>
    <w:rsid w:val="5CE15956"/>
    <w:rsid w:val="5CE17B0A"/>
    <w:rsid w:val="5CE85E55"/>
    <w:rsid w:val="5CE943C9"/>
    <w:rsid w:val="5CF3349A"/>
    <w:rsid w:val="5CF44AE0"/>
    <w:rsid w:val="5CF50FC0"/>
    <w:rsid w:val="5CFA0384"/>
    <w:rsid w:val="5D0631CD"/>
    <w:rsid w:val="5D0D6309"/>
    <w:rsid w:val="5D1458EA"/>
    <w:rsid w:val="5D213B63"/>
    <w:rsid w:val="5D235B2D"/>
    <w:rsid w:val="5D261179"/>
    <w:rsid w:val="5D2672BC"/>
    <w:rsid w:val="5D27532B"/>
    <w:rsid w:val="5D301260"/>
    <w:rsid w:val="5D327B1E"/>
    <w:rsid w:val="5D3B6F2A"/>
    <w:rsid w:val="5D3E051F"/>
    <w:rsid w:val="5D441E39"/>
    <w:rsid w:val="5D515259"/>
    <w:rsid w:val="5D584A99"/>
    <w:rsid w:val="5D5B1A33"/>
    <w:rsid w:val="5D5C4B9B"/>
    <w:rsid w:val="5D613BCB"/>
    <w:rsid w:val="5D6250B4"/>
    <w:rsid w:val="5D631084"/>
    <w:rsid w:val="5D681792"/>
    <w:rsid w:val="5D7E0E10"/>
    <w:rsid w:val="5D7F34E2"/>
    <w:rsid w:val="5D820D7F"/>
    <w:rsid w:val="5D8331B0"/>
    <w:rsid w:val="5D876A04"/>
    <w:rsid w:val="5D884E5F"/>
    <w:rsid w:val="5D8F289A"/>
    <w:rsid w:val="5D9216EA"/>
    <w:rsid w:val="5D943DC1"/>
    <w:rsid w:val="5D9702C9"/>
    <w:rsid w:val="5DA14CA4"/>
    <w:rsid w:val="5DA34FE8"/>
    <w:rsid w:val="5DA87DE0"/>
    <w:rsid w:val="5DAC0B1E"/>
    <w:rsid w:val="5DAF3EB2"/>
    <w:rsid w:val="5DB4354B"/>
    <w:rsid w:val="5DBC7D30"/>
    <w:rsid w:val="5DBE13B2"/>
    <w:rsid w:val="5DBF512A"/>
    <w:rsid w:val="5DC15346"/>
    <w:rsid w:val="5DC170F4"/>
    <w:rsid w:val="5DC7223B"/>
    <w:rsid w:val="5DCD5A99"/>
    <w:rsid w:val="5DCF35BF"/>
    <w:rsid w:val="5DD24E5D"/>
    <w:rsid w:val="5DDC146F"/>
    <w:rsid w:val="5DDC5CDC"/>
    <w:rsid w:val="5DED613B"/>
    <w:rsid w:val="5DEF2DC9"/>
    <w:rsid w:val="5DF23751"/>
    <w:rsid w:val="5DF272AD"/>
    <w:rsid w:val="5DF70D68"/>
    <w:rsid w:val="5DFD07C0"/>
    <w:rsid w:val="5E005E6E"/>
    <w:rsid w:val="5E021BE6"/>
    <w:rsid w:val="5E041FD8"/>
    <w:rsid w:val="5E0764B7"/>
    <w:rsid w:val="5E113BD7"/>
    <w:rsid w:val="5E127071"/>
    <w:rsid w:val="5E1611EE"/>
    <w:rsid w:val="5E1704AA"/>
    <w:rsid w:val="5E182F25"/>
    <w:rsid w:val="5E18474A"/>
    <w:rsid w:val="5E1D5B3E"/>
    <w:rsid w:val="5E1E3878"/>
    <w:rsid w:val="5E20206C"/>
    <w:rsid w:val="5E203E1A"/>
    <w:rsid w:val="5E254020"/>
    <w:rsid w:val="5E2A6A47"/>
    <w:rsid w:val="5E2F35DF"/>
    <w:rsid w:val="5E345B18"/>
    <w:rsid w:val="5E40270F"/>
    <w:rsid w:val="5E422C68"/>
    <w:rsid w:val="5E427006"/>
    <w:rsid w:val="5E483371"/>
    <w:rsid w:val="5E4A3516"/>
    <w:rsid w:val="5E4C4C10"/>
    <w:rsid w:val="5E4C6BBC"/>
    <w:rsid w:val="5E4F1CDA"/>
    <w:rsid w:val="5E512CA7"/>
    <w:rsid w:val="5E5166CA"/>
    <w:rsid w:val="5E536942"/>
    <w:rsid w:val="5E545207"/>
    <w:rsid w:val="5E5810F8"/>
    <w:rsid w:val="5E5B3EC8"/>
    <w:rsid w:val="5E5E2B95"/>
    <w:rsid w:val="5E60047B"/>
    <w:rsid w:val="5E6155FE"/>
    <w:rsid w:val="5E79352B"/>
    <w:rsid w:val="5E7C38CA"/>
    <w:rsid w:val="5E8124A0"/>
    <w:rsid w:val="5E8E26A4"/>
    <w:rsid w:val="5E8E6FD6"/>
    <w:rsid w:val="5E9465B6"/>
    <w:rsid w:val="5E9642D7"/>
    <w:rsid w:val="5EAB402C"/>
    <w:rsid w:val="5EAE7678"/>
    <w:rsid w:val="5EAF6076"/>
    <w:rsid w:val="5EB033F0"/>
    <w:rsid w:val="5EB2314A"/>
    <w:rsid w:val="5EB506B9"/>
    <w:rsid w:val="5EB56C59"/>
    <w:rsid w:val="5EC450EE"/>
    <w:rsid w:val="5EC648CD"/>
    <w:rsid w:val="5EC809F4"/>
    <w:rsid w:val="5ECF54EF"/>
    <w:rsid w:val="5ED21322"/>
    <w:rsid w:val="5ED74E21"/>
    <w:rsid w:val="5EDB5F93"/>
    <w:rsid w:val="5EE20946"/>
    <w:rsid w:val="5EFA18BB"/>
    <w:rsid w:val="5EFF1C82"/>
    <w:rsid w:val="5F014F67"/>
    <w:rsid w:val="5F03515E"/>
    <w:rsid w:val="5F0D1098"/>
    <w:rsid w:val="5F0D5F64"/>
    <w:rsid w:val="5F0F19B8"/>
    <w:rsid w:val="5F1A6ABC"/>
    <w:rsid w:val="5F1F40D2"/>
    <w:rsid w:val="5F20181C"/>
    <w:rsid w:val="5F204EA0"/>
    <w:rsid w:val="5F225970"/>
    <w:rsid w:val="5F2660BA"/>
    <w:rsid w:val="5F27521E"/>
    <w:rsid w:val="5F2E60FA"/>
    <w:rsid w:val="5F3608F5"/>
    <w:rsid w:val="5F3C27B6"/>
    <w:rsid w:val="5F3D00E1"/>
    <w:rsid w:val="5F3D09FC"/>
    <w:rsid w:val="5F3D1770"/>
    <w:rsid w:val="5F3D3985"/>
    <w:rsid w:val="5F3D4715"/>
    <w:rsid w:val="5F40363E"/>
    <w:rsid w:val="5F477C2A"/>
    <w:rsid w:val="5F49114F"/>
    <w:rsid w:val="5F561124"/>
    <w:rsid w:val="5F5875E4"/>
    <w:rsid w:val="5F5E28DD"/>
    <w:rsid w:val="5F6076AF"/>
    <w:rsid w:val="5F795F2D"/>
    <w:rsid w:val="5F7F7F09"/>
    <w:rsid w:val="5F814D8D"/>
    <w:rsid w:val="5F8613F6"/>
    <w:rsid w:val="5F8B1768"/>
    <w:rsid w:val="5F922535"/>
    <w:rsid w:val="5F966721"/>
    <w:rsid w:val="5F973A30"/>
    <w:rsid w:val="5F9F3D14"/>
    <w:rsid w:val="5FA01B9B"/>
    <w:rsid w:val="5FA47A9A"/>
    <w:rsid w:val="5FA62A45"/>
    <w:rsid w:val="5FA865BC"/>
    <w:rsid w:val="5FAB3BB8"/>
    <w:rsid w:val="5FAF1A92"/>
    <w:rsid w:val="5FAF52EE"/>
    <w:rsid w:val="5FB4701C"/>
    <w:rsid w:val="5FB54A36"/>
    <w:rsid w:val="5FB707AE"/>
    <w:rsid w:val="5FC34143"/>
    <w:rsid w:val="5FCB4CE9"/>
    <w:rsid w:val="5FCE7E87"/>
    <w:rsid w:val="5FD762BF"/>
    <w:rsid w:val="5FDC0215"/>
    <w:rsid w:val="5FE417AD"/>
    <w:rsid w:val="5FED5F7E"/>
    <w:rsid w:val="5FEF1CF6"/>
    <w:rsid w:val="5FEF48C7"/>
    <w:rsid w:val="5FF078FF"/>
    <w:rsid w:val="5FF13CC0"/>
    <w:rsid w:val="5FF4555F"/>
    <w:rsid w:val="5FF92B75"/>
    <w:rsid w:val="5FFE1F39"/>
    <w:rsid w:val="60057CBB"/>
    <w:rsid w:val="600B4656"/>
    <w:rsid w:val="600F2399"/>
    <w:rsid w:val="60136F65"/>
    <w:rsid w:val="60174A64"/>
    <w:rsid w:val="601B0B11"/>
    <w:rsid w:val="601F4A3C"/>
    <w:rsid w:val="6025396A"/>
    <w:rsid w:val="602A5424"/>
    <w:rsid w:val="602B3912"/>
    <w:rsid w:val="602C265E"/>
    <w:rsid w:val="60341DFF"/>
    <w:rsid w:val="60352AAC"/>
    <w:rsid w:val="60402552"/>
    <w:rsid w:val="60411AA3"/>
    <w:rsid w:val="60491A92"/>
    <w:rsid w:val="60494C8A"/>
    <w:rsid w:val="604963AA"/>
    <w:rsid w:val="604A517F"/>
    <w:rsid w:val="604F32A9"/>
    <w:rsid w:val="60580360"/>
    <w:rsid w:val="60624553"/>
    <w:rsid w:val="606303E1"/>
    <w:rsid w:val="60633696"/>
    <w:rsid w:val="606359E6"/>
    <w:rsid w:val="60636240"/>
    <w:rsid w:val="606964C9"/>
    <w:rsid w:val="606E745A"/>
    <w:rsid w:val="60725DA9"/>
    <w:rsid w:val="607526B4"/>
    <w:rsid w:val="6084377A"/>
    <w:rsid w:val="60A13198"/>
    <w:rsid w:val="60A24FBB"/>
    <w:rsid w:val="60A521A0"/>
    <w:rsid w:val="60A87C3C"/>
    <w:rsid w:val="60AE1BB1"/>
    <w:rsid w:val="60B01290"/>
    <w:rsid w:val="60BB348D"/>
    <w:rsid w:val="60BD2AB5"/>
    <w:rsid w:val="60C33FC4"/>
    <w:rsid w:val="60C72C73"/>
    <w:rsid w:val="60D1764E"/>
    <w:rsid w:val="60D204EC"/>
    <w:rsid w:val="60D63B2E"/>
    <w:rsid w:val="60D809DC"/>
    <w:rsid w:val="60DF1D6B"/>
    <w:rsid w:val="60E277A8"/>
    <w:rsid w:val="60E47381"/>
    <w:rsid w:val="60E65FC9"/>
    <w:rsid w:val="60E72964"/>
    <w:rsid w:val="60EA66DE"/>
    <w:rsid w:val="60F4056F"/>
    <w:rsid w:val="610060A8"/>
    <w:rsid w:val="61050A04"/>
    <w:rsid w:val="61066AA3"/>
    <w:rsid w:val="61094D17"/>
    <w:rsid w:val="61113EEE"/>
    <w:rsid w:val="61137C66"/>
    <w:rsid w:val="61177312"/>
    <w:rsid w:val="612F2105"/>
    <w:rsid w:val="612F3E61"/>
    <w:rsid w:val="61333E65"/>
    <w:rsid w:val="61377DF9"/>
    <w:rsid w:val="61380167"/>
    <w:rsid w:val="613A3445"/>
    <w:rsid w:val="613F6CAD"/>
    <w:rsid w:val="614147D4"/>
    <w:rsid w:val="6145155F"/>
    <w:rsid w:val="6146003C"/>
    <w:rsid w:val="6149117D"/>
    <w:rsid w:val="614B7400"/>
    <w:rsid w:val="614C6AAF"/>
    <w:rsid w:val="614E0C9F"/>
    <w:rsid w:val="61520175"/>
    <w:rsid w:val="615A5895"/>
    <w:rsid w:val="61614E76"/>
    <w:rsid w:val="6162299C"/>
    <w:rsid w:val="61627EF2"/>
    <w:rsid w:val="616404C2"/>
    <w:rsid w:val="61690897"/>
    <w:rsid w:val="61694115"/>
    <w:rsid w:val="61696F28"/>
    <w:rsid w:val="617B5F04"/>
    <w:rsid w:val="617E7ECA"/>
    <w:rsid w:val="61813BF8"/>
    <w:rsid w:val="61840B64"/>
    <w:rsid w:val="618E553F"/>
    <w:rsid w:val="6192502F"/>
    <w:rsid w:val="619F774C"/>
    <w:rsid w:val="61A30A46"/>
    <w:rsid w:val="61A42FB4"/>
    <w:rsid w:val="61AD67D9"/>
    <w:rsid w:val="61BE00C7"/>
    <w:rsid w:val="61C667E4"/>
    <w:rsid w:val="61D05715"/>
    <w:rsid w:val="61DB43ED"/>
    <w:rsid w:val="61DC44FC"/>
    <w:rsid w:val="61E1276F"/>
    <w:rsid w:val="61E84C4F"/>
    <w:rsid w:val="61ED12FA"/>
    <w:rsid w:val="61F24E65"/>
    <w:rsid w:val="61F47A98"/>
    <w:rsid w:val="61FC6B54"/>
    <w:rsid w:val="62010C3C"/>
    <w:rsid w:val="6208709F"/>
    <w:rsid w:val="62132AC5"/>
    <w:rsid w:val="622112F5"/>
    <w:rsid w:val="622A102E"/>
    <w:rsid w:val="622D3399"/>
    <w:rsid w:val="622D7B47"/>
    <w:rsid w:val="623916BE"/>
    <w:rsid w:val="62402A42"/>
    <w:rsid w:val="62422092"/>
    <w:rsid w:val="624327CD"/>
    <w:rsid w:val="624E486D"/>
    <w:rsid w:val="625A3E18"/>
    <w:rsid w:val="62612C54"/>
    <w:rsid w:val="62686413"/>
    <w:rsid w:val="626B289A"/>
    <w:rsid w:val="626D784A"/>
    <w:rsid w:val="627806C9"/>
    <w:rsid w:val="62870D02"/>
    <w:rsid w:val="628D57F7"/>
    <w:rsid w:val="6291178B"/>
    <w:rsid w:val="62937F82"/>
    <w:rsid w:val="629503BF"/>
    <w:rsid w:val="6295776A"/>
    <w:rsid w:val="629B323B"/>
    <w:rsid w:val="629B7F14"/>
    <w:rsid w:val="629E37E6"/>
    <w:rsid w:val="62A55264"/>
    <w:rsid w:val="62B00A61"/>
    <w:rsid w:val="62B02E9C"/>
    <w:rsid w:val="62B1113A"/>
    <w:rsid w:val="62B618E2"/>
    <w:rsid w:val="62BC7E8A"/>
    <w:rsid w:val="62C21463"/>
    <w:rsid w:val="62C25C0C"/>
    <w:rsid w:val="62CA0551"/>
    <w:rsid w:val="62CC5762"/>
    <w:rsid w:val="62CD5509"/>
    <w:rsid w:val="62CE653B"/>
    <w:rsid w:val="62CF1196"/>
    <w:rsid w:val="62DD677E"/>
    <w:rsid w:val="62DF0794"/>
    <w:rsid w:val="62E15AE5"/>
    <w:rsid w:val="62E33669"/>
    <w:rsid w:val="62EA2C49"/>
    <w:rsid w:val="62ED7B55"/>
    <w:rsid w:val="62EF64B1"/>
    <w:rsid w:val="62FD472A"/>
    <w:rsid w:val="63077F65"/>
    <w:rsid w:val="630930CF"/>
    <w:rsid w:val="630F445E"/>
    <w:rsid w:val="63212B0F"/>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891F1F"/>
    <w:rsid w:val="638D1F52"/>
    <w:rsid w:val="63950C34"/>
    <w:rsid w:val="639A29D6"/>
    <w:rsid w:val="63A45B72"/>
    <w:rsid w:val="63A53508"/>
    <w:rsid w:val="63AA1BCD"/>
    <w:rsid w:val="63AE1B9F"/>
    <w:rsid w:val="63AE1EC8"/>
    <w:rsid w:val="63B06793"/>
    <w:rsid w:val="63B079EF"/>
    <w:rsid w:val="63BA261B"/>
    <w:rsid w:val="63BB0188"/>
    <w:rsid w:val="63C0668C"/>
    <w:rsid w:val="63C17E4E"/>
    <w:rsid w:val="63C51931"/>
    <w:rsid w:val="63D00091"/>
    <w:rsid w:val="63D62269"/>
    <w:rsid w:val="63DA4A6C"/>
    <w:rsid w:val="63DB4576"/>
    <w:rsid w:val="63E034FC"/>
    <w:rsid w:val="63E7265E"/>
    <w:rsid w:val="63E86948"/>
    <w:rsid w:val="63FB5C60"/>
    <w:rsid w:val="64037F24"/>
    <w:rsid w:val="64046278"/>
    <w:rsid w:val="640E2967"/>
    <w:rsid w:val="640F4B4E"/>
    <w:rsid w:val="64142999"/>
    <w:rsid w:val="64236413"/>
    <w:rsid w:val="642A0B61"/>
    <w:rsid w:val="642B52C7"/>
    <w:rsid w:val="642C3EEA"/>
    <w:rsid w:val="642C54C7"/>
    <w:rsid w:val="642E7A37"/>
    <w:rsid w:val="643237A5"/>
    <w:rsid w:val="64346872"/>
    <w:rsid w:val="6436623C"/>
    <w:rsid w:val="643855FF"/>
    <w:rsid w:val="643A21BF"/>
    <w:rsid w:val="64414AEB"/>
    <w:rsid w:val="64480E21"/>
    <w:rsid w:val="64484B87"/>
    <w:rsid w:val="644B7576"/>
    <w:rsid w:val="645706A8"/>
    <w:rsid w:val="6457430E"/>
    <w:rsid w:val="645E0E3C"/>
    <w:rsid w:val="645F7C17"/>
    <w:rsid w:val="64607667"/>
    <w:rsid w:val="646144B1"/>
    <w:rsid w:val="64626A30"/>
    <w:rsid w:val="646C3B13"/>
    <w:rsid w:val="646F3406"/>
    <w:rsid w:val="64711BB5"/>
    <w:rsid w:val="64711F05"/>
    <w:rsid w:val="64805613"/>
    <w:rsid w:val="64833CCD"/>
    <w:rsid w:val="64886EB0"/>
    <w:rsid w:val="648D7D30"/>
    <w:rsid w:val="649B41FB"/>
    <w:rsid w:val="649E1F3D"/>
    <w:rsid w:val="649E6BD8"/>
    <w:rsid w:val="64A537E1"/>
    <w:rsid w:val="64AC59A7"/>
    <w:rsid w:val="64B04BF4"/>
    <w:rsid w:val="64B976B2"/>
    <w:rsid w:val="64BC50A8"/>
    <w:rsid w:val="64CD1C8A"/>
    <w:rsid w:val="64D704F4"/>
    <w:rsid w:val="64D771FD"/>
    <w:rsid w:val="64D911C7"/>
    <w:rsid w:val="64DC78B8"/>
    <w:rsid w:val="64DF6B47"/>
    <w:rsid w:val="64E030DF"/>
    <w:rsid w:val="64E1336B"/>
    <w:rsid w:val="64E317FD"/>
    <w:rsid w:val="64E40E6A"/>
    <w:rsid w:val="64E42046"/>
    <w:rsid w:val="64EA5A43"/>
    <w:rsid w:val="64EB4CCD"/>
    <w:rsid w:val="64F54AB1"/>
    <w:rsid w:val="64F664FA"/>
    <w:rsid w:val="64FB189E"/>
    <w:rsid w:val="64FE4ED3"/>
    <w:rsid w:val="65002528"/>
    <w:rsid w:val="6503095F"/>
    <w:rsid w:val="65064C01"/>
    <w:rsid w:val="65065370"/>
    <w:rsid w:val="6509385A"/>
    <w:rsid w:val="650A5824"/>
    <w:rsid w:val="65102E3B"/>
    <w:rsid w:val="651135B3"/>
    <w:rsid w:val="651A0578"/>
    <w:rsid w:val="651B358E"/>
    <w:rsid w:val="651F553D"/>
    <w:rsid w:val="65210331"/>
    <w:rsid w:val="6521758C"/>
    <w:rsid w:val="6522491C"/>
    <w:rsid w:val="6525440C"/>
    <w:rsid w:val="652B0517"/>
    <w:rsid w:val="652B4D81"/>
    <w:rsid w:val="652C2DFC"/>
    <w:rsid w:val="652E32C1"/>
    <w:rsid w:val="6531690D"/>
    <w:rsid w:val="653F294D"/>
    <w:rsid w:val="654C2076"/>
    <w:rsid w:val="654C747E"/>
    <w:rsid w:val="6552134C"/>
    <w:rsid w:val="6553078D"/>
    <w:rsid w:val="65556AA0"/>
    <w:rsid w:val="655B29A5"/>
    <w:rsid w:val="655E40F7"/>
    <w:rsid w:val="656A42D9"/>
    <w:rsid w:val="656F3DC7"/>
    <w:rsid w:val="65782070"/>
    <w:rsid w:val="6579736B"/>
    <w:rsid w:val="657D1B52"/>
    <w:rsid w:val="65841133"/>
    <w:rsid w:val="658730AF"/>
    <w:rsid w:val="65876E75"/>
    <w:rsid w:val="65882D0B"/>
    <w:rsid w:val="65892A2A"/>
    <w:rsid w:val="659059BC"/>
    <w:rsid w:val="65913850"/>
    <w:rsid w:val="65943D2E"/>
    <w:rsid w:val="65994698"/>
    <w:rsid w:val="659A2704"/>
    <w:rsid w:val="659D3FA3"/>
    <w:rsid w:val="65AA24B1"/>
    <w:rsid w:val="65AE4402"/>
    <w:rsid w:val="65B141EA"/>
    <w:rsid w:val="65B25CA0"/>
    <w:rsid w:val="65B337C6"/>
    <w:rsid w:val="65B830BB"/>
    <w:rsid w:val="65B923E3"/>
    <w:rsid w:val="65C32A3D"/>
    <w:rsid w:val="65C50D1A"/>
    <w:rsid w:val="65D21DE8"/>
    <w:rsid w:val="65D315FF"/>
    <w:rsid w:val="65D5605E"/>
    <w:rsid w:val="65D90ED8"/>
    <w:rsid w:val="65DA51F7"/>
    <w:rsid w:val="65E25E59"/>
    <w:rsid w:val="65E6594A"/>
    <w:rsid w:val="65E76CC4"/>
    <w:rsid w:val="65F14EBD"/>
    <w:rsid w:val="65F8526B"/>
    <w:rsid w:val="65F917A1"/>
    <w:rsid w:val="660C0B93"/>
    <w:rsid w:val="660C3AF8"/>
    <w:rsid w:val="660D2ED6"/>
    <w:rsid w:val="660D75BA"/>
    <w:rsid w:val="660D7B9C"/>
    <w:rsid w:val="660F50CF"/>
    <w:rsid w:val="66141D57"/>
    <w:rsid w:val="6615622F"/>
    <w:rsid w:val="66187ACD"/>
    <w:rsid w:val="6620359F"/>
    <w:rsid w:val="662D11E6"/>
    <w:rsid w:val="662E7273"/>
    <w:rsid w:val="662E7893"/>
    <w:rsid w:val="66365D84"/>
    <w:rsid w:val="66391F1D"/>
    <w:rsid w:val="663C7C5F"/>
    <w:rsid w:val="663D7E90"/>
    <w:rsid w:val="663E4910"/>
    <w:rsid w:val="664E34EF"/>
    <w:rsid w:val="66527571"/>
    <w:rsid w:val="66540B05"/>
    <w:rsid w:val="6659436D"/>
    <w:rsid w:val="665D3D8F"/>
    <w:rsid w:val="66602BC7"/>
    <w:rsid w:val="6672542F"/>
    <w:rsid w:val="66741F93"/>
    <w:rsid w:val="667A512E"/>
    <w:rsid w:val="667E42FD"/>
    <w:rsid w:val="66876081"/>
    <w:rsid w:val="668A4527"/>
    <w:rsid w:val="668E78CD"/>
    <w:rsid w:val="66967370"/>
    <w:rsid w:val="66981404"/>
    <w:rsid w:val="669B5028"/>
    <w:rsid w:val="669C06FE"/>
    <w:rsid w:val="669C293B"/>
    <w:rsid w:val="66A7076B"/>
    <w:rsid w:val="66AA4BC9"/>
    <w:rsid w:val="66AC29D5"/>
    <w:rsid w:val="66AD46B9"/>
    <w:rsid w:val="66AE6350"/>
    <w:rsid w:val="66C043ED"/>
    <w:rsid w:val="66CD08B8"/>
    <w:rsid w:val="66D33235"/>
    <w:rsid w:val="66DA37A2"/>
    <w:rsid w:val="66DB485A"/>
    <w:rsid w:val="66DC3E2C"/>
    <w:rsid w:val="66E0352A"/>
    <w:rsid w:val="66E57795"/>
    <w:rsid w:val="66E60D72"/>
    <w:rsid w:val="66ED7FC0"/>
    <w:rsid w:val="66EF6D88"/>
    <w:rsid w:val="66F10A4A"/>
    <w:rsid w:val="66F26570"/>
    <w:rsid w:val="66F6264B"/>
    <w:rsid w:val="66F756B2"/>
    <w:rsid w:val="66FD119D"/>
    <w:rsid w:val="67030A4B"/>
    <w:rsid w:val="6703521B"/>
    <w:rsid w:val="6705639B"/>
    <w:rsid w:val="670C3D42"/>
    <w:rsid w:val="670C780B"/>
    <w:rsid w:val="670F7329"/>
    <w:rsid w:val="6712451C"/>
    <w:rsid w:val="671B6383"/>
    <w:rsid w:val="671C6AEB"/>
    <w:rsid w:val="672030DD"/>
    <w:rsid w:val="67204E8B"/>
    <w:rsid w:val="672C0E52"/>
    <w:rsid w:val="67300A7E"/>
    <w:rsid w:val="674509F6"/>
    <w:rsid w:val="674F0CAD"/>
    <w:rsid w:val="67561D44"/>
    <w:rsid w:val="67582877"/>
    <w:rsid w:val="675863D3"/>
    <w:rsid w:val="6759126B"/>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715F1"/>
    <w:rsid w:val="679A69EC"/>
    <w:rsid w:val="679B09B6"/>
    <w:rsid w:val="67A93F37"/>
    <w:rsid w:val="67B0620F"/>
    <w:rsid w:val="67B42E10"/>
    <w:rsid w:val="67B54917"/>
    <w:rsid w:val="67B81568"/>
    <w:rsid w:val="67BD76E1"/>
    <w:rsid w:val="67CD5013"/>
    <w:rsid w:val="67CD5371"/>
    <w:rsid w:val="67D57A24"/>
    <w:rsid w:val="67DD2D7C"/>
    <w:rsid w:val="67E47BAF"/>
    <w:rsid w:val="67E72967"/>
    <w:rsid w:val="67EC1211"/>
    <w:rsid w:val="67F21EBE"/>
    <w:rsid w:val="67F3434E"/>
    <w:rsid w:val="67F464DC"/>
    <w:rsid w:val="67FC60B7"/>
    <w:rsid w:val="68004A7F"/>
    <w:rsid w:val="68112A26"/>
    <w:rsid w:val="681A18DB"/>
    <w:rsid w:val="681C56E8"/>
    <w:rsid w:val="68232E85"/>
    <w:rsid w:val="6824559E"/>
    <w:rsid w:val="68297D70"/>
    <w:rsid w:val="6833299C"/>
    <w:rsid w:val="68336E40"/>
    <w:rsid w:val="68403AFD"/>
    <w:rsid w:val="6841155D"/>
    <w:rsid w:val="68420E31"/>
    <w:rsid w:val="6844717E"/>
    <w:rsid w:val="684D3A5E"/>
    <w:rsid w:val="684D3B04"/>
    <w:rsid w:val="68541290"/>
    <w:rsid w:val="68544E52"/>
    <w:rsid w:val="68555008"/>
    <w:rsid w:val="686113BA"/>
    <w:rsid w:val="68620649"/>
    <w:rsid w:val="68630D3F"/>
    <w:rsid w:val="686837AF"/>
    <w:rsid w:val="68690E30"/>
    <w:rsid w:val="68703BF0"/>
    <w:rsid w:val="68710AB1"/>
    <w:rsid w:val="68721DB3"/>
    <w:rsid w:val="68727968"/>
    <w:rsid w:val="68752FB5"/>
    <w:rsid w:val="687D5A18"/>
    <w:rsid w:val="68813643"/>
    <w:rsid w:val="6884144A"/>
    <w:rsid w:val="688731D3"/>
    <w:rsid w:val="68980099"/>
    <w:rsid w:val="689D3FFD"/>
    <w:rsid w:val="68AE7647"/>
    <w:rsid w:val="68AF296B"/>
    <w:rsid w:val="68B27FE5"/>
    <w:rsid w:val="68B33CBC"/>
    <w:rsid w:val="68B65AA7"/>
    <w:rsid w:val="68BB130F"/>
    <w:rsid w:val="68BC404D"/>
    <w:rsid w:val="68C05073"/>
    <w:rsid w:val="68C36416"/>
    <w:rsid w:val="68CC0D03"/>
    <w:rsid w:val="68D423D1"/>
    <w:rsid w:val="68E1064A"/>
    <w:rsid w:val="68E52BC5"/>
    <w:rsid w:val="68E71B98"/>
    <w:rsid w:val="68EA39A3"/>
    <w:rsid w:val="68ED3493"/>
    <w:rsid w:val="68F14D31"/>
    <w:rsid w:val="68F63FD0"/>
    <w:rsid w:val="68F951EB"/>
    <w:rsid w:val="68FA0D09"/>
    <w:rsid w:val="690507DD"/>
    <w:rsid w:val="690518E3"/>
    <w:rsid w:val="69074555"/>
    <w:rsid w:val="69090935"/>
    <w:rsid w:val="6913778D"/>
    <w:rsid w:val="69173D09"/>
    <w:rsid w:val="692216E4"/>
    <w:rsid w:val="692349A9"/>
    <w:rsid w:val="6927100D"/>
    <w:rsid w:val="692844CB"/>
    <w:rsid w:val="692F0D49"/>
    <w:rsid w:val="6935729D"/>
    <w:rsid w:val="69393D31"/>
    <w:rsid w:val="693A165B"/>
    <w:rsid w:val="693E3CEF"/>
    <w:rsid w:val="69433CAC"/>
    <w:rsid w:val="69434E61"/>
    <w:rsid w:val="694A2693"/>
    <w:rsid w:val="69557280"/>
    <w:rsid w:val="695D5F23"/>
    <w:rsid w:val="69647910"/>
    <w:rsid w:val="6967673E"/>
    <w:rsid w:val="697E2410"/>
    <w:rsid w:val="69852A6B"/>
    <w:rsid w:val="698612A5"/>
    <w:rsid w:val="69872CF3"/>
    <w:rsid w:val="698C2CAC"/>
    <w:rsid w:val="699157A6"/>
    <w:rsid w:val="699E74D1"/>
    <w:rsid w:val="69A82381"/>
    <w:rsid w:val="69AC2A06"/>
    <w:rsid w:val="69AE43A7"/>
    <w:rsid w:val="69AE7BC5"/>
    <w:rsid w:val="69AF0748"/>
    <w:rsid w:val="69B0699A"/>
    <w:rsid w:val="69B67D29"/>
    <w:rsid w:val="69D11FEA"/>
    <w:rsid w:val="69D665BC"/>
    <w:rsid w:val="69D81A4D"/>
    <w:rsid w:val="69E42DF0"/>
    <w:rsid w:val="69E71C2E"/>
    <w:rsid w:val="6A0202FD"/>
    <w:rsid w:val="6A0518F8"/>
    <w:rsid w:val="6A107439"/>
    <w:rsid w:val="6A1D56B2"/>
    <w:rsid w:val="6A2627B9"/>
    <w:rsid w:val="6A2F7A10"/>
    <w:rsid w:val="6A366774"/>
    <w:rsid w:val="6A3E1F78"/>
    <w:rsid w:val="6A413A96"/>
    <w:rsid w:val="6A4C6CBB"/>
    <w:rsid w:val="6A5E0111"/>
    <w:rsid w:val="6A654272"/>
    <w:rsid w:val="6A6F316D"/>
    <w:rsid w:val="6A730939"/>
    <w:rsid w:val="6A7D4FAA"/>
    <w:rsid w:val="6A8C2FEC"/>
    <w:rsid w:val="6A912DE0"/>
    <w:rsid w:val="6A943F85"/>
    <w:rsid w:val="6A995680"/>
    <w:rsid w:val="6A9B5332"/>
    <w:rsid w:val="6A9E2C97"/>
    <w:rsid w:val="6AAC487C"/>
    <w:rsid w:val="6AAD2EDA"/>
    <w:rsid w:val="6AAD3143"/>
    <w:rsid w:val="6AAD4C88"/>
    <w:rsid w:val="6AAF3E38"/>
    <w:rsid w:val="6AAF6C52"/>
    <w:rsid w:val="6AB029CA"/>
    <w:rsid w:val="6AB26CA0"/>
    <w:rsid w:val="6ABC136F"/>
    <w:rsid w:val="6ABC4ECB"/>
    <w:rsid w:val="6AC2152D"/>
    <w:rsid w:val="6ACA583A"/>
    <w:rsid w:val="6ACD532A"/>
    <w:rsid w:val="6AD26F50"/>
    <w:rsid w:val="6AD466B8"/>
    <w:rsid w:val="6AD54350"/>
    <w:rsid w:val="6ADA6C11"/>
    <w:rsid w:val="6AE61B76"/>
    <w:rsid w:val="6AE72437"/>
    <w:rsid w:val="6AF26B3F"/>
    <w:rsid w:val="6AF37A21"/>
    <w:rsid w:val="6AF96F3D"/>
    <w:rsid w:val="6B043F03"/>
    <w:rsid w:val="6B080100"/>
    <w:rsid w:val="6B0C0FC3"/>
    <w:rsid w:val="6B0D4923"/>
    <w:rsid w:val="6B1017A5"/>
    <w:rsid w:val="6B1C57E8"/>
    <w:rsid w:val="6B222A27"/>
    <w:rsid w:val="6B2E35BA"/>
    <w:rsid w:val="6B3233DF"/>
    <w:rsid w:val="6B3A6E3B"/>
    <w:rsid w:val="6B3D34FE"/>
    <w:rsid w:val="6B3E7FD6"/>
    <w:rsid w:val="6B453112"/>
    <w:rsid w:val="6B4E448C"/>
    <w:rsid w:val="6B513865"/>
    <w:rsid w:val="6B557938"/>
    <w:rsid w:val="6B5A3C35"/>
    <w:rsid w:val="6B66741E"/>
    <w:rsid w:val="6B671EB9"/>
    <w:rsid w:val="6B67752D"/>
    <w:rsid w:val="6B713F07"/>
    <w:rsid w:val="6B796D61"/>
    <w:rsid w:val="6B87372B"/>
    <w:rsid w:val="6B8E29C0"/>
    <w:rsid w:val="6B8F438D"/>
    <w:rsid w:val="6B900117"/>
    <w:rsid w:val="6B925F76"/>
    <w:rsid w:val="6B96396E"/>
    <w:rsid w:val="6B9818A6"/>
    <w:rsid w:val="6BA72B30"/>
    <w:rsid w:val="6BA86101"/>
    <w:rsid w:val="6BAA5F82"/>
    <w:rsid w:val="6BB57E47"/>
    <w:rsid w:val="6BB77B3F"/>
    <w:rsid w:val="6BBD714D"/>
    <w:rsid w:val="6BC03782"/>
    <w:rsid w:val="6BC229B5"/>
    <w:rsid w:val="6BCB40EA"/>
    <w:rsid w:val="6BD149A6"/>
    <w:rsid w:val="6BD44EF8"/>
    <w:rsid w:val="6BD57763"/>
    <w:rsid w:val="6BD914DC"/>
    <w:rsid w:val="6BDC2D4F"/>
    <w:rsid w:val="6BDF1392"/>
    <w:rsid w:val="6BE02E3B"/>
    <w:rsid w:val="6BE4292B"/>
    <w:rsid w:val="6BE50451"/>
    <w:rsid w:val="6BE648F5"/>
    <w:rsid w:val="6BE7241B"/>
    <w:rsid w:val="6BE73F54"/>
    <w:rsid w:val="6BE749C8"/>
    <w:rsid w:val="6BE90CE5"/>
    <w:rsid w:val="6BEB3756"/>
    <w:rsid w:val="6BEF2B0E"/>
    <w:rsid w:val="6BF012D0"/>
    <w:rsid w:val="6C040115"/>
    <w:rsid w:val="6C060AF4"/>
    <w:rsid w:val="6C0D4ACE"/>
    <w:rsid w:val="6C1929E0"/>
    <w:rsid w:val="6C1A634D"/>
    <w:rsid w:val="6C225202"/>
    <w:rsid w:val="6C25069C"/>
    <w:rsid w:val="6C2534B5"/>
    <w:rsid w:val="6C292BE1"/>
    <w:rsid w:val="6C2B5723"/>
    <w:rsid w:val="6C2E3BA6"/>
    <w:rsid w:val="6C346A47"/>
    <w:rsid w:val="6C393583"/>
    <w:rsid w:val="6C3B762A"/>
    <w:rsid w:val="6C3D64DF"/>
    <w:rsid w:val="6C3E3329"/>
    <w:rsid w:val="6C4038DA"/>
    <w:rsid w:val="6C430EC6"/>
    <w:rsid w:val="6C450EF0"/>
    <w:rsid w:val="6C460B8D"/>
    <w:rsid w:val="6C494E84"/>
    <w:rsid w:val="6C4C4B88"/>
    <w:rsid w:val="6C5166A9"/>
    <w:rsid w:val="6C517895"/>
    <w:rsid w:val="6C5238F7"/>
    <w:rsid w:val="6C5D448C"/>
    <w:rsid w:val="6C5F6393"/>
    <w:rsid w:val="6C60203D"/>
    <w:rsid w:val="6C604856"/>
    <w:rsid w:val="6C6217A7"/>
    <w:rsid w:val="6C740C4D"/>
    <w:rsid w:val="6C747D90"/>
    <w:rsid w:val="6C7A6DEC"/>
    <w:rsid w:val="6C803E91"/>
    <w:rsid w:val="6C844700"/>
    <w:rsid w:val="6C860A2C"/>
    <w:rsid w:val="6C88775B"/>
    <w:rsid w:val="6C895962"/>
    <w:rsid w:val="6C9854C4"/>
    <w:rsid w:val="6CA02C98"/>
    <w:rsid w:val="6CA127B4"/>
    <w:rsid w:val="6CA27B74"/>
    <w:rsid w:val="6CA34594"/>
    <w:rsid w:val="6CA67BE1"/>
    <w:rsid w:val="6CAE2F39"/>
    <w:rsid w:val="6CAE382B"/>
    <w:rsid w:val="6CB00A5F"/>
    <w:rsid w:val="6CB55D42"/>
    <w:rsid w:val="6CB8671C"/>
    <w:rsid w:val="6CB90EA6"/>
    <w:rsid w:val="6CBA7A7E"/>
    <w:rsid w:val="6CBA7B30"/>
    <w:rsid w:val="6CCB3AEB"/>
    <w:rsid w:val="6CCB5481"/>
    <w:rsid w:val="6CCE5B95"/>
    <w:rsid w:val="6CD01102"/>
    <w:rsid w:val="6CDB5E4B"/>
    <w:rsid w:val="6CE30E35"/>
    <w:rsid w:val="6CE801F9"/>
    <w:rsid w:val="6CF20041"/>
    <w:rsid w:val="6CF43042"/>
    <w:rsid w:val="6CF5338A"/>
    <w:rsid w:val="6CFD1C68"/>
    <w:rsid w:val="6D091F16"/>
    <w:rsid w:val="6D0D4104"/>
    <w:rsid w:val="6D1347EA"/>
    <w:rsid w:val="6D182515"/>
    <w:rsid w:val="6D1B2C9B"/>
    <w:rsid w:val="6D210F22"/>
    <w:rsid w:val="6D2154B9"/>
    <w:rsid w:val="6D2471EB"/>
    <w:rsid w:val="6D2C23B1"/>
    <w:rsid w:val="6D321474"/>
    <w:rsid w:val="6D38300F"/>
    <w:rsid w:val="6D3A50DF"/>
    <w:rsid w:val="6D503BE3"/>
    <w:rsid w:val="6D5164B6"/>
    <w:rsid w:val="6D5F318C"/>
    <w:rsid w:val="6D614FFE"/>
    <w:rsid w:val="6D655CEE"/>
    <w:rsid w:val="6D6840E5"/>
    <w:rsid w:val="6D6A21E0"/>
    <w:rsid w:val="6D7427C5"/>
    <w:rsid w:val="6D765805"/>
    <w:rsid w:val="6D8223FC"/>
    <w:rsid w:val="6D8E6FF3"/>
    <w:rsid w:val="6D910EB2"/>
    <w:rsid w:val="6D940381"/>
    <w:rsid w:val="6D963072"/>
    <w:rsid w:val="6D9D5488"/>
    <w:rsid w:val="6DA118E1"/>
    <w:rsid w:val="6DA33AB1"/>
    <w:rsid w:val="6DA34120"/>
    <w:rsid w:val="6DA61D89"/>
    <w:rsid w:val="6DAB1855"/>
    <w:rsid w:val="6DB00E73"/>
    <w:rsid w:val="6DB4632D"/>
    <w:rsid w:val="6DB56B5B"/>
    <w:rsid w:val="6DC76061"/>
    <w:rsid w:val="6DCC01D6"/>
    <w:rsid w:val="6DCC3677"/>
    <w:rsid w:val="6DD841D1"/>
    <w:rsid w:val="6DD875F9"/>
    <w:rsid w:val="6DE1112A"/>
    <w:rsid w:val="6DE62234"/>
    <w:rsid w:val="6DEE1DA5"/>
    <w:rsid w:val="6DEE5CE3"/>
    <w:rsid w:val="6DF131D9"/>
    <w:rsid w:val="6DF362F1"/>
    <w:rsid w:val="6DF47CC9"/>
    <w:rsid w:val="6DFC0A94"/>
    <w:rsid w:val="6E085D3B"/>
    <w:rsid w:val="6E0A419F"/>
    <w:rsid w:val="6E0E5A3E"/>
    <w:rsid w:val="6E0E7E73"/>
    <w:rsid w:val="6E163B54"/>
    <w:rsid w:val="6E166FE8"/>
    <w:rsid w:val="6E1F3AB9"/>
    <w:rsid w:val="6E1F7C4B"/>
    <w:rsid w:val="6E22598D"/>
    <w:rsid w:val="6E273436"/>
    <w:rsid w:val="6E291B51"/>
    <w:rsid w:val="6E2B5B70"/>
    <w:rsid w:val="6E2E2225"/>
    <w:rsid w:val="6E3260E0"/>
    <w:rsid w:val="6E391146"/>
    <w:rsid w:val="6E443B55"/>
    <w:rsid w:val="6E46026B"/>
    <w:rsid w:val="6E5378F4"/>
    <w:rsid w:val="6E5B2C4D"/>
    <w:rsid w:val="6E5B751F"/>
    <w:rsid w:val="6E663B0E"/>
    <w:rsid w:val="6E66587A"/>
    <w:rsid w:val="6E6F1069"/>
    <w:rsid w:val="6E711FBB"/>
    <w:rsid w:val="6E7D0E15"/>
    <w:rsid w:val="6E82467D"/>
    <w:rsid w:val="6E8D0A23"/>
    <w:rsid w:val="6E8E69EC"/>
    <w:rsid w:val="6E917D94"/>
    <w:rsid w:val="6E95615F"/>
    <w:rsid w:val="6E9879FD"/>
    <w:rsid w:val="6EA42846"/>
    <w:rsid w:val="6EA9571C"/>
    <w:rsid w:val="6EB4221B"/>
    <w:rsid w:val="6EB97C9A"/>
    <w:rsid w:val="6EBA3EC2"/>
    <w:rsid w:val="6EBA5BC5"/>
    <w:rsid w:val="6EBF3EC0"/>
    <w:rsid w:val="6EC425A0"/>
    <w:rsid w:val="6ECD58F9"/>
    <w:rsid w:val="6ED547AD"/>
    <w:rsid w:val="6ED8429D"/>
    <w:rsid w:val="6ED973FC"/>
    <w:rsid w:val="6EE36ECA"/>
    <w:rsid w:val="6EED5F9B"/>
    <w:rsid w:val="6EEF3C2A"/>
    <w:rsid w:val="6EF02CBF"/>
    <w:rsid w:val="6EF235B1"/>
    <w:rsid w:val="6EF2535F"/>
    <w:rsid w:val="6F011A46"/>
    <w:rsid w:val="6F08172C"/>
    <w:rsid w:val="6F0C365F"/>
    <w:rsid w:val="6F174DC6"/>
    <w:rsid w:val="6F1B7BF4"/>
    <w:rsid w:val="6F1E1894"/>
    <w:rsid w:val="6F1E7F02"/>
    <w:rsid w:val="6F23376B"/>
    <w:rsid w:val="6F265009"/>
    <w:rsid w:val="6F285225"/>
    <w:rsid w:val="6F2C1F25"/>
    <w:rsid w:val="6F2D6397"/>
    <w:rsid w:val="6F327E52"/>
    <w:rsid w:val="6F341033"/>
    <w:rsid w:val="6F34735B"/>
    <w:rsid w:val="6F413BF1"/>
    <w:rsid w:val="6F465310"/>
    <w:rsid w:val="6F484F7F"/>
    <w:rsid w:val="6F4E6A14"/>
    <w:rsid w:val="6F540CD9"/>
    <w:rsid w:val="6F5A4CB2"/>
    <w:rsid w:val="6F5C0A2B"/>
    <w:rsid w:val="6F6135D9"/>
    <w:rsid w:val="6F651FD5"/>
    <w:rsid w:val="6F693749"/>
    <w:rsid w:val="6F6A3147"/>
    <w:rsid w:val="6F7458D1"/>
    <w:rsid w:val="6F8166E3"/>
    <w:rsid w:val="6F8416CF"/>
    <w:rsid w:val="6F857F81"/>
    <w:rsid w:val="6F86791A"/>
    <w:rsid w:val="6F8F7052"/>
    <w:rsid w:val="6F991C7F"/>
    <w:rsid w:val="6F9D7BE5"/>
    <w:rsid w:val="6F9E7295"/>
    <w:rsid w:val="6F9F2AB4"/>
    <w:rsid w:val="6FAA3E8C"/>
    <w:rsid w:val="6FAC6599"/>
    <w:rsid w:val="6FAD1286"/>
    <w:rsid w:val="6FAD4CF3"/>
    <w:rsid w:val="6FB645DF"/>
    <w:rsid w:val="6FB66242"/>
    <w:rsid w:val="6FB77864"/>
    <w:rsid w:val="6FC055B0"/>
    <w:rsid w:val="6FC07FB0"/>
    <w:rsid w:val="6FC17269"/>
    <w:rsid w:val="6FC211D5"/>
    <w:rsid w:val="6FCC75D9"/>
    <w:rsid w:val="6FD269A1"/>
    <w:rsid w:val="6FD9651F"/>
    <w:rsid w:val="6FDD0023"/>
    <w:rsid w:val="6FF173C5"/>
    <w:rsid w:val="6FF62C2D"/>
    <w:rsid w:val="6FF869A5"/>
    <w:rsid w:val="700510C2"/>
    <w:rsid w:val="70115BD2"/>
    <w:rsid w:val="701D3990"/>
    <w:rsid w:val="70236185"/>
    <w:rsid w:val="70311EB7"/>
    <w:rsid w:val="70315562"/>
    <w:rsid w:val="703620CB"/>
    <w:rsid w:val="703823E9"/>
    <w:rsid w:val="703D260A"/>
    <w:rsid w:val="703F45D4"/>
    <w:rsid w:val="704240C4"/>
    <w:rsid w:val="704372D8"/>
    <w:rsid w:val="70457711"/>
    <w:rsid w:val="7046362A"/>
    <w:rsid w:val="70511328"/>
    <w:rsid w:val="705A19BC"/>
    <w:rsid w:val="705A27F4"/>
    <w:rsid w:val="705C4791"/>
    <w:rsid w:val="7060062E"/>
    <w:rsid w:val="706338B4"/>
    <w:rsid w:val="70666005"/>
    <w:rsid w:val="7080699B"/>
    <w:rsid w:val="70807928"/>
    <w:rsid w:val="70875F7B"/>
    <w:rsid w:val="70934920"/>
    <w:rsid w:val="709746EF"/>
    <w:rsid w:val="709F1517"/>
    <w:rsid w:val="709F1E24"/>
    <w:rsid w:val="70A00DEB"/>
    <w:rsid w:val="70A61135"/>
    <w:rsid w:val="70A7675A"/>
    <w:rsid w:val="70AB1C6A"/>
    <w:rsid w:val="70B477CF"/>
    <w:rsid w:val="70B623BC"/>
    <w:rsid w:val="70B65F8C"/>
    <w:rsid w:val="70B66341"/>
    <w:rsid w:val="70B81788"/>
    <w:rsid w:val="70BD199D"/>
    <w:rsid w:val="70BD24B6"/>
    <w:rsid w:val="70BE62B2"/>
    <w:rsid w:val="70C456BC"/>
    <w:rsid w:val="70CA3CD6"/>
    <w:rsid w:val="70CE7706"/>
    <w:rsid w:val="70D56CE6"/>
    <w:rsid w:val="70D7170B"/>
    <w:rsid w:val="70DF3B22"/>
    <w:rsid w:val="70E233A7"/>
    <w:rsid w:val="70E61887"/>
    <w:rsid w:val="70E92792"/>
    <w:rsid w:val="70EA2D08"/>
    <w:rsid w:val="70EB1D07"/>
    <w:rsid w:val="70ED4030"/>
    <w:rsid w:val="70EE2D4A"/>
    <w:rsid w:val="70FF26CB"/>
    <w:rsid w:val="71047056"/>
    <w:rsid w:val="71080E6A"/>
    <w:rsid w:val="711315BD"/>
    <w:rsid w:val="711D0999"/>
    <w:rsid w:val="711E3CE1"/>
    <w:rsid w:val="712E4649"/>
    <w:rsid w:val="713438AD"/>
    <w:rsid w:val="713A123F"/>
    <w:rsid w:val="714C1194"/>
    <w:rsid w:val="714C1A59"/>
    <w:rsid w:val="714C59B7"/>
    <w:rsid w:val="715255C1"/>
    <w:rsid w:val="71551766"/>
    <w:rsid w:val="71557E27"/>
    <w:rsid w:val="7163703D"/>
    <w:rsid w:val="717304A3"/>
    <w:rsid w:val="7175660B"/>
    <w:rsid w:val="717750A4"/>
    <w:rsid w:val="71856665"/>
    <w:rsid w:val="718A7A50"/>
    <w:rsid w:val="719E4941"/>
    <w:rsid w:val="71A83AF7"/>
    <w:rsid w:val="71A843FB"/>
    <w:rsid w:val="71A974EA"/>
    <w:rsid w:val="71AD13D4"/>
    <w:rsid w:val="71BB412E"/>
    <w:rsid w:val="71BD3A7A"/>
    <w:rsid w:val="71C01745"/>
    <w:rsid w:val="71C56D5B"/>
    <w:rsid w:val="71C64881"/>
    <w:rsid w:val="71C77AE4"/>
    <w:rsid w:val="71D376CA"/>
    <w:rsid w:val="71D47A7F"/>
    <w:rsid w:val="71D85B59"/>
    <w:rsid w:val="71DA06AB"/>
    <w:rsid w:val="71DE606F"/>
    <w:rsid w:val="71E4203D"/>
    <w:rsid w:val="71E82A49"/>
    <w:rsid w:val="71E926CD"/>
    <w:rsid w:val="71ED62B2"/>
    <w:rsid w:val="71F509A5"/>
    <w:rsid w:val="7205184D"/>
    <w:rsid w:val="72083B33"/>
    <w:rsid w:val="720B57FE"/>
    <w:rsid w:val="720B62BF"/>
    <w:rsid w:val="720D24B0"/>
    <w:rsid w:val="720D3D20"/>
    <w:rsid w:val="72203F91"/>
    <w:rsid w:val="72206CB6"/>
    <w:rsid w:val="72216562"/>
    <w:rsid w:val="72277008"/>
    <w:rsid w:val="7229261B"/>
    <w:rsid w:val="722C01C9"/>
    <w:rsid w:val="722E243E"/>
    <w:rsid w:val="72304722"/>
    <w:rsid w:val="72312642"/>
    <w:rsid w:val="7242215A"/>
    <w:rsid w:val="724A3704"/>
    <w:rsid w:val="724E00D2"/>
    <w:rsid w:val="724E3E15"/>
    <w:rsid w:val="724E6D50"/>
    <w:rsid w:val="724F5E6C"/>
    <w:rsid w:val="725D1AA0"/>
    <w:rsid w:val="726357A8"/>
    <w:rsid w:val="72640322"/>
    <w:rsid w:val="72657495"/>
    <w:rsid w:val="726864EB"/>
    <w:rsid w:val="72692740"/>
    <w:rsid w:val="72693B8A"/>
    <w:rsid w:val="726E117A"/>
    <w:rsid w:val="72764326"/>
    <w:rsid w:val="72781F16"/>
    <w:rsid w:val="72793834"/>
    <w:rsid w:val="728032BA"/>
    <w:rsid w:val="728D4FDC"/>
    <w:rsid w:val="72914E8F"/>
    <w:rsid w:val="729A209E"/>
    <w:rsid w:val="729D3834"/>
    <w:rsid w:val="729E390D"/>
    <w:rsid w:val="729F135A"/>
    <w:rsid w:val="72A41241"/>
    <w:rsid w:val="72AA3D00"/>
    <w:rsid w:val="72AA78B4"/>
    <w:rsid w:val="72AB14FA"/>
    <w:rsid w:val="72B017B9"/>
    <w:rsid w:val="72B15531"/>
    <w:rsid w:val="72B868C0"/>
    <w:rsid w:val="72BC3359"/>
    <w:rsid w:val="72C2061C"/>
    <w:rsid w:val="72C40186"/>
    <w:rsid w:val="72C63A44"/>
    <w:rsid w:val="72C730FE"/>
    <w:rsid w:val="72DB435C"/>
    <w:rsid w:val="72E34342"/>
    <w:rsid w:val="72E613A6"/>
    <w:rsid w:val="72E8337C"/>
    <w:rsid w:val="72E90827"/>
    <w:rsid w:val="72F21DD2"/>
    <w:rsid w:val="72F434FA"/>
    <w:rsid w:val="72F71196"/>
    <w:rsid w:val="72FA2A34"/>
    <w:rsid w:val="72FE5E6C"/>
    <w:rsid w:val="73010267"/>
    <w:rsid w:val="7304128B"/>
    <w:rsid w:val="730974BC"/>
    <w:rsid w:val="730B2421"/>
    <w:rsid w:val="730B2A5D"/>
    <w:rsid w:val="730D1C62"/>
    <w:rsid w:val="731356C2"/>
    <w:rsid w:val="73151916"/>
    <w:rsid w:val="73184198"/>
    <w:rsid w:val="731A1328"/>
    <w:rsid w:val="731B4281"/>
    <w:rsid w:val="73217FC1"/>
    <w:rsid w:val="73243F55"/>
    <w:rsid w:val="73262E6D"/>
    <w:rsid w:val="73373C05"/>
    <w:rsid w:val="73394622"/>
    <w:rsid w:val="733F301D"/>
    <w:rsid w:val="733F63CB"/>
    <w:rsid w:val="734168B5"/>
    <w:rsid w:val="73490DFC"/>
    <w:rsid w:val="734A5387"/>
    <w:rsid w:val="73555688"/>
    <w:rsid w:val="735662C9"/>
    <w:rsid w:val="736B748E"/>
    <w:rsid w:val="736C1BDF"/>
    <w:rsid w:val="736E2B3F"/>
    <w:rsid w:val="7370719A"/>
    <w:rsid w:val="73754FD7"/>
    <w:rsid w:val="737C2D46"/>
    <w:rsid w:val="737C7606"/>
    <w:rsid w:val="7389424C"/>
    <w:rsid w:val="738E4CE0"/>
    <w:rsid w:val="739A5FC5"/>
    <w:rsid w:val="739C1D3D"/>
    <w:rsid w:val="73A26CD8"/>
    <w:rsid w:val="73A86934"/>
    <w:rsid w:val="73AA26AC"/>
    <w:rsid w:val="73AF7A90"/>
    <w:rsid w:val="73B34E42"/>
    <w:rsid w:val="73B47087"/>
    <w:rsid w:val="73B83040"/>
    <w:rsid w:val="73B873DA"/>
    <w:rsid w:val="73BA1DA6"/>
    <w:rsid w:val="73BF2DAF"/>
    <w:rsid w:val="73C17A92"/>
    <w:rsid w:val="73C700CF"/>
    <w:rsid w:val="73C90A44"/>
    <w:rsid w:val="73CA5289"/>
    <w:rsid w:val="73CA68AB"/>
    <w:rsid w:val="73CE094C"/>
    <w:rsid w:val="73D2575F"/>
    <w:rsid w:val="73D455CC"/>
    <w:rsid w:val="73E14BDD"/>
    <w:rsid w:val="73E35202"/>
    <w:rsid w:val="73E54208"/>
    <w:rsid w:val="73E57241"/>
    <w:rsid w:val="73E829D8"/>
    <w:rsid w:val="73EC6716"/>
    <w:rsid w:val="73F2112A"/>
    <w:rsid w:val="73F62B37"/>
    <w:rsid w:val="73F94CA3"/>
    <w:rsid w:val="73FB4CB6"/>
    <w:rsid w:val="74024296"/>
    <w:rsid w:val="74060A0E"/>
    <w:rsid w:val="74094E3D"/>
    <w:rsid w:val="740D2C3B"/>
    <w:rsid w:val="7410198C"/>
    <w:rsid w:val="7416389E"/>
    <w:rsid w:val="741F54A2"/>
    <w:rsid w:val="74221F4C"/>
    <w:rsid w:val="742331AE"/>
    <w:rsid w:val="74237D69"/>
    <w:rsid w:val="7428537F"/>
    <w:rsid w:val="742A10F7"/>
    <w:rsid w:val="742F2BB2"/>
    <w:rsid w:val="74345C0A"/>
    <w:rsid w:val="7434641A"/>
    <w:rsid w:val="743553DE"/>
    <w:rsid w:val="7435737E"/>
    <w:rsid w:val="74375DA0"/>
    <w:rsid w:val="743762DF"/>
    <w:rsid w:val="74387CB8"/>
    <w:rsid w:val="743D0A2B"/>
    <w:rsid w:val="743E30A2"/>
    <w:rsid w:val="74551EB3"/>
    <w:rsid w:val="745A0FA0"/>
    <w:rsid w:val="74650381"/>
    <w:rsid w:val="74797F6C"/>
    <w:rsid w:val="74876A28"/>
    <w:rsid w:val="74884175"/>
    <w:rsid w:val="748C0004"/>
    <w:rsid w:val="748D1686"/>
    <w:rsid w:val="749132B1"/>
    <w:rsid w:val="749D15EC"/>
    <w:rsid w:val="74A76B09"/>
    <w:rsid w:val="74AC6BC6"/>
    <w:rsid w:val="74BD1F6B"/>
    <w:rsid w:val="74D13C69"/>
    <w:rsid w:val="74D86DA5"/>
    <w:rsid w:val="74DF3CDB"/>
    <w:rsid w:val="74E04982"/>
    <w:rsid w:val="74E13391"/>
    <w:rsid w:val="74E314C0"/>
    <w:rsid w:val="74F160B9"/>
    <w:rsid w:val="74F236DC"/>
    <w:rsid w:val="750951B1"/>
    <w:rsid w:val="751A5826"/>
    <w:rsid w:val="752129D4"/>
    <w:rsid w:val="75220020"/>
    <w:rsid w:val="75231320"/>
    <w:rsid w:val="752B5127"/>
    <w:rsid w:val="752C6AB2"/>
    <w:rsid w:val="7530273D"/>
    <w:rsid w:val="75322959"/>
    <w:rsid w:val="7534397E"/>
    <w:rsid w:val="753540AD"/>
    <w:rsid w:val="75355AB1"/>
    <w:rsid w:val="75380C87"/>
    <w:rsid w:val="753C7334"/>
    <w:rsid w:val="753D175A"/>
    <w:rsid w:val="7540442C"/>
    <w:rsid w:val="75492994"/>
    <w:rsid w:val="754942C3"/>
    <w:rsid w:val="75494AE8"/>
    <w:rsid w:val="754D7793"/>
    <w:rsid w:val="7553467E"/>
    <w:rsid w:val="75664928"/>
    <w:rsid w:val="756A2C6E"/>
    <w:rsid w:val="756B5E6B"/>
    <w:rsid w:val="756C5695"/>
    <w:rsid w:val="75720FA8"/>
    <w:rsid w:val="75735A2A"/>
    <w:rsid w:val="757614C7"/>
    <w:rsid w:val="75774810"/>
    <w:rsid w:val="757C3D61"/>
    <w:rsid w:val="75826D11"/>
    <w:rsid w:val="75836B45"/>
    <w:rsid w:val="75845947"/>
    <w:rsid w:val="75850468"/>
    <w:rsid w:val="75866BE9"/>
    <w:rsid w:val="758E56B6"/>
    <w:rsid w:val="75930F1E"/>
    <w:rsid w:val="759B6003"/>
    <w:rsid w:val="759C32BC"/>
    <w:rsid w:val="759F4AB9"/>
    <w:rsid w:val="75A04F3B"/>
    <w:rsid w:val="75A26BC4"/>
    <w:rsid w:val="75AE59C7"/>
    <w:rsid w:val="75B61842"/>
    <w:rsid w:val="75BC78AF"/>
    <w:rsid w:val="75C15A8B"/>
    <w:rsid w:val="75C34064"/>
    <w:rsid w:val="75C604F3"/>
    <w:rsid w:val="75C75D5E"/>
    <w:rsid w:val="75C97681"/>
    <w:rsid w:val="75CB7BF0"/>
    <w:rsid w:val="75D06B7B"/>
    <w:rsid w:val="75D22390"/>
    <w:rsid w:val="75D62BEE"/>
    <w:rsid w:val="75D74EF8"/>
    <w:rsid w:val="75DD53C1"/>
    <w:rsid w:val="75DE488F"/>
    <w:rsid w:val="75E17EDC"/>
    <w:rsid w:val="75E20E90"/>
    <w:rsid w:val="75E27AE1"/>
    <w:rsid w:val="75ED062E"/>
    <w:rsid w:val="75FE283B"/>
    <w:rsid w:val="76066358"/>
    <w:rsid w:val="760719A1"/>
    <w:rsid w:val="760A52CC"/>
    <w:rsid w:val="760C4ED0"/>
    <w:rsid w:val="760D3186"/>
    <w:rsid w:val="7615375C"/>
    <w:rsid w:val="76165DD7"/>
    <w:rsid w:val="7621477C"/>
    <w:rsid w:val="762304F4"/>
    <w:rsid w:val="76261C26"/>
    <w:rsid w:val="76261D92"/>
    <w:rsid w:val="76285B0A"/>
    <w:rsid w:val="762F2954"/>
    <w:rsid w:val="763232E0"/>
    <w:rsid w:val="76342701"/>
    <w:rsid w:val="76384F46"/>
    <w:rsid w:val="763E40F3"/>
    <w:rsid w:val="76463CCB"/>
    <w:rsid w:val="7646764A"/>
    <w:rsid w:val="764D5571"/>
    <w:rsid w:val="764E1B03"/>
    <w:rsid w:val="76572242"/>
    <w:rsid w:val="76636B42"/>
    <w:rsid w:val="766703E1"/>
    <w:rsid w:val="766860FE"/>
    <w:rsid w:val="766905FD"/>
    <w:rsid w:val="76780840"/>
    <w:rsid w:val="767C19B2"/>
    <w:rsid w:val="767E66C8"/>
    <w:rsid w:val="7683069C"/>
    <w:rsid w:val="76891A32"/>
    <w:rsid w:val="76A27DD7"/>
    <w:rsid w:val="76A96C4B"/>
    <w:rsid w:val="76AD15F9"/>
    <w:rsid w:val="76B1300D"/>
    <w:rsid w:val="76B13D52"/>
    <w:rsid w:val="76BC09B1"/>
    <w:rsid w:val="76BE4F30"/>
    <w:rsid w:val="76C03F95"/>
    <w:rsid w:val="76C70E7F"/>
    <w:rsid w:val="76CD451D"/>
    <w:rsid w:val="76D161B3"/>
    <w:rsid w:val="76D22E2E"/>
    <w:rsid w:val="76D33CC8"/>
    <w:rsid w:val="76DF08BF"/>
    <w:rsid w:val="76ED7F84"/>
    <w:rsid w:val="76EE2591"/>
    <w:rsid w:val="76EE366C"/>
    <w:rsid w:val="76EF7D2C"/>
    <w:rsid w:val="76F0798D"/>
    <w:rsid w:val="76F53C3E"/>
    <w:rsid w:val="76F96011"/>
    <w:rsid w:val="76FB0E40"/>
    <w:rsid w:val="76FD7B4F"/>
    <w:rsid w:val="770318FD"/>
    <w:rsid w:val="770B1FE4"/>
    <w:rsid w:val="7711659E"/>
    <w:rsid w:val="77146E97"/>
    <w:rsid w:val="771766AF"/>
    <w:rsid w:val="771A36A5"/>
    <w:rsid w:val="771D558A"/>
    <w:rsid w:val="77297D8C"/>
    <w:rsid w:val="772A140E"/>
    <w:rsid w:val="772C5186"/>
    <w:rsid w:val="773E26D2"/>
    <w:rsid w:val="77403575"/>
    <w:rsid w:val="77406E00"/>
    <w:rsid w:val="77463282"/>
    <w:rsid w:val="7748368E"/>
    <w:rsid w:val="774F6700"/>
    <w:rsid w:val="77533F2B"/>
    <w:rsid w:val="77543014"/>
    <w:rsid w:val="775517FF"/>
    <w:rsid w:val="775F730A"/>
    <w:rsid w:val="776C6C6C"/>
    <w:rsid w:val="777860D8"/>
    <w:rsid w:val="77833B85"/>
    <w:rsid w:val="7792252C"/>
    <w:rsid w:val="77991C3E"/>
    <w:rsid w:val="779A6594"/>
    <w:rsid w:val="77A83CB3"/>
    <w:rsid w:val="77AE0291"/>
    <w:rsid w:val="77AE7402"/>
    <w:rsid w:val="77B238DE"/>
    <w:rsid w:val="77B27D81"/>
    <w:rsid w:val="77B533CE"/>
    <w:rsid w:val="77B70EF4"/>
    <w:rsid w:val="77BF5BB1"/>
    <w:rsid w:val="77C0656A"/>
    <w:rsid w:val="77C33D3D"/>
    <w:rsid w:val="77C87BF6"/>
    <w:rsid w:val="77C96E79"/>
    <w:rsid w:val="77D704AF"/>
    <w:rsid w:val="77DF4943"/>
    <w:rsid w:val="77E837A3"/>
    <w:rsid w:val="77F26063"/>
    <w:rsid w:val="77F37464"/>
    <w:rsid w:val="77F40705"/>
    <w:rsid w:val="780A371A"/>
    <w:rsid w:val="780B4A40"/>
    <w:rsid w:val="781B72AA"/>
    <w:rsid w:val="781C67C3"/>
    <w:rsid w:val="78220076"/>
    <w:rsid w:val="78315590"/>
    <w:rsid w:val="783267CC"/>
    <w:rsid w:val="783469E8"/>
    <w:rsid w:val="783C2021"/>
    <w:rsid w:val="783F079D"/>
    <w:rsid w:val="784309DA"/>
    <w:rsid w:val="7844495E"/>
    <w:rsid w:val="7847671C"/>
    <w:rsid w:val="78533C42"/>
    <w:rsid w:val="78595654"/>
    <w:rsid w:val="785E5813"/>
    <w:rsid w:val="785F235F"/>
    <w:rsid w:val="7860333A"/>
    <w:rsid w:val="78621CF6"/>
    <w:rsid w:val="78623A97"/>
    <w:rsid w:val="786A679E"/>
    <w:rsid w:val="7879089F"/>
    <w:rsid w:val="787E207D"/>
    <w:rsid w:val="787E7C64"/>
    <w:rsid w:val="78827754"/>
    <w:rsid w:val="78841D97"/>
    <w:rsid w:val="78872FBC"/>
    <w:rsid w:val="78900078"/>
    <w:rsid w:val="789045CC"/>
    <w:rsid w:val="78946D0A"/>
    <w:rsid w:val="789A1ACA"/>
    <w:rsid w:val="78A56AB5"/>
    <w:rsid w:val="78A82F32"/>
    <w:rsid w:val="78C22A8A"/>
    <w:rsid w:val="78C620B9"/>
    <w:rsid w:val="78C966FA"/>
    <w:rsid w:val="78CB1B99"/>
    <w:rsid w:val="78CE2454"/>
    <w:rsid w:val="78D67AA0"/>
    <w:rsid w:val="78DC5A8E"/>
    <w:rsid w:val="78DD498A"/>
    <w:rsid w:val="78E91F32"/>
    <w:rsid w:val="78F12B57"/>
    <w:rsid w:val="78F30652"/>
    <w:rsid w:val="78F716B7"/>
    <w:rsid w:val="78FC4209"/>
    <w:rsid w:val="790463BB"/>
    <w:rsid w:val="79093888"/>
    <w:rsid w:val="790A315A"/>
    <w:rsid w:val="790D6D3D"/>
    <w:rsid w:val="790E2D96"/>
    <w:rsid w:val="790E7239"/>
    <w:rsid w:val="791648AD"/>
    <w:rsid w:val="791F1D70"/>
    <w:rsid w:val="79202AC9"/>
    <w:rsid w:val="79217712"/>
    <w:rsid w:val="79311193"/>
    <w:rsid w:val="79360258"/>
    <w:rsid w:val="7937681E"/>
    <w:rsid w:val="793F5645"/>
    <w:rsid w:val="794331C4"/>
    <w:rsid w:val="79440AEE"/>
    <w:rsid w:val="794964C4"/>
    <w:rsid w:val="794A1A4C"/>
    <w:rsid w:val="795307AE"/>
    <w:rsid w:val="7956473D"/>
    <w:rsid w:val="796C31B8"/>
    <w:rsid w:val="79751067"/>
    <w:rsid w:val="797855A3"/>
    <w:rsid w:val="797967FE"/>
    <w:rsid w:val="797F1EE5"/>
    <w:rsid w:val="79872276"/>
    <w:rsid w:val="79890FF4"/>
    <w:rsid w:val="7989257D"/>
    <w:rsid w:val="79907C4E"/>
    <w:rsid w:val="79922D97"/>
    <w:rsid w:val="79927E6B"/>
    <w:rsid w:val="79960FDD"/>
    <w:rsid w:val="799D05BD"/>
    <w:rsid w:val="79A454A8"/>
    <w:rsid w:val="79A62764"/>
    <w:rsid w:val="79AA26DF"/>
    <w:rsid w:val="79AE6327"/>
    <w:rsid w:val="79B002F1"/>
    <w:rsid w:val="79B032BC"/>
    <w:rsid w:val="79B70EF8"/>
    <w:rsid w:val="79BD47BC"/>
    <w:rsid w:val="79C15542"/>
    <w:rsid w:val="79C75326"/>
    <w:rsid w:val="79CD0EA3"/>
    <w:rsid w:val="79DA536E"/>
    <w:rsid w:val="79E81839"/>
    <w:rsid w:val="79EB497D"/>
    <w:rsid w:val="79F6754E"/>
    <w:rsid w:val="79FB0261"/>
    <w:rsid w:val="79FB2DAF"/>
    <w:rsid w:val="79FE105C"/>
    <w:rsid w:val="7A087BDF"/>
    <w:rsid w:val="7A0B5527"/>
    <w:rsid w:val="7A0C565C"/>
    <w:rsid w:val="7A19510D"/>
    <w:rsid w:val="7A1C2352"/>
    <w:rsid w:val="7A1C61A9"/>
    <w:rsid w:val="7A2B7977"/>
    <w:rsid w:val="7A39722E"/>
    <w:rsid w:val="7A41719B"/>
    <w:rsid w:val="7A484CAA"/>
    <w:rsid w:val="7A4A24F3"/>
    <w:rsid w:val="7A4B1055"/>
    <w:rsid w:val="7A5001CD"/>
    <w:rsid w:val="7A5E7D4D"/>
    <w:rsid w:val="7A5F3524"/>
    <w:rsid w:val="7A62317A"/>
    <w:rsid w:val="7A6510DB"/>
    <w:rsid w:val="7A680D35"/>
    <w:rsid w:val="7A6D1D3E"/>
    <w:rsid w:val="7A6F0DC9"/>
    <w:rsid w:val="7A775C1E"/>
    <w:rsid w:val="7A807CC3"/>
    <w:rsid w:val="7A813A3B"/>
    <w:rsid w:val="7A817172"/>
    <w:rsid w:val="7A885FEA"/>
    <w:rsid w:val="7A890F22"/>
    <w:rsid w:val="7A8C1740"/>
    <w:rsid w:val="7A916DEC"/>
    <w:rsid w:val="7A94551C"/>
    <w:rsid w:val="7A955A03"/>
    <w:rsid w:val="7A9D633A"/>
    <w:rsid w:val="7A9F2CF5"/>
    <w:rsid w:val="7AA23342"/>
    <w:rsid w:val="7AA53BCD"/>
    <w:rsid w:val="7AA60701"/>
    <w:rsid w:val="7AAC0AB8"/>
    <w:rsid w:val="7AAD6F79"/>
    <w:rsid w:val="7AAE5C60"/>
    <w:rsid w:val="7ABE4C8F"/>
    <w:rsid w:val="7ABE6A3D"/>
    <w:rsid w:val="7AC0465B"/>
    <w:rsid w:val="7AC322A6"/>
    <w:rsid w:val="7AC50CEC"/>
    <w:rsid w:val="7AC83418"/>
    <w:rsid w:val="7AC926EB"/>
    <w:rsid w:val="7ACE2AB8"/>
    <w:rsid w:val="7AD128A9"/>
    <w:rsid w:val="7AD2187C"/>
    <w:rsid w:val="7ADC456B"/>
    <w:rsid w:val="7ADC6EC3"/>
    <w:rsid w:val="7AE45DA6"/>
    <w:rsid w:val="7AE70BAE"/>
    <w:rsid w:val="7AEA0DF1"/>
    <w:rsid w:val="7AEF309B"/>
    <w:rsid w:val="7AF0377E"/>
    <w:rsid w:val="7AF67F85"/>
    <w:rsid w:val="7AF95CC7"/>
    <w:rsid w:val="7AFE10E8"/>
    <w:rsid w:val="7B05488D"/>
    <w:rsid w:val="7B095F0A"/>
    <w:rsid w:val="7B0A06CB"/>
    <w:rsid w:val="7B0D17BE"/>
    <w:rsid w:val="7B126BE2"/>
    <w:rsid w:val="7B18614D"/>
    <w:rsid w:val="7B1F0B72"/>
    <w:rsid w:val="7B1F572E"/>
    <w:rsid w:val="7B284E41"/>
    <w:rsid w:val="7B345352"/>
    <w:rsid w:val="7B346CFF"/>
    <w:rsid w:val="7B354232"/>
    <w:rsid w:val="7B430CF1"/>
    <w:rsid w:val="7B4754DF"/>
    <w:rsid w:val="7B486307"/>
    <w:rsid w:val="7B4E3BEA"/>
    <w:rsid w:val="7B532E03"/>
    <w:rsid w:val="7B5353D8"/>
    <w:rsid w:val="7B5B603A"/>
    <w:rsid w:val="7B626231"/>
    <w:rsid w:val="7B640DCE"/>
    <w:rsid w:val="7B652F3B"/>
    <w:rsid w:val="7B656EB9"/>
    <w:rsid w:val="7B6C1752"/>
    <w:rsid w:val="7B6F568B"/>
    <w:rsid w:val="7B813614"/>
    <w:rsid w:val="7B8639A2"/>
    <w:rsid w:val="7B8657AD"/>
    <w:rsid w:val="7B8706E0"/>
    <w:rsid w:val="7B8726A6"/>
    <w:rsid w:val="7B8C7C65"/>
    <w:rsid w:val="7B931C78"/>
    <w:rsid w:val="7B98513C"/>
    <w:rsid w:val="7B98728E"/>
    <w:rsid w:val="7B9D2AF7"/>
    <w:rsid w:val="7B9E4FF6"/>
    <w:rsid w:val="7BA07EF1"/>
    <w:rsid w:val="7BA71F7C"/>
    <w:rsid w:val="7BAA2A01"/>
    <w:rsid w:val="7BAD0F8C"/>
    <w:rsid w:val="7BB10350"/>
    <w:rsid w:val="7BB51BEE"/>
    <w:rsid w:val="7BB526B3"/>
    <w:rsid w:val="7BB75847"/>
    <w:rsid w:val="7BB75966"/>
    <w:rsid w:val="7BC912FA"/>
    <w:rsid w:val="7BD10038"/>
    <w:rsid w:val="7BD302C6"/>
    <w:rsid w:val="7BD71211"/>
    <w:rsid w:val="7BD858DD"/>
    <w:rsid w:val="7BE06574"/>
    <w:rsid w:val="7BE50268"/>
    <w:rsid w:val="7BE61DA8"/>
    <w:rsid w:val="7BF07FCB"/>
    <w:rsid w:val="7BF149AC"/>
    <w:rsid w:val="7BFF730D"/>
    <w:rsid w:val="7C01327F"/>
    <w:rsid w:val="7C014FB3"/>
    <w:rsid w:val="7C0244F2"/>
    <w:rsid w:val="7C067359"/>
    <w:rsid w:val="7C181EB2"/>
    <w:rsid w:val="7C1F275F"/>
    <w:rsid w:val="7C262AEC"/>
    <w:rsid w:val="7C2B4424"/>
    <w:rsid w:val="7C2C5002"/>
    <w:rsid w:val="7C304F8E"/>
    <w:rsid w:val="7C336FB7"/>
    <w:rsid w:val="7C39281F"/>
    <w:rsid w:val="7C4371FA"/>
    <w:rsid w:val="7C4C370C"/>
    <w:rsid w:val="7C4F089D"/>
    <w:rsid w:val="7C5238E1"/>
    <w:rsid w:val="7C5D7BDC"/>
    <w:rsid w:val="7C5D7E4F"/>
    <w:rsid w:val="7C605B0C"/>
    <w:rsid w:val="7C630C65"/>
    <w:rsid w:val="7C740D99"/>
    <w:rsid w:val="7C760599"/>
    <w:rsid w:val="7C7C5114"/>
    <w:rsid w:val="7C88789A"/>
    <w:rsid w:val="7C8D3A42"/>
    <w:rsid w:val="7C935AB5"/>
    <w:rsid w:val="7CA12173"/>
    <w:rsid w:val="7CA773FF"/>
    <w:rsid w:val="7CA81753"/>
    <w:rsid w:val="7CA852AF"/>
    <w:rsid w:val="7CA87E11"/>
    <w:rsid w:val="7CB24380"/>
    <w:rsid w:val="7CB3260B"/>
    <w:rsid w:val="7CB4634A"/>
    <w:rsid w:val="7CB77687"/>
    <w:rsid w:val="7CB93960"/>
    <w:rsid w:val="7CBD14E3"/>
    <w:rsid w:val="7CC62D8B"/>
    <w:rsid w:val="7CCA4662"/>
    <w:rsid w:val="7CCF762A"/>
    <w:rsid w:val="7CD42548"/>
    <w:rsid w:val="7CD95DB0"/>
    <w:rsid w:val="7CDD2818"/>
    <w:rsid w:val="7CE04A49"/>
    <w:rsid w:val="7CE46E89"/>
    <w:rsid w:val="7CEA1D6C"/>
    <w:rsid w:val="7CF60710"/>
    <w:rsid w:val="7CFB5D27"/>
    <w:rsid w:val="7D00333D"/>
    <w:rsid w:val="7D040449"/>
    <w:rsid w:val="7D0A5491"/>
    <w:rsid w:val="7D140B97"/>
    <w:rsid w:val="7D191C7C"/>
    <w:rsid w:val="7D1D2D01"/>
    <w:rsid w:val="7D231188"/>
    <w:rsid w:val="7D2D3A06"/>
    <w:rsid w:val="7D2F2D01"/>
    <w:rsid w:val="7D357EBC"/>
    <w:rsid w:val="7D423956"/>
    <w:rsid w:val="7D435848"/>
    <w:rsid w:val="7D582BD3"/>
    <w:rsid w:val="7D633A67"/>
    <w:rsid w:val="7D6500F5"/>
    <w:rsid w:val="7D6F29AF"/>
    <w:rsid w:val="7D705CBB"/>
    <w:rsid w:val="7D7E1257"/>
    <w:rsid w:val="7D7E3B4B"/>
    <w:rsid w:val="7D80447E"/>
    <w:rsid w:val="7D8103DB"/>
    <w:rsid w:val="7D817656"/>
    <w:rsid w:val="7D841250"/>
    <w:rsid w:val="7D845D1C"/>
    <w:rsid w:val="7D8862B7"/>
    <w:rsid w:val="7D8C71F3"/>
    <w:rsid w:val="7D935E67"/>
    <w:rsid w:val="7D99109C"/>
    <w:rsid w:val="7D9B184A"/>
    <w:rsid w:val="7D9B2118"/>
    <w:rsid w:val="7D9F519D"/>
    <w:rsid w:val="7DA056F0"/>
    <w:rsid w:val="7DA168CE"/>
    <w:rsid w:val="7DA3023D"/>
    <w:rsid w:val="7DA43CC8"/>
    <w:rsid w:val="7DAB43AF"/>
    <w:rsid w:val="7DAE0FEB"/>
    <w:rsid w:val="7DB61C4E"/>
    <w:rsid w:val="7DB71C83"/>
    <w:rsid w:val="7DB84577"/>
    <w:rsid w:val="7DBF5565"/>
    <w:rsid w:val="7DC9372F"/>
    <w:rsid w:val="7DD303DA"/>
    <w:rsid w:val="7DD9273F"/>
    <w:rsid w:val="7DDD71DA"/>
    <w:rsid w:val="7DE20C95"/>
    <w:rsid w:val="7DE40F78"/>
    <w:rsid w:val="7DE871B4"/>
    <w:rsid w:val="7DE95B7F"/>
    <w:rsid w:val="7DEA0341"/>
    <w:rsid w:val="7DEB056D"/>
    <w:rsid w:val="7DEB37E9"/>
    <w:rsid w:val="7DF26DF9"/>
    <w:rsid w:val="7DF82266"/>
    <w:rsid w:val="7E0751A3"/>
    <w:rsid w:val="7E197282"/>
    <w:rsid w:val="7E1A5C35"/>
    <w:rsid w:val="7E1A6CD0"/>
    <w:rsid w:val="7E1D3A7B"/>
    <w:rsid w:val="7E2766A8"/>
    <w:rsid w:val="7E297621"/>
    <w:rsid w:val="7E2C4707"/>
    <w:rsid w:val="7E35325C"/>
    <w:rsid w:val="7E393919"/>
    <w:rsid w:val="7E395B7B"/>
    <w:rsid w:val="7E397153"/>
    <w:rsid w:val="7E3A002F"/>
    <w:rsid w:val="7E4603A6"/>
    <w:rsid w:val="7E4A6504"/>
    <w:rsid w:val="7E4D4360"/>
    <w:rsid w:val="7E4E1E86"/>
    <w:rsid w:val="7E635932"/>
    <w:rsid w:val="7E6E2528"/>
    <w:rsid w:val="7E786F03"/>
    <w:rsid w:val="7E7E09BD"/>
    <w:rsid w:val="7E845D81"/>
    <w:rsid w:val="7E8813E9"/>
    <w:rsid w:val="7E927FC5"/>
    <w:rsid w:val="7E9922C5"/>
    <w:rsid w:val="7E9B6173"/>
    <w:rsid w:val="7E9E696A"/>
    <w:rsid w:val="7EA35355"/>
    <w:rsid w:val="7EA96C28"/>
    <w:rsid w:val="7EAB45DB"/>
    <w:rsid w:val="7EAD4DFF"/>
    <w:rsid w:val="7EB663A9"/>
    <w:rsid w:val="7EB73ECF"/>
    <w:rsid w:val="7EB97C47"/>
    <w:rsid w:val="7EBE6221"/>
    <w:rsid w:val="7EBF64A4"/>
    <w:rsid w:val="7EC27667"/>
    <w:rsid w:val="7EC62364"/>
    <w:rsid w:val="7ECB606F"/>
    <w:rsid w:val="7EE328E6"/>
    <w:rsid w:val="7EEA3505"/>
    <w:rsid w:val="7EEC6DDC"/>
    <w:rsid w:val="7EF22037"/>
    <w:rsid w:val="7EF649F8"/>
    <w:rsid w:val="7EF71012"/>
    <w:rsid w:val="7EF77AD5"/>
    <w:rsid w:val="7F0A499B"/>
    <w:rsid w:val="7F0C2F67"/>
    <w:rsid w:val="7F0C5FC9"/>
    <w:rsid w:val="7F1050B8"/>
    <w:rsid w:val="7F1175B5"/>
    <w:rsid w:val="7F121106"/>
    <w:rsid w:val="7F1A1AC5"/>
    <w:rsid w:val="7F1B445E"/>
    <w:rsid w:val="7F261F6C"/>
    <w:rsid w:val="7F2F74D9"/>
    <w:rsid w:val="7F4B329E"/>
    <w:rsid w:val="7F4B424A"/>
    <w:rsid w:val="7F4D207E"/>
    <w:rsid w:val="7F566A71"/>
    <w:rsid w:val="7F58120E"/>
    <w:rsid w:val="7F691204"/>
    <w:rsid w:val="7F711704"/>
    <w:rsid w:val="7F73429A"/>
    <w:rsid w:val="7F737DF6"/>
    <w:rsid w:val="7F7724CF"/>
    <w:rsid w:val="7F796BA3"/>
    <w:rsid w:val="7F7A3700"/>
    <w:rsid w:val="7F9014F2"/>
    <w:rsid w:val="7F9020BE"/>
    <w:rsid w:val="7F911291"/>
    <w:rsid w:val="7FB623D9"/>
    <w:rsid w:val="7FB82C88"/>
    <w:rsid w:val="7FC33FFE"/>
    <w:rsid w:val="7FC625E9"/>
    <w:rsid w:val="7FCE57F4"/>
    <w:rsid w:val="7FD5285F"/>
    <w:rsid w:val="7FD64829"/>
    <w:rsid w:val="7FDA79CF"/>
    <w:rsid w:val="7FDE0B57"/>
    <w:rsid w:val="7FDF50FB"/>
    <w:rsid w:val="7FE02050"/>
    <w:rsid w:val="7FE2578F"/>
    <w:rsid w:val="7FEB2083"/>
    <w:rsid w:val="7FF13411"/>
    <w:rsid w:val="7FF408E5"/>
    <w:rsid w:val="7FF60A27"/>
    <w:rsid w:val="7FF672E6"/>
    <w:rsid w:val="7FF90109"/>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4">
    <w:name w:val="heading 3"/>
    <w:basedOn w:val="1"/>
    <w:next w:val="1"/>
    <w:qFormat/>
    <w:uiPriority w:val="0"/>
    <w:pPr>
      <w:keepNext/>
      <w:keepLines/>
      <w:spacing w:line="360" w:lineRule="auto"/>
      <w:ind w:left="852"/>
      <w:outlineLvl w:val="2"/>
    </w:pPr>
    <w:rPr>
      <w:rFonts w:ascii="Times New Roman" w:hAnsi="Times New Roman" w:eastAsia="黑体"/>
      <w:b/>
      <w:kern w:val="0"/>
      <w:sz w:val="24"/>
      <w:szCs w:val="24"/>
    </w:rPr>
  </w:style>
  <w:style w:type="paragraph" w:styleId="5">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caption"/>
    <w:basedOn w:val="1"/>
    <w:next w:val="1"/>
    <w:autoRedefine/>
    <w:qFormat/>
    <w:uiPriority w:val="0"/>
    <w:rPr>
      <w:rFonts w:ascii="Arial" w:hAnsi="Arial" w:eastAsia="黑体" w:cs="Arial"/>
      <w:sz w:val="20"/>
      <w:szCs w:val="20"/>
    </w:rPr>
  </w:style>
  <w:style w:type="paragraph" w:styleId="8">
    <w:name w:val="toa heading"/>
    <w:basedOn w:val="1"/>
    <w:next w:val="1"/>
    <w:autoRedefine/>
    <w:unhideWhenUsed/>
    <w:qFormat/>
    <w:uiPriority w:val="99"/>
    <w:pPr>
      <w:spacing w:before="120"/>
    </w:pPr>
    <w:rPr>
      <w:rFonts w:ascii="Cambria" w:hAnsi="Cambria" w:eastAsia="宋体" w:cs="Times New Roman"/>
      <w:sz w:val="24"/>
    </w:rPr>
  </w:style>
  <w:style w:type="paragraph" w:styleId="9">
    <w:name w:val="annotation text"/>
    <w:basedOn w:val="1"/>
    <w:autoRedefine/>
    <w:qFormat/>
    <w:uiPriority w:val="0"/>
    <w:pPr>
      <w:jc w:val="left"/>
    </w:pPr>
  </w:style>
  <w:style w:type="paragraph" w:styleId="10">
    <w:name w:val="Salutation"/>
    <w:basedOn w:val="1"/>
    <w:next w:val="1"/>
    <w:autoRedefine/>
    <w:qFormat/>
    <w:uiPriority w:val="0"/>
  </w:style>
  <w:style w:type="paragraph" w:styleId="11">
    <w:name w:val="Body Text"/>
    <w:basedOn w:val="1"/>
    <w:next w:val="1"/>
    <w:link w:val="114"/>
    <w:autoRedefine/>
    <w:qFormat/>
    <w:uiPriority w:val="0"/>
    <w:pPr>
      <w:spacing w:after="120"/>
    </w:pPr>
  </w:style>
  <w:style w:type="paragraph" w:styleId="12">
    <w:name w:val="Body Text Indent"/>
    <w:basedOn w:val="1"/>
    <w:next w:val="13"/>
    <w:qFormat/>
    <w:uiPriority w:val="0"/>
    <w:pPr>
      <w:widowControl/>
      <w:spacing w:after="120"/>
      <w:ind w:left="420" w:leftChars="200"/>
      <w:jc w:val="left"/>
    </w:pPr>
    <w:rPr>
      <w:kern w:val="0"/>
      <w:sz w:val="24"/>
    </w:rPr>
  </w:style>
  <w:style w:type="paragraph" w:styleId="13">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Block Text"/>
    <w:basedOn w:val="1"/>
    <w:autoRedefine/>
    <w:qFormat/>
    <w:uiPriority w:val="0"/>
    <w:pPr>
      <w:spacing w:after="120"/>
      <w:ind w:left="1440" w:leftChars="700" w:right="1440" w:rightChars="700"/>
    </w:pPr>
  </w:style>
  <w:style w:type="paragraph" w:styleId="15">
    <w:name w:val="Plain Text"/>
    <w:basedOn w:val="1"/>
    <w:next w:val="1"/>
    <w:qFormat/>
    <w:uiPriority w:val="0"/>
    <w:rPr>
      <w:rFonts w:ascii="宋体" w:hAnsi="Courier New"/>
    </w:rPr>
  </w:style>
  <w:style w:type="paragraph" w:styleId="16">
    <w:name w:val="Date"/>
    <w:basedOn w:val="1"/>
    <w:next w:val="1"/>
    <w:autoRedefine/>
    <w:qFormat/>
    <w:uiPriority w:val="0"/>
    <w:rPr>
      <w:sz w:val="24"/>
      <w:szCs w:val="20"/>
    </w:rPr>
  </w:style>
  <w:style w:type="paragraph" w:styleId="17">
    <w:name w:val="Body Text Indent 2"/>
    <w:basedOn w:val="1"/>
    <w:autoRedefine/>
    <w:qFormat/>
    <w:uiPriority w:val="0"/>
    <w:pPr>
      <w:spacing w:after="120" w:afterLines="0" w:line="480" w:lineRule="auto"/>
      <w:ind w:leftChars="200"/>
    </w:pPr>
    <w:rPr>
      <w:sz w:val="24"/>
    </w:rPr>
  </w:style>
  <w:style w:type="paragraph" w:styleId="18">
    <w:name w:val="footer"/>
    <w:basedOn w:val="1"/>
    <w:autoRedefine/>
    <w:qFormat/>
    <w:uiPriority w:val="99"/>
    <w:pPr>
      <w:tabs>
        <w:tab w:val="center" w:pos="4153"/>
        <w:tab w:val="right" w:pos="8306"/>
      </w:tabs>
      <w:snapToGrid w:val="0"/>
      <w:jc w:val="left"/>
    </w:pPr>
    <w:rPr>
      <w:kern w:val="0"/>
      <w:sz w:val="18"/>
      <w:szCs w:val="20"/>
    </w:rPr>
  </w:style>
  <w:style w:type="paragraph" w:styleId="19">
    <w:name w:val="toc 1"/>
    <w:basedOn w:val="1"/>
    <w:next w:val="1"/>
    <w:autoRedefine/>
    <w:qFormat/>
    <w:uiPriority w:val="0"/>
  </w:style>
  <w:style w:type="paragraph" w:styleId="20">
    <w:name w:val="index heading"/>
    <w:basedOn w:val="1"/>
    <w:next w:val="21"/>
    <w:qFormat/>
    <w:uiPriority w:val="0"/>
    <w:rPr>
      <w:rFonts w:ascii="Arial" w:hAnsi="Arial"/>
      <w:b/>
    </w:rPr>
  </w:style>
  <w:style w:type="paragraph" w:styleId="21">
    <w:name w:val="index 1"/>
    <w:basedOn w:val="1"/>
    <w:next w:val="1"/>
    <w:autoRedefine/>
    <w:semiHidden/>
    <w:qFormat/>
    <w:uiPriority w:val="0"/>
    <w:pPr>
      <w:adjustRightInd w:val="0"/>
      <w:snapToGrid w:val="0"/>
      <w:ind w:firstLine="823" w:firstLineChars="358"/>
      <w:jc w:val="left"/>
    </w:pPr>
    <w:rPr>
      <w:rFonts w:ascii="宋体" w:hAnsi="宋体"/>
      <w:spacing w:val="10"/>
    </w:rPr>
  </w:style>
  <w:style w:type="paragraph" w:styleId="22">
    <w:name w:val="Body Text Indent 3"/>
    <w:basedOn w:val="1"/>
    <w:autoRedefine/>
    <w:qFormat/>
    <w:uiPriority w:val="0"/>
    <w:pPr>
      <w:spacing w:after="120" w:afterLines="0"/>
      <w:ind w:left="420" w:leftChars="200"/>
    </w:pPr>
    <w:rPr>
      <w:sz w:val="16"/>
      <w:szCs w:val="16"/>
    </w:rPr>
  </w:style>
  <w:style w:type="paragraph" w:styleId="23">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4">
    <w:name w:val="Body Text First Indent"/>
    <w:basedOn w:val="11"/>
    <w:next w:val="1"/>
    <w:autoRedefine/>
    <w:qFormat/>
    <w:uiPriority w:val="0"/>
    <w:pPr>
      <w:ind w:firstLine="420" w:firstLineChars="100"/>
    </w:pPr>
    <w:rPr>
      <w:sz w:val="24"/>
    </w:rPr>
  </w:style>
  <w:style w:type="paragraph" w:styleId="25">
    <w:name w:val="Body Text First Indent 2"/>
    <w:basedOn w:val="12"/>
    <w:next w:val="24"/>
    <w:autoRedefine/>
    <w:qFormat/>
    <w:uiPriority w:val="0"/>
    <w:pPr>
      <w:widowControl w:val="0"/>
      <w:ind w:firstLine="420" w:firstLineChars="200"/>
      <w:jc w:val="both"/>
    </w:pPr>
    <w:rPr>
      <w:kern w:val="2"/>
      <w:sz w:val="21"/>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autoRedefine/>
    <w:qFormat/>
    <w:uiPriority w:val="20"/>
  </w:style>
  <w:style w:type="character" w:styleId="32">
    <w:name w:val="Hyperlink"/>
    <w:basedOn w:val="28"/>
    <w:autoRedefine/>
    <w:qFormat/>
    <w:uiPriority w:val="0"/>
    <w:rPr>
      <w:color w:val="000000"/>
      <w:u w:val="none"/>
    </w:rPr>
  </w:style>
  <w:style w:type="character" w:styleId="33">
    <w:name w:val="annotation reference"/>
    <w:basedOn w:val="28"/>
    <w:autoRedefine/>
    <w:qFormat/>
    <w:uiPriority w:val="0"/>
    <w:rPr>
      <w:sz w:val="21"/>
    </w:rPr>
  </w:style>
  <w:style w:type="paragraph" w:customStyle="1" w:styleId="34">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5">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样式 标题 1 + 四号 段前: 0 磅 段后: 0 磅 行距: 1.5 倍行距"/>
    <w:basedOn w:val="37"/>
    <w:next w:val="39"/>
    <w:autoRedefine/>
    <w:qFormat/>
    <w:uiPriority w:val="0"/>
    <w:pPr>
      <w:spacing w:line="360" w:lineRule="auto"/>
      <w:jc w:val="center"/>
    </w:pPr>
  </w:style>
  <w:style w:type="paragraph" w:customStyle="1" w:styleId="37">
    <w:name w:val="报告表正文"/>
    <w:basedOn w:val="1"/>
    <w:next w:val="38"/>
    <w:autoRedefine/>
    <w:qFormat/>
    <w:uiPriority w:val="0"/>
    <w:pPr>
      <w:adjustRightInd w:val="0"/>
      <w:spacing w:line="312" w:lineRule="auto"/>
      <w:ind w:left="113" w:right="113" w:firstLine="482"/>
      <w:jc w:val="left"/>
      <w:textAlignment w:val="baseline"/>
    </w:pPr>
    <w:rPr>
      <w:kern w:val="0"/>
      <w:sz w:val="24"/>
    </w:rPr>
  </w:style>
  <w:style w:type="paragraph" w:customStyle="1" w:styleId="38">
    <w:name w:val="报告表正文（首行缩进）"/>
    <w:basedOn w:val="37"/>
    <w:autoRedefine/>
    <w:qFormat/>
    <w:uiPriority w:val="0"/>
    <w:pPr>
      <w:wordWrap w:val="0"/>
      <w:ind w:firstLine="562" w:firstLineChars="200"/>
    </w:pPr>
  </w:style>
  <w:style w:type="paragraph" w:customStyle="1" w:styleId="39">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40">
    <w:name w:val="1正文"/>
    <w:basedOn w:val="1"/>
    <w:autoRedefine/>
    <w:qFormat/>
    <w:uiPriority w:val="0"/>
    <w:pPr>
      <w:spacing w:line="500" w:lineRule="exact"/>
      <w:ind w:firstLine="588" w:firstLineChars="196"/>
    </w:pPr>
    <w:rPr>
      <w:rFonts w:eastAsia="楷体_GB2312"/>
      <w:sz w:val="30"/>
      <w:szCs w:val="30"/>
    </w:rPr>
  </w:style>
  <w:style w:type="paragraph" w:customStyle="1" w:styleId="41">
    <w:name w:val="样式 黑色 行距: 最小值 26 磅"/>
    <w:basedOn w:val="1"/>
    <w:autoRedefine/>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2">
    <w:name w:val="表格"/>
    <w:basedOn w:val="6"/>
    <w:next w:val="6"/>
    <w:autoRedefine/>
    <w:qFormat/>
    <w:uiPriority w:val="0"/>
    <w:pPr>
      <w:adjustRightInd w:val="0"/>
      <w:snapToGrid w:val="0"/>
      <w:spacing w:beforeLines="10" w:afterLines="10" w:line="259" w:lineRule="auto"/>
      <w:jc w:val="center"/>
    </w:pPr>
    <w:rPr>
      <w:rFonts w:ascii="宋体"/>
      <w:kern w:val="0"/>
      <w:szCs w:val="20"/>
    </w:rPr>
  </w:style>
  <w:style w:type="paragraph" w:customStyle="1" w:styleId="43">
    <w:name w:val="图标题"/>
    <w:basedOn w:val="1"/>
    <w:autoRedefine/>
    <w:qFormat/>
    <w:uiPriority w:val="0"/>
    <w:pPr>
      <w:tabs>
        <w:tab w:val="left" w:pos="1035"/>
      </w:tabs>
      <w:spacing w:afterLines="100"/>
      <w:jc w:val="center"/>
    </w:pPr>
    <w:rPr>
      <w:sz w:val="24"/>
    </w:rPr>
  </w:style>
  <w:style w:type="paragraph" w:customStyle="1" w:styleId="44">
    <w:name w:val="表格及表头"/>
    <w:basedOn w:val="1"/>
    <w:next w:val="1"/>
    <w:autoRedefine/>
    <w:qFormat/>
    <w:uiPriority w:val="0"/>
    <w:pPr>
      <w:spacing w:line="240" w:lineRule="auto"/>
      <w:ind w:firstLine="0" w:firstLineChars="0"/>
      <w:jc w:val="both"/>
    </w:pPr>
    <w:rPr>
      <w:rFonts w:ascii="Times New Roman" w:hAnsi="Times New Roman"/>
      <w:sz w:val="21"/>
      <w:szCs w:val="21"/>
    </w:rPr>
  </w:style>
  <w:style w:type="paragraph" w:customStyle="1" w:styleId="45">
    <w:name w:val="p17"/>
    <w:basedOn w:val="1"/>
    <w:autoRedefine/>
    <w:qFormat/>
    <w:uiPriority w:val="0"/>
    <w:pPr>
      <w:widowControl/>
      <w:spacing w:after="120" w:afterLines="0"/>
    </w:pPr>
    <w:rPr>
      <w:kern w:val="0"/>
      <w:sz w:val="30"/>
      <w:szCs w:val="30"/>
    </w:rPr>
  </w:style>
  <w:style w:type="paragraph" w:customStyle="1" w:styleId="46">
    <w:name w:val="文本内容"/>
    <w:basedOn w:val="1"/>
    <w:autoRedefine/>
    <w:qFormat/>
    <w:uiPriority w:val="0"/>
    <w:pPr>
      <w:adjustRightInd w:val="0"/>
      <w:snapToGrid w:val="0"/>
      <w:spacing w:line="360" w:lineRule="auto"/>
      <w:ind w:firstLine="546" w:firstLineChars="200"/>
    </w:pPr>
    <w:rPr>
      <w:rFonts w:ascii="Calibri" w:hAnsi="Calibri"/>
      <w:sz w:val="28"/>
    </w:rPr>
  </w:style>
  <w:style w:type="character" w:customStyle="1" w:styleId="47">
    <w:name w:val="ggzbt011"/>
    <w:basedOn w:val="28"/>
    <w:qFormat/>
    <w:uiPriority w:val="0"/>
  </w:style>
  <w:style w:type="paragraph" w:customStyle="1" w:styleId="48">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9">
    <w:name w:val="dz1"/>
    <w:qFormat/>
    <w:uiPriority w:val="0"/>
    <w:rPr>
      <w:rFonts w:hint="default" w:ascii="Geneva" w:hAnsi="Geneva"/>
      <w:sz w:val="20"/>
      <w:szCs w:val="20"/>
    </w:rPr>
  </w:style>
  <w:style w:type="paragraph" w:customStyle="1" w:styleId="50">
    <w:name w:val="制表格"/>
    <w:basedOn w:val="1"/>
    <w:qFormat/>
    <w:uiPriority w:val="0"/>
    <w:pPr>
      <w:jc w:val="center"/>
    </w:pPr>
    <w:rPr>
      <w:rFonts w:ascii="Times New Roman" w:hAnsi="Times New Roman"/>
      <w:snapToGrid w:val="0"/>
      <w:kern w:val="0"/>
      <w:szCs w:val="28"/>
    </w:rPr>
  </w:style>
  <w:style w:type="paragraph" w:customStyle="1" w:styleId="51">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2">
    <w:name w:val="11"/>
    <w:basedOn w:val="11"/>
    <w:next w:val="14"/>
    <w:qFormat/>
    <w:uiPriority w:val="0"/>
    <w:pPr>
      <w:autoSpaceDE w:val="0"/>
      <w:autoSpaceDN w:val="0"/>
      <w:adjustRightInd w:val="0"/>
      <w:spacing w:after="0" w:line="360" w:lineRule="auto"/>
      <w:ind w:firstLine="1320" w:firstLineChars="550"/>
      <w:textAlignment w:val="baseline"/>
    </w:pPr>
    <w:rPr>
      <w:sz w:val="24"/>
    </w:rPr>
  </w:style>
  <w:style w:type="paragraph" w:customStyle="1" w:styleId="53">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4">
    <w:name w:val="WPSOffice手动目录 1"/>
    <w:autoRedefine/>
    <w:qFormat/>
    <w:uiPriority w:val="0"/>
    <w:pPr>
      <w:ind w:leftChars="0"/>
    </w:pPr>
    <w:rPr>
      <w:rFonts w:ascii="Times New Roman" w:hAnsi="Times New Roman" w:eastAsia="宋体" w:cs="Times New Roman"/>
      <w:sz w:val="20"/>
      <w:szCs w:val="20"/>
    </w:rPr>
  </w:style>
  <w:style w:type="paragraph" w:customStyle="1" w:styleId="55">
    <w:name w:val="表头（书）"/>
    <w:basedOn w:val="1"/>
    <w:next w:val="42"/>
    <w:autoRedefine/>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6">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7">
    <w:name w:val="p0"/>
    <w:basedOn w:val="1"/>
    <w:qFormat/>
    <w:uiPriority w:val="0"/>
    <w:pPr>
      <w:widowControl/>
    </w:pPr>
    <w:rPr>
      <w:rFonts w:eastAsia="Arial Unicode MS"/>
      <w:kern w:val="0"/>
      <w:szCs w:val="21"/>
    </w:rPr>
  </w:style>
  <w:style w:type="paragraph" w:customStyle="1" w:styleId="58">
    <w:name w:val="赵"/>
    <w:basedOn w:val="1"/>
    <w:qFormat/>
    <w:uiPriority w:val="0"/>
    <w:pPr>
      <w:spacing w:line="360" w:lineRule="auto"/>
      <w:ind w:firstLine="200" w:firstLineChars="200"/>
    </w:pPr>
    <w:rPr>
      <w:color w:val="000000"/>
      <w:kern w:val="0"/>
      <w:sz w:val="24"/>
      <w:szCs w:val="24"/>
    </w:rPr>
  </w:style>
  <w:style w:type="paragraph" w:customStyle="1" w:styleId="59">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60">
    <w:name w:val="填表5中"/>
    <w:basedOn w:val="1"/>
    <w:next w:val="1"/>
    <w:qFormat/>
    <w:uiPriority w:val="0"/>
    <w:pPr>
      <w:spacing w:line="300" w:lineRule="exact"/>
      <w:jc w:val="center"/>
    </w:pPr>
    <w:rPr>
      <w:rFonts w:ascii="宋体"/>
      <w:sz w:val="24"/>
      <w:szCs w:val="21"/>
    </w:rPr>
  </w:style>
  <w:style w:type="character" w:customStyle="1" w:styleId="61">
    <w:name w:val="fw2"/>
    <w:basedOn w:val="28"/>
    <w:autoRedefine/>
    <w:qFormat/>
    <w:uiPriority w:val="0"/>
  </w:style>
  <w:style w:type="paragraph" w:customStyle="1" w:styleId="62">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3">
    <w:name w:val="1文章"/>
    <w:basedOn w:val="1"/>
    <w:qFormat/>
    <w:uiPriority w:val="0"/>
    <w:pPr>
      <w:spacing w:line="360" w:lineRule="auto"/>
      <w:ind w:firstLine="573"/>
    </w:pPr>
    <w:rPr>
      <w:rFonts w:eastAsia="楷体_GB2312"/>
      <w:sz w:val="28"/>
      <w:szCs w:val="20"/>
    </w:rPr>
  </w:style>
  <w:style w:type="paragraph" w:customStyle="1" w:styleId="64">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5">
    <w:name w:val="List Paragraph"/>
    <w:basedOn w:val="1"/>
    <w:qFormat/>
    <w:uiPriority w:val="0"/>
    <w:pPr>
      <w:ind w:firstLine="420" w:firstLineChars="200"/>
    </w:pPr>
    <w:rPr>
      <w:szCs w:val="22"/>
    </w:rPr>
  </w:style>
  <w:style w:type="paragraph" w:customStyle="1" w:styleId="66">
    <w:name w:val="报告表格"/>
    <w:basedOn w:val="1"/>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7">
    <w:name w:val="正文01"/>
    <w:basedOn w:val="3"/>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8">
    <w:name w:val="表格 32"/>
    <w:basedOn w:val="1"/>
    <w:autoRedefine/>
    <w:qFormat/>
    <w:uiPriority w:val="0"/>
    <w:pPr>
      <w:autoSpaceDE w:val="0"/>
      <w:autoSpaceDN w:val="0"/>
      <w:adjustRightInd w:val="0"/>
      <w:ind w:firstLine="0"/>
      <w:jc w:val="center"/>
      <w:textAlignment w:val="baseline"/>
    </w:pPr>
    <w:rPr>
      <w:rFonts w:ascii="宋体" w:hAnsi="Impact"/>
      <w:kern w:val="24"/>
    </w:rPr>
  </w:style>
  <w:style w:type="paragraph" w:customStyle="1" w:styleId="69">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paragraph" w:customStyle="1" w:styleId="70">
    <w:name w:val="正文样式1"/>
    <w:basedOn w:val="1"/>
    <w:qFormat/>
    <w:uiPriority w:val="0"/>
    <w:pPr>
      <w:adjustRightInd w:val="0"/>
      <w:spacing w:line="288" w:lineRule="auto"/>
      <w:ind w:firstLine="360" w:firstLineChars="150"/>
      <w:textAlignment w:val="baseline"/>
    </w:pPr>
    <w:rPr>
      <w:kern w:val="0"/>
      <w:sz w:val="24"/>
      <w:szCs w:val="20"/>
    </w:rPr>
  </w:style>
  <w:style w:type="character" w:customStyle="1" w:styleId="71">
    <w:name w:val="正文文本 Char1"/>
    <w:qFormat/>
    <w:uiPriority w:val="0"/>
    <w:rPr>
      <w:rFonts w:eastAsia="宋体"/>
      <w:kern w:val="2"/>
      <w:sz w:val="28"/>
      <w:szCs w:val="24"/>
      <w:lang w:val="en-US" w:eastAsia="zh-CN" w:bidi="ar-SA"/>
    </w:rPr>
  </w:style>
  <w:style w:type="paragraph" w:customStyle="1" w:styleId="72">
    <w:name w:val="文本22"/>
    <w:basedOn w:val="1"/>
    <w:autoRedefine/>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3">
    <w:name w:val="样式 cucd-0 + (西文) Arial (中文) 仿宋_GB2312"/>
    <w:basedOn w:val="1"/>
    <w:autoRedefine/>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4">
    <w:name w:val="缩进2正文"/>
    <w:basedOn w:val="75"/>
    <w:autoRedefine/>
    <w:qFormat/>
    <w:uiPriority w:val="0"/>
    <w:pPr>
      <w:tabs>
        <w:tab w:val="left" w:pos="4860"/>
      </w:tabs>
      <w:ind w:firstLine="560"/>
      <w:jc w:val="both"/>
    </w:pPr>
    <w:rPr>
      <w:sz w:val="28"/>
      <w:szCs w:val="28"/>
    </w:rPr>
  </w:style>
  <w:style w:type="paragraph" w:customStyle="1" w:styleId="75">
    <w:name w:val="报告正文"/>
    <w:basedOn w:val="1"/>
    <w:autoRedefine/>
    <w:qFormat/>
    <w:uiPriority w:val="0"/>
    <w:pPr>
      <w:spacing w:line="360" w:lineRule="auto"/>
      <w:ind w:firstLine="200" w:firstLineChars="200"/>
      <w:jc w:val="left"/>
    </w:pPr>
    <w:rPr>
      <w:sz w:val="24"/>
      <w:szCs w:val="24"/>
    </w:rPr>
  </w:style>
  <w:style w:type="paragraph" w:customStyle="1" w:styleId="76">
    <w:name w:val="列出段落1"/>
    <w:basedOn w:val="1"/>
    <w:autoRedefine/>
    <w:qFormat/>
    <w:uiPriority w:val="34"/>
    <w:pPr>
      <w:ind w:firstLine="420" w:firstLineChars="200"/>
    </w:pPr>
    <w:rPr>
      <w:rFonts w:ascii="Times New Roman" w:hAnsi="Times New Roman"/>
      <w:szCs w:val="20"/>
    </w:rPr>
  </w:style>
  <w:style w:type="paragraph" w:customStyle="1" w:styleId="77">
    <w:name w:val=" Char"/>
    <w:basedOn w:val="1"/>
    <w:autoRedefine/>
    <w:qFormat/>
    <w:uiPriority w:val="0"/>
    <w:pPr>
      <w:snapToGrid w:val="0"/>
      <w:spacing w:line="360" w:lineRule="auto"/>
      <w:ind w:firstLine="529" w:firstLineChars="200"/>
    </w:pPr>
  </w:style>
  <w:style w:type="paragraph" w:customStyle="1" w:styleId="78">
    <w:name w:val="Table Paragraph"/>
    <w:basedOn w:val="1"/>
    <w:autoRedefine/>
    <w:unhideWhenUsed/>
    <w:qFormat/>
    <w:uiPriority w:val="1"/>
    <w:pPr>
      <w:spacing w:beforeLines="0" w:afterLines="0"/>
    </w:pPr>
    <w:rPr>
      <w:rFonts w:hint="default"/>
      <w:sz w:val="24"/>
    </w:rPr>
  </w:style>
  <w:style w:type="paragraph" w:customStyle="1" w:styleId="79">
    <w:name w:val="样式1"/>
    <w:basedOn w:val="5"/>
    <w:autoRedefine/>
    <w:qFormat/>
    <w:uiPriority w:val="0"/>
    <w:pPr>
      <w:spacing w:before="160" w:after="170" w:line="372" w:lineRule="auto"/>
    </w:pPr>
    <w:rPr>
      <w:rFonts w:ascii="Times New Roman" w:hAnsi="Times New Roman" w:eastAsia="仿宋_GB2312"/>
    </w:rPr>
  </w:style>
  <w:style w:type="paragraph" w:customStyle="1" w:styleId="80">
    <w:name w:val="样式 (西文) Times New Roman 小四 行距: 1.5 倍行距 首行缩进:  2 字符"/>
    <w:basedOn w:val="1"/>
    <w:autoRedefine/>
    <w:qFormat/>
    <w:uiPriority w:val="0"/>
    <w:pPr>
      <w:spacing w:line="360" w:lineRule="auto"/>
      <w:ind w:firstLine="480" w:firstLineChars="200"/>
    </w:pPr>
    <w:rPr>
      <w:rFonts w:ascii="Times New Roman" w:hAnsi="Times New Roman" w:cs="宋体"/>
      <w:sz w:val="24"/>
      <w:szCs w:val="20"/>
    </w:rPr>
  </w:style>
  <w:style w:type="paragraph" w:customStyle="1" w:styleId="81">
    <w:name w:val="表格小五"/>
    <w:basedOn w:val="1"/>
    <w:autoRedefine/>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2">
    <w:name w:val="表格内容"/>
    <w:basedOn w:val="1"/>
    <w:autoRedefine/>
    <w:qFormat/>
    <w:uiPriority w:val="0"/>
    <w:pPr>
      <w:adjustRightInd w:val="0"/>
      <w:snapToGrid w:val="0"/>
      <w:jc w:val="center"/>
    </w:pPr>
    <w:rPr>
      <w:rFonts w:eastAsia="Times New Roman"/>
      <w:szCs w:val="21"/>
    </w:rPr>
  </w:style>
  <w:style w:type="paragraph" w:customStyle="1" w:styleId="83">
    <w:name w:val="1正文段落"/>
    <w:basedOn w:val="1"/>
    <w:autoRedefine/>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4">
    <w:name w:val="表格文字"/>
    <w:basedOn w:val="85"/>
    <w:next w:val="11"/>
    <w:autoRedefine/>
    <w:qFormat/>
    <w:uiPriority w:val="0"/>
    <w:pPr>
      <w:spacing w:after="0" w:line="320" w:lineRule="exact"/>
      <w:jc w:val="center"/>
    </w:pPr>
    <w:rPr>
      <w:rFonts w:ascii="宋体"/>
      <w:szCs w:val="24"/>
    </w:rPr>
  </w:style>
  <w:style w:type="paragraph" w:customStyle="1" w:styleId="85">
    <w:name w:val="方案正文"/>
    <w:basedOn w:val="1"/>
    <w:autoRedefine/>
    <w:qFormat/>
    <w:uiPriority w:val="0"/>
    <w:rPr>
      <w:kern w:val="0"/>
      <w:sz w:val="24"/>
      <w:szCs w:val="20"/>
    </w:rPr>
  </w:style>
  <w:style w:type="paragraph" w:customStyle="1" w:styleId="86">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7">
    <w:name w:val="表头"/>
    <w:basedOn w:val="1"/>
    <w:next w:val="1"/>
    <w:autoRedefine/>
    <w:qFormat/>
    <w:uiPriority w:val="0"/>
    <w:pPr>
      <w:spacing w:line="360" w:lineRule="auto"/>
      <w:ind w:firstLine="2169" w:firstLineChars="1029"/>
    </w:pPr>
    <w:rPr>
      <w:rFonts w:ascii="宋体" w:hAnsi="宋体"/>
      <w:b/>
      <w:kern w:val="0"/>
      <w:szCs w:val="21"/>
    </w:rPr>
  </w:style>
  <w:style w:type="character" w:customStyle="1" w:styleId="88">
    <w:name w:val="font01"/>
    <w:basedOn w:val="28"/>
    <w:autoRedefine/>
    <w:qFormat/>
    <w:uiPriority w:val="0"/>
    <w:rPr>
      <w:rFonts w:hint="eastAsia" w:ascii="宋体" w:hAnsi="宋体" w:eastAsia="宋体" w:cs="宋体"/>
      <w:color w:val="000000"/>
      <w:sz w:val="21"/>
      <w:szCs w:val="21"/>
      <w:u w:val="none"/>
    </w:rPr>
  </w:style>
  <w:style w:type="character" w:customStyle="1" w:styleId="89">
    <w:name w:val="font21"/>
    <w:basedOn w:val="28"/>
    <w:autoRedefine/>
    <w:qFormat/>
    <w:uiPriority w:val="0"/>
    <w:rPr>
      <w:rFonts w:hint="default" w:ascii="Times New Roman" w:hAnsi="Times New Roman" w:cs="Times New Roman"/>
      <w:color w:val="000000"/>
      <w:sz w:val="21"/>
      <w:szCs w:val="21"/>
      <w:u w:val="none"/>
    </w:rPr>
  </w:style>
  <w:style w:type="character" w:customStyle="1" w:styleId="90">
    <w:name w:val="font41"/>
    <w:basedOn w:val="28"/>
    <w:autoRedefine/>
    <w:qFormat/>
    <w:uiPriority w:val="0"/>
    <w:rPr>
      <w:rFonts w:hint="default" w:ascii="Times New Roman" w:hAnsi="Times New Roman" w:cs="Times New Roman"/>
      <w:b/>
      <w:bCs/>
      <w:color w:val="000000"/>
      <w:sz w:val="21"/>
      <w:szCs w:val="21"/>
      <w:u w:val="none"/>
    </w:rPr>
  </w:style>
  <w:style w:type="character" w:customStyle="1" w:styleId="91">
    <w:name w:val="font31"/>
    <w:basedOn w:val="28"/>
    <w:autoRedefine/>
    <w:qFormat/>
    <w:uiPriority w:val="0"/>
    <w:rPr>
      <w:rFonts w:hint="default" w:ascii="Times New Roman" w:hAnsi="Times New Roman" w:cs="Times New Roman"/>
      <w:color w:val="000000"/>
      <w:sz w:val="21"/>
      <w:szCs w:val="21"/>
      <w:u w:val="none"/>
    </w:rPr>
  </w:style>
  <w:style w:type="character" w:customStyle="1" w:styleId="92">
    <w:name w:val="font51"/>
    <w:basedOn w:val="28"/>
    <w:autoRedefine/>
    <w:qFormat/>
    <w:uiPriority w:val="0"/>
    <w:rPr>
      <w:rFonts w:hint="default" w:ascii="Times New Roman" w:hAnsi="Times New Roman" w:cs="Times New Roman"/>
      <w:color w:val="000000"/>
      <w:sz w:val="21"/>
      <w:szCs w:val="21"/>
      <w:u w:val="none"/>
      <w:vertAlign w:val="subscript"/>
    </w:rPr>
  </w:style>
  <w:style w:type="character" w:customStyle="1" w:styleId="93">
    <w:name w:val="正文文本_"/>
    <w:link w:val="94"/>
    <w:autoRedefine/>
    <w:qFormat/>
    <w:locked/>
    <w:uiPriority w:val="99"/>
    <w:rPr>
      <w:rFonts w:ascii="MingLiU" w:hAnsi="MingLiU" w:eastAsia="MingLiU"/>
      <w:spacing w:val="10"/>
      <w:kern w:val="0"/>
      <w:szCs w:val="21"/>
    </w:rPr>
  </w:style>
  <w:style w:type="paragraph" w:customStyle="1" w:styleId="94">
    <w:name w:val="正文文本3"/>
    <w:basedOn w:val="1"/>
    <w:link w:val="93"/>
    <w:autoRedefine/>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5">
    <w:name w:val="wlm表头"/>
    <w:basedOn w:val="1"/>
    <w:autoRedefine/>
    <w:qFormat/>
    <w:uiPriority w:val="0"/>
    <w:pPr>
      <w:jc w:val="center"/>
    </w:pPr>
    <w:rPr>
      <w:b/>
      <w:szCs w:val="21"/>
    </w:rPr>
  </w:style>
  <w:style w:type="paragraph" w:customStyle="1" w:styleId="96">
    <w:name w:val="wlm表格"/>
    <w:basedOn w:val="1"/>
    <w:autoRedefine/>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7">
    <w:name w:val="正文四号"/>
    <w:basedOn w:val="1"/>
    <w:autoRedefine/>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8">
    <w:name w:val="表头、图尾"/>
    <w:basedOn w:val="1"/>
    <w:autoRedefine/>
    <w:qFormat/>
    <w:uiPriority w:val="0"/>
    <w:pPr>
      <w:spacing w:beforeLines="50" w:afterLines="20" w:line="240" w:lineRule="auto"/>
      <w:ind w:firstLine="0" w:firstLineChars="0"/>
      <w:jc w:val="center"/>
      <w:outlineLvl w:val="1"/>
    </w:pPr>
    <w:rPr>
      <w:b/>
    </w:rPr>
  </w:style>
  <w:style w:type="character" w:customStyle="1" w:styleId="99">
    <w:name w:val="NormalCharacter"/>
    <w:autoRedefine/>
    <w:qFormat/>
    <w:uiPriority w:val="0"/>
  </w:style>
  <w:style w:type="paragraph" w:customStyle="1" w:styleId="100">
    <w:name w:val="cucd-0"/>
    <w:autoRedefine/>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1">
    <w:name w:val="表格标题"/>
    <w:basedOn w:val="1"/>
    <w:autoRedefine/>
    <w:qFormat/>
    <w:uiPriority w:val="0"/>
    <w:pPr>
      <w:spacing w:line="540" w:lineRule="exact"/>
      <w:jc w:val="center"/>
    </w:pPr>
    <w:rPr>
      <w:rFonts w:ascii="宋体" w:hAnsi="宋体"/>
      <w:bCs/>
      <w:sz w:val="24"/>
    </w:rPr>
  </w:style>
  <w:style w:type="character" w:customStyle="1" w:styleId="102">
    <w:name w:val="viewthreadtxt"/>
    <w:basedOn w:val="28"/>
    <w:autoRedefine/>
    <w:qFormat/>
    <w:uiPriority w:val="0"/>
  </w:style>
  <w:style w:type="paragraph" w:customStyle="1" w:styleId="103">
    <w:name w:val=" Char Char Char Char"/>
    <w:basedOn w:val="1"/>
    <w:qFormat/>
    <w:uiPriority w:val="0"/>
    <w:pPr>
      <w:snapToGrid w:val="0"/>
      <w:spacing w:line="360" w:lineRule="auto"/>
      <w:ind w:firstLine="200" w:firstLineChars="200"/>
    </w:pPr>
    <w:rPr>
      <w:szCs w:val="20"/>
    </w:rPr>
  </w:style>
  <w:style w:type="character" w:customStyle="1" w:styleId="104">
    <w:name w:val="font11"/>
    <w:basedOn w:val="28"/>
    <w:qFormat/>
    <w:uiPriority w:val="0"/>
    <w:rPr>
      <w:rFonts w:hint="eastAsia" w:ascii="宋体" w:hAnsi="宋体" w:eastAsia="宋体" w:cs="宋体"/>
      <w:color w:val="000000"/>
      <w:sz w:val="21"/>
      <w:szCs w:val="21"/>
      <w:u w:val="none"/>
    </w:rPr>
  </w:style>
  <w:style w:type="paragraph" w:customStyle="1" w:styleId="105">
    <w:name w:val="文本"/>
    <w:basedOn w:val="1"/>
    <w:autoRedefine/>
    <w:qFormat/>
    <w:uiPriority w:val="0"/>
    <w:pPr>
      <w:ind w:firstLine="480" w:firstLineChars="200"/>
    </w:pPr>
  </w:style>
  <w:style w:type="character" w:customStyle="1" w:styleId="106">
    <w:name w:val="font61"/>
    <w:basedOn w:val="28"/>
    <w:autoRedefine/>
    <w:qFormat/>
    <w:uiPriority w:val="0"/>
    <w:rPr>
      <w:rFonts w:hint="default" w:ascii="Times New Roman" w:hAnsi="Times New Roman" w:cs="Times New Roman"/>
      <w:color w:val="000000"/>
      <w:sz w:val="21"/>
      <w:szCs w:val="21"/>
      <w:u w:val="none"/>
      <w:vertAlign w:val="subscript"/>
    </w:rPr>
  </w:style>
  <w:style w:type="character" w:customStyle="1" w:styleId="107">
    <w:name w:val="全部 Char Char"/>
    <w:link w:val="108"/>
    <w:qFormat/>
    <w:uiPriority w:val="0"/>
    <w:rPr>
      <w:rFonts w:ascii="宋体" w:hAnsi="宋体"/>
      <w:color w:val="000000"/>
      <w:sz w:val="24"/>
    </w:rPr>
  </w:style>
  <w:style w:type="paragraph" w:customStyle="1" w:styleId="108">
    <w:name w:val="全部"/>
    <w:basedOn w:val="1"/>
    <w:link w:val="107"/>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09">
    <w:name w:val="样式 样式 小四 段前: 7.8 磅 段后: 7.8 磅 行距: 1.5 倍行距 + 首行缩进:  2 字符 Char Char"/>
    <w:link w:val="110"/>
    <w:qFormat/>
    <w:uiPriority w:val="0"/>
    <w:rPr>
      <w:spacing w:val="20"/>
      <w:sz w:val="24"/>
    </w:rPr>
  </w:style>
  <w:style w:type="paragraph" w:customStyle="1" w:styleId="110">
    <w:name w:val="样式 样式 小四 段前: 7.8 磅 段后: 7.8 磅 行距: 1.5 倍行距 + 首行缩进:  2 字符"/>
    <w:basedOn w:val="1"/>
    <w:link w:val="109"/>
    <w:autoRedefine/>
    <w:qFormat/>
    <w:uiPriority w:val="0"/>
    <w:pPr>
      <w:spacing w:before="156" w:after="156" w:line="360" w:lineRule="auto"/>
      <w:ind w:firstLine="560" w:firstLineChars="200"/>
    </w:pPr>
    <w:rPr>
      <w:spacing w:val="20"/>
      <w:sz w:val="24"/>
    </w:rPr>
  </w:style>
  <w:style w:type="character" w:customStyle="1" w:styleId="111">
    <w:name w:val="fontstyle01"/>
    <w:basedOn w:val="28"/>
    <w:qFormat/>
    <w:uiPriority w:val="0"/>
    <w:rPr>
      <w:rFonts w:hint="eastAsia" w:ascii="宋体" w:hAnsi="宋体" w:eastAsia="宋体"/>
      <w:color w:val="000000"/>
      <w:sz w:val="24"/>
      <w:szCs w:val="24"/>
    </w:rPr>
  </w:style>
  <w:style w:type="character" w:customStyle="1" w:styleId="112">
    <w:name w:val="font71"/>
    <w:basedOn w:val="28"/>
    <w:autoRedefine/>
    <w:qFormat/>
    <w:uiPriority w:val="0"/>
    <w:rPr>
      <w:rFonts w:hint="default" w:ascii="Times New Roman" w:hAnsi="Times New Roman" w:cs="Times New Roman"/>
      <w:b/>
      <w:bCs/>
      <w:color w:val="000000"/>
      <w:sz w:val="21"/>
      <w:szCs w:val="21"/>
      <w:u w:val="none"/>
    </w:rPr>
  </w:style>
  <w:style w:type="paragraph" w:customStyle="1" w:styleId="113">
    <w:name w:val="环科院正文 Char Char"/>
    <w:basedOn w:val="1"/>
    <w:autoRedefine/>
    <w:qFormat/>
    <w:uiPriority w:val="0"/>
    <w:pPr>
      <w:spacing w:line="300" w:lineRule="auto"/>
      <w:ind w:firstLine="480" w:firstLineChars="200"/>
    </w:pPr>
    <w:rPr>
      <w:rFonts w:ascii="宋体" w:hAnsi="宋体"/>
      <w:bCs/>
      <w:kern w:val="0"/>
      <w:sz w:val="24"/>
    </w:rPr>
  </w:style>
  <w:style w:type="character" w:customStyle="1" w:styleId="114">
    <w:name w:val="正文文本 Char"/>
    <w:basedOn w:val="28"/>
    <w:link w:val="11"/>
    <w:autoRedefine/>
    <w:qFormat/>
    <w:locked/>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6.wmf"/><Relationship Id="rId4" Type="http://schemas.openxmlformats.org/officeDocument/2006/relationships/footer" Target="footer2.xml"/><Relationship Id="rId39" Type="http://schemas.openxmlformats.org/officeDocument/2006/relationships/oleObject" Target="embeddings/oleObject15.bin"/><Relationship Id="rId38" Type="http://schemas.openxmlformats.org/officeDocument/2006/relationships/image" Target="media/image15.wmf"/><Relationship Id="rId37" Type="http://schemas.openxmlformats.org/officeDocument/2006/relationships/oleObject" Target="embeddings/oleObject14.bin"/><Relationship Id="rId36" Type="http://schemas.openxmlformats.org/officeDocument/2006/relationships/image" Target="media/image14.emf"/><Relationship Id="rId35" Type="http://schemas.openxmlformats.org/officeDocument/2006/relationships/oleObject" Target="embeddings/oleObject13.bin"/><Relationship Id="rId34" Type="http://schemas.openxmlformats.org/officeDocument/2006/relationships/image" Target="media/image13.wmf"/><Relationship Id="rId33" Type="http://schemas.openxmlformats.org/officeDocument/2006/relationships/oleObject" Target="embeddings/oleObject12.bin"/><Relationship Id="rId32" Type="http://schemas.openxmlformats.org/officeDocument/2006/relationships/image" Target="media/image12.png"/><Relationship Id="rId31" Type="http://schemas.openxmlformats.org/officeDocument/2006/relationships/image" Target="media/image11.e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0.emf"/><Relationship Id="rId28" Type="http://schemas.openxmlformats.org/officeDocument/2006/relationships/oleObject" Target="embeddings/oleObject10.bin"/><Relationship Id="rId27" Type="http://schemas.openxmlformats.org/officeDocument/2006/relationships/image" Target="media/image9.emf"/><Relationship Id="rId26" Type="http://schemas.openxmlformats.org/officeDocument/2006/relationships/oleObject" Target="embeddings/oleObject9.bin"/><Relationship Id="rId25" Type="http://schemas.openxmlformats.org/officeDocument/2006/relationships/image" Target="media/image8.emf"/><Relationship Id="rId24" Type="http://schemas.openxmlformats.org/officeDocument/2006/relationships/oleObject" Target="embeddings/oleObject8.bin"/><Relationship Id="rId23" Type="http://schemas.openxmlformats.org/officeDocument/2006/relationships/image" Target="media/image7.emf"/><Relationship Id="rId22" Type="http://schemas.openxmlformats.org/officeDocument/2006/relationships/oleObject" Target="embeddings/oleObject7.bin"/><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132</Pages>
  <Words>856</Words>
  <Characters>974</Characters>
  <Lines>0</Lines>
  <Paragraphs>0</Paragraphs>
  <TotalTime>46</TotalTime>
  <ScaleCrop>false</ScaleCrop>
  <LinksUpToDate>false</LinksUpToDate>
  <CharactersWithSpaces>1005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听潮</cp:lastModifiedBy>
  <dcterms:modified xsi:type="dcterms:W3CDTF">2024-12-10T07:17:13Z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88A504A95C0E4F97B93C234C6D489DEE_13</vt:lpwstr>
  </property>
</Properties>
</file>