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color w:val="auto"/>
          <w:sz w:val="36"/>
          <w:szCs w:val="36"/>
        </w:rPr>
        <w:id w:val="147457654"/>
        <w:docPartObj>
          <w:docPartGallery w:val="Table of Contents"/>
          <w:docPartUnique/>
        </w:docPartObj>
      </w:sdtPr>
      <w:sdtEndPr>
        <w:rPr>
          <w:rFonts w:ascii="Times New Roman" w:hAnsi="Times New Roman"/>
          <w:color w:val="auto"/>
          <w:kern w:val="0"/>
          <w:sz w:val="24"/>
          <w:szCs w:val="20"/>
        </w:rPr>
      </w:sdtEndPr>
      <w:sdtContent>
        <w:p w14:paraId="0F9D8008">
          <w:pPr>
            <w:adjustRightInd w:val="0"/>
            <w:snapToGrid w:val="0"/>
            <w:spacing w:line="360" w:lineRule="auto"/>
            <w:jc w:val="center"/>
            <w:rPr>
              <w:color w:val="auto"/>
              <w:sz w:val="36"/>
              <w:szCs w:val="36"/>
            </w:rPr>
          </w:pPr>
          <w:r>
            <w:rPr>
              <w:rFonts w:ascii="宋体" w:hAnsi="宋体"/>
              <w:b/>
              <w:bCs/>
              <w:color w:val="auto"/>
              <w:sz w:val="36"/>
              <w:szCs w:val="36"/>
            </w:rPr>
            <w:t>目录</w:t>
          </w:r>
        </w:p>
        <w:p w14:paraId="253CD206">
          <w:pPr>
            <w:pStyle w:val="24"/>
            <w:tabs>
              <w:tab w:val="right" w:leader="dot" w:pos="8844"/>
            </w:tabs>
            <w:adjustRightInd w:val="0"/>
            <w:snapToGrid w:val="0"/>
            <w:spacing w:line="360" w:lineRule="auto"/>
            <w:rPr>
              <w:color w:val="auto"/>
              <w:sz w:val="24"/>
            </w:rPr>
          </w:pPr>
          <w:r>
            <w:rPr>
              <w:color w:val="auto"/>
              <w:sz w:val="30"/>
              <w:szCs w:val="30"/>
            </w:rPr>
            <w:fldChar w:fldCharType="begin"/>
          </w:r>
          <w:r>
            <w:rPr>
              <w:color w:val="auto"/>
              <w:sz w:val="30"/>
              <w:szCs w:val="30"/>
            </w:rPr>
            <w:instrText xml:space="preserve">TOC \o "1-1" \h \u </w:instrText>
          </w:r>
          <w:r>
            <w:rPr>
              <w:color w:val="auto"/>
              <w:sz w:val="30"/>
              <w:szCs w:val="30"/>
            </w:rPr>
            <w:fldChar w:fldCharType="separate"/>
          </w:r>
          <w:r>
            <w:rPr>
              <w:color w:val="auto"/>
            </w:rPr>
            <w:fldChar w:fldCharType="begin"/>
          </w:r>
          <w:r>
            <w:rPr>
              <w:color w:val="auto"/>
            </w:rPr>
            <w:instrText xml:space="preserve"> HYPERLINK \l "_Toc29481" </w:instrText>
          </w:r>
          <w:r>
            <w:rPr>
              <w:color w:val="auto"/>
            </w:rPr>
            <w:fldChar w:fldCharType="separate"/>
          </w:r>
          <w:r>
            <w:rPr>
              <w:rFonts w:hint="eastAsia" w:ascii="黑体" w:hAnsi="黑体" w:eastAsia="黑体"/>
              <w:snapToGrid w:val="0"/>
              <w:color w:val="auto"/>
              <w:sz w:val="24"/>
            </w:rPr>
            <w:t>一、建设项目基本情况</w:t>
          </w:r>
          <w:r>
            <w:rPr>
              <w:color w:val="auto"/>
              <w:sz w:val="24"/>
            </w:rPr>
            <w:tab/>
          </w:r>
          <w:r>
            <w:rPr>
              <w:color w:val="auto"/>
              <w:sz w:val="24"/>
            </w:rPr>
            <w:fldChar w:fldCharType="begin"/>
          </w:r>
          <w:r>
            <w:rPr>
              <w:color w:val="auto"/>
              <w:sz w:val="24"/>
            </w:rPr>
            <w:instrText xml:space="preserve"> PAGEREF _Toc29481 \h </w:instrText>
          </w:r>
          <w:r>
            <w:rPr>
              <w:color w:val="auto"/>
              <w:sz w:val="24"/>
            </w:rPr>
            <w:fldChar w:fldCharType="separate"/>
          </w:r>
          <w:r>
            <w:rPr>
              <w:color w:val="auto"/>
              <w:sz w:val="24"/>
            </w:rPr>
            <w:t>1</w:t>
          </w:r>
          <w:r>
            <w:rPr>
              <w:color w:val="auto"/>
              <w:sz w:val="24"/>
            </w:rPr>
            <w:fldChar w:fldCharType="end"/>
          </w:r>
          <w:r>
            <w:rPr>
              <w:color w:val="auto"/>
              <w:sz w:val="24"/>
            </w:rPr>
            <w:fldChar w:fldCharType="end"/>
          </w:r>
        </w:p>
        <w:p w14:paraId="04444B51">
          <w:pPr>
            <w:pStyle w:val="24"/>
            <w:tabs>
              <w:tab w:val="right" w:leader="dot" w:pos="8844"/>
            </w:tabs>
            <w:adjustRightInd w:val="0"/>
            <w:snapToGrid w:val="0"/>
            <w:spacing w:line="360" w:lineRule="auto"/>
            <w:rPr>
              <w:color w:val="auto"/>
              <w:sz w:val="24"/>
            </w:rPr>
          </w:pPr>
          <w:r>
            <w:rPr>
              <w:color w:val="auto"/>
            </w:rPr>
            <w:fldChar w:fldCharType="begin"/>
          </w:r>
          <w:r>
            <w:rPr>
              <w:color w:val="auto"/>
            </w:rPr>
            <w:instrText xml:space="preserve"> HYPERLINK \l "_Toc26383" </w:instrText>
          </w:r>
          <w:r>
            <w:rPr>
              <w:color w:val="auto"/>
            </w:rPr>
            <w:fldChar w:fldCharType="separate"/>
          </w:r>
          <w:r>
            <w:rPr>
              <w:rFonts w:hint="eastAsia" w:ascii="黑体" w:hAnsi="黑体" w:eastAsia="黑体"/>
              <w:snapToGrid w:val="0"/>
              <w:color w:val="auto"/>
              <w:sz w:val="24"/>
            </w:rPr>
            <w:t>二、建设项目工程分析</w:t>
          </w:r>
          <w:r>
            <w:rPr>
              <w:color w:val="auto"/>
              <w:sz w:val="24"/>
            </w:rPr>
            <w:tab/>
          </w:r>
          <w:r>
            <w:rPr>
              <w:color w:val="auto"/>
              <w:sz w:val="24"/>
            </w:rPr>
            <w:fldChar w:fldCharType="begin"/>
          </w:r>
          <w:r>
            <w:rPr>
              <w:color w:val="auto"/>
              <w:sz w:val="24"/>
            </w:rPr>
            <w:instrText xml:space="preserve"> PAGEREF _Toc26383 \h </w:instrText>
          </w:r>
          <w:r>
            <w:rPr>
              <w:color w:val="auto"/>
              <w:sz w:val="24"/>
            </w:rPr>
            <w:fldChar w:fldCharType="separate"/>
          </w:r>
          <w:r>
            <w:rPr>
              <w:color w:val="auto"/>
              <w:sz w:val="24"/>
            </w:rPr>
            <w:t>35</w:t>
          </w:r>
          <w:r>
            <w:rPr>
              <w:color w:val="auto"/>
              <w:sz w:val="24"/>
            </w:rPr>
            <w:fldChar w:fldCharType="end"/>
          </w:r>
          <w:r>
            <w:rPr>
              <w:color w:val="auto"/>
              <w:sz w:val="24"/>
            </w:rPr>
            <w:fldChar w:fldCharType="end"/>
          </w:r>
        </w:p>
        <w:p w14:paraId="0E648F85">
          <w:pPr>
            <w:pStyle w:val="24"/>
            <w:tabs>
              <w:tab w:val="right" w:leader="dot" w:pos="8844"/>
            </w:tabs>
            <w:adjustRightInd w:val="0"/>
            <w:snapToGrid w:val="0"/>
            <w:spacing w:line="360" w:lineRule="auto"/>
            <w:rPr>
              <w:color w:val="auto"/>
              <w:sz w:val="24"/>
            </w:rPr>
          </w:pPr>
          <w:r>
            <w:rPr>
              <w:color w:val="auto"/>
            </w:rPr>
            <w:fldChar w:fldCharType="begin"/>
          </w:r>
          <w:r>
            <w:rPr>
              <w:color w:val="auto"/>
            </w:rPr>
            <w:instrText xml:space="preserve"> HYPERLINK \l "_Toc23129" </w:instrText>
          </w:r>
          <w:r>
            <w:rPr>
              <w:color w:val="auto"/>
            </w:rPr>
            <w:fldChar w:fldCharType="separate"/>
          </w:r>
          <w:r>
            <w:rPr>
              <w:rFonts w:hint="eastAsia" w:ascii="黑体" w:hAnsi="黑体" w:eastAsia="黑体"/>
              <w:snapToGrid w:val="0"/>
              <w:color w:val="auto"/>
              <w:sz w:val="24"/>
            </w:rPr>
            <w:t>三、区域环境质量现状、环境保护目标及评价标准</w:t>
          </w:r>
          <w:r>
            <w:rPr>
              <w:color w:val="auto"/>
              <w:sz w:val="24"/>
            </w:rPr>
            <w:tab/>
          </w:r>
          <w:r>
            <w:rPr>
              <w:color w:val="auto"/>
              <w:sz w:val="24"/>
            </w:rPr>
            <w:fldChar w:fldCharType="begin"/>
          </w:r>
          <w:r>
            <w:rPr>
              <w:color w:val="auto"/>
              <w:sz w:val="24"/>
            </w:rPr>
            <w:instrText xml:space="preserve"> PAGEREF _Toc23129 \h </w:instrText>
          </w:r>
          <w:r>
            <w:rPr>
              <w:color w:val="auto"/>
              <w:sz w:val="24"/>
            </w:rPr>
            <w:fldChar w:fldCharType="separate"/>
          </w:r>
          <w:r>
            <w:rPr>
              <w:color w:val="auto"/>
              <w:sz w:val="24"/>
            </w:rPr>
            <w:t>47</w:t>
          </w:r>
          <w:r>
            <w:rPr>
              <w:color w:val="auto"/>
              <w:sz w:val="24"/>
            </w:rPr>
            <w:fldChar w:fldCharType="end"/>
          </w:r>
          <w:r>
            <w:rPr>
              <w:color w:val="auto"/>
              <w:sz w:val="24"/>
            </w:rPr>
            <w:fldChar w:fldCharType="end"/>
          </w:r>
        </w:p>
        <w:p w14:paraId="7009A323">
          <w:pPr>
            <w:pStyle w:val="24"/>
            <w:tabs>
              <w:tab w:val="right" w:leader="dot" w:pos="8844"/>
            </w:tabs>
            <w:adjustRightInd w:val="0"/>
            <w:snapToGrid w:val="0"/>
            <w:spacing w:line="360" w:lineRule="auto"/>
            <w:rPr>
              <w:color w:val="auto"/>
              <w:sz w:val="24"/>
            </w:rPr>
          </w:pPr>
          <w:r>
            <w:rPr>
              <w:color w:val="auto"/>
            </w:rPr>
            <w:fldChar w:fldCharType="begin"/>
          </w:r>
          <w:r>
            <w:rPr>
              <w:color w:val="auto"/>
            </w:rPr>
            <w:instrText xml:space="preserve"> HYPERLINK \l "_Toc13622" </w:instrText>
          </w:r>
          <w:r>
            <w:rPr>
              <w:color w:val="auto"/>
            </w:rPr>
            <w:fldChar w:fldCharType="separate"/>
          </w:r>
          <w:r>
            <w:rPr>
              <w:rFonts w:hint="eastAsia" w:ascii="黑体" w:hAnsi="黑体" w:eastAsia="黑体"/>
              <w:snapToGrid w:val="0"/>
              <w:color w:val="auto"/>
              <w:sz w:val="24"/>
            </w:rPr>
            <w:t>四、主要环境影响和保护措施</w:t>
          </w:r>
          <w:r>
            <w:rPr>
              <w:color w:val="auto"/>
              <w:sz w:val="24"/>
            </w:rPr>
            <w:tab/>
          </w:r>
          <w:r>
            <w:rPr>
              <w:color w:val="auto"/>
              <w:sz w:val="24"/>
            </w:rPr>
            <w:fldChar w:fldCharType="begin"/>
          </w:r>
          <w:r>
            <w:rPr>
              <w:color w:val="auto"/>
              <w:sz w:val="24"/>
            </w:rPr>
            <w:instrText xml:space="preserve"> PAGEREF _Toc13622 \h </w:instrText>
          </w:r>
          <w:r>
            <w:rPr>
              <w:color w:val="auto"/>
              <w:sz w:val="24"/>
            </w:rPr>
            <w:fldChar w:fldCharType="separate"/>
          </w:r>
          <w:r>
            <w:rPr>
              <w:color w:val="auto"/>
              <w:sz w:val="24"/>
            </w:rPr>
            <w:t>56</w:t>
          </w:r>
          <w:r>
            <w:rPr>
              <w:color w:val="auto"/>
              <w:sz w:val="24"/>
            </w:rPr>
            <w:fldChar w:fldCharType="end"/>
          </w:r>
          <w:r>
            <w:rPr>
              <w:color w:val="auto"/>
              <w:sz w:val="24"/>
            </w:rPr>
            <w:fldChar w:fldCharType="end"/>
          </w:r>
        </w:p>
        <w:p w14:paraId="41051470">
          <w:pPr>
            <w:pStyle w:val="24"/>
            <w:tabs>
              <w:tab w:val="right" w:leader="dot" w:pos="8844"/>
            </w:tabs>
            <w:adjustRightInd w:val="0"/>
            <w:snapToGrid w:val="0"/>
            <w:spacing w:line="360" w:lineRule="auto"/>
            <w:rPr>
              <w:color w:val="auto"/>
              <w:sz w:val="24"/>
            </w:rPr>
          </w:pPr>
          <w:r>
            <w:rPr>
              <w:color w:val="auto"/>
            </w:rPr>
            <w:fldChar w:fldCharType="begin"/>
          </w:r>
          <w:r>
            <w:rPr>
              <w:color w:val="auto"/>
            </w:rPr>
            <w:instrText xml:space="preserve"> HYPERLINK \l "_Toc24928" </w:instrText>
          </w:r>
          <w:r>
            <w:rPr>
              <w:color w:val="auto"/>
            </w:rPr>
            <w:fldChar w:fldCharType="separate"/>
          </w:r>
          <w:r>
            <w:rPr>
              <w:rFonts w:hint="eastAsia" w:ascii="黑体" w:hAnsi="黑体" w:eastAsia="黑体"/>
              <w:snapToGrid w:val="0"/>
              <w:color w:val="auto"/>
              <w:sz w:val="24"/>
            </w:rPr>
            <w:t>五、环境保护措施监督检查清单</w:t>
          </w:r>
          <w:r>
            <w:rPr>
              <w:color w:val="auto"/>
              <w:sz w:val="24"/>
            </w:rPr>
            <w:tab/>
          </w:r>
          <w:r>
            <w:rPr>
              <w:color w:val="auto"/>
              <w:sz w:val="24"/>
            </w:rPr>
            <w:fldChar w:fldCharType="begin"/>
          </w:r>
          <w:r>
            <w:rPr>
              <w:color w:val="auto"/>
              <w:sz w:val="24"/>
            </w:rPr>
            <w:instrText xml:space="preserve"> PAGEREF _Toc24928 \h </w:instrText>
          </w:r>
          <w:r>
            <w:rPr>
              <w:color w:val="auto"/>
              <w:sz w:val="24"/>
            </w:rPr>
            <w:fldChar w:fldCharType="separate"/>
          </w:r>
          <w:r>
            <w:rPr>
              <w:color w:val="auto"/>
              <w:sz w:val="24"/>
            </w:rPr>
            <w:t>83</w:t>
          </w:r>
          <w:r>
            <w:rPr>
              <w:color w:val="auto"/>
              <w:sz w:val="24"/>
            </w:rPr>
            <w:fldChar w:fldCharType="end"/>
          </w:r>
          <w:r>
            <w:rPr>
              <w:color w:val="auto"/>
              <w:sz w:val="24"/>
            </w:rPr>
            <w:fldChar w:fldCharType="end"/>
          </w:r>
        </w:p>
        <w:p w14:paraId="235BC181">
          <w:pPr>
            <w:pStyle w:val="24"/>
            <w:tabs>
              <w:tab w:val="right" w:leader="dot" w:pos="8844"/>
            </w:tabs>
            <w:adjustRightInd w:val="0"/>
            <w:snapToGrid w:val="0"/>
            <w:spacing w:line="360" w:lineRule="auto"/>
            <w:rPr>
              <w:color w:val="auto"/>
              <w:sz w:val="24"/>
            </w:rPr>
          </w:pPr>
          <w:r>
            <w:rPr>
              <w:color w:val="auto"/>
            </w:rPr>
            <w:fldChar w:fldCharType="begin"/>
          </w:r>
          <w:r>
            <w:rPr>
              <w:color w:val="auto"/>
            </w:rPr>
            <w:instrText xml:space="preserve"> HYPERLINK \l "_Toc21964" </w:instrText>
          </w:r>
          <w:r>
            <w:rPr>
              <w:color w:val="auto"/>
            </w:rPr>
            <w:fldChar w:fldCharType="separate"/>
          </w:r>
          <w:r>
            <w:rPr>
              <w:rFonts w:hint="eastAsia" w:ascii="黑体" w:hAnsi="黑体" w:eastAsia="黑体"/>
              <w:snapToGrid w:val="0"/>
              <w:color w:val="auto"/>
              <w:sz w:val="24"/>
            </w:rPr>
            <w:t>六、结论</w:t>
          </w:r>
          <w:r>
            <w:rPr>
              <w:color w:val="auto"/>
              <w:sz w:val="24"/>
            </w:rPr>
            <w:tab/>
          </w:r>
          <w:r>
            <w:rPr>
              <w:color w:val="auto"/>
              <w:sz w:val="24"/>
            </w:rPr>
            <w:fldChar w:fldCharType="begin"/>
          </w:r>
          <w:r>
            <w:rPr>
              <w:color w:val="auto"/>
              <w:sz w:val="24"/>
            </w:rPr>
            <w:instrText xml:space="preserve"> PAGEREF _Toc21964 \h </w:instrText>
          </w:r>
          <w:r>
            <w:rPr>
              <w:color w:val="auto"/>
              <w:sz w:val="24"/>
            </w:rPr>
            <w:fldChar w:fldCharType="separate"/>
          </w:r>
          <w:r>
            <w:rPr>
              <w:color w:val="auto"/>
              <w:sz w:val="24"/>
            </w:rPr>
            <w:t>85</w:t>
          </w:r>
          <w:r>
            <w:rPr>
              <w:color w:val="auto"/>
              <w:sz w:val="24"/>
            </w:rPr>
            <w:fldChar w:fldCharType="end"/>
          </w:r>
          <w:r>
            <w:rPr>
              <w:color w:val="auto"/>
              <w:sz w:val="24"/>
            </w:rPr>
            <w:fldChar w:fldCharType="end"/>
          </w:r>
        </w:p>
        <w:p w14:paraId="5B8DA149">
          <w:pPr>
            <w:pStyle w:val="24"/>
            <w:tabs>
              <w:tab w:val="right" w:leader="dot" w:pos="8844"/>
            </w:tabs>
            <w:adjustRightInd w:val="0"/>
            <w:snapToGrid w:val="0"/>
            <w:spacing w:line="360" w:lineRule="auto"/>
            <w:rPr>
              <w:color w:val="auto"/>
            </w:rPr>
          </w:pPr>
          <w:r>
            <w:rPr>
              <w:color w:val="auto"/>
            </w:rPr>
            <w:fldChar w:fldCharType="begin"/>
          </w:r>
          <w:r>
            <w:rPr>
              <w:color w:val="auto"/>
            </w:rPr>
            <w:instrText xml:space="preserve"> HYPERLINK \l "_Toc16444" </w:instrText>
          </w:r>
          <w:r>
            <w:rPr>
              <w:color w:val="auto"/>
            </w:rPr>
            <w:fldChar w:fldCharType="separate"/>
          </w:r>
          <w:r>
            <w:rPr>
              <w:rFonts w:ascii="黑体" w:hAnsi="黑体" w:eastAsia="黑体"/>
              <w:snapToGrid w:val="0"/>
              <w:color w:val="auto"/>
              <w:sz w:val="24"/>
            </w:rPr>
            <w:t>附表：建设项目污染物排放量汇总表</w:t>
          </w:r>
          <w:r>
            <w:rPr>
              <w:color w:val="auto"/>
              <w:sz w:val="24"/>
            </w:rPr>
            <w:tab/>
          </w:r>
          <w:r>
            <w:rPr>
              <w:color w:val="auto"/>
              <w:sz w:val="24"/>
            </w:rPr>
            <w:fldChar w:fldCharType="begin"/>
          </w:r>
          <w:r>
            <w:rPr>
              <w:color w:val="auto"/>
              <w:sz w:val="24"/>
            </w:rPr>
            <w:instrText xml:space="preserve"> PAGEREF _Toc16444 \h </w:instrText>
          </w:r>
          <w:r>
            <w:rPr>
              <w:color w:val="auto"/>
              <w:sz w:val="24"/>
            </w:rPr>
            <w:fldChar w:fldCharType="separate"/>
          </w:r>
          <w:r>
            <w:rPr>
              <w:color w:val="auto"/>
              <w:sz w:val="24"/>
            </w:rPr>
            <w:t>86</w:t>
          </w:r>
          <w:r>
            <w:rPr>
              <w:color w:val="auto"/>
              <w:sz w:val="24"/>
            </w:rPr>
            <w:fldChar w:fldCharType="end"/>
          </w:r>
          <w:r>
            <w:rPr>
              <w:color w:val="auto"/>
              <w:sz w:val="24"/>
            </w:rPr>
            <w:fldChar w:fldCharType="end"/>
          </w:r>
        </w:p>
        <w:p w14:paraId="636E165B">
          <w:pPr>
            <w:pStyle w:val="13"/>
            <w:adjustRightInd w:val="0"/>
            <w:snapToGrid w:val="0"/>
            <w:spacing w:line="360" w:lineRule="auto"/>
            <w:rPr>
              <w:color w:val="auto"/>
            </w:rPr>
          </w:pPr>
          <w:r>
            <w:rPr>
              <w:color w:val="auto"/>
              <w:szCs w:val="30"/>
            </w:rPr>
            <w:fldChar w:fldCharType="end"/>
          </w:r>
        </w:p>
      </w:sdtContent>
    </w:sdt>
    <w:p w14:paraId="44701448">
      <w:pPr>
        <w:pStyle w:val="13"/>
        <w:adjustRightInd w:val="0"/>
        <w:snapToGrid w:val="0"/>
        <w:spacing w:line="360" w:lineRule="auto"/>
        <w:ind w:firstLine="482" w:firstLineChars="200"/>
        <w:rPr>
          <w:rFonts w:ascii="Times New Roman" w:hAnsi="Times New Roman"/>
          <w:b/>
          <w:bCs/>
          <w:color w:val="auto"/>
          <w:sz w:val="24"/>
          <w:szCs w:val="20"/>
        </w:rPr>
      </w:pPr>
    </w:p>
    <w:p w14:paraId="1494C7F6">
      <w:pPr>
        <w:pStyle w:val="13"/>
        <w:adjustRightInd w:val="0"/>
        <w:snapToGrid w:val="0"/>
        <w:spacing w:line="360" w:lineRule="auto"/>
        <w:ind w:firstLine="482" w:firstLineChars="200"/>
        <w:rPr>
          <w:rFonts w:ascii="Times New Roman" w:hAnsi="Times New Roman"/>
          <w:b/>
          <w:bCs/>
          <w:color w:val="auto"/>
          <w:sz w:val="24"/>
          <w:szCs w:val="20"/>
        </w:rPr>
      </w:pPr>
    </w:p>
    <w:p w14:paraId="04393BB5">
      <w:pPr>
        <w:pStyle w:val="13"/>
        <w:adjustRightInd w:val="0"/>
        <w:snapToGrid w:val="0"/>
        <w:spacing w:line="360" w:lineRule="auto"/>
        <w:ind w:firstLine="482" w:firstLineChars="200"/>
        <w:rPr>
          <w:rFonts w:ascii="Times New Roman" w:hAnsi="Times New Roman"/>
          <w:b/>
          <w:bCs/>
          <w:color w:val="auto"/>
          <w:sz w:val="24"/>
          <w:szCs w:val="20"/>
        </w:rPr>
      </w:pPr>
    </w:p>
    <w:p w14:paraId="17976D2F">
      <w:pPr>
        <w:pStyle w:val="13"/>
        <w:adjustRightInd w:val="0"/>
        <w:snapToGrid w:val="0"/>
        <w:spacing w:line="360" w:lineRule="auto"/>
        <w:ind w:firstLine="482" w:firstLineChars="200"/>
        <w:rPr>
          <w:rFonts w:ascii="Times New Roman" w:hAnsi="Times New Roman"/>
          <w:b/>
          <w:bCs/>
          <w:color w:val="auto"/>
          <w:sz w:val="24"/>
          <w:szCs w:val="20"/>
        </w:rPr>
      </w:pPr>
    </w:p>
    <w:p w14:paraId="1786FA7D">
      <w:pPr>
        <w:pStyle w:val="13"/>
        <w:adjustRightInd w:val="0"/>
        <w:snapToGrid w:val="0"/>
        <w:spacing w:line="360" w:lineRule="auto"/>
        <w:ind w:firstLine="482" w:firstLineChars="200"/>
        <w:rPr>
          <w:rFonts w:ascii="Times New Roman" w:hAnsi="Times New Roman"/>
          <w:b/>
          <w:bCs/>
          <w:color w:val="auto"/>
          <w:sz w:val="24"/>
          <w:szCs w:val="20"/>
        </w:rPr>
      </w:pPr>
    </w:p>
    <w:p w14:paraId="2F6DFB6E">
      <w:pPr>
        <w:pStyle w:val="13"/>
        <w:adjustRightInd w:val="0"/>
        <w:snapToGrid w:val="0"/>
        <w:spacing w:line="360" w:lineRule="auto"/>
        <w:ind w:firstLine="482" w:firstLineChars="200"/>
        <w:rPr>
          <w:rFonts w:ascii="Times New Roman" w:hAnsi="Times New Roman"/>
          <w:b/>
          <w:bCs/>
          <w:color w:val="auto"/>
          <w:sz w:val="24"/>
          <w:szCs w:val="20"/>
        </w:rPr>
      </w:pPr>
    </w:p>
    <w:p w14:paraId="6770353F">
      <w:pPr>
        <w:pStyle w:val="13"/>
        <w:adjustRightInd w:val="0"/>
        <w:snapToGrid w:val="0"/>
        <w:spacing w:line="360" w:lineRule="auto"/>
        <w:ind w:firstLine="482" w:firstLineChars="200"/>
        <w:rPr>
          <w:rFonts w:ascii="Times New Roman" w:hAnsi="Times New Roman"/>
          <w:b/>
          <w:bCs/>
          <w:color w:val="auto"/>
          <w:sz w:val="24"/>
          <w:szCs w:val="20"/>
        </w:rPr>
      </w:pPr>
    </w:p>
    <w:p w14:paraId="32FD02AC">
      <w:pPr>
        <w:pStyle w:val="13"/>
        <w:adjustRightInd w:val="0"/>
        <w:snapToGrid w:val="0"/>
        <w:spacing w:line="360" w:lineRule="auto"/>
        <w:ind w:firstLine="482" w:firstLineChars="200"/>
        <w:rPr>
          <w:rFonts w:ascii="Times New Roman" w:hAnsi="Times New Roman"/>
          <w:b/>
          <w:bCs/>
          <w:color w:val="auto"/>
          <w:sz w:val="24"/>
          <w:szCs w:val="20"/>
        </w:rPr>
      </w:pPr>
    </w:p>
    <w:p w14:paraId="2D78CC89">
      <w:pPr>
        <w:pStyle w:val="13"/>
        <w:adjustRightInd w:val="0"/>
        <w:snapToGrid w:val="0"/>
        <w:spacing w:line="360" w:lineRule="auto"/>
        <w:ind w:firstLine="482" w:firstLineChars="200"/>
        <w:rPr>
          <w:rFonts w:ascii="Times New Roman" w:hAnsi="Times New Roman"/>
          <w:b/>
          <w:bCs/>
          <w:color w:val="auto"/>
          <w:sz w:val="24"/>
          <w:szCs w:val="20"/>
        </w:rPr>
      </w:pPr>
    </w:p>
    <w:p w14:paraId="3B8E41EC">
      <w:pPr>
        <w:pStyle w:val="13"/>
        <w:adjustRightInd w:val="0"/>
        <w:snapToGrid w:val="0"/>
        <w:spacing w:line="360" w:lineRule="auto"/>
        <w:ind w:firstLine="482" w:firstLineChars="200"/>
        <w:rPr>
          <w:rFonts w:ascii="Times New Roman" w:hAnsi="Times New Roman"/>
          <w:b/>
          <w:bCs/>
          <w:color w:val="auto"/>
          <w:sz w:val="24"/>
          <w:szCs w:val="20"/>
        </w:rPr>
      </w:pPr>
    </w:p>
    <w:p w14:paraId="3F9E3D43">
      <w:pPr>
        <w:pStyle w:val="13"/>
        <w:adjustRightInd w:val="0"/>
        <w:snapToGrid w:val="0"/>
        <w:spacing w:line="360" w:lineRule="auto"/>
        <w:ind w:firstLine="482" w:firstLineChars="200"/>
        <w:rPr>
          <w:rFonts w:ascii="Times New Roman" w:hAnsi="Times New Roman"/>
          <w:b/>
          <w:bCs/>
          <w:color w:val="auto"/>
          <w:sz w:val="24"/>
          <w:szCs w:val="20"/>
        </w:rPr>
      </w:pPr>
    </w:p>
    <w:p w14:paraId="5FE53B44">
      <w:pPr>
        <w:pStyle w:val="13"/>
        <w:adjustRightInd w:val="0"/>
        <w:snapToGrid w:val="0"/>
        <w:spacing w:line="360" w:lineRule="auto"/>
        <w:ind w:firstLine="482" w:firstLineChars="200"/>
        <w:rPr>
          <w:rFonts w:ascii="Times New Roman" w:hAnsi="Times New Roman"/>
          <w:b/>
          <w:bCs/>
          <w:color w:val="auto"/>
          <w:sz w:val="24"/>
          <w:szCs w:val="20"/>
        </w:rPr>
      </w:pPr>
    </w:p>
    <w:p w14:paraId="652C0E1B">
      <w:pPr>
        <w:pStyle w:val="13"/>
        <w:adjustRightInd w:val="0"/>
        <w:snapToGrid w:val="0"/>
        <w:spacing w:line="360" w:lineRule="auto"/>
        <w:ind w:firstLine="482" w:firstLineChars="200"/>
        <w:rPr>
          <w:rFonts w:ascii="Times New Roman" w:hAnsi="Times New Roman"/>
          <w:b/>
          <w:bCs/>
          <w:color w:val="auto"/>
          <w:sz w:val="24"/>
          <w:szCs w:val="20"/>
        </w:rPr>
      </w:pPr>
    </w:p>
    <w:p w14:paraId="2BEAA0BA">
      <w:pPr>
        <w:pStyle w:val="13"/>
        <w:adjustRightInd w:val="0"/>
        <w:snapToGrid w:val="0"/>
        <w:spacing w:line="360" w:lineRule="auto"/>
        <w:ind w:firstLine="482" w:firstLineChars="200"/>
        <w:rPr>
          <w:rFonts w:ascii="Times New Roman" w:hAnsi="Times New Roman"/>
          <w:b/>
          <w:bCs/>
          <w:color w:val="auto"/>
          <w:sz w:val="24"/>
          <w:szCs w:val="20"/>
        </w:rPr>
      </w:pPr>
    </w:p>
    <w:p w14:paraId="36AC5E6D">
      <w:pPr>
        <w:pStyle w:val="13"/>
        <w:adjustRightInd w:val="0"/>
        <w:snapToGrid w:val="0"/>
        <w:spacing w:line="360" w:lineRule="auto"/>
        <w:ind w:firstLine="482" w:firstLineChars="200"/>
        <w:rPr>
          <w:rFonts w:ascii="Times New Roman" w:hAnsi="Times New Roman"/>
          <w:b/>
          <w:bCs/>
          <w:color w:val="auto"/>
          <w:sz w:val="24"/>
          <w:szCs w:val="20"/>
        </w:rPr>
      </w:pPr>
    </w:p>
    <w:p w14:paraId="0F458792">
      <w:pPr>
        <w:pStyle w:val="13"/>
        <w:adjustRightInd w:val="0"/>
        <w:snapToGrid w:val="0"/>
        <w:spacing w:line="360" w:lineRule="auto"/>
        <w:ind w:firstLine="482" w:firstLineChars="200"/>
        <w:rPr>
          <w:rFonts w:ascii="Times New Roman" w:hAnsi="Times New Roman"/>
          <w:b/>
          <w:bCs/>
          <w:color w:val="auto"/>
          <w:sz w:val="24"/>
          <w:szCs w:val="20"/>
        </w:rPr>
      </w:pPr>
    </w:p>
    <w:p w14:paraId="68CB084E">
      <w:pPr>
        <w:pStyle w:val="13"/>
        <w:adjustRightInd w:val="0"/>
        <w:snapToGrid w:val="0"/>
        <w:spacing w:line="360" w:lineRule="auto"/>
        <w:ind w:firstLine="482" w:firstLineChars="200"/>
        <w:rPr>
          <w:rFonts w:ascii="Times New Roman" w:hAnsi="Times New Roman"/>
          <w:b/>
          <w:bCs/>
          <w:color w:val="auto"/>
          <w:sz w:val="24"/>
          <w:szCs w:val="20"/>
        </w:rPr>
      </w:pPr>
    </w:p>
    <w:p w14:paraId="24A97B20">
      <w:pPr>
        <w:pStyle w:val="13"/>
        <w:adjustRightInd w:val="0"/>
        <w:snapToGrid w:val="0"/>
        <w:spacing w:line="360" w:lineRule="auto"/>
        <w:ind w:firstLine="482" w:firstLineChars="200"/>
        <w:rPr>
          <w:rFonts w:ascii="Times New Roman" w:hAnsi="Times New Roman"/>
          <w:b/>
          <w:bCs/>
          <w:color w:val="auto"/>
          <w:sz w:val="24"/>
          <w:szCs w:val="20"/>
        </w:rPr>
      </w:pPr>
    </w:p>
    <w:p w14:paraId="42DDBFD6">
      <w:pPr>
        <w:pStyle w:val="13"/>
        <w:adjustRightInd w:val="0"/>
        <w:snapToGrid w:val="0"/>
        <w:spacing w:line="360" w:lineRule="auto"/>
        <w:ind w:firstLine="482" w:firstLineChars="200"/>
        <w:rPr>
          <w:rFonts w:ascii="Times New Roman" w:hAnsi="Times New Roman"/>
          <w:b/>
          <w:bCs/>
          <w:color w:val="auto"/>
          <w:sz w:val="24"/>
          <w:szCs w:val="20"/>
        </w:rPr>
      </w:pPr>
    </w:p>
    <w:p w14:paraId="75EA4CE5">
      <w:pPr>
        <w:pStyle w:val="13"/>
        <w:adjustRightInd w:val="0"/>
        <w:snapToGrid w:val="0"/>
        <w:spacing w:line="360" w:lineRule="auto"/>
        <w:ind w:firstLine="482" w:firstLineChars="200"/>
        <w:rPr>
          <w:rFonts w:ascii="Times New Roman" w:hAnsi="Times New Roman"/>
          <w:b/>
          <w:bCs/>
          <w:color w:val="auto"/>
          <w:sz w:val="24"/>
          <w:szCs w:val="20"/>
        </w:rPr>
      </w:pPr>
    </w:p>
    <w:p w14:paraId="7C6E4A34">
      <w:pPr>
        <w:pStyle w:val="13"/>
        <w:adjustRightInd w:val="0"/>
        <w:snapToGrid w:val="0"/>
        <w:spacing w:line="360" w:lineRule="auto"/>
        <w:ind w:firstLine="482" w:firstLineChars="200"/>
        <w:rPr>
          <w:rFonts w:ascii="Times New Roman" w:hAnsi="Times New Roman"/>
          <w:b/>
          <w:bCs/>
          <w:color w:val="auto"/>
          <w:sz w:val="24"/>
          <w:szCs w:val="20"/>
        </w:rPr>
      </w:pPr>
    </w:p>
    <w:p w14:paraId="75EF47B3">
      <w:pPr>
        <w:pStyle w:val="13"/>
        <w:adjustRightInd w:val="0"/>
        <w:snapToGrid w:val="0"/>
        <w:spacing w:line="360" w:lineRule="auto"/>
        <w:ind w:firstLine="482" w:firstLineChars="200"/>
        <w:rPr>
          <w:rFonts w:ascii="Times New Roman" w:hAnsi="Times New Roman"/>
          <w:b/>
          <w:bCs/>
          <w:color w:val="auto"/>
          <w:sz w:val="24"/>
          <w:szCs w:val="20"/>
        </w:rPr>
      </w:pPr>
    </w:p>
    <w:p w14:paraId="1E622708">
      <w:pPr>
        <w:pStyle w:val="13"/>
        <w:adjustRightInd w:val="0"/>
        <w:snapToGrid w:val="0"/>
        <w:spacing w:line="360" w:lineRule="auto"/>
        <w:ind w:firstLine="482" w:firstLineChars="200"/>
        <w:rPr>
          <w:rFonts w:ascii="Times New Roman" w:hAnsi="Times New Roman"/>
          <w:b/>
          <w:bCs/>
          <w:color w:val="auto"/>
          <w:sz w:val="24"/>
          <w:szCs w:val="20"/>
        </w:rPr>
      </w:pPr>
      <w:r>
        <w:rPr>
          <w:rFonts w:hint="eastAsia" w:ascii="Times New Roman" w:hAnsi="Times New Roman"/>
          <w:b/>
          <w:bCs/>
          <w:color w:val="auto"/>
          <w:sz w:val="24"/>
          <w:szCs w:val="20"/>
        </w:rPr>
        <w:t>附件：</w:t>
      </w:r>
    </w:p>
    <w:p w14:paraId="3FD3CDB4">
      <w:pPr>
        <w:pStyle w:val="14"/>
        <w:numPr>
          <w:ilvl w:val="0"/>
          <w:numId w:val="2"/>
        </w:numPr>
        <w:spacing w:line="360" w:lineRule="auto"/>
        <w:ind w:firstLine="472" w:firstLineChars="200"/>
        <w:rPr>
          <w:rFonts w:hAnsi="宋体"/>
          <w:color w:val="auto"/>
          <w:spacing w:val="-2"/>
          <w:kern w:val="0"/>
          <w:szCs w:val="20"/>
        </w:rPr>
      </w:pPr>
      <w:r>
        <w:rPr>
          <w:rFonts w:hint="eastAsia" w:hAnsi="宋体"/>
          <w:color w:val="auto"/>
          <w:spacing w:val="-2"/>
          <w:kern w:val="0"/>
          <w:szCs w:val="20"/>
        </w:rPr>
        <w:t>委托书</w:t>
      </w:r>
    </w:p>
    <w:p w14:paraId="5699BD22">
      <w:pPr>
        <w:pStyle w:val="14"/>
        <w:numPr>
          <w:ilvl w:val="0"/>
          <w:numId w:val="2"/>
        </w:numPr>
        <w:spacing w:line="360" w:lineRule="auto"/>
        <w:ind w:firstLine="472" w:firstLineChars="200"/>
        <w:rPr>
          <w:rFonts w:hAnsi="宋体"/>
          <w:color w:val="auto"/>
          <w:spacing w:val="-2"/>
          <w:kern w:val="0"/>
          <w:szCs w:val="20"/>
        </w:rPr>
      </w:pPr>
      <w:r>
        <w:rPr>
          <w:rFonts w:hint="eastAsia" w:hAnsi="宋体"/>
          <w:color w:val="auto"/>
          <w:spacing w:val="-2"/>
          <w:kern w:val="0"/>
          <w:szCs w:val="20"/>
        </w:rPr>
        <w:t>营业执照</w:t>
      </w:r>
    </w:p>
    <w:p w14:paraId="0F0B3B5A">
      <w:pPr>
        <w:pStyle w:val="14"/>
        <w:numPr>
          <w:ilvl w:val="0"/>
          <w:numId w:val="2"/>
        </w:numPr>
        <w:spacing w:line="360" w:lineRule="auto"/>
        <w:ind w:firstLine="472" w:firstLineChars="200"/>
        <w:rPr>
          <w:rFonts w:hAnsi="宋体"/>
          <w:color w:val="auto"/>
          <w:spacing w:val="-2"/>
          <w:kern w:val="0"/>
          <w:szCs w:val="20"/>
        </w:rPr>
      </w:pPr>
      <w:r>
        <w:rPr>
          <w:rFonts w:hint="eastAsia" w:hAnsi="宋体"/>
          <w:color w:val="auto"/>
          <w:spacing w:val="-2"/>
          <w:kern w:val="0"/>
          <w:szCs w:val="20"/>
        </w:rPr>
        <w:t>场地租赁合同</w:t>
      </w:r>
    </w:p>
    <w:p w14:paraId="7C42D4DF">
      <w:pPr>
        <w:pStyle w:val="14"/>
        <w:numPr>
          <w:ilvl w:val="0"/>
          <w:numId w:val="2"/>
        </w:numPr>
        <w:spacing w:line="360" w:lineRule="auto"/>
        <w:ind w:firstLine="472" w:firstLineChars="200"/>
        <w:rPr>
          <w:rFonts w:hAnsi="宋体"/>
          <w:color w:val="auto"/>
          <w:spacing w:val="-2"/>
          <w:kern w:val="0"/>
          <w:szCs w:val="20"/>
        </w:rPr>
      </w:pPr>
      <w:r>
        <w:rPr>
          <w:rFonts w:hint="eastAsia" w:hAnsi="宋体"/>
          <w:color w:val="auto"/>
          <w:spacing w:val="-2"/>
          <w:kern w:val="0"/>
          <w:szCs w:val="20"/>
        </w:rPr>
        <w:t>投资备案证</w:t>
      </w:r>
    </w:p>
    <w:p w14:paraId="3F76EB0F">
      <w:pPr>
        <w:pStyle w:val="14"/>
        <w:numPr>
          <w:ilvl w:val="0"/>
          <w:numId w:val="2"/>
        </w:numPr>
        <w:spacing w:line="360" w:lineRule="auto"/>
        <w:ind w:firstLine="472" w:firstLineChars="200"/>
        <w:rPr>
          <w:rFonts w:hAnsi="宋体"/>
          <w:color w:val="auto"/>
          <w:spacing w:val="-2"/>
          <w:kern w:val="0"/>
          <w:szCs w:val="20"/>
        </w:rPr>
      </w:pPr>
      <w:r>
        <w:rPr>
          <w:rFonts w:hint="eastAsia" w:hAnsi="宋体"/>
          <w:color w:val="auto"/>
          <w:spacing w:val="-2"/>
          <w:kern w:val="0"/>
          <w:szCs w:val="20"/>
        </w:rPr>
        <w:t>入园证明</w:t>
      </w:r>
    </w:p>
    <w:p w14:paraId="44E35093">
      <w:pPr>
        <w:pStyle w:val="14"/>
        <w:numPr>
          <w:ilvl w:val="0"/>
          <w:numId w:val="2"/>
        </w:numPr>
        <w:spacing w:line="360" w:lineRule="auto"/>
        <w:ind w:firstLine="472" w:firstLineChars="200"/>
        <w:rPr>
          <w:rFonts w:hAnsi="宋体"/>
          <w:color w:val="auto"/>
          <w:spacing w:val="-2"/>
          <w:kern w:val="0"/>
          <w:szCs w:val="20"/>
        </w:rPr>
      </w:pPr>
      <w:r>
        <w:rPr>
          <w:rFonts w:hint="eastAsia" w:hAnsi="宋体"/>
          <w:color w:val="auto"/>
          <w:spacing w:val="-2"/>
          <w:kern w:val="0"/>
          <w:szCs w:val="20"/>
        </w:rPr>
        <w:t>《昆明市生态环境局寻甸分局关于&lt;寻甸荣禾家居制品、建材、纺织品生产线及配套设施新建项目环境影响报告表&gt;的批复》</w:t>
      </w:r>
    </w:p>
    <w:p w14:paraId="543D7288">
      <w:pPr>
        <w:pStyle w:val="14"/>
        <w:numPr>
          <w:ilvl w:val="0"/>
          <w:numId w:val="2"/>
        </w:numPr>
        <w:spacing w:line="360" w:lineRule="auto"/>
        <w:ind w:firstLine="472" w:firstLineChars="200"/>
        <w:rPr>
          <w:rFonts w:hAnsi="宋体"/>
          <w:color w:val="auto"/>
          <w:spacing w:val="-2"/>
          <w:kern w:val="0"/>
          <w:szCs w:val="20"/>
        </w:rPr>
      </w:pPr>
      <w:r>
        <w:rPr>
          <w:rFonts w:hint="eastAsia" w:hAnsi="宋体"/>
          <w:color w:val="auto"/>
          <w:spacing w:val="-2"/>
          <w:kern w:val="0"/>
          <w:szCs w:val="20"/>
        </w:rPr>
        <w:t>昆明市生态环境局关于《云南寻甸产业园区</w:t>
      </w:r>
      <w:r>
        <w:rPr>
          <w:rFonts w:hAnsi="宋体"/>
          <w:color w:val="auto"/>
          <w:spacing w:val="-2"/>
          <w:kern w:val="0"/>
          <w:szCs w:val="20"/>
        </w:rPr>
        <w:t>总体规划修编（2021-2035）环境影响报告书》审查意见的函</w:t>
      </w:r>
    </w:p>
    <w:p w14:paraId="7FCC99F5">
      <w:pPr>
        <w:pStyle w:val="14"/>
        <w:numPr>
          <w:ilvl w:val="0"/>
          <w:numId w:val="2"/>
        </w:numPr>
        <w:spacing w:line="360" w:lineRule="auto"/>
        <w:ind w:firstLine="472" w:firstLineChars="200"/>
        <w:rPr>
          <w:rFonts w:hAnsi="宋体"/>
          <w:color w:val="auto"/>
          <w:spacing w:val="-2"/>
          <w:kern w:val="0"/>
          <w:szCs w:val="20"/>
        </w:rPr>
      </w:pPr>
      <w:r>
        <w:rPr>
          <w:rFonts w:hint="eastAsia" w:hAnsi="宋体"/>
          <w:color w:val="auto"/>
          <w:spacing w:val="-2"/>
          <w:kern w:val="0"/>
          <w:szCs w:val="20"/>
        </w:rPr>
        <w:t>技术服务合同</w:t>
      </w:r>
    </w:p>
    <w:p w14:paraId="257AE34A">
      <w:pPr>
        <w:pStyle w:val="14"/>
        <w:numPr>
          <w:ilvl w:val="0"/>
          <w:numId w:val="2"/>
        </w:numPr>
        <w:spacing w:line="360" w:lineRule="auto"/>
        <w:ind w:firstLine="472" w:firstLineChars="200"/>
        <w:rPr>
          <w:rFonts w:hAnsi="宋体"/>
          <w:color w:val="auto"/>
          <w:spacing w:val="-2"/>
          <w:kern w:val="0"/>
          <w:szCs w:val="20"/>
        </w:rPr>
      </w:pPr>
      <w:r>
        <w:rPr>
          <w:rFonts w:hint="eastAsia" w:hAnsi="宋体"/>
          <w:color w:val="auto"/>
          <w:spacing w:val="-2"/>
          <w:kern w:val="0"/>
          <w:szCs w:val="20"/>
        </w:rPr>
        <w:t>原辅料用量确认函</w:t>
      </w:r>
    </w:p>
    <w:p w14:paraId="420C16BB">
      <w:pPr>
        <w:pStyle w:val="14"/>
        <w:numPr>
          <w:ilvl w:val="0"/>
          <w:numId w:val="2"/>
        </w:numPr>
        <w:spacing w:line="360" w:lineRule="auto"/>
        <w:ind w:firstLine="472" w:firstLineChars="200"/>
        <w:rPr>
          <w:rFonts w:hAnsi="宋体"/>
          <w:color w:val="auto"/>
          <w:spacing w:val="-2"/>
          <w:kern w:val="0"/>
          <w:szCs w:val="20"/>
        </w:rPr>
      </w:pPr>
      <w:r>
        <w:rPr>
          <w:rFonts w:hint="eastAsia" w:hAnsi="宋体"/>
          <w:color w:val="auto"/>
          <w:spacing w:val="-2"/>
          <w:kern w:val="0"/>
          <w:szCs w:val="20"/>
        </w:rPr>
        <w:t>监测报告</w:t>
      </w:r>
    </w:p>
    <w:p w14:paraId="22C2BF7D">
      <w:pPr>
        <w:ind w:firstLine="420" w:firstLineChars="200"/>
        <w:rPr>
          <w:color w:val="auto"/>
        </w:rPr>
      </w:pPr>
    </w:p>
    <w:p w14:paraId="676BC498">
      <w:pPr>
        <w:pStyle w:val="14"/>
        <w:spacing w:line="360" w:lineRule="auto"/>
        <w:ind w:left="420" w:leftChars="200"/>
        <w:rPr>
          <w:b/>
          <w:bCs/>
          <w:color w:val="auto"/>
          <w:kern w:val="0"/>
          <w:szCs w:val="20"/>
        </w:rPr>
      </w:pPr>
      <w:r>
        <w:rPr>
          <w:rFonts w:hint="eastAsia"/>
          <w:b/>
          <w:bCs/>
          <w:color w:val="auto"/>
          <w:kern w:val="0"/>
          <w:szCs w:val="20"/>
        </w:rPr>
        <w:t>附图：</w:t>
      </w:r>
    </w:p>
    <w:p w14:paraId="252CA853">
      <w:pPr>
        <w:pStyle w:val="14"/>
        <w:numPr>
          <w:ilvl w:val="0"/>
          <w:numId w:val="3"/>
        </w:numPr>
        <w:spacing w:line="360" w:lineRule="auto"/>
        <w:ind w:left="420" w:leftChars="200"/>
        <w:rPr>
          <w:color w:val="auto"/>
          <w:kern w:val="0"/>
          <w:szCs w:val="20"/>
        </w:rPr>
      </w:pPr>
      <w:r>
        <w:rPr>
          <w:rFonts w:hint="eastAsia"/>
          <w:color w:val="auto"/>
          <w:kern w:val="0"/>
          <w:szCs w:val="20"/>
        </w:rPr>
        <w:t>项目地理位置图</w:t>
      </w:r>
    </w:p>
    <w:p w14:paraId="4A80835F">
      <w:pPr>
        <w:pStyle w:val="14"/>
        <w:numPr>
          <w:ilvl w:val="0"/>
          <w:numId w:val="3"/>
        </w:numPr>
        <w:spacing w:line="360" w:lineRule="auto"/>
        <w:ind w:left="420" w:leftChars="200"/>
        <w:rPr>
          <w:color w:val="auto"/>
          <w:kern w:val="0"/>
          <w:szCs w:val="20"/>
        </w:rPr>
      </w:pPr>
      <w:r>
        <w:rPr>
          <w:rFonts w:hint="eastAsia"/>
          <w:color w:val="auto"/>
          <w:kern w:val="0"/>
          <w:szCs w:val="20"/>
        </w:rPr>
        <w:t>项目区水系图</w:t>
      </w:r>
    </w:p>
    <w:p w14:paraId="55651105">
      <w:pPr>
        <w:pStyle w:val="14"/>
        <w:numPr>
          <w:ilvl w:val="0"/>
          <w:numId w:val="3"/>
        </w:numPr>
        <w:spacing w:line="360" w:lineRule="auto"/>
        <w:ind w:left="420" w:leftChars="200"/>
        <w:rPr>
          <w:color w:val="auto"/>
          <w:kern w:val="0"/>
          <w:szCs w:val="20"/>
        </w:rPr>
      </w:pPr>
      <w:r>
        <w:rPr>
          <w:rFonts w:hint="eastAsia"/>
          <w:color w:val="auto"/>
          <w:kern w:val="0"/>
          <w:szCs w:val="20"/>
        </w:rPr>
        <w:t>平面布置图</w:t>
      </w:r>
    </w:p>
    <w:p w14:paraId="4228AF1A">
      <w:pPr>
        <w:pStyle w:val="14"/>
        <w:numPr>
          <w:ilvl w:val="0"/>
          <w:numId w:val="3"/>
        </w:numPr>
        <w:spacing w:line="360" w:lineRule="auto"/>
        <w:ind w:left="420" w:leftChars="200"/>
        <w:rPr>
          <w:color w:val="auto"/>
          <w:kern w:val="0"/>
          <w:szCs w:val="20"/>
        </w:rPr>
      </w:pPr>
      <w:r>
        <w:rPr>
          <w:rFonts w:hint="eastAsia"/>
          <w:color w:val="auto"/>
          <w:kern w:val="0"/>
          <w:szCs w:val="20"/>
        </w:rPr>
        <w:t>项目周边关系图</w:t>
      </w:r>
    </w:p>
    <w:p w14:paraId="5DB148BF">
      <w:pPr>
        <w:pStyle w:val="14"/>
        <w:numPr>
          <w:ilvl w:val="0"/>
          <w:numId w:val="3"/>
        </w:numPr>
        <w:spacing w:line="360" w:lineRule="auto"/>
        <w:ind w:left="420" w:leftChars="200"/>
        <w:rPr>
          <w:color w:val="auto"/>
          <w:kern w:val="0"/>
          <w:szCs w:val="20"/>
        </w:rPr>
      </w:pPr>
      <w:r>
        <w:rPr>
          <w:rFonts w:hint="eastAsia"/>
          <w:color w:val="auto"/>
          <w:kern w:val="0"/>
          <w:szCs w:val="20"/>
        </w:rPr>
        <w:t>项目所在园区规划图</w:t>
      </w:r>
    </w:p>
    <w:p w14:paraId="2983CA04">
      <w:pPr>
        <w:pStyle w:val="14"/>
        <w:numPr>
          <w:ilvl w:val="0"/>
          <w:numId w:val="3"/>
        </w:numPr>
        <w:spacing w:line="360" w:lineRule="auto"/>
        <w:ind w:left="420" w:leftChars="200"/>
        <w:rPr>
          <w:color w:val="auto"/>
          <w:kern w:val="0"/>
          <w:szCs w:val="20"/>
        </w:rPr>
      </w:pPr>
      <w:r>
        <w:rPr>
          <w:rFonts w:hint="eastAsia"/>
          <w:color w:val="auto"/>
          <w:kern w:val="0"/>
          <w:szCs w:val="20"/>
        </w:rPr>
        <w:t>牛栏江水系规划关系图</w:t>
      </w:r>
    </w:p>
    <w:p w14:paraId="1E57846C">
      <w:pPr>
        <w:pStyle w:val="14"/>
        <w:rPr>
          <w:color w:val="auto"/>
          <w:kern w:val="0"/>
          <w:szCs w:val="20"/>
        </w:rPr>
        <w:sectPr>
          <w:footerReference r:id="rId3" w:type="default"/>
          <w:pgSz w:w="11906" w:h="16838"/>
          <w:pgMar w:top="1701" w:right="1531" w:bottom="1701" w:left="1531" w:header="851" w:footer="1077" w:gutter="0"/>
          <w:pgNumType w:start="3"/>
          <w:cols w:space="720" w:num="1"/>
          <w:docGrid w:linePitch="312" w:charSpace="0"/>
        </w:sectPr>
      </w:pPr>
    </w:p>
    <w:p w14:paraId="335FE2AE">
      <w:pPr>
        <w:pStyle w:val="28"/>
        <w:jc w:val="center"/>
        <w:outlineLvl w:val="0"/>
        <w:rPr>
          <w:rFonts w:ascii="黑体" w:hAnsi="黑体" w:eastAsia="黑体"/>
          <w:snapToGrid w:val="0"/>
          <w:color w:val="auto"/>
          <w:sz w:val="30"/>
          <w:szCs w:val="30"/>
        </w:rPr>
      </w:pPr>
      <w:bookmarkStart w:id="0" w:name="_Toc29481"/>
      <w:r>
        <w:rPr>
          <w:rFonts w:hint="eastAsia" w:ascii="黑体" w:hAnsi="黑体" w:eastAsia="黑体"/>
          <w:snapToGrid w:val="0"/>
          <w:color w:val="auto"/>
          <w:sz w:val="30"/>
          <w:szCs w:val="30"/>
        </w:rPr>
        <w:t>一、建设项目基本情况</w:t>
      </w:r>
      <w:bookmarkEnd w:id="0"/>
    </w:p>
    <w:tbl>
      <w:tblPr>
        <w:tblStyle w:val="30"/>
        <w:tblW w:w="892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32"/>
        <w:gridCol w:w="411"/>
        <w:gridCol w:w="1949"/>
        <w:gridCol w:w="199"/>
        <w:gridCol w:w="2069"/>
        <w:gridCol w:w="3366"/>
      </w:tblGrid>
      <w:tr w14:paraId="1EFA18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43" w:type="dxa"/>
            <w:gridSpan w:val="2"/>
            <w:tcMar>
              <w:top w:w="16" w:type="dxa"/>
              <w:left w:w="16" w:type="dxa"/>
              <w:right w:w="16" w:type="dxa"/>
            </w:tcMar>
            <w:vAlign w:val="center"/>
          </w:tcPr>
          <w:p w14:paraId="04278DB2">
            <w:pPr>
              <w:adjustRightInd w:val="0"/>
              <w:snapToGrid w:val="0"/>
              <w:jc w:val="center"/>
              <w:rPr>
                <w:rFonts w:cs="宋体"/>
                <w:color w:val="auto"/>
                <w:sz w:val="24"/>
              </w:rPr>
            </w:pPr>
            <w:r>
              <w:rPr>
                <w:rFonts w:hint="eastAsia" w:cs="宋体"/>
                <w:color w:val="auto"/>
                <w:sz w:val="24"/>
              </w:rPr>
              <w:t>建设项目名称</w:t>
            </w:r>
          </w:p>
        </w:tc>
        <w:tc>
          <w:tcPr>
            <w:tcW w:w="7583" w:type="dxa"/>
            <w:gridSpan w:val="4"/>
            <w:vAlign w:val="center"/>
          </w:tcPr>
          <w:p w14:paraId="04642350">
            <w:pPr>
              <w:adjustRightInd w:val="0"/>
              <w:snapToGrid w:val="0"/>
              <w:jc w:val="center"/>
              <w:rPr>
                <w:rFonts w:cs="宋体"/>
                <w:color w:val="auto"/>
                <w:sz w:val="24"/>
              </w:rPr>
            </w:pPr>
            <w:r>
              <w:rPr>
                <w:rFonts w:hint="eastAsia" w:cs="宋体"/>
                <w:color w:val="auto"/>
                <w:sz w:val="24"/>
              </w:rPr>
              <w:t>年产450万张三聚氰胺浸渍纸建设项目</w:t>
            </w:r>
          </w:p>
        </w:tc>
      </w:tr>
      <w:tr w14:paraId="0920D8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3" w:type="dxa"/>
            <w:gridSpan w:val="2"/>
            <w:tcMar>
              <w:top w:w="16" w:type="dxa"/>
              <w:left w:w="16" w:type="dxa"/>
              <w:right w:w="16" w:type="dxa"/>
            </w:tcMar>
            <w:vAlign w:val="center"/>
          </w:tcPr>
          <w:p w14:paraId="6021E25F">
            <w:pPr>
              <w:adjustRightInd w:val="0"/>
              <w:snapToGrid w:val="0"/>
              <w:jc w:val="center"/>
              <w:rPr>
                <w:rFonts w:cs="宋体"/>
                <w:color w:val="auto"/>
                <w:sz w:val="24"/>
              </w:rPr>
            </w:pPr>
            <w:r>
              <w:rPr>
                <w:rFonts w:hint="eastAsia" w:cs="宋体"/>
                <w:color w:val="auto"/>
                <w:sz w:val="24"/>
              </w:rPr>
              <w:t>项目代码</w:t>
            </w:r>
          </w:p>
        </w:tc>
        <w:tc>
          <w:tcPr>
            <w:tcW w:w="7583" w:type="dxa"/>
            <w:gridSpan w:val="4"/>
            <w:vAlign w:val="center"/>
          </w:tcPr>
          <w:p w14:paraId="4563220B">
            <w:pPr>
              <w:adjustRightInd w:val="0"/>
              <w:snapToGrid w:val="0"/>
              <w:jc w:val="center"/>
              <w:rPr>
                <w:rFonts w:cs="宋体"/>
                <w:color w:val="auto"/>
                <w:sz w:val="24"/>
              </w:rPr>
            </w:pPr>
            <w:r>
              <w:rPr>
                <w:rFonts w:hint="eastAsia" w:cs="宋体"/>
                <w:color w:val="auto"/>
                <w:sz w:val="24"/>
              </w:rPr>
              <w:t>2311-530129-04-01-244590</w:t>
            </w:r>
          </w:p>
        </w:tc>
      </w:tr>
      <w:tr w14:paraId="279EBF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3" w:type="dxa"/>
            <w:gridSpan w:val="2"/>
            <w:tcMar>
              <w:top w:w="16" w:type="dxa"/>
              <w:left w:w="16" w:type="dxa"/>
              <w:right w:w="16" w:type="dxa"/>
            </w:tcMar>
            <w:vAlign w:val="center"/>
          </w:tcPr>
          <w:p w14:paraId="2E3A606A">
            <w:pPr>
              <w:adjustRightInd w:val="0"/>
              <w:snapToGrid w:val="0"/>
              <w:jc w:val="center"/>
              <w:rPr>
                <w:rFonts w:cs="宋体"/>
                <w:color w:val="auto"/>
                <w:sz w:val="24"/>
              </w:rPr>
            </w:pPr>
            <w:r>
              <w:rPr>
                <w:rFonts w:hint="eastAsia" w:cs="宋体"/>
                <w:color w:val="auto"/>
                <w:sz w:val="24"/>
              </w:rPr>
              <w:t>建设单位联系人</w:t>
            </w:r>
          </w:p>
        </w:tc>
        <w:tc>
          <w:tcPr>
            <w:tcW w:w="1949" w:type="dxa"/>
            <w:vAlign w:val="center"/>
          </w:tcPr>
          <w:p w14:paraId="3713EC9B">
            <w:pPr>
              <w:adjustRightInd w:val="0"/>
              <w:snapToGrid w:val="0"/>
              <w:jc w:val="center"/>
              <w:rPr>
                <w:rFonts w:cs="宋体"/>
                <w:color w:val="auto"/>
                <w:sz w:val="24"/>
              </w:rPr>
            </w:pPr>
          </w:p>
        </w:tc>
        <w:tc>
          <w:tcPr>
            <w:tcW w:w="2268" w:type="dxa"/>
            <w:gridSpan w:val="2"/>
            <w:vAlign w:val="center"/>
          </w:tcPr>
          <w:p w14:paraId="51CE39B7">
            <w:pPr>
              <w:adjustRightInd w:val="0"/>
              <w:snapToGrid w:val="0"/>
              <w:jc w:val="center"/>
              <w:rPr>
                <w:rFonts w:cs="宋体"/>
                <w:color w:val="auto"/>
                <w:sz w:val="24"/>
              </w:rPr>
            </w:pPr>
            <w:r>
              <w:rPr>
                <w:rFonts w:hint="eastAsia" w:cs="宋体"/>
                <w:color w:val="auto"/>
                <w:sz w:val="24"/>
              </w:rPr>
              <w:t>联系方式</w:t>
            </w:r>
          </w:p>
        </w:tc>
        <w:tc>
          <w:tcPr>
            <w:tcW w:w="3366" w:type="dxa"/>
            <w:vAlign w:val="center"/>
          </w:tcPr>
          <w:p w14:paraId="16001A20">
            <w:pPr>
              <w:adjustRightInd w:val="0"/>
              <w:snapToGrid w:val="0"/>
              <w:jc w:val="center"/>
              <w:rPr>
                <w:rFonts w:cs="宋体"/>
                <w:color w:val="auto"/>
                <w:sz w:val="24"/>
              </w:rPr>
            </w:pPr>
          </w:p>
        </w:tc>
      </w:tr>
      <w:tr w14:paraId="30A8A2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3" w:type="dxa"/>
            <w:gridSpan w:val="2"/>
            <w:tcMar>
              <w:top w:w="16" w:type="dxa"/>
              <w:left w:w="16" w:type="dxa"/>
              <w:right w:w="16" w:type="dxa"/>
            </w:tcMar>
            <w:vAlign w:val="center"/>
          </w:tcPr>
          <w:p w14:paraId="6FF50209">
            <w:pPr>
              <w:adjustRightInd w:val="0"/>
              <w:snapToGrid w:val="0"/>
              <w:jc w:val="center"/>
              <w:rPr>
                <w:rFonts w:cs="宋体"/>
                <w:color w:val="auto"/>
                <w:sz w:val="24"/>
              </w:rPr>
            </w:pPr>
            <w:r>
              <w:rPr>
                <w:rFonts w:hint="eastAsia" w:cs="宋体"/>
                <w:color w:val="auto"/>
                <w:sz w:val="24"/>
              </w:rPr>
              <w:t>建设地点</w:t>
            </w:r>
          </w:p>
        </w:tc>
        <w:tc>
          <w:tcPr>
            <w:tcW w:w="7583" w:type="dxa"/>
            <w:gridSpan w:val="4"/>
            <w:vAlign w:val="center"/>
          </w:tcPr>
          <w:p w14:paraId="5E5821BD">
            <w:pPr>
              <w:adjustRightInd w:val="0"/>
              <w:snapToGrid w:val="0"/>
              <w:jc w:val="center"/>
              <w:rPr>
                <w:rFonts w:cs="宋体"/>
                <w:color w:val="auto"/>
                <w:sz w:val="24"/>
              </w:rPr>
            </w:pPr>
            <w:r>
              <w:rPr>
                <w:rFonts w:hint="eastAsia" w:cs="宋体"/>
                <w:color w:val="auto"/>
                <w:sz w:val="24"/>
                <w:u w:val="single"/>
              </w:rPr>
              <w:t>云南</w:t>
            </w:r>
            <w:r>
              <w:rPr>
                <w:rFonts w:hint="eastAsia" w:cs="宋体"/>
                <w:color w:val="auto"/>
                <w:sz w:val="24"/>
              </w:rPr>
              <w:t>省</w:t>
            </w:r>
            <w:r>
              <w:rPr>
                <w:rFonts w:hint="eastAsia" w:cs="宋体"/>
                <w:color w:val="auto"/>
                <w:sz w:val="24"/>
                <w:u w:val="single"/>
              </w:rPr>
              <w:t>昆明</w:t>
            </w:r>
            <w:r>
              <w:rPr>
                <w:rFonts w:hint="eastAsia" w:cs="宋体"/>
                <w:color w:val="auto"/>
                <w:sz w:val="24"/>
              </w:rPr>
              <w:t>市</w:t>
            </w:r>
            <w:r>
              <w:rPr>
                <w:rFonts w:hint="eastAsia" w:cs="宋体"/>
                <w:color w:val="auto"/>
                <w:sz w:val="24"/>
                <w:u w:val="single"/>
              </w:rPr>
              <w:t>寻甸</w:t>
            </w:r>
            <w:r>
              <w:rPr>
                <w:rFonts w:hint="eastAsia" w:cs="宋体"/>
                <w:color w:val="auto"/>
                <w:sz w:val="24"/>
              </w:rPr>
              <w:t>县（区）</w:t>
            </w:r>
            <w:r>
              <w:rPr>
                <w:rFonts w:hint="eastAsia" w:cs="宋体"/>
                <w:color w:val="auto"/>
                <w:sz w:val="24"/>
                <w:u w:val="single"/>
              </w:rPr>
              <w:t>云南寻甸产业园区羊街片区中国昆明国际林业产业园3-12号</w:t>
            </w:r>
            <w:r>
              <w:rPr>
                <w:rFonts w:hint="eastAsia" w:cs="宋体"/>
                <w:color w:val="auto"/>
                <w:sz w:val="24"/>
              </w:rPr>
              <w:t>（具体地址）</w:t>
            </w:r>
          </w:p>
        </w:tc>
      </w:tr>
      <w:tr w14:paraId="750337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3" w:type="dxa"/>
            <w:gridSpan w:val="2"/>
            <w:tcMar>
              <w:top w:w="16" w:type="dxa"/>
              <w:left w:w="16" w:type="dxa"/>
              <w:right w:w="16" w:type="dxa"/>
            </w:tcMar>
            <w:vAlign w:val="center"/>
          </w:tcPr>
          <w:p w14:paraId="6E1D14E3">
            <w:pPr>
              <w:adjustRightInd w:val="0"/>
              <w:snapToGrid w:val="0"/>
              <w:jc w:val="center"/>
              <w:rPr>
                <w:rFonts w:cs="宋体"/>
                <w:color w:val="auto"/>
                <w:sz w:val="24"/>
              </w:rPr>
            </w:pPr>
            <w:r>
              <w:rPr>
                <w:rFonts w:hint="eastAsia" w:cs="宋体"/>
                <w:color w:val="auto"/>
                <w:sz w:val="24"/>
              </w:rPr>
              <w:t>地理坐标</w:t>
            </w:r>
          </w:p>
        </w:tc>
        <w:tc>
          <w:tcPr>
            <w:tcW w:w="7583" w:type="dxa"/>
            <w:gridSpan w:val="4"/>
            <w:vAlign w:val="center"/>
          </w:tcPr>
          <w:p w14:paraId="4668648B">
            <w:pPr>
              <w:adjustRightInd w:val="0"/>
              <w:snapToGrid w:val="0"/>
              <w:jc w:val="center"/>
              <w:rPr>
                <w:rFonts w:cs="宋体"/>
                <w:color w:val="auto"/>
                <w:sz w:val="24"/>
              </w:rPr>
            </w:pPr>
            <w:r>
              <w:rPr>
                <w:rFonts w:hint="eastAsia" w:cs="宋体"/>
                <w:color w:val="auto"/>
                <w:sz w:val="24"/>
              </w:rPr>
              <w:t>（</w:t>
            </w:r>
            <w:r>
              <w:rPr>
                <w:rFonts w:hint="eastAsia" w:cs="宋体"/>
                <w:color w:val="auto"/>
                <w:sz w:val="24"/>
                <w:u w:val="single"/>
              </w:rPr>
              <w:t>103</w:t>
            </w:r>
            <w:r>
              <w:rPr>
                <w:rFonts w:hint="eastAsia" w:cs="宋体"/>
                <w:color w:val="auto"/>
                <w:sz w:val="24"/>
              </w:rPr>
              <w:t>度</w:t>
            </w:r>
            <w:r>
              <w:rPr>
                <w:rFonts w:hint="eastAsia" w:cs="宋体"/>
                <w:color w:val="auto"/>
                <w:sz w:val="24"/>
                <w:u w:val="single"/>
              </w:rPr>
              <w:t>9</w:t>
            </w:r>
            <w:r>
              <w:rPr>
                <w:rFonts w:hint="eastAsia" w:cs="宋体"/>
                <w:color w:val="auto"/>
                <w:sz w:val="24"/>
              </w:rPr>
              <w:t>分</w:t>
            </w:r>
            <w:r>
              <w:rPr>
                <w:rFonts w:hint="eastAsia" w:cs="宋体"/>
                <w:color w:val="auto"/>
                <w:sz w:val="24"/>
                <w:u w:val="single"/>
              </w:rPr>
              <w:t>15.350</w:t>
            </w:r>
            <w:r>
              <w:rPr>
                <w:rFonts w:hint="eastAsia" w:cs="宋体"/>
                <w:color w:val="auto"/>
                <w:sz w:val="24"/>
              </w:rPr>
              <w:t>秒，</w:t>
            </w:r>
            <w:r>
              <w:rPr>
                <w:rFonts w:hint="eastAsia" w:cs="宋体"/>
                <w:color w:val="auto"/>
                <w:sz w:val="24"/>
                <w:u w:val="single"/>
              </w:rPr>
              <w:t>25</w:t>
            </w:r>
            <w:r>
              <w:rPr>
                <w:rFonts w:hint="eastAsia" w:cs="宋体"/>
                <w:color w:val="auto"/>
                <w:sz w:val="24"/>
              </w:rPr>
              <w:t>度</w:t>
            </w:r>
            <w:r>
              <w:rPr>
                <w:rFonts w:hint="eastAsia" w:cs="宋体"/>
                <w:color w:val="auto"/>
                <w:sz w:val="24"/>
                <w:u w:val="single"/>
              </w:rPr>
              <w:t>27</w:t>
            </w:r>
            <w:r>
              <w:rPr>
                <w:rFonts w:hint="eastAsia" w:cs="宋体"/>
                <w:color w:val="auto"/>
                <w:sz w:val="24"/>
              </w:rPr>
              <w:t>分</w:t>
            </w:r>
            <w:r>
              <w:rPr>
                <w:rFonts w:hint="eastAsia" w:cs="宋体"/>
                <w:color w:val="auto"/>
                <w:sz w:val="24"/>
                <w:u w:val="single"/>
              </w:rPr>
              <w:t>37.255</w:t>
            </w:r>
            <w:r>
              <w:rPr>
                <w:rFonts w:hint="eastAsia" w:cs="宋体"/>
                <w:color w:val="auto"/>
                <w:sz w:val="24"/>
              </w:rPr>
              <w:t>秒）</w:t>
            </w:r>
          </w:p>
        </w:tc>
      </w:tr>
      <w:tr w14:paraId="11FE1A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28" w:hRule="atLeast"/>
          <w:jc w:val="center"/>
        </w:trPr>
        <w:tc>
          <w:tcPr>
            <w:tcW w:w="1343" w:type="dxa"/>
            <w:gridSpan w:val="2"/>
            <w:tcMar>
              <w:top w:w="16" w:type="dxa"/>
              <w:left w:w="16" w:type="dxa"/>
              <w:right w:w="16" w:type="dxa"/>
            </w:tcMar>
            <w:vAlign w:val="center"/>
          </w:tcPr>
          <w:p w14:paraId="6AA9895E">
            <w:pPr>
              <w:adjustRightInd w:val="0"/>
              <w:snapToGrid w:val="0"/>
              <w:jc w:val="center"/>
              <w:rPr>
                <w:rFonts w:cs="宋体"/>
                <w:color w:val="auto"/>
                <w:sz w:val="24"/>
              </w:rPr>
            </w:pPr>
            <w:r>
              <w:rPr>
                <w:rFonts w:hint="eastAsia" w:cs="宋体"/>
                <w:color w:val="auto"/>
                <w:sz w:val="24"/>
              </w:rPr>
              <w:t>国民经济行业类别</w:t>
            </w:r>
          </w:p>
        </w:tc>
        <w:tc>
          <w:tcPr>
            <w:tcW w:w="2148" w:type="dxa"/>
            <w:gridSpan w:val="2"/>
            <w:vAlign w:val="center"/>
          </w:tcPr>
          <w:p w14:paraId="1F28F8D6">
            <w:pPr>
              <w:adjustRightInd w:val="0"/>
              <w:snapToGrid w:val="0"/>
              <w:jc w:val="center"/>
              <w:rPr>
                <w:color w:val="auto"/>
              </w:rPr>
            </w:pPr>
            <w:r>
              <w:rPr>
                <w:rFonts w:hint="eastAsia"/>
                <w:color w:val="auto"/>
                <w:sz w:val="24"/>
              </w:rPr>
              <w:t>其他纸制品制造</w:t>
            </w:r>
            <w:r>
              <w:rPr>
                <w:color w:val="auto"/>
                <w:sz w:val="24"/>
              </w:rPr>
              <w:t>（C</w:t>
            </w:r>
            <w:r>
              <w:rPr>
                <w:rFonts w:hint="eastAsia"/>
                <w:color w:val="auto"/>
                <w:sz w:val="24"/>
              </w:rPr>
              <w:t>2239</w:t>
            </w:r>
            <w:r>
              <w:rPr>
                <w:color w:val="auto"/>
                <w:sz w:val="24"/>
              </w:rPr>
              <w:t>）</w:t>
            </w:r>
          </w:p>
        </w:tc>
        <w:tc>
          <w:tcPr>
            <w:tcW w:w="2069" w:type="dxa"/>
            <w:vAlign w:val="center"/>
          </w:tcPr>
          <w:p w14:paraId="387F7003">
            <w:pPr>
              <w:adjustRightInd w:val="0"/>
              <w:snapToGrid w:val="0"/>
              <w:jc w:val="center"/>
              <w:rPr>
                <w:rFonts w:cs="宋体"/>
                <w:color w:val="auto"/>
                <w:sz w:val="24"/>
              </w:rPr>
            </w:pPr>
            <w:bookmarkStart w:id="1" w:name="_Hlk49843745"/>
            <w:r>
              <w:rPr>
                <w:rFonts w:hint="eastAsia" w:cs="宋体"/>
                <w:color w:val="auto"/>
                <w:sz w:val="24"/>
              </w:rPr>
              <w:t>建设项目行业类别</w:t>
            </w:r>
            <w:bookmarkEnd w:id="1"/>
          </w:p>
        </w:tc>
        <w:tc>
          <w:tcPr>
            <w:tcW w:w="3366" w:type="dxa"/>
            <w:vAlign w:val="center"/>
          </w:tcPr>
          <w:p w14:paraId="3A8AF10A">
            <w:pPr>
              <w:adjustRightInd w:val="0"/>
              <w:snapToGrid w:val="0"/>
              <w:jc w:val="center"/>
              <w:rPr>
                <w:color w:val="auto"/>
              </w:rPr>
            </w:pPr>
            <w:r>
              <w:rPr>
                <w:rFonts w:hint="eastAsia"/>
                <w:color w:val="auto"/>
                <w:sz w:val="24"/>
              </w:rPr>
              <w:t>十九、造纸和纸制品业、38纸制品制造223、有涂布、浸渍、印刷、粘胶工艺的</w:t>
            </w:r>
          </w:p>
        </w:tc>
      </w:tr>
      <w:tr w14:paraId="0AFA58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343" w:type="dxa"/>
            <w:gridSpan w:val="2"/>
            <w:tcMar>
              <w:top w:w="16" w:type="dxa"/>
              <w:left w:w="16" w:type="dxa"/>
              <w:right w:w="16" w:type="dxa"/>
            </w:tcMar>
            <w:vAlign w:val="center"/>
          </w:tcPr>
          <w:p w14:paraId="639FCCAF">
            <w:pPr>
              <w:adjustRightInd w:val="0"/>
              <w:snapToGrid w:val="0"/>
              <w:jc w:val="center"/>
              <w:rPr>
                <w:rFonts w:cs="宋体"/>
                <w:color w:val="auto"/>
                <w:sz w:val="24"/>
              </w:rPr>
            </w:pPr>
            <w:r>
              <w:rPr>
                <w:rFonts w:hint="eastAsia" w:cs="宋体"/>
                <w:color w:val="auto"/>
                <w:sz w:val="24"/>
              </w:rPr>
              <w:t>建设性质</w:t>
            </w:r>
          </w:p>
        </w:tc>
        <w:tc>
          <w:tcPr>
            <w:tcW w:w="2148" w:type="dxa"/>
            <w:gridSpan w:val="2"/>
            <w:vAlign w:val="center"/>
          </w:tcPr>
          <w:p w14:paraId="4B73D9B3">
            <w:pPr>
              <w:adjustRightInd w:val="0"/>
              <w:snapToGrid w:val="0"/>
              <w:jc w:val="left"/>
              <w:rPr>
                <w:rFonts w:cs="宋体"/>
                <w:color w:val="auto"/>
                <w:sz w:val="24"/>
              </w:rPr>
            </w:pPr>
            <w:r>
              <w:rPr>
                <w:rFonts w:hint="eastAsia" w:cs="宋体"/>
                <w:color w:val="auto"/>
                <w:sz w:val="24"/>
              </w:rPr>
              <w:sym w:font="Wingdings 2" w:char="0052"/>
            </w:r>
            <w:r>
              <w:rPr>
                <w:rFonts w:hint="eastAsia" w:cs="宋体"/>
                <w:color w:val="auto"/>
                <w:sz w:val="24"/>
              </w:rPr>
              <w:t>新建（迁建）</w:t>
            </w:r>
          </w:p>
          <w:p w14:paraId="01126C8C">
            <w:pPr>
              <w:adjustRightInd w:val="0"/>
              <w:snapToGrid w:val="0"/>
              <w:jc w:val="left"/>
              <w:rPr>
                <w:rFonts w:cs="宋体"/>
                <w:color w:val="auto"/>
                <w:sz w:val="24"/>
              </w:rPr>
            </w:pPr>
            <w:r>
              <w:rPr>
                <w:rFonts w:hint="eastAsia" w:cs="宋体"/>
                <w:color w:val="auto"/>
                <w:sz w:val="24"/>
              </w:rPr>
              <w:t>□改建</w:t>
            </w:r>
          </w:p>
          <w:p w14:paraId="39C57126">
            <w:pPr>
              <w:adjustRightInd w:val="0"/>
              <w:snapToGrid w:val="0"/>
              <w:jc w:val="left"/>
              <w:rPr>
                <w:rFonts w:cs="宋体"/>
                <w:color w:val="auto"/>
                <w:sz w:val="24"/>
              </w:rPr>
            </w:pPr>
            <w:r>
              <w:rPr>
                <w:rFonts w:hint="eastAsia" w:cs="宋体"/>
                <w:color w:val="auto"/>
                <w:sz w:val="24"/>
              </w:rPr>
              <w:t>□扩建</w:t>
            </w:r>
          </w:p>
          <w:p w14:paraId="70230039">
            <w:pPr>
              <w:adjustRightInd w:val="0"/>
              <w:snapToGrid w:val="0"/>
              <w:jc w:val="left"/>
              <w:rPr>
                <w:rFonts w:cs="宋体"/>
                <w:color w:val="auto"/>
                <w:sz w:val="24"/>
              </w:rPr>
            </w:pPr>
            <w:r>
              <w:rPr>
                <w:rFonts w:hint="eastAsia" w:cs="宋体"/>
                <w:color w:val="auto"/>
                <w:sz w:val="24"/>
              </w:rPr>
              <w:t>□技术改造</w:t>
            </w:r>
          </w:p>
        </w:tc>
        <w:tc>
          <w:tcPr>
            <w:tcW w:w="2069" w:type="dxa"/>
            <w:vAlign w:val="center"/>
          </w:tcPr>
          <w:p w14:paraId="33D20440">
            <w:pPr>
              <w:adjustRightInd w:val="0"/>
              <w:snapToGrid w:val="0"/>
              <w:jc w:val="center"/>
              <w:rPr>
                <w:rFonts w:cs="宋体"/>
                <w:color w:val="auto"/>
                <w:sz w:val="24"/>
              </w:rPr>
            </w:pPr>
            <w:r>
              <w:rPr>
                <w:rFonts w:hint="eastAsia" w:cs="宋体"/>
                <w:color w:val="auto"/>
                <w:sz w:val="24"/>
              </w:rPr>
              <w:t>建设项目申报情形</w:t>
            </w:r>
          </w:p>
        </w:tc>
        <w:tc>
          <w:tcPr>
            <w:tcW w:w="3366" w:type="dxa"/>
            <w:vAlign w:val="center"/>
          </w:tcPr>
          <w:p w14:paraId="553CBC20">
            <w:pPr>
              <w:adjustRightInd w:val="0"/>
              <w:snapToGrid w:val="0"/>
              <w:jc w:val="left"/>
              <w:rPr>
                <w:rFonts w:cs="宋体"/>
                <w:color w:val="auto"/>
                <w:sz w:val="24"/>
              </w:rPr>
            </w:pPr>
            <w:r>
              <w:rPr>
                <w:rFonts w:hint="eastAsia" w:cs="宋体"/>
                <w:color w:val="auto"/>
                <w:sz w:val="24"/>
              </w:rPr>
              <w:sym w:font="Wingdings 2" w:char="0052"/>
            </w:r>
            <w:r>
              <w:rPr>
                <w:rFonts w:hint="eastAsia" w:cs="宋体"/>
                <w:color w:val="auto"/>
                <w:sz w:val="24"/>
              </w:rPr>
              <w:t>首次申报项目</w:t>
            </w:r>
            <w:r>
              <w:rPr>
                <w:rFonts w:cs="宋体"/>
                <w:color w:val="auto"/>
                <w:sz w:val="24"/>
              </w:rPr>
              <w:t xml:space="preserve">             </w:t>
            </w:r>
          </w:p>
          <w:p w14:paraId="350F44D7">
            <w:pPr>
              <w:adjustRightInd w:val="0"/>
              <w:snapToGrid w:val="0"/>
              <w:jc w:val="left"/>
              <w:rPr>
                <w:rFonts w:cs="宋体"/>
                <w:color w:val="auto"/>
                <w:sz w:val="24"/>
              </w:rPr>
            </w:pPr>
            <w:r>
              <w:rPr>
                <w:rFonts w:hint="eastAsia" w:cs="宋体"/>
                <w:color w:val="auto"/>
                <w:sz w:val="24"/>
              </w:rPr>
              <w:t>□不予批准后再次申报项目</w:t>
            </w:r>
          </w:p>
          <w:p w14:paraId="645DC004">
            <w:pPr>
              <w:adjustRightInd w:val="0"/>
              <w:snapToGrid w:val="0"/>
              <w:jc w:val="left"/>
              <w:rPr>
                <w:rFonts w:cs="宋体"/>
                <w:color w:val="auto"/>
                <w:sz w:val="24"/>
              </w:rPr>
            </w:pPr>
            <w:r>
              <w:rPr>
                <w:rFonts w:hint="eastAsia" w:cs="宋体"/>
                <w:color w:val="auto"/>
                <w:sz w:val="24"/>
              </w:rPr>
              <w:sym w:font="Wingdings 2" w:char="00A3"/>
            </w:r>
            <w:r>
              <w:rPr>
                <w:rFonts w:hint="eastAsia" w:cs="宋体"/>
                <w:color w:val="auto"/>
                <w:sz w:val="24"/>
              </w:rPr>
              <w:t>超五年重新审核项目</w:t>
            </w:r>
            <w:r>
              <w:rPr>
                <w:rFonts w:cs="宋体"/>
                <w:color w:val="auto"/>
                <w:sz w:val="24"/>
              </w:rPr>
              <w:t xml:space="preserve">     </w:t>
            </w:r>
          </w:p>
          <w:p w14:paraId="62D8DD33">
            <w:pPr>
              <w:adjustRightInd w:val="0"/>
              <w:snapToGrid w:val="0"/>
              <w:jc w:val="left"/>
              <w:rPr>
                <w:rFonts w:cs="宋体"/>
                <w:color w:val="auto"/>
                <w:sz w:val="24"/>
              </w:rPr>
            </w:pPr>
            <w:r>
              <w:rPr>
                <w:rFonts w:hint="eastAsia" w:cs="宋体"/>
                <w:color w:val="auto"/>
                <w:sz w:val="24"/>
              </w:rPr>
              <w:t>□重大变动重新报批项目</w:t>
            </w:r>
          </w:p>
        </w:tc>
      </w:tr>
      <w:tr w14:paraId="38675E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343" w:type="dxa"/>
            <w:gridSpan w:val="2"/>
            <w:tcMar>
              <w:top w:w="16" w:type="dxa"/>
              <w:left w:w="16" w:type="dxa"/>
              <w:right w:w="16" w:type="dxa"/>
            </w:tcMar>
            <w:vAlign w:val="center"/>
          </w:tcPr>
          <w:p w14:paraId="38715A9F">
            <w:pPr>
              <w:adjustRightInd w:val="0"/>
              <w:snapToGrid w:val="0"/>
              <w:jc w:val="center"/>
              <w:rPr>
                <w:rFonts w:cs="宋体"/>
                <w:color w:val="auto"/>
                <w:sz w:val="24"/>
              </w:rPr>
            </w:pPr>
            <w:r>
              <w:rPr>
                <w:rFonts w:hint="eastAsia" w:cs="宋体"/>
                <w:color w:val="auto"/>
                <w:sz w:val="24"/>
              </w:rPr>
              <w:t>项目审批（核准</w:t>
            </w:r>
            <w:r>
              <w:rPr>
                <w:rFonts w:cs="宋体"/>
                <w:color w:val="auto"/>
                <w:sz w:val="24"/>
              </w:rPr>
              <w:t>/</w:t>
            </w:r>
            <w:r>
              <w:rPr>
                <w:rFonts w:hint="eastAsia" w:cs="宋体"/>
                <w:color w:val="auto"/>
                <w:sz w:val="24"/>
              </w:rPr>
              <w:t>备案）部门（选填）</w:t>
            </w:r>
          </w:p>
        </w:tc>
        <w:tc>
          <w:tcPr>
            <w:tcW w:w="2148" w:type="dxa"/>
            <w:gridSpan w:val="2"/>
            <w:vAlign w:val="center"/>
          </w:tcPr>
          <w:p w14:paraId="491C43B6">
            <w:pPr>
              <w:adjustRightInd w:val="0"/>
              <w:snapToGrid w:val="0"/>
              <w:jc w:val="center"/>
              <w:rPr>
                <w:rFonts w:cs="宋体"/>
                <w:color w:val="auto"/>
                <w:sz w:val="24"/>
              </w:rPr>
            </w:pPr>
            <w:r>
              <w:rPr>
                <w:rFonts w:hint="eastAsia" w:cs="宋体"/>
                <w:color w:val="auto"/>
                <w:sz w:val="24"/>
              </w:rPr>
              <w:t>寻甸回族彝族自治县发展和改革局</w:t>
            </w:r>
          </w:p>
        </w:tc>
        <w:tc>
          <w:tcPr>
            <w:tcW w:w="2069" w:type="dxa"/>
            <w:vAlign w:val="center"/>
          </w:tcPr>
          <w:p w14:paraId="2967049F">
            <w:pPr>
              <w:adjustRightInd w:val="0"/>
              <w:snapToGrid w:val="0"/>
              <w:jc w:val="center"/>
              <w:rPr>
                <w:rFonts w:cs="宋体"/>
                <w:color w:val="auto"/>
                <w:sz w:val="24"/>
              </w:rPr>
            </w:pPr>
            <w:r>
              <w:rPr>
                <w:rFonts w:hint="eastAsia" w:cs="宋体"/>
                <w:color w:val="auto"/>
                <w:sz w:val="24"/>
              </w:rPr>
              <w:t>项目审批（核准</w:t>
            </w:r>
            <w:r>
              <w:rPr>
                <w:rFonts w:cs="宋体"/>
                <w:color w:val="auto"/>
                <w:sz w:val="24"/>
              </w:rPr>
              <w:t>/</w:t>
            </w:r>
          </w:p>
          <w:p w14:paraId="10B1DE16">
            <w:pPr>
              <w:adjustRightInd w:val="0"/>
              <w:snapToGrid w:val="0"/>
              <w:jc w:val="center"/>
              <w:rPr>
                <w:rFonts w:cs="宋体"/>
                <w:color w:val="auto"/>
                <w:sz w:val="24"/>
              </w:rPr>
            </w:pPr>
            <w:r>
              <w:rPr>
                <w:rFonts w:hint="eastAsia" w:cs="宋体"/>
                <w:color w:val="auto"/>
                <w:sz w:val="24"/>
              </w:rPr>
              <w:t>备案）文号（选填）</w:t>
            </w:r>
          </w:p>
        </w:tc>
        <w:tc>
          <w:tcPr>
            <w:tcW w:w="3366" w:type="dxa"/>
            <w:vAlign w:val="center"/>
          </w:tcPr>
          <w:p w14:paraId="53228AE4">
            <w:pPr>
              <w:adjustRightInd w:val="0"/>
              <w:snapToGrid w:val="0"/>
              <w:jc w:val="center"/>
              <w:rPr>
                <w:rFonts w:cs="宋体"/>
                <w:color w:val="auto"/>
                <w:sz w:val="24"/>
              </w:rPr>
            </w:pPr>
            <w:r>
              <w:rPr>
                <w:rFonts w:hint="eastAsia" w:cs="宋体"/>
                <w:color w:val="auto"/>
                <w:sz w:val="24"/>
              </w:rPr>
              <w:t>/</w:t>
            </w:r>
          </w:p>
        </w:tc>
      </w:tr>
      <w:tr w14:paraId="2C924F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3" w:type="dxa"/>
            <w:gridSpan w:val="2"/>
            <w:tcMar>
              <w:top w:w="16" w:type="dxa"/>
              <w:left w:w="16" w:type="dxa"/>
              <w:right w:w="16" w:type="dxa"/>
            </w:tcMar>
            <w:vAlign w:val="center"/>
          </w:tcPr>
          <w:p w14:paraId="2FF6AB31">
            <w:pPr>
              <w:adjustRightInd w:val="0"/>
              <w:snapToGrid w:val="0"/>
              <w:jc w:val="center"/>
              <w:rPr>
                <w:rFonts w:cs="宋体"/>
                <w:color w:val="auto"/>
                <w:sz w:val="24"/>
              </w:rPr>
            </w:pPr>
            <w:r>
              <w:rPr>
                <w:rFonts w:hint="eastAsia" w:cs="宋体"/>
                <w:color w:val="auto"/>
                <w:sz w:val="24"/>
              </w:rPr>
              <w:t>总投资（万元）</w:t>
            </w:r>
          </w:p>
        </w:tc>
        <w:tc>
          <w:tcPr>
            <w:tcW w:w="2148" w:type="dxa"/>
            <w:gridSpan w:val="2"/>
            <w:vAlign w:val="center"/>
          </w:tcPr>
          <w:p w14:paraId="4885870E">
            <w:pPr>
              <w:adjustRightInd w:val="0"/>
              <w:snapToGrid w:val="0"/>
              <w:jc w:val="center"/>
              <w:rPr>
                <w:rFonts w:cs="宋体"/>
                <w:color w:val="auto"/>
                <w:sz w:val="24"/>
              </w:rPr>
            </w:pPr>
            <w:r>
              <w:rPr>
                <w:rFonts w:hint="eastAsia" w:cs="宋体"/>
                <w:color w:val="auto"/>
                <w:sz w:val="24"/>
              </w:rPr>
              <w:t>1500</w:t>
            </w:r>
          </w:p>
        </w:tc>
        <w:tc>
          <w:tcPr>
            <w:tcW w:w="2069" w:type="dxa"/>
            <w:tcMar>
              <w:top w:w="16" w:type="dxa"/>
              <w:left w:w="16" w:type="dxa"/>
              <w:right w:w="16" w:type="dxa"/>
            </w:tcMar>
            <w:vAlign w:val="center"/>
          </w:tcPr>
          <w:p w14:paraId="034B1407">
            <w:pPr>
              <w:adjustRightInd w:val="0"/>
              <w:snapToGrid w:val="0"/>
              <w:jc w:val="center"/>
              <w:rPr>
                <w:rFonts w:cs="宋体"/>
                <w:color w:val="auto"/>
                <w:sz w:val="24"/>
              </w:rPr>
            </w:pPr>
            <w:r>
              <w:rPr>
                <w:rFonts w:hint="eastAsia" w:cs="宋体"/>
                <w:color w:val="auto"/>
                <w:sz w:val="24"/>
              </w:rPr>
              <w:t>环保投资（万元）</w:t>
            </w:r>
          </w:p>
        </w:tc>
        <w:tc>
          <w:tcPr>
            <w:tcW w:w="3366" w:type="dxa"/>
            <w:vAlign w:val="center"/>
          </w:tcPr>
          <w:p w14:paraId="4ED52374">
            <w:pPr>
              <w:adjustRightInd w:val="0"/>
              <w:snapToGrid w:val="0"/>
              <w:jc w:val="center"/>
              <w:rPr>
                <w:rFonts w:cs="宋体"/>
                <w:color w:val="auto"/>
                <w:sz w:val="24"/>
              </w:rPr>
            </w:pPr>
            <w:r>
              <w:rPr>
                <w:rFonts w:hint="eastAsia" w:cs="宋体"/>
                <w:color w:val="auto"/>
                <w:sz w:val="24"/>
              </w:rPr>
              <w:t>28</w:t>
            </w:r>
          </w:p>
        </w:tc>
      </w:tr>
      <w:tr w14:paraId="513692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8" w:hRule="atLeast"/>
          <w:jc w:val="center"/>
        </w:trPr>
        <w:tc>
          <w:tcPr>
            <w:tcW w:w="1343" w:type="dxa"/>
            <w:gridSpan w:val="2"/>
            <w:tcMar>
              <w:top w:w="16" w:type="dxa"/>
              <w:left w:w="16" w:type="dxa"/>
              <w:right w:w="16" w:type="dxa"/>
            </w:tcMar>
            <w:vAlign w:val="center"/>
          </w:tcPr>
          <w:p w14:paraId="3D6494E4">
            <w:pPr>
              <w:adjustRightInd w:val="0"/>
              <w:snapToGrid w:val="0"/>
              <w:jc w:val="center"/>
              <w:rPr>
                <w:rFonts w:cs="宋体"/>
                <w:color w:val="auto"/>
                <w:sz w:val="24"/>
              </w:rPr>
            </w:pPr>
            <w:r>
              <w:rPr>
                <w:rFonts w:hint="eastAsia" w:cs="宋体"/>
                <w:color w:val="auto"/>
                <w:sz w:val="24"/>
              </w:rPr>
              <w:t>环保投资占比（</w:t>
            </w:r>
            <w:r>
              <w:rPr>
                <w:rFonts w:cs="宋体"/>
                <w:color w:val="auto"/>
                <w:sz w:val="24"/>
              </w:rPr>
              <w:t>%</w:t>
            </w:r>
            <w:r>
              <w:rPr>
                <w:rFonts w:hint="eastAsia" w:cs="宋体"/>
                <w:color w:val="auto"/>
                <w:sz w:val="24"/>
              </w:rPr>
              <w:t>）</w:t>
            </w:r>
          </w:p>
        </w:tc>
        <w:tc>
          <w:tcPr>
            <w:tcW w:w="2148" w:type="dxa"/>
            <w:gridSpan w:val="2"/>
            <w:vAlign w:val="center"/>
          </w:tcPr>
          <w:p w14:paraId="7768061F">
            <w:pPr>
              <w:adjustRightInd w:val="0"/>
              <w:snapToGrid w:val="0"/>
              <w:jc w:val="center"/>
              <w:rPr>
                <w:rFonts w:cs="宋体"/>
                <w:color w:val="auto"/>
                <w:sz w:val="24"/>
              </w:rPr>
            </w:pPr>
            <w:r>
              <w:rPr>
                <w:rFonts w:hint="eastAsia" w:cs="宋体"/>
                <w:color w:val="auto"/>
                <w:sz w:val="24"/>
              </w:rPr>
              <w:t>1.87</w:t>
            </w:r>
          </w:p>
        </w:tc>
        <w:tc>
          <w:tcPr>
            <w:tcW w:w="2069" w:type="dxa"/>
            <w:tcMar>
              <w:top w:w="16" w:type="dxa"/>
              <w:left w:w="16" w:type="dxa"/>
              <w:right w:w="16" w:type="dxa"/>
            </w:tcMar>
            <w:vAlign w:val="center"/>
          </w:tcPr>
          <w:p w14:paraId="0581722C">
            <w:pPr>
              <w:adjustRightInd w:val="0"/>
              <w:snapToGrid w:val="0"/>
              <w:jc w:val="center"/>
              <w:rPr>
                <w:rFonts w:cs="宋体"/>
                <w:color w:val="auto"/>
                <w:sz w:val="24"/>
              </w:rPr>
            </w:pPr>
            <w:r>
              <w:rPr>
                <w:rFonts w:hint="eastAsia" w:cs="宋体"/>
                <w:color w:val="auto"/>
                <w:sz w:val="24"/>
              </w:rPr>
              <w:t>施工工期</w:t>
            </w:r>
          </w:p>
        </w:tc>
        <w:tc>
          <w:tcPr>
            <w:tcW w:w="3366" w:type="dxa"/>
            <w:vAlign w:val="center"/>
          </w:tcPr>
          <w:p w14:paraId="770C64D7">
            <w:pPr>
              <w:adjustRightInd w:val="0"/>
              <w:snapToGrid w:val="0"/>
              <w:jc w:val="center"/>
              <w:rPr>
                <w:rFonts w:cs="宋体"/>
                <w:color w:val="auto"/>
                <w:sz w:val="24"/>
              </w:rPr>
            </w:pPr>
            <w:r>
              <w:rPr>
                <w:rFonts w:hint="eastAsia" w:cs="宋体"/>
                <w:color w:val="auto"/>
                <w:sz w:val="24"/>
              </w:rPr>
              <w:t>1个月</w:t>
            </w:r>
          </w:p>
        </w:tc>
      </w:tr>
      <w:tr w14:paraId="102E77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3" w:type="dxa"/>
            <w:gridSpan w:val="2"/>
            <w:tcMar>
              <w:top w:w="16" w:type="dxa"/>
              <w:left w:w="16" w:type="dxa"/>
              <w:right w:w="16" w:type="dxa"/>
            </w:tcMar>
            <w:vAlign w:val="center"/>
          </w:tcPr>
          <w:p w14:paraId="2FE7610E">
            <w:pPr>
              <w:adjustRightInd w:val="0"/>
              <w:snapToGrid w:val="0"/>
              <w:jc w:val="center"/>
              <w:rPr>
                <w:rFonts w:cs="宋体"/>
                <w:color w:val="auto"/>
                <w:sz w:val="24"/>
              </w:rPr>
            </w:pPr>
            <w:r>
              <w:rPr>
                <w:rFonts w:hint="eastAsia" w:cs="宋体"/>
                <w:color w:val="auto"/>
                <w:sz w:val="24"/>
              </w:rPr>
              <w:t>是否开工建设</w:t>
            </w:r>
          </w:p>
        </w:tc>
        <w:tc>
          <w:tcPr>
            <w:tcW w:w="2148" w:type="dxa"/>
            <w:gridSpan w:val="2"/>
            <w:vAlign w:val="center"/>
          </w:tcPr>
          <w:p w14:paraId="6231396F">
            <w:pPr>
              <w:adjustRightInd w:val="0"/>
              <w:snapToGrid w:val="0"/>
              <w:rPr>
                <w:rFonts w:cs="宋体"/>
                <w:color w:val="auto"/>
                <w:sz w:val="24"/>
              </w:rPr>
            </w:pPr>
            <w:r>
              <w:rPr>
                <w:rFonts w:hint="eastAsia" w:cs="宋体"/>
                <w:color w:val="auto"/>
                <w:sz w:val="24"/>
              </w:rPr>
              <w:sym w:font="Wingdings 2" w:char="00A3"/>
            </w:r>
            <w:r>
              <w:rPr>
                <w:rFonts w:hint="eastAsia" w:cs="宋体"/>
                <w:color w:val="auto"/>
                <w:sz w:val="24"/>
              </w:rPr>
              <w:t>否</w:t>
            </w:r>
          </w:p>
          <w:p w14:paraId="654CEED8">
            <w:pPr>
              <w:adjustRightInd w:val="0"/>
              <w:snapToGrid w:val="0"/>
              <w:rPr>
                <w:rFonts w:cs="宋体"/>
                <w:color w:val="auto"/>
                <w:sz w:val="24"/>
              </w:rPr>
            </w:pPr>
            <w:r>
              <w:rPr>
                <w:rFonts w:hint="eastAsia" w:cs="宋体"/>
                <w:color w:val="auto"/>
                <w:sz w:val="24"/>
              </w:rPr>
              <w:sym w:font="Wingdings 2" w:char="0052"/>
            </w:r>
            <w:r>
              <w:rPr>
                <w:rFonts w:hint="eastAsia" w:cs="宋体"/>
                <w:color w:val="auto"/>
                <w:sz w:val="24"/>
              </w:rPr>
              <w:t>是：</w:t>
            </w:r>
            <w:r>
              <w:rPr>
                <w:rFonts w:hint="eastAsia" w:cs="宋体"/>
                <w:color w:val="auto"/>
                <w:sz w:val="24"/>
                <w:u w:val="single"/>
              </w:rPr>
              <w:t xml:space="preserve">设备已安装，未投入运营。    </w:t>
            </w:r>
          </w:p>
        </w:tc>
        <w:tc>
          <w:tcPr>
            <w:tcW w:w="2069" w:type="dxa"/>
            <w:tcMar>
              <w:top w:w="16" w:type="dxa"/>
              <w:left w:w="16" w:type="dxa"/>
              <w:right w:w="16" w:type="dxa"/>
            </w:tcMar>
            <w:vAlign w:val="center"/>
          </w:tcPr>
          <w:p w14:paraId="6D9B4040">
            <w:pPr>
              <w:adjustRightInd w:val="0"/>
              <w:snapToGrid w:val="0"/>
              <w:jc w:val="center"/>
              <w:rPr>
                <w:rFonts w:cs="宋体"/>
                <w:color w:val="auto"/>
                <w:sz w:val="24"/>
              </w:rPr>
            </w:pPr>
            <w:r>
              <w:rPr>
                <w:rFonts w:hint="eastAsia" w:cs="宋体"/>
                <w:color w:val="auto"/>
                <w:spacing w:val="-6"/>
                <w:sz w:val="24"/>
              </w:rPr>
              <w:t>用地（用海）面积（</w:t>
            </w:r>
            <w:r>
              <w:rPr>
                <w:rFonts w:cs="宋体"/>
                <w:color w:val="auto"/>
                <w:spacing w:val="-6"/>
                <w:sz w:val="24"/>
              </w:rPr>
              <w:t>m</w:t>
            </w:r>
            <w:r>
              <w:rPr>
                <w:rFonts w:cs="宋体"/>
                <w:color w:val="auto"/>
                <w:spacing w:val="-6"/>
                <w:sz w:val="24"/>
                <w:vertAlign w:val="superscript"/>
              </w:rPr>
              <w:t>2</w:t>
            </w:r>
            <w:r>
              <w:rPr>
                <w:rFonts w:hint="eastAsia" w:cs="宋体"/>
                <w:color w:val="auto"/>
                <w:spacing w:val="-6"/>
                <w:sz w:val="24"/>
              </w:rPr>
              <w:t>）</w:t>
            </w:r>
          </w:p>
        </w:tc>
        <w:tc>
          <w:tcPr>
            <w:tcW w:w="3366" w:type="dxa"/>
            <w:vAlign w:val="center"/>
          </w:tcPr>
          <w:p w14:paraId="55481189">
            <w:pPr>
              <w:adjustRightInd w:val="0"/>
              <w:snapToGrid w:val="0"/>
              <w:jc w:val="center"/>
              <w:rPr>
                <w:rFonts w:cs="宋体"/>
                <w:color w:val="auto"/>
                <w:sz w:val="24"/>
              </w:rPr>
            </w:pPr>
            <w:r>
              <w:rPr>
                <w:rFonts w:hint="eastAsia" w:cs="宋体"/>
                <w:color w:val="auto"/>
                <w:sz w:val="24"/>
              </w:rPr>
              <w:t>4000</w:t>
            </w:r>
          </w:p>
        </w:tc>
      </w:tr>
      <w:tr w14:paraId="5819AE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932" w:type="dxa"/>
            <w:vAlign w:val="center"/>
          </w:tcPr>
          <w:p w14:paraId="34AC38EF">
            <w:pPr>
              <w:autoSpaceDE w:val="0"/>
              <w:autoSpaceDN w:val="0"/>
              <w:adjustRightInd w:val="0"/>
              <w:snapToGrid w:val="0"/>
              <w:jc w:val="center"/>
              <w:rPr>
                <w:rFonts w:cs="宋体"/>
                <w:color w:val="auto"/>
                <w:kern w:val="0"/>
                <w:sz w:val="24"/>
              </w:rPr>
            </w:pPr>
            <w:r>
              <w:rPr>
                <w:rFonts w:hint="eastAsia" w:cs="宋体"/>
                <w:color w:val="auto"/>
                <w:kern w:val="0"/>
                <w:sz w:val="24"/>
              </w:rPr>
              <w:t>专项评价设置情况</w:t>
            </w:r>
          </w:p>
        </w:tc>
        <w:tc>
          <w:tcPr>
            <w:tcW w:w="7994" w:type="dxa"/>
            <w:gridSpan w:val="5"/>
            <w:vAlign w:val="center"/>
          </w:tcPr>
          <w:p w14:paraId="6135B080">
            <w:pPr>
              <w:autoSpaceDE w:val="0"/>
              <w:autoSpaceDN w:val="0"/>
              <w:adjustRightInd w:val="0"/>
              <w:snapToGrid w:val="0"/>
              <w:spacing w:line="360" w:lineRule="auto"/>
              <w:ind w:firstLine="480" w:firstLineChars="200"/>
              <w:rPr>
                <w:color w:val="auto"/>
                <w:kern w:val="0"/>
                <w:sz w:val="24"/>
              </w:rPr>
            </w:pPr>
            <w:r>
              <w:rPr>
                <w:rFonts w:hint="eastAsia"/>
                <w:color w:val="auto"/>
                <w:kern w:val="0"/>
                <w:sz w:val="24"/>
              </w:rPr>
              <w:t>项目专项评价判定表如下：</w:t>
            </w:r>
          </w:p>
          <w:p w14:paraId="42F0A30A">
            <w:pPr>
              <w:autoSpaceDE w:val="0"/>
              <w:autoSpaceDN w:val="0"/>
              <w:adjustRightInd w:val="0"/>
              <w:snapToGrid w:val="0"/>
              <w:jc w:val="center"/>
              <w:rPr>
                <w:color w:val="auto"/>
                <w:kern w:val="0"/>
                <w:szCs w:val="21"/>
              </w:rPr>
            </w:pPr>
            <w:r>
              <w:rPr>
                <w:b/>
                <w:bCs/>
                <w:color w:val="auto"/>
                <w:kern w:val="0"/>
                <w:szCs w:val="21"/>
              </w:rPr>
              <w:t>表1-1 项目专项评价判定表</w:t>
            </w:r>
          </w:p>
          <w:tbl>
            <w:tblPr>
              <w:tblStyle w:val="31"/>
              <w:tblW w:w="7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3235"/>
              <w:gridCol w:w="2736"/>
              <w:gridCol w:w="1036"/>
            </w:tblGrid>
            <w:tr w14:paraId="2ED79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14:paraId="10179CC2">
                  <w:pPr>
                    <w:autoSpaceDE w:val="0"/>
                    <w:autoSpaceDN w:val="0"/>
                    <w:adjustRightInd w:val="0"/>
                    <w:snapToGrid w:val="0"/>
                    <w:jc w:val="center"/>
                    <w:rPr>
                      <w:b/>
                      <w:bCs/>
                      <w:color w:val="auto"/>
                      <w:kern w:val="0"/>
                      <w:szCs w:val="21"/>
                    </w:rPr>
                  </w:pPr>
                  <w:r>
                    <w:rPr>
                      <w:b/>
                      <w:bCs/>
                      <w:color w:val="auto"/>
                      <w:kern w:val="0"/>
                      <w:szCs w:val="21"/>
                    </w:rPr>
                    <w:t>专项评价类比</w:t>
                  </w:r>
                </w:p>
              </w:tc>
              <w:tc>
                <w:tcPr>
                  <w:tcW w:w="3235" w:type="dxa"/>
                  <w:vAlign w:val="center"/>
                </w:tcPr>
                <w:p w14:paraId="3835035B">
                  <w:pPr>
                    <w:autoSpaceDE w:val="0"/>
                    <w:autoSpaceDN w:val="0"/>
                    <w:adjustRightInd w:val="0"/>
                    <w:snapToGrid w:val="0"/>
                    <w:jc w:val="center"/>
                    <w:rPr>
                      <w:b/>
                      <w:bCs/>
                      <w:color w:val="auto"/>
                      <w:kern w:val="0"/>
                      <w:szCs w:val="21"/>
                    </w:rPr>
                  </w:pPr>
                  <w:r>
                    <w:rPr>
                      <w:b/>
                      <w:bCs/>
                      <w:color w:val="auto"/>
                      <w:kern w:val="0"/>
                      <w:szCs w:val="21"/>
                    </w:rPr>
                    <w:t>设置原则</w:t>
                  </w:r>
                </w:p>
              </w:tc>
              <w:tc>
                <w:tcPr>
                  <w:tcW w:w="2736" w:type="dxa"/>
                  <w:vAlign w:val="center"/>
                </w:tcPr>
                <w:p w14:paraId="4FAB7CF4">
                  <w:pPr>
                    <w:autoSpaceDE w:val="0"/>
                    <w:autoSpaceDN w:val="0"/>
                    <w:adjustRightInd w:val="0"/>
                    <w:snapToGrid w:val="0"/>
                    <w:jc w:val="center"/>
                    <w:rPr>
                      <w:b/>
                      <w:bCs/>
                      <w:color w:val="auto"/>
                      <w:kern w:val="0"/>
                      <w:szCs w:val="21"/>
                    </w:rPr>
                  </w:pPr>
                  <w:r>
                    <w:rPr>
                      <w:b/>
                      <w:bCs/>
                      <w:color w:val="auto"/>
                      <w:kern w:val="0"/>
                      <w:szCs w:val="21"/>
                    </w:rPr>
                    <w:t>本项目情况</w:t>
                  </w:r>
                </w:p>
              </w:tc>
              <w:tc>
                <w:tcPr>
                  <w:tcW w:w="1036" w:type="dxa"/>
                  <w:vAlign w:val="center"/>
                </w:tcPr>
                <w:p w14:paraId="47B3CBF1">
                  <w:pPr>
                    <w:autoSpaceDE w:val="0"/>
                    <w:autoSpaceDN w:val="0"/>
                    <w:adjustRightInd w:val="0"/>
                    <w:snapToGrid w:val="0"/>
                    <w:jc w:val="center"/>
                    <w:rPr>
                      <w:b/>
                      <w:bCs/>
                      <w:color w:val="auto"/>
                      <w:kern w:val="0"/>
                      <w:szCs w:val="21"/>
                    </w:rPr>
                  </w:pPr>
                  <w:r>
                    <w:rPr>
                      <w:b/>
                      <w:bCs/>
                      <w:color w:val="auto"/>
                      <w:kern w:val="0"/>
                      <w:szCs w:val="21"/>
                    </w:rPr>
                    <w:t>是否设置专项评价</w:t>
                  </w:r>
                </w:p>
              </w:tc>
            </w:tr>
            <w:tr w14:paraId="02002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14:paraId="5635B5A8">
                  <w:pPr>
                    <w:tabs>
                      <w:tab w:val="left" w:pos="3255"/>
                    </w:tabs>
                    <w:jc w:val="center"/>
                    <w:rPr>
                      <w:color w:val="auto"/>
                      <w:szCs w:val="21"/>
                    </w:rPr>
                  </w:pPr>
                  <w:r>
                    <w:rPr>
                      <w:color w:val="auto"/>
                      <w:szCs w:val="21"/>
                    </w:rPr>
                    <w:t>大气</w:t>
                  </w:r>
                </w:p>
              </w:tc>
              <w:tc>
                <w:tcPr>
                  <w:tcW w:w="3235" w:type="dxa"/>
                  <w:vAlign w:val="center"/>
                </w:tcPr>
                <w:p w14:paraId="10506DD8">
                  <w:pPr>
                    <w:autoSpaceDE w:val="0"/>
                    <w:autoSpaceDN w:val="0"/>
                    <w:adjustRightInd w:val="0"/>
                    <w:snapToGrid w:val="0"/>
                    <w:jc w:val="center"/>
                    <w:rPr>
                      <w:color w:val="auto"/>
                      <w:szCs w:val="21"/>
                    </w:rPr>
                  </w:pPr>
                  <w:r>
                    <w:rPr>
                      <w:color w:val="auto"/>
                      <w:kern w:val="0"/>
                      <w:szCs w:val="21"/>
                    </w:rPr>
                    <w:t xml:space="preserve">排放废气含有毒有害污染物 </w:t>
                  </w:r>
                  <w:r>
                    <w:rPr>
                      <w:color w:val="auto"/>
                      <w:kern w:val="0"/>
                      <w:szCs w:val="21"/>
                      <w:vertAlign w:val="superscript"/>
                    </w:rPr>
                    <w:t>1</w:t>
                  </w:r>
                  <w:r>
                    <w:rPr>
                      <w:color w:val="auto"/>
                      <w:kern w:val="0"/>
                      <w:szCs w:val="21"/>
                    </w:rPr>
                    <w:t>、二噁英、苯并[a]芘、氰化物、氯气且厂界500m范围内有环境空气保护目标</w:t>
                  </w:r>
                  <w:r>
                    <w:rPr>
                      <w:color w:val="auto"/>
                      <w:kern w:val="0"/>
                      <w:szCs w:val="21"/>
                      <w:vertAlign w:val="superscript"/>
                    </w:rPr>
                    <w:t>2</w:t>
                  </w:r>
                  <w:r>
                    <w:rPr>
                      <w:color w:val="auto"/>
                      <w:kern w:val="0"/>
                      <w:szCs w:val="21"/>
                    </w:rPr>
                    <w:t>的建设项目。</w:t>
                  </w:r>
                </w:p>
              </w:tc>
              <w:tc>
                <w:tcPr>
                  <w:tcW w:w="2736" w:type="dxa"/>
                  <w:vAlign w:val="center"/>
                </w:tcPr>
                <w:p w14:paraId="57CF165B">
                  <w:pPr>
                    <w:autoSpaceDE w:val="0"/>
                    <w:autoSpaceDN w:val="0"/>
                    <w:adjustRightInd w:val="0"/>
                    <w:snapToGrid w:val="0"/>
                    <w:jc w:val="center"/>
                    <w:rPr>
                      <w:color w:val="auto"/>
                      <w:kern w:val="0"/>
                      <w:szCs w:val="21"/>
                    </w:rPr>
                  </w:pPr>
                  <w:r>
                    <w:rPr>
                      <w:color w:val="auto"/>
                      <w:kern w:val="0"/>
                      <w:szCs w:val="21"/>
                    </w:rPr>
                    <w:t>项目</w:t>
                  </w:r>
                  <w:r>
                    <w:rPr>
                      <w:rFonts w:hint="eastAsia"/>
                      <w:color w:val="auto"/>
                      <w:kern w:val="0"/>
                      <w:szCs w:val="21"/>
                    </w:rPr>
                    <w:t>废气涉及甲醛，甲醛属于</w:t>
                  </w:r>
                  <w:r>
                    <w:rPr>
                      <w:color w:val="auto"/>
                      <w:kern w:val="0"/>
                      <w:szCs w:val="21"/>
                    </w:rPr>
                    <w:t>有毒有害污染物</w:t>
                  </w:r>
                  <w:r>
                    <w:rPr>
                      <w:rFonts w:hint="eastAsia"/>
                      <w:color w:val="auto"/>
                      <w:kern w:val="0"/>
                      <w:szCs w:val="21"/>
                    </w:rPr>
                    <w:t>，但项目周边500m范围内无环境空气保护目标</w:t>
                  </w:r>
                  <w:r>
                    <w:rPr>
                      <w:color w:val="auto"/>
                      <w:kern w:val="0"/>
                      <w:szCs w:val="21"/>
                    </w:rPr>
                    <w:t>。</w:t>
                  </w:r>
                </w:p>
              </w:tc>
              <w:tc>
                <w:tcPr>
                  <w:tcW w:w="1036" w:type="dxa"/>
                  <w:vAlign w:val="center"/>
                </w:tcPr>
                <w:p w14:paraId="15350362">
                  <w:pPr>
                    <w:autoSpaceDE w:val="0"/>
                    <w:autoSpaceDN w:val="0"/>
                    <w:adjustRightInd w:val="0"/>
                    <w:snapToGrid w:val="0"/>
                    <w:jc w:val="center"/>
                    <w:rPr>
                      <w:color w:val="auto"/>
                      <w:kern w:val="0"/>
                      <w:szCs w:val="21"/>
                    </w:rPr>
                  </w:pPr>
                  <w:r>
                    <w:rPr>
                      <w:rFonts w:hint="eastAsia"/>
                      <w:color w:val="auto"/>
                      <w:kern w:val="0"/>
                      <w:szCs w:val="21"/>
                    </w:rPr>
                    <w:t>否</w:t>
                  </w:r>
                </w:p>
              </w:tc>
            </w:tr>
            <w:tr w14:paraId="6521A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14:paraId="3AF7AAC3">
                  <w:pPr>
                    <w:autoSpaceDE w:val="0"/>
                    <w:autoSpaceDN w:val="0"/>
                    <w:adjustRightInd w:val="0"/>
                    <w:snapToGrid w:val="0"/>
                    <w:jc w:val="center"/>
                    <w:rPr>
                      <w:color w:val="auto"/>
                      <w:kern w:val="0"/>
                      <w:szCs w:val="21"/>
                    </w:rPr>
                  </w:pPr>
                  <w:r>
                    <w:rPr>
                      <w:color w:val="auto"/>
                      <w:kern w:val="0"/>
                      <w:szCs w:val="21"/>
                    </w:rPr>
                    <w:t>地表水</w:t>
                  </w:r>
                </w:p>
              </w:tc>
              <w:tc>
                <w:tcPr>
                  <w:tcW w:w="3235" w:type="dxa"/>
                  <w:vAlign w:val="center"/>
                </w:tcPr>
                <w:p w14:paraId="101FE2B3">
                  <w:pPr>
                    <w:autoSpaceDE w:val="0"/>
                    <w:autoSpaceDN w:val="0"/>
                    <w:adjustRightInd w:val="0"/>
                    <w:snapToGrid w:val="0"/>
                    <w:jc w:val="center"/>
                    <w:rPr>
                      <w:color w:val="auto"/>
                      <w:kern w:val="0"/>
                      <w:szCs w:val="21"/>
                    </w:rPr>
                  </w:pPr>
                  <w:r>
                    <w:rPr>
                      <w:color w:val="auto"/>
                      <w:kern w:val="0"/>
                      <w:szCs w:val="21"/>
                    </w:rPr>
                    <w:t>新增工业废水直排建设项目（槽罐车外送污水处理厂的除外）；新增废水直排的污水集中处理厂。</w:t>
                  </w:r>
                </w:p>
              </w:tc>
              <w:tc>
                <w:tcPr>
                  <w:tcW w:w="2736" w:type="dxa"/>
                  <w:vAlign w:val="center"/>
                </w:tcPr>
                <w:p w14:paraId="35CDD133">
                  <w:pPr>
                    <w:autoSpaceDE w:val="0"/>
                    <w:autoSpaceDN w:val="0"/>
                    <w:adjustRightInd w:val="0"/>
                    <w:snapToGrid w:val="0"/>
                    <w:jc w:val="center"/>
                    <w:rPr>
                      <w:color w:val="auto"/>
                      <w:kern w:val="0"/>
                      <w:szCs w:val="21"/>
                    </w:rPr>
                  </w:pPr>
                  <w:r>
                    <w:rPr>
                      <w:rFonts w:hint="eastAsia"/>
                      <w:color w:val="auto"/>
                      <w:kern w:val="0"/>
                      <w:szCs w:val="21"/>
                    </w:rPr>
                    <w:t>项目生活污水经处理达标后回用于绿化，不外排。项目无生产废水</w:t>
                  </w:r>
                  <w:r>
                    <w:rPr>
                      <w:color w:val="auto"/>
                      <w:kern w:val="0"/>
                      <w:szCs w:val="21"/>
                    </w:rPr>
                    <w:t>。</w:t>
                  </w:r>
                </w:p>
              </w:tc>
              <w:tc>
                <w:tcPr>
                  <w:tcW w:w="1036" w:type="dxa"/>
                  <w:vAlign w:val="center"/>
                </w:tcPr>
                <w:p w14:paraId="624BE779">
                  <w:pPr>
                    <w:autoSpaceDE w:val="0"/>
                    <w:autoSpaceDN w:val="0"/>
                    <w:adjustRightInd w:val="0"/>
                    <w:snapToGrid w:val="0"/>
                    <w:jc w:val="center"/>
                    <w:rPr>
                      <w:color w:val="auto"/>
                      <w:kern w:val="0"/>
                      <w:szCs w:val="21"/>
                    </w:rPr>
                  </w:pPr>
                  <w:r>
                    <w:rPr>
                      <w:color w:val="auto"/>
                      <w:kern w:val="0"/>
                      <w:szCs w:val="21"/>
                    </w:rPr>
                    <w:t>否</w:t>
                  </w:r>
                </w:p>
              </w:tc>
            </w:tr>
            <w:tr w14:paraId="35FC6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14:paraId="53BE0996">
                  <w:pPr>
                    <w:autoSpaceDE w:val="0"/>
                    <w:autoSpaceDN w:val="0"/>
                    <w:adjustRightInd w:val="0"/>
                    <w:snapToGrid w:val="0"/>
                    <w:jc w:val="center"/>
                    <w:rPr>
                      <w:color w:val="auto"/>
                      <w:kern w:val="0"/>
                      <w:szCs w:val="21"/>
                    </w:rPr>
                  </w:pPr>
                  <w:r>
                    <w:rPr>
                      <w:color w:val="auto"/>
                      <w:kern w:val="0"/>
                      <w:szCs w:val="21"/>
                    </w:rPr>
                    <w:t>环境风险</w:t>
                  </w:r>
                </w:p>
              </w:tc>
              <w:tc>
                <w:tcPr>
                  <w:tcW w:w="3235" w:type="dxa"/>
                  <w:vAlign w:val="center"/>
                </w:tcPr>
                <w:p w14:paraId="6D2D916B">
                  <w:pPr>
                    <w:autoSpaceDE w:val="0"/>
                    <w:autoSpaceDN w:val="0"/>
                    <w:adjustRightInd w:val="0"/>
                    <w:snapToGrid w:val="0"/>
                    <w:jc w:val="center"/>
                    <w:rPr>
                      <w:color w:val="auto"/>
                      <w:kern w:val="0"/>
                      <w:szCs w:val="21"/>
                    </w:rPr>
                  </w:pPr>
                  <w:r>
                    <w:rPr>
                      <w:color w:val="auto"/>
                      <w:kern w:val="0"/>
                      <w:szCs w:val="21"/>
                    </w:rPr>
                    <w:t>有毒有害和易燃易爆危险物质存储量超过临界量</w:t>
                  </w:r>
                  <w:r>
                    <w:rPr>
                      <w:color w:val="auto"/>
                      <w:kern w:val="0"/>
                      <w:szCs w:val="21"/>
                      <w:vertAlign w:val="superscript"/>
                    </w:rPr>
                    <w:t>3</w:t>
                  </w:r>
                  <w:r>
                    <w:rPr>
                      <w:color w:val="auto"/>
                      <w:kern w:val="0"/>
                      <w:szCs w:val="21"/>
                    </w:rPr>
                    <w:t>的建设项目。</w:t>
                  </w:r>
                </w:p>
              </w:tc>
              <w:tc>
                <w:tcPr>
                  <w:tcW w:w="2736" w:type="dxa"/>
                  <w:vAlign w:val="center"/>
                </w:tcPr>
                <w:p w14:paraId="4B6196E9">
                  <w:pPr>
                    <w:autoSpaceDE w:val="0"/>
                    <w:autoSpaceDN w:val="0"/>
                    <w:adjustRightInd w:val="0"/>
                    <w:snapToGrid w:val="0"/>
                    <w:jc w:val="center"/>
                    <w:rPr>
                      <w:color w:val="auto"/>
                      <w:kern w:val="0"/>
                      <w:szCs w:val="21"/>
                    </w:rPr>
                  </w:pPr>
                  <w:r>
                    <w:rPr>
                      <w:color w:val="auto"/>
                      <w:kern w:val="0"/>
                      <w:szCs w:val="21"/>
                    </w:rPr>
                    <w:t>项目涉</w:t>
                  </w:r>
                  <w:r>
                    <w:rPr>
                      <w:rFonts w:hint="eastAsia"/>
                      <w:color w:val="auto"/>
                      <w:kern w:val="0"/>
                      <w:szCs w:val="21"/>
                    </w:rPr>
                    <w:t>及</w:t>
                  </w:r>
                  <w:r>
                    <w:rPr>
                      <w:color w:val="auto"/>
                      <w:kern w:val="0"/>
                      <w:szCs w:val="21"/>
                    </w:rPr>
                    <w:t>有毒有害和易燃易爆危险物质</w:t>
                  </w:r>
                  <w:r>
                    <w:rPr>
                      <w:rFonts w:hint="eastAsia"/>
                      <w:color w:val="auto"/>
                      <w:kern w:val="0"/>
                      <w:szCs w:val="21"/>
                    </w:rPr>
                    <w:t>暂存量与临界量</w:t>
                  </w:r>
                  <w:r>
                    <w:rPr>
                      <w:rFonts w:hint="eastAsia"/>
                      <w:color w:val="auto"/>
                    </w:rPr>
                    <w:t>未超过临界量</w:t>
                  </w:r>
                  <w:r>
                    <w:rPr>
                      <w:color w:val="auto"/>
                      <w:kern w:val="0"/>
                      <w:szCs w:val="21"/>
                    </w:rPr>
                    <w:t>。</w:t>
                  </w:r>
                </w:p>
              </w:tc>
              <w:tc>
                <w:tcPr>
                  <w:tcW w:w="1036" w:type="dxa"/>
                  <w:vAlign w:val="center"/>
                </w:tcPr>
                <w:p w14:paraId="268BE153">
                  <w:pPr>
                    <w:autoSpaceDE w:val="0"/>
                    <w:autoSpaceDN w:val="0"/>
                    <w:adjustRightInd w:val="0"/>
                    <w:snapToGrid w:val="0"/>
                    <w:jc w:val="center"/>
                    <w:rPr>
                      <w:color w:val="auto"/>
                      <w:kern w:val="0"/>
                      <w:szCs w:val="21"/>
                    </w:rPr>
                  </w:pPr>
                  <w:r>
                    <w:rPr>
                      <w:color w:val="auto"/>
                      <w:kern w:val="0"/>
                      <w:szCs w:val="21"/>
                    </w:rPr>
                    <w:t>否</w:t>
                  </w:r>
                </w:p>
              </w:tc>
            </w:tr>
            <w:tr w14:paraId="52B9D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14:paraId="65A46910">
                  <w:pPr>
                    <w:autoSpaceDE w:val="0"/>
                    <w:autoSpaceDN w:val="0"/>
                    <w:adjustRightInd w:val="0"/>
                    <w:snapToGrid w:val="0"/>
                    <w:jc w:val="center"/>
                    <w:rPr>
                      <w:color w:val="auto"/>
                      <w:kern w:val="0"/>
                      <w:szCs w:val="21"/>
                    </w:rPr>
                  </w:pPr>
                  <w:r>
                    <w:rPr>
                      <w:color w:val="auto"/>
                      <w:kern w:val="0"/>
                      <w:szCs w:val="21"/>
                    </w:rPr>
                    <w:t>生态</w:t>
                  </w:r>
                </w:p>
              </w:tc>
              <w:tc>
                <w:tcPr>
                  <w:tcW w:w="3235" w:type="dxa"/>
                  <w:vAlign w:val="center"/>
                </w:tcPr>
                <w:p w14:paraId="39D31877">
                  <w:pPr>
                    <w:autoSpaceDE w:val="0"/>
                    <w:autoSpaceDN w:val="0"/>
                    <w:adjustRightInd w:val="0"/>
                    <w:snapToGrid w:val="0"/>
                    <w:jc w:val="center"/>
                    <w:rPr>
                      <w:color w:val="auto"/>
                      <w:kern w:val="0"/>
                      <w:szCs w:val="21"/>
                    </w:rPr>
                  </w:pPr>
                  <w:r>
                    <w:rPr>
                      <w:color w:val="auto"/>
                      <w:kern w:val="0"/>
                      <w:szCs w:val="21"/>
                    </w:rPr>
                    <w:t>取水口下游500米范围内有重要水生生物的自然产卵场、索饵场、越冬场和洄游通道的新增河道取水的污染类建设项目。</w:t>
                  </w:r>
                </w:p>
              </w:tc>
              <w:tc>
                <w:tcPr>
                  <w:tcW w:w="2736" w:type="dxa"/>
                  <w:vAlign w:val="center"/>
                </w:tcPr>
                <w:p w14:paraId="09470E33">
                  <w:pPr>
                    <w:autoSpaceDE w:val="0"/>
                    <w:autoSpaceDN w:val="0"/>
                    <w:adjustRightInd w:val="0"/>
                    <w:snapToGrid w:val="0"/>
                    <w:jc w:val="center"/>
                    <w:rPr>
                      <w:color w:val="auto"/>
                      <w:kern w:val="0"/>
                      <w:szCs w:val="21"/>
                    </w:rPr>
                  </w:pPr>
                  <w:r>
                    <w:rPr>
                      <w:rFonts w:hint="eastAsia"/>
                      <w:color w:val="auto"/>
                      <w:kern w:val="0"/>
                      <w:szCs w:val="21"/>
                    </w:rPr>
                    <w:t>项目不设取水口</w:t>
                  </w:r>
                  <w:r>
                    <w:rPr>
                      <w:color w:val="auto"/>
                      <w:kern w:val="0"/>
                      <w:szCs w:val="21"/>
                    </w:rPr>
                    <w:t>。</w:t>
                  </w:r>
                </w:p>
              </w:tc>
              <w:tc>
                <w:tcPr>
                  <w:tcW w:w="1036" w:type="dxa"/>
                  <w:vAlign w:val="center"/>
                </w:tcPr>
                <w:p w14:paraId="4231A4C1">
                  <w:pPr>
                    <w:autoSpaceDE w:val="0"/>
                    <w:autoSpaceDN w:val="0"/>
                    <w:adjustRightInd w:val="0"/>
                    <w:snapToGrid w:val="0"/>
                    <w:jc w:val="center"/>
                    <w:rPr>
                      <w:color w:val="auto"/>
                      <w:kern w:val="0"/>
                      <w:szCs w:val="21"/>
                    </w:rPr>
                  </w:pPr>
                  <w:r>
                    <w:rPr>
                      <w:color w:val="auto"/>
                      <w:kern w:val="0"/>
                      <w:szCs w:val="21"/>
                    </w:rPr>
                    <w:t>否</w:t>
                  </w:r>
                </w:p>
              </w:tc>
            </w:tr>
            <w:tr w14:paraId="63D2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14:paraId="693F5B5C">
                  <w:pPr>
                    <w:autoSpaceDE w:val="0"/>
                    <w:autoSpaceDN w:val="0"/>
                    <w:adjustRightInd w:val="0"/>
                    <w:snapToGrid w:val="0"/>
                    <w:jc w:val="center"/>
                    <w:rPr>
                      <w:color w:val="auto"/>
                      <w:kern w:val="0"/>
                      <w:szCs w:val="21"/>
                    </w:rPr>
                  </w:pPr>
                  <w:r>
                    <w:rPr>
                      <w:color w:val="auto"/>
                      <w:kern w:val="0"/>
                      <w:szCs w:val="21"/>
                    </w:rPr>
                    <w:t>海洋</w:t>
                  </w:r>
                </w:p>
              </w:tc>
              <w:tc>
                <w:tcPr>
                  <w:tcW w:w="3235" w:type="dxa"/>
                  <w:vAlign w:val="center"/>
                </w:tcPr>
                <w:p w14:paraId="7AC76D8F">
                  <w:pPr>
                    <w:autoSpaceDE w:val="0"/>
                    <w:autoSpaceDN w:val="0"/>
                    <w:adjustRightInd w:val="0"/>
                    <w:snapToGrid w:val="0"/>
                    <w:jc w:val="center"/>
                    <w:rPr>
                      <w:color w:val="auto"/>
                      <w:kern w:val="0"/>
                      <w:szCs w:val="21"/>
                    </w:rPr>
                  </w:pPr>
                  <w:r>
                    <w:rPr>
                      <w:color w:val="auto"/>
                      <w:kern w:val="0"/>
                      <w:szCs w:val="21"/>
                    </w:rPr>
                    <w:t>直接向海排放污染物的海洋工程建设项目。</w:t>
                  </w:r>
                </w:p>
              </w:tc>
              <w:tc>
                <w:tcPr>
                  <w:tcW w:w="2736" w:type="dxa"/>
                  <w:vAlign w:val="center"/>
                </w:tcPr>
                <w:p w14:paraId="63EF271A">
                  <w:pPr>
                    <w:autoSpaceDE w:val="0"/>
                    <w:autoSpaceDN w:val="0"/>
                    <w:adjustRightInd w:val="0"/>
                    <w:snapToGrid w:val="0"/>
                    <w:jc w:val="center"/>
                    <w:rPr>
                      <w:color w:val="auto"/>
                      <w:kern w:val="0"/>
                      <w:szCs w:val="21"/>
                    </w:rPr>
                  </w:pPr>
                  <w:r>
                    <w:rPr>
                      <w:color w:val="auto"/>
                      <w:kern w:val="0"/>
                      <w:szCs w:val="21"/>
                    </w:rPr>
                    <w:t>项目</w:t>
                  </w:r>
                  <w:r>
                    <w:rPr>
                      <w:rFonts w:hint="eastAsia"/>
                      <w:color w:val="auto"/>
                      <w:kern w:val="0"/>
                      <w:szCs w:val="21"/>
                    </w:rPr>
                    <w:t>不属于</w:t>
                  </w:r>
                  <w:r>
                    <w:rPr>
                      <w:color w:val="auto"/>
                      <w:kern w:val="0"/>
                      <w:szCs w:val="21"/>
                    </w:rPr>
                    <w:t>海洋工程建设项目</w:t>
                  </w:r>
                  <w:r>
                    <w:rPr>
                      <w:rFonts w:hint="eastAsia"/>
                      <w:color w:val="auto"/>
                      <w:kern w:val="0"/>
                      <w:szCs w:val="21"/>
                    </w:rPr>
                    <w:t>，</w:t>
                  </w:r>
                  <w:r>
                    <w:rPr>
                      <w:color w:val="auto"/>
                      <w:kern w:val="0"/>
                      <w:szCs w:val="21"/>
                    </w:rPr>
                    <w:t>不向海洋排放污染物。</w:t>
                  </w:r>
                </w:p>
              </w:tc>
              <w:tc>
                <w:tcPr>
                  <w:tcW w:w="1036" w:type="dxa"/>
                  <w:vAlign w:val="center"/>
                </w:tcPr>
                <w:p w14:paraId="7741F39E">
                  <w:pPr>
                    <w:autoSpaceDE w:val="0"/>
                    <w:autoSpaceDN w:val="0"/>
                    <w:adjustRightInd w:val="0"/>
                    <w:snapToGrid w:val="0"/>
                    <w:jc w:val="center"/>
                    <w:rPr>
                      <w:color w:val="auto"/>
                      <w:kern w:val="0"/>
                      <w:szCs w:val="21"/>
                    </w:rPr>
                  </w:pPr>
                  <w:r>
                    <w:rPr>
                      <w:color w:val="auto"/>
                      <w:kern w:val="0"/>
                      <w:szCs w:val="21"/>
                    </w:rPr>
                    <w:t>否</w:t>
                  </w:r>
                </w:p>
              </w:tc>
            </w:tr>
            <w:tr w14:paraId="3016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5" w:type="dxa"/>
                  <w:gridSpan w:val="4"/>
                  <w:vAlign w:val="center"/>
                </w:tcPr>
                <w:p w14:paraId="672AA9D5">
                  <w:pPr>
                    <w:autoSpaceDE w:val="0"/>
                    <w:autoSpaceDN w:val="0"/>
                    <w:adjustRightInd w:val="0"/>
                    <w:snapToGrid w:val="0"/>
                    <w:rPr>
                      <w:color w:val="auto"/>
                      <w:kern w:val="0"/>
                      <w:szCs w:val="21"/>
                    </w:rPr>
                  </w:pPr>
                  <w:r>
                    <w:rPr>
                      <w:color w:val="auto"/>
                      <w:kern w:val="0"/>
                      <w:szCs w:val="21"/>
                    </w:rPr>
                    <w:t>注：1.废气中有毒有害污染物指纳入《有毒有害大气污染物名录》的污染物（不包括无排放标准的污染物）。</w:t>
                  </w:r>
                </w:p>
                <w:p w14:paraId="68286D43">
                  <w:pPr>
                    <w:autoSpaceDE w:val="0"/>
                    <w:autoSpaceDN w:val="0"/>
                    <w:adjustRightInd w:val="0"/>
                    <w:snapToGrid w:val="0"/>
                    <w:rPr>
                      <w:color w:val="auto"/>
                      <w:kern w:val="0"/>
                      <w:szCs w:val="21"/>
                    </w:rPr>
                  </w:pPr>
                  <w:r>
                    <w:rPr>
                      <w:color w:val="auto"/>
                      <w:kern w:val="0"/>
                      <w:szCs w:val="21"/>
                    </w:rPr>
                    <w:t>2.环境空气保护目标指自然保护区、风景名胜区、居住区、文化区和农村地区中人群较集中的区域。</w:t>
                  </w:r>
                </w:p>
                <w:p w14:paraId="0CB5C380">
                  <w:pPr>
                    <w:autoSpaceDE w:val="0"/>
                    <w:autoSpaceDN w:val="0"/>
                    <w:adjustRightInd w:val="0"/>
                    <w:snapToGrid w:val="0"/>
                    <w:rPr>
                      <w:color w:val="auto"/>
                      <w:kern w:val="0"/>
                      <w:szCs w:val="21"/>
                    </w:rPr>
                  </w:pPr>
                  <w:r>
                    <w:rPr>
                      <w:color w:val="auto"/>
                      <w:kern w:val="0"/>
                      <w:szCs w:val="21"/>
                    </w:rPr>
                    <w:t>3.临界量</w:t>
                  </w:r>
                  <w:r>
                    <w:rPr>
                      <w:rFonts w:hint="eastAsia"/>
                      <w:color w:val="auto"/>
                      <w:kern w:val="0"/>
                      <w:szCs w:val="21"/>
                    </w:rPr>
                    <w:t>及</w:t>
                  </w:r>
                  <w:r>
                    <w:rPr>
                      <w:color w:val="auto"/>
                      <w:kern w:val="0"/>
                      <w:szCs w:val="21"/>
                    </w:rPr>
                    <w:t>其计算方法可参考《建设项目环境风险评价技术导则》（HJ 169）附录B、附录C.。</w:t>
                  </w:r>
                </w:p>
              </w:tc>
            </w:tr>
          </w:tbl>
          <w:p w14:paraId="3F6C7C5E">
            <w:pPr>
              <w:adjustRightInd w:val="0"/>
              <w:snapToGrid w:val="0"/>
              <w:spacing w:line="360" w:lineRule="auto"/>
              <w:ind w:firstLine="480" w:firstLineChars="200"/>
              <w:rPr>
                <w:rFonts w:cs="宋体"/>
                <w:color w:val="auto"/>
                <w:kern w:val="0"/>
                <w:sz w:val="24"/>
              </w:rPr>
            </w:pPr>
            <w:r>
              <w:rPr>
                <w:color w:val="auto"/>
                <w:kern w:val="0"/>
                <w:sz w:val="24"/>
              </w:rPr>
              <w:t>由上表可知，</w:t>
            </w:r>
            <w:r>
              <w:rPr>
                <w:rFonts w:hint="eastAsia"/>
                <w:color w:val="auto"/>
                <w:kern w:val="0"/>
                <w:sz w:val="24"/>
              </w:rPr>
              <w:t>本</w:t>
            </w:r>
            <w:r>
              <w:rPr>
                <w:color w:val="auto"/>
                <w:kern w:val="0"/>
                <w:sz w:val="24"/>
              </w:rPr>
              <w:t>项目</w:t>
            </w:r>
            <w:r>
              <w:rPr>
                <w:rFonts w:hint="eastAsia"/>
                <w:color w:val="auto"/>
                <w:kern w:val="0"/>
                <w:sz w:val="24"/>
              </w:rPr>
              <w:t>无需</w:t>
            </w:r>
            <w:r>
              <w:rPr>
                <w:color w:val="auto"/>
                <w:kern w:val="0"/>
                <w:sz w:val="24"/>
              </w:rPr>
              <w:t>设置专项评价</w:t>
            </w:r>
            <w:r>
              <w:rPr>
                <w:rFonts w:hint="eastAsia"/>
                <w:color w:val="auto"/>
                <w:kern w:val="0"/>
                <w:sz w:val="24"/>
              </w:rPr>
              <w:t>。</w:t>
            </w:r>
          </w:p>
        </w:tc>
      </w:tr>
      <w:tr w14:paraId="36B41C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932" w:type="dxa"/>
            <w:vAlign w:val="center"/>
          </w:tcPr>
          <w:p w14:paraId="61640DB9">
            <w:pPr>
              <w:autoSpaceDE w:val="0"/>
              <w:autoSpaceDN w:val="0"/>
              <w:adjustRightInd w:val="0"/>
              <w:snapToGrid w:val="0"/>
              <w:jc w:val="center"/>
              <w:rPr>
                <w:rFonts w:cs="宋体"/>
                <w:color w:val="auto"/>
                <w:kern w:val="0"/>
                <w:sz w:val="24"/>
              </w:rPr>
            </w:pPr>
            <w:r>
              <w:rPr>
                <w:rFonts w:hint="eastAsia" w:cs="宋体"/>
                <w:color w:val="auto"/>
                <w:sz w:val="24"/>
              </w:rPr>
              <w:t>规划情况</w:t>
            </w:r>
          </w:p>
        </w:tc>
        <w:tc>
          <w:tcPr>
            <w:tcW w:w="7994" w:type="dxa"/>
            <w:gridSpan w:val="5"/>
            <w:vAlign w:val="center"/>
          </w:tcPr>
          <w:p w14:paraId="5363129D">
            <w:pPr>
              <w:pStyle w:val="73"/>
              <w:adjustRightInd/>
              <w:ind w:firstLine="482"/>
              <w:rPr>
                <w:b/>
                <w:bCs/>
                <w:color w:val="auto"/>
              </w:rPr>
            </w:pPr>
            <w:r>
              <w:rPr>
                <w:rFonts w:hint="eastAsia"/>
                <w:b/>
                <w:bCs/>
                <w:color w:val="auto"/>
              </w:rPr>
              <w:t>1、规划相关文件</w:t>
            </w:r>
          </w:p>
          <w:p w14:paraId="63771071">
            <w:pPr>
              <w:adjustRightInd w:val="0"/>
              <w:snapToGrid w:val="0"/>
              <w:spacing w:line="360" w:lineRule="auto"/>
              <w:ind w:firstLine="482" w:firstLineChars="200"/>
              <w:rPr>
                <w:b/>
                <w:bCs/>
                <w:color w:val="auto"/>
                <w:sz w:val="24"/>
                <w:lang w:val="zh-CN"/>
              </w:rPr>
            </w:pPr>
            <w:r>
              <w:rPr>
                <w:rFonts w:hint="eastAsia"/>
                <w:b/>
                <w:bCs/>
                <w:color w:val="auto"/>
                <w:sz w:val="24"/>
                <w:lang w:val="zh-CN"/>
              </w:rPr>
              <w:t>规划名称：</w:t>
            </w:r>
            <w:r>
              <w:rPr>
                <w:rFonts w:hint="eastAsia"/>
                <w:color w:val="auto"/>
                <w:sz w:val="24"/>
                <w:lang w:val="zh-CN"/>
              </w:rPr>
              <w:t>《</w:t>
            </w:r>
            <w:r>
              <w:rPr>
                <w:rFonts w:hint="eastAsia"/>
                <w:color w:val="auto"/>
                <w:sz w:val="24"/>
              </w:rPr>
              <w:t>云南寻甸产业园区总体规划修编（2021-2035年）</w:t>
            </w:r>
            <w:r>
              <w:rPr>
                <w:rFonts w:hint="eastAsia"/>
                <w:color w:val="auto"/>
                <w:sz w:val="24"/>
                <w:lang w:val="zh-CN"/>
              </w:rPr>
              <w:t>》</w:t>
            </w:r>
          </w:p>
          <w:p w14:paraId="052BCD64">
            <w:pPr>
              <w:adjustRightInd w:val="0"/>
              <w:snapToGrid w:val="0"/>
              <w:spacing w:line="360" w:lineRule="auto"/>
              <w:ind w:firstLine="482" w:firstLineChars="200"/>
              <w:rPr>
                <w:color w:val="auto"/>
                <w:sz w:val="24"/>
              </w:rPr>
            </w:pPr>
            <w:r>
              <w:rPr>
                <w:rFonts w:hint="eastAsia"/>
                <w:b/>
                <w:bCs/>
                <w:color w:val="auto"/>
                <w:sz w:val="24"/>
                <w:lang w:val="zh-CN"/>
              </w:rPr>
              <w:t>审批机关：</w:t>
            </w:r>
            <w:r>
              <w:rPr>
                <w:rFonts w:hint="eastAsia"/>
                <w:color w:val="auto"/>
                <w:sz w:val="24"/>
              </w:rPr>
              <w:t>昆明市人民政府</w:t>
            </w:r>
          </w:p>
          <w:p w14:paraId="5B7C3F00">
            <w:pPr>
              <w:adjustRightInd w:val="0"/>
              <w:snapToGrid w:val="0"/>
              <w:spacing w:line="360" w:lineRule="auto"/>
              <w:ind w:firstLine="482" w:firstLineChars="200"/>
              <w:rPr>
                <w:rFonts w:cs="宋体"/>
                <w:color w:val="auto"/>
                <w:kern w:val="0"/>
                <w:sz w:val="24"/>
              </w:rPr>
            </w:pPr>
            <w:r>
              <w:rPr>
                <w:rFonts w:hint="eastAsia"/>
                <w:b/>
                <w:bCs/>
                <w:color w:val="auto"/>
                <w:sz w:val="24"/>
                <w:lang w:val="zh-CN"/>
              </w:rPr>
              <w:t>审批文件名称及文号：</w:t>
            </w:r>
            <w:r>
              <w:rPr>
                <w:color w:val="auto"/>
                <w:sz w:val="24"/>
              </w:rPr>
              <w:t>昆明市人民政府关于云南寻甸产业园区总体规划修编（2021—2035年）的批复（昆政复〔2023〕63号）</w:t>
            </w:r>
          </w:p>
        </w:tc>
      </w:tr>
      <w:tr w14:paraId="517DEC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932" w:type="dxa"/>
            <w:vAlign w:val="center"/>
          </w:tcPr>
          <w:p w14:paraId="2D087B38">
            <w:pPr>
              <w:adjustRightInd w:val="0"/>
              <w:snapToGrid w:val="0"/>
              <w:jc w:val="center"/>
              <w:rPr>
                <w:rFonts w:cs="宋体"/>
                <w:color w:val="auto"/>
                <w:sz w:val="24"/>
              </w:rPr>
            </w:pPr>
            <w:r>
              <w:rPr>
                <w:rFonts w:hint="eastAsia" w:cs="宋体"/>
                <w:color w:val="auto"/>
                <w:sz w:val="24"/>
              </w:rPr>
              <w:t>规划环境影响</w:t>
            </w:r>
          </w:p>
          <w:p w14:paraId="57ABD607">
            <w:pPr>
              <w:adjustRightInd w:val="0"/>
              <w:snapToGrid w:val="0"/>
              <w:jc w:val="center"/>
              <w:rPr>
                <w:rFonts w:cs="宋体"/>
                <w:color w:val="auto"/>
                <w:kern w:val="0"/>
                <w:sz w:val="24"/>
              </w:rPr>
            </w:pPr>
            <w:r>
              <w:rPr>
                <w:rFonts w:hint="eastAsia" w:cs="宋体"/>
                <w:color w:val="auto"/>
                <w:sz w:val="24"/>
              </w:rPr>
              <w:t>评价情况</w:t>
            </w:r>
          </w:p>
        </w:tc>
        <w:tc>
          <w:tcPr>
            <w:tcW w:w="7994" w:type="dxa"/>
            <w:gridSpan w:val="5"/>
            <w:vAlign w:val="center"/>
          </w:tcPr>
          <w:p w14:paraId="7766D606">
            <w:pPr>
              <w:pStyle w:val="73"/>
              <w:adjustRightInd/>
              <w:ind w:firstLine="482"/>
              <w:rPr>
                <w:b/>
                <w:bCs/>
                <w:color w:val="auto"/>
              </w:rPr>
            </w:pPr>
            <w:r>
              <w:rPr>
                <w:rFonts w:hint="eastAsia"/>
                <w:b/>
                <w:bCs/>
                <w:color w:val="auto"/>
              </w:rPr>
              <w:t>1、规划环评相关文件</w:t>
            </w:r>
          </w:p>
          <w:p w14:paraId="005AFE4C">
            <w:pPr>
              <w:pStyle w:val="73"/>
              <w:adjustRightInd/>
              <w:ind w:firstLine="482"/>
              <w:rPr>
                <w:color w:val="auto"/>
              </w:rPr>
            </w:pPr>
            <w:r>
              <w:rPr>
                <w:rFonts w:hint="eastAsia"/>
                <w:b/>
                <w:bCs/>
                <w:color w:val="auto"/>
                <w:lang w:val="zh-CN"/>
              </w:rPr>
              <w:t>相关规划环评名称：</w:t>
            </w:r>
            <w:r>
              <w:rPr>
                <w:rFonts w:hint="eastAsia"/>
                <w:color w:val="auto"/>
              </w:rPr>
              <w:t>《云南寻甸产业园区总体规划修编（2021-2035年）环境影响报告书》；</w:t>
            </w:r>
          </w:p>
          <w:p w14:paraId="26950714">
            <w:pPr>
              <w:pStyle w:val="73"/>
              <w:adjustRightInd/>
              <w:ind w:firstLine="482"/>
              <w:rPr>
                <w:color w:val="auto"/>
              </w:rPr>
            </w:pPr>
            <w:r>
              <w:rPr>
                <w:rFonts w:hint="eastAsia"/>
                <w:b/>
                <w:bCs/>
                <w:color w:val="auto"/>
              </w:rPr>
              <w:t>审批机关：</w:t>
            </w:r>
            <w:r>
              <w:rPr>
                <w:rFonts w:hint="eastAsia"/>
                <w:color w:val="auto"/>
              </w:rPr>
              <w:t>云南省生态环境厅；</w:t>
            </w:r>
          </w:p>
          <w:p w14:paraId="456456BB">
            <w:pPr>
              <w:pStyle w:val="73"/>
              <w:adjustRightInd/>
              <w:ind w:firstLine="482"/>
              <w:rPr>
                <w:rFonts w:cs="宋体"/>
                <w:color w:val="auto"/>
                <w:kern w:val="0"/>
              </w:rPr>
            </w:pPr>
            <w:r>
              <w:rPr>
                <w:rFonts w:hint="eastAsia"/>
                <w:b/>
                <w:bCs/>
                <w:color w:val="auto"/>
                <w:lang w:val="zh-CN"/>
              </w:rPr>
              <w:t>审批文件名称及文号：</w:t>
            </w:r>
            <w:r>
              <w:rPr>
                <w:rFonts w:hint="eastAsia"/>
                <w:color w:val="auto"/>
              </w:rPr>
              <w:t>昆明市生态环境局</w:t>
            </w:r>
            <w:r>
              <w:rPr>
                <w:rFonts w:hint="eastAsia"/>
                <w:color w:val="auto"/>
                <w:lang w:val="zh-CN"/>
              </w:rPr>
              <w:t>关于《《</w:t>
            </w:r>
            <w:r>
              <w:rPr>
                <w:rFonts w:hint="eastAsia"/>
                <w:color w:val="auto"/>
              </w:rPr>
              <w:t>云南寻甸产业园区总体规划修编（2021-2035年）</w:t>
            </w:r>
            <w:r>
              <w:rPr>
                <w:rFonts w:hint="eastAsia"/>
                <w:color w:val="auto"/>
                <w:lang w:val="zh-CN"/>
              </w:rPr>
              <w:t>》环境影响报告书》审查意见的函（</w:t>
            </w:r>
            <w:r>
              <w:rPr>
                <w:rFonts w:hint="eastAsia"/>
                <w:color w:val="auto"/>
              </w:rPr>
              <w:t>昆环审</w:t>
            </w:r>
            <w:r>
              <w:rPr>
                <w:rFonts w:hint="eastAsia"/>
                <w:color w:val="auto"/>
                <w:lang w:val="zh-CN"/>
              </w:rPr>
              <w:t>【20</w:t>
            </w:r>
            <w:r>
              <w:rPr>
                <w:rFonts w:hint="eastAsia"/>
                <w:color w:val="auto"/>
              </w:rPr>
              <w:t>23</w:t>
            </w:r>
            <w:r>
              <w:rPr>
                <w:rFonts w:hint="eastAsia"/>
                <w:color w:val="auto"/>
                <w:lang w:val="zh-CN"/>
              </w:rPr>
              <w:t>】</w:t>
            </w:r>
            <w:r>
              <w:rPr>
                <w:rFonts w:hint="eastAsia"/>
                <w:color w:val="auto"/>
              </w:rPr>
              <w:t>5</w:t>
            </w:r>
            <w:r>
              <w:rPr>
                <w:rFonts w:hint="eastAsia"/>
                <w:color w:val="auto"/>
                <w:lang w:val="zh-CN"/>
              </w:rPr>
              <w:t>号）</w:t>
            </w:r>
          </w:p>
        </w:tc>
      </w:tr>
      <w:tr w14:paraId="6C8F1B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32" w:type="dxa"/>
            <w:vAlign w:val="center"/>
          </w:tcPr>
          <w:p w14:paraId="2E28D931">
            <w:pPr>
              <w:autoSpaceDE w:val="0"/>
              <w:autoSpaceDN w:val="0"/>
              <w:adjustRightInd w:val="0"/>
              <w:snapToGrid w:val="0"/>
              <w:jc w:val="center"/>
              <w:rPr>
                <w:rFonts w:cs="宋体"/>
                <w:color w:val="auto"/>
                <w:kern w:val="0"/>
                <w:sz w:val="24"/>
              </w:rPr>
            </w:pPr>
            <w:r>
              <w:rPr>
                <w:rFonts w:hint="eastAsia" w:cs="宋体"/>
                <w:color w:val="auto"/>
                <w:kern w:val="0"/>
                <w:sz w:val="24"/>
              </w:rPr>
              <w:t>规划及规划环境影响评价符合性分析</w:t>
            </w:r>
          </w:p>
        </w:tc>
        <w:tc>
          <w:tcPr>
            <w:tcW w:w="7994" w:type="dxa"/>
            <w:gridSpan w:val="5"/>
            <w:vAlign w:val="center"/>
          </w:tcPr>
          <w:p w14:paraId="7667B275">
            <w:pPr>
              <w:autoSpaceDE w:val="0"/>
              <w:autoSpaceDN w:val="0"/>
              <w:adjustRightInd w:val="0"/>
              <w:snapToGrid w:val="0"/>
              <w:spacing w:line="360" w:lineRule="auto"/>
              <w:ind w:firstLine="482" w:firstLineChars="200"/>
              <w:jc w:val="left"/>
              <w:rPr>
                <w:b/>
                <w:bCs/>
                <w:color w:val="auto"/>
                <w:kern w:val="0"/>
                <w:sz w:val="24"/>
              </w:rPr>
            </w:pPr>
            <w:r>
              <w:rPr>
                <w:rFonts w:hint="eastAsia"/>
                <w:b/>
                <w:bCs/>
                <w:color w:val="auto"/>
                <w:kern w:val="0"/>
                <w:sz w:val="24"/>
              </w:rPr>
              <w:t>1、</w:t>
            </w:r>
            <w:r>
              <w:rPr>
                <w:b/>
                <w:bCs/>
                <w:color w:val="auto"/>
                <w:kern w:val="0"/>
                <w:sz w:val="24"/>
              </w:rPr>
              <w:t>与</w:t>
            </w:r>
            <w:r>
              <w:rPr>
                <w:rFonts w:hint="eastAsia"/>
                <w:b/>
                <w:bCs/>
                <w:color w:val="auto"/>
                <w:sz w:val="24"/>
                <w:lang w:val="zh-CN"/>
              </w:rPr>
              <w:t>《</w:t>
            </w:r>
            <w:r>
              <w:rPr>
                <w:rFonts w:hint="eastAsia"/>
                <w:b/>
                <w:bCs/>
                <w:color w:val="auto"/>
                <w:sz w:val="24"/>
              </w:rPr>
              <w:t>云南寻甸产业园区总体规划修编（2021-2035年）</w:t>
            </w:r>
            <w:r>
              <w:rPr>
                <w:rFonts w:hint="eastAsia"/>
                <w:b/>
                <w:bCs/>
                <w:color w:val="auto"/>
                <w:sz w:val="24"/>
                <w:lang w:val="zh-CN"/>
              </w:rPr>
              <w:t>》</w:t>
            </w:r>
            <w:r>
              <w:rPr>
                <w:b/>
                <w:bCs/>
                <w:color w:val="auto"/>
                <w:kern w:val="0"/>
                <w:sz w:val="24"/>
              </w:rPr>
              <w:t>相符性分析</w:t>
            </w:r>
          </w:p>
          <w:p w14:paraId="112711C9">
            <w:pPr>
              <w:adjustRightInd w:val="0"/>
              <w:snapToGrid w:val="0"/>
              <w:spacing w:line="360" w:lineRule="auto"/>
              <w:ind w:firstLine="480" w:firstLineChars="200"/>
              <w:rPr>
                <w:color w:val="auto"/>
                <w:sz w:val="24"/>
              </w:rPr>
            </w:pPr>
            <w:r>
              <w:rPr>
                <w:color w:val="auto"/>
                <w:sz w:val="24"/>
              </w:rPr>
              <w:t>根据</w:t>
            </w:r>
            <w:r>
              <w:rPr>
                <w:color w:val="auto"/>
                <w:sz w:val="24"/>
                <w:lang w:val="zh-CN"/>
              </w:rPr>
              <w:t>《</w:t>
            </w:r>
            <w:r>
              <w:rPr>
                <w:color w:val="auto"/>
                <w:sz w:val="24"/>
              </w:rPr>
              <w:t>云南寻甸产业园区总体规划修编（2021-2035年）</w:t>
            </w:r>
            <w:r>
              <w:rPr>
                <w:color w:val="auto"/>
                <w:sz w:val="24"/>
                <w:lang w:val="zh-CN"/>
              </w:rPr>
              <w:t>》</w:t>
            </w:r>
            <w:r>
              <w:rPr>
                <w:color w:val="auto"/>
                <w:sz w:val="24"/>
              </w:rPr>
              <w:t>，云南寻甸产业园区至2035年园区总面积控制为</w:t>
            </w:r>
            <w:r>
              <w:rPr>
                <w:rFonts w:hint="eastAsia"/>
                <w:color w:val="auto"/>
                <w:sz w:val="24"/>
              </w:rPr>
              <w:t>12.15</w:t>
            </w:r>
            <w:r>
              <w:rPr>
                <w:color w:val="auto"/>
                <w:sz w:val="24"/>
              </w:rPr>
              <w:t>km</w:t>
            </w:r>
            <w:r>
              <w:rPr>
                <w:color w:val="auto"/>
                <w:sz w:val="24"/>
                <w:vertAlign w:val="superscript"/>
              </w:rPr>
              <w:t>2</w:t>
            </w:r>
            <w:r>
              <w:rPr>
                <w:color w:val="auto"/>
                <w:sz w:val="24"/>
              </w:rPr>
              <w:t>（</w:t>
            </w:r>
            <w:r>
              <w:rPr>
                <w:rFonts w:hint="eastAsia"/>
                <w:color w:val="auto"/>
                <w:sz w:val="24"/>
              </w:rPr>
              <w:t>1214.59</w:t>
            </w:r>
            <w:r>
              <w:rPr>
                <w:color w:val="auto"/>
                <w:sz w:val="24"/>
              </w:rPr>
              <w:t>公顷），由“一园三片”组成，即羊街片区、金所（天生桥）片区、倘甸片区，其中金所片区规划面积6.</w:t>
            </w:r>
            <w:r>
              <w:rPr>
                <w:rFonts w:hint="eastAsia"/>
                <w:color w:val="auto"/>
                <w:sz w:val="24"/>
              </w:rPr>
              <w:t>8</w:t>
            </w:r>
            <w:r>
              <w:rPr>
                <w:color w:val="auto"/>
                <w:sz w:val="24"/>
              </w:rPr>
              <w:t>2km</w:t>
            </w:r>
            <w:r>
              <w:rPr>
                <w:color w:val="auto"/>
                <w:sz w:val="24"/>
                <w:vertAlign w:val="superscript"/>
              </w:rPr>
              <w:t>2</w:t>
            </w:r>
            <w:r>
              <w:rPr>
                <w:color w:val="auto"/>
                <w:sz w:val="24"/>
              </w:rPr>
              <w:t>（6</w:t>
            </w:r>
            <w:r>
              <w:rPr>
                <w:rFonts w:hint="eastAsia"/>
                <w:color w:val="auto"/>
                <w:sz w:val="24"/>
              </w:rPr>
              <w:t>81.52</w:t>
            </w:r>
            <w:r>
              <w:rPr>
                <w:color w:val="auto"/>
                <w:sz w:val="24"/>
              </w:rPr>
              <w:t>公顷）</w:t>
            </w:r>
            <w:r>
              <w:rPr>
                <w:rFonts w:hint="eastAsia"/>
                <w:color w:val="auto"/>
                <w:sz w:val="24"/>
              </w:rPr>
              <w:t>；</w:t>
            </w:r>
            <w:r>
              <w:rPr>
                <w:color w:val="auto"/>
                <w:sz w:val="24"/>
              </w:rPr>
              <w:t>羊街片区规划面积2.63km</w:t>
            </w:r>
            <w:r>
              <w:rPr>
                <w:color w:val="auto"/>
                <w:sz w:val="24"/>
                <w:vertAlign w:val="superscript"/>
              </w:rPr>
              <w:t xml:space="preserve">2 </w:t>
            </w:r>
            <w:r>
              <w:rPr>
                <w:color w:val="auto"/>
                <w:sz w:val="24"/>
              </w:rPr>
              <w:t>（263.39 公顷）</w:t>
            </w:r>
            <w:r>
              <w:rPr>
                <w:rFonts w:hint="eastAsia"/>
                <w:color w:val="auto"/>
                <w:sz w:val="24"/>
              </w:rPr>
              <w:t>：</w:t>
            </w:r>
            <w:r>
              <w:rPr>
                <w:color w:val="auto"/>
                <w:sz w:val="24"/>
              </w:rPr>
              <w:t>倘甸片区规划面积2.</w:t>
            </w:r>
            <w:r>
              <w:rPr>
                <w:rFonts w:hint="eastAsia"/>
                <w:color w:val="auto"/>
                <w:sz w:val="24"/>
              </w:rPr>
              <w:t>70</w:t>
            </w:r>
            <w:r>
              <w:rPr>
                <w:color w:val="auto"/>
                <w:sz w:val="24"/>
              </w:rPr>
              <w:t>km</w:t>
            </w:r>
            <w:r>
              <w:rPr>
                <w:color w:val="auto"/>
                <w:sz w:val="24"/>
                <w:vertAlign w:val="superscript"/>
              </w:rPr>
              <w:t>2</w:t>
            </w:r>
            <w:r>
              <w:rPr>
                <w:color w:val="auto"/>
                <w:sz w:val="24"/>
              </w:rPr>
              <w:t>（2</w:t>
            </w:r>
            <w:r>
              <w:rPr>
                <w:rFonts w:hint="eastAsia"/>
                <w:color w:val="auto"/>
                <w:sz w:val="24"/>
              </w:rPr>
              <w:t>69.69</w:t>
            </w:r>
            <w:r>
              <w:rPr>
                <w:color w:val="auto"/>
                <w:sz w:val="24"/>
              </w:rPr>
              <w:t>公顷）。本次规划修编将原规划</w:t>
            </w:r>
            <w:r>
              <w:rPr>
                <w:rFonts w:hint="eastAsia"/>
                <w:color w:val="auto"/>
                <w:sz w:val="24"/>
              </w:rPr>
              <w:t>“</w:t>
            </w:r>
            <w:r>
              <w:rPr>
                <w:color w:val="auto"/>
                <w:sz w:val="24"/>
              </w:rPr>
              <w:t>一园两片区（总面积为18.23km</w:t>
            </w:r>
            <w:r>
              <w:rPr>
                <w:color w:val="auto"/>
                <w:sz w:val="24"/>
                <w:vertAlign w:val="superscript"/>
              </w:rPr>
              <w:t>2</w:t>
            </w:r>
            <w:r>
              <w:rPr>
                <w:color w:val="auto"/>
                <w:sz w:val="24"/>
              </w:rPr>
              <w:t>）</w:t>
            </w:r>
            <w:r>
              <w:rPr>
                <w:rFonts w:hint="eastAsia"/>
                <w:color w:val="auto"/>
                <w:sz w:val="24"/>
              </w:rPr>
              <w:t>”</w:t>
            </w:r>
            <w:r>
              <w:rPr>
                <w:color w:val="auto"/>
                <w:sz w:val="24"/>
              </w:rPr>
              <w:t>调整为</w:t>
            </w:r>
            <w:r>
              <w:rPr>
                <w:rFonts w:hint="eastAsia"/>
                <w:color w:val="auto"/>
                <w:sz w:val="24"/>
              </w:rPr>
              <w:t>“</w:t>
            </w:r>
            <w:r>
              <w:rPr>
                <w:color w:val="auto"/>
                <w:sz w:val="24"/>
              </w:rPr>
              <w:t>一园三片区（1</w:t>
            </w:r>
            <w:r>
              <w:rPr>
                <w:rFonts w:hint="eastAsia"/>
                <w:color w:val="auto"/>
                <w:sz w:val="24"/>
              </w:rPr>
              <w:t>2.15</w:t>
            </w:r>
            <w:r>
              <w:rPr>
                <w:color w:val="auto"/>
                <w:sz w:val="24"/>
              </w:rPr>
              <w:t>km</w:t>
            </w:r>
            <w:r>
              <w:rPr>
                <w:color w:val="auto"/>
                <w:sz w:val="24"/>
                <w:vertAlign w:val="superscript"/>
              </w:rPr>
              <w:t>2</w:t>
            </w:r>
            <w:r>
              <w:rPr>
                <w:color w:val="auto"/>
                <w:sz w:val="24"/>
              </w:rPr>
              <w:t>）</w:t>
            </w:r>
            <w:r>
              <w:rPr>
                <w:rFonts w:hint="eastAsia"/>
                <w:color w:val="auto"/>
                <w:sz w:val="24"/>
              </w:rPr>
              <w:t>”</w:t>
            </w:r>
            <w:r>
              <w:rPr>
                <w:color w:val="auto"/>
                <w:sz w:val="24"/>
              </w:rPr>
              <w:t>，总规划面积减小6.</w:t>
            </w:r>
            <w:r>
              <w:rPr>
                <w:rFonts w:hint="eastAsia"/>
                <w:color w:val="auto"/>
                <w:sz w:val="24"/>
              </w:rPr>
              <w:t>08</w:t>
            </w:r>
            <w:r>
              <w:rPr>
                <w:color w:val="auto"/>
                <w:sz w:val="24"/>
              </w:rPr>
              <w:t>km</w:t>
            </w:r>
            <w:r>
              <w:rPr>
                <w:color w:val="auto"/>
                <w:sz w:val="24"/>
                <w:vertAlign w:val="superscript"/>
              </w:rPr>
              <w:t>2</w:t>
            </w:r>
            <w:r>
              <w:rPr>
                <w:color w:val="auto"/>
                <w:sz w:val="24"/>
              </w:rPr>
              <w:t>，其中保留的金所片区较原规划面积缩小2.</w:t>
            </w:r>
            <w:r>
              <w:rPr>
                <w:rFonts w:hint="eastAsia"/>
                <w:color w:val="auto"/>
                <w:sz w:val="24"/>
              </w:rPr>
              <w:t>7</w:t>
            </w:r>
            <w:r>
              <w:rPr>
                <w:color w:val="auto"/>
                <w:sz w:val="24"/>
              </w:rPr>
              <w:t>7km</w:t>
            </w:r>
            <w:r>
              <w:rPr>
                <w:color w:val="auto"/>
                <w:sz w:val="24"/>
                <w:vertAlign w:val="superscript"/>
              </w:rPr>
              <w:t>2</w:t>
            </w:r>
            <w:r>
              <w:rPr>
                <w:color w:val="auto"/>
                <w:sz w:val="24"/>
              </w:rPr>
              <w:t>，羊街片区较原规划面积缩小6.01km</w:t>
            </w:r>
            <w:r>
              <w:rPr>
                <w:rFonts w:hint="eastAsia"/>
                <w:color w:val="auto"/>
                <w:sz w:val="24"/>
                <w:vertAlign w:val="superscript"/>
              </w:rPr>
              <w:t>2</w:t>
            </w:r>
            <w:r>
              <w:rPr>
                <w:color w:val="auto"/>
                <w:sz w:val="24"/>
              </w:rPr>
              <w:t>。</w:t>
            </w:r>
          </w:p>
          <w:p w14:paraId="63D7F605">
            <w:pPr>
              <w:adjustRightInd w:val="0"/>
              <w:snapToGrid w:val="0"/>
              <w:spacing w:line="360" w:lineRule="auto"/>
              <w:ind w:firstLine="480" w:firstLineChars="200"/>
              <w:rPr>
                <w:color w:val="auto"/>
                <w:sz w:val="24"/>
              </w:rPr>
            </w:pPr>
            <w:r>
              <w:rPr>
                <w:color w:val="auto"/>
                <w:sz w:val="24"/>
              </w:rPr>
              <w:t>主要产业发展定位为</w:t>
            </w:r>
            <w:r>
              <w:rPr>
                <w:rFonts w:hint="eastAsia"/>
                <w:color w:val="auto"/>
                <w:sz w:val="24"/>
              </w:rPr>
              <w:t>：云南省层面—云南省省级园区产镇融合的先导区；滇东北城市群层面—滇中及滇东北城市群的非烟轻工产业集聚区；昆明市</w:t>
            </w:r>
            <w:r>
              <w:rPr>
                <w:color w:val="auto"/>
                <w:sz w:val="24"/>
              </w:rPr>
              <w:t>层面—昆明东部工业走廊的产业门户重地；寻甸县层面—寻甸产业整合进园发展的承载重地。即园区定位为“</w:t>
            </w:r>
            <w:r>
              <w:rPr>
                <w:rFonts w:hint="eastAsia"/>
                <w:color w:val="auto"/>
                <w:sz w:val="24"/>
              </w:rPr>
              <w:t>以</w:t>
            </w:r>
            <w:r>
              <w:rPr>
                <w:color w:val="auto"/>
                <w:sz w:val="24"/>
              </w:rPr>
              <w:t>非烟轻工制造为主导，以绿色化工、先进装备制造为辅导产业，巩固提升2大传统产业，即生物医疗、绿色建材传统产业，积极培育生产性服务业和生活性服务业，着力构建形成</w:t>
            </w:r>
            <w:r>
              <w:rPr>
                <w:rFonts w:hint="eastAsia"/>
                <w:color w:val="auto"/>
                <w:sz w:val="24"/>
              </w:rPr>
              <w:t>“</w:t>
            </w:r>
            <w:r>
              <w:rPr>
                <w:color w:val="auto"/>
                <w:sz w:val="24"/>
              </w:rPr>
              <w:t>3+2+2”的现代产业体系架构。</w:t>
            </w:r>
            <w:r>
              <w:rPr>
                <w:rFonts w:hint="eastAsia"/>
                <w:color w:val="auto"/>
                <w:sz w:val="24"/>
              </w:rPr>
              <w:t>”其中，金所片区金所组团（6分区）定位为先进装备制造产业区、非烟轻工产业区、绿色建材产业区、绿色化工产业区、公共服务配套区、中转物流区；金所片区天生桥组团（2分区）定位为绿色化工产业区、先进装备制造产业区；羊街片区（3分区）定位为先进装备制造产业区、非烟轻工产业区、商贸物流及冷链加工区；倘甸片区（4分区）定位为生物医疗产业区、先进装备制造产业区、非烟轻工产业区、公共服务配套区</w:t>
            </w:r>
            <w:r>
              <w:rPr>
                <w:color w:val="auto"/>
                <w:sz w:val="24"/>
              </w:rPr>
              <w:t>。</w:t>
            </w:r>
          </w:p>
          <w:p w14:paraId="7A1F587D">
            <w:pPr>
              <w:adjustRightInd w:val="0"/>
              <w:snapToGrid w:val="0"/>
              <w:spacing w:line="360" w:lineRule="auto"/>
              <w:ind w:firstLine="480" w:firstLineChars="200"/>
              <w:rPr>
                <w:color w:val="auto"/>
                <w:sz w:val="24"/>
                <w:highlight w:val="yellow"/>
              </w:rPr>
            </w:pPr>
            <w:r>
              <w:rPr>
                <w:color w:val="auto"/>
                <w:sz w:val="24"/>
              </w:rPr>
              <w:t>本项目位于云南省昆明市寻甸县特色产业园区</w:t>
            </w:r>
            <w:r>
              <w:rPr>
                <w:rFonts w:hint="eastAsia"/>
                <w:color w:val="auto"/>
                <w:sz w:val="24"/>
              </w:rPr>
              <w:t>羊街</w:t>
            </w:r>
            <w:r>
              <w:rPr>
                <w:color w:val="auto"/>
                <w:sz w:val="24"/>
              </w:rPr>
              <w:t>片区，</w:t>
            </w:r>
            <w:r>
              <w:rPr>
                <w:color w:val="auto"/>
                <w:sz w:val="24"/>
                <w:lang w:val="zh-CN"/>
              </w:rPr>
              <w:t>项目用地性质为工业用地</w:t>
            </w:r>
            <w:r>
              <w:rPr>
                <w:rFonts w:hint="eastAsia"/>
                <w:color w:val="auto"/>
                <w:sz w:val="24"/>
                <w:lang w:val="zh-CN"/>
              </w:rPr>
              <w:t>，</w:t>
            </w:r>
            <w:r>
              <w:rPr>
                <w:color w:val="auto"/>
                <w:sz w:val="24"/>
                <w:lang w:val="zh-CN"/>
              </w:rPr>
              <w:t>本项目属于工业项目</w:t>
            </w:r>
            <w:r>
              <w:rPr>
                <w:rFonts w:hint="eastAsia"/>
                <w:color w:val="auto"/>
                <w:sz w:val="24"/>
                <w:lang w:val="zh-CN"/>
              </w:rPr>
              <w:t>。</w:t>
            </w:r>
            <w:r>
              <w:rPr>
                <w:color w:val="auto"/>
                <w:sz w:val="24"/>
                <w:lang w:val="zh-CN"/>
              </w:rPr>
              <w:t>本项目为</w:t>
            </w:r>
            <w:r>
              <w:rPr>
                <w:color w:val="auto"/>
                <w:sz w:val="24"/>
              </w:rPr>
              <w:t>其他纸制品制造</w:t>
            </w:r>
            <w:r>
              <w:rPr>
                <w:rFonts w:hint="eastAsia"/>
                <w:color w:val="auto"/>
                <w:sz w:val="24"/>
              </w:rPr>
              <w:t>项目</w:t>
            </w:r>
            <w:r>
              <w:rPr>
                <w:color w:val="auto"/>
                <w:sz w:val="24"/>
                <w:lang w:val="zh-CN"/>
              </w:rPr>
              <w:t>，</w:t>
            </w:r>
            <w:r>
              <w:rPr>
                <w:rFonts w:hint="eastAsia"/>
                <w:color w:val="auto"/>
                <w:sz w:val="24"/>
              </w:rPr>
              <w:t>与园区产业发展定位不冲突，</w:t>
            </w:r>
            <w:r>
              <w:rPr>
                <w:color w:val="auto"/>
                <w:sz w:val="24"/>
              </w:rPr>
              <w:t>且</w:t>
            </w:r>
            <w:r>
              <w:rPr>
                <w:color w:val="auto"/>
                <w:sz w:val="24"/>
                <w:lang w:val="zh-CN"/>
              </w:rPr>
              <w:t>202</w:t>
            </w:r>
            <w:r>
              <w:rPr>
                <w:rFonts w:hint="eastAsia"/>
                <w:color w:val="auto"/>
                <w:sz w:val="24"/>
              </w:rPr>
              <w:t>3</w:t>
            </w:r>
            <w:r>
              <w:rPr>
                <w:color w:val="auto"/>
                <w:sz w:val="24"/>
                <w:lang w:val="zh-CN"/>
              </w:rPr>
              <w:t>年</w:t>
            </w:r>
            <w:r>
              <w:rPr>
                <w:rFonts w:hint="eastAsia"/>
                <w:color w:val="auto"/>
                <w:sz w:val="24"/>
              </w:rPr>
              <w:t>11</w:t>
            </w:r>
            <w:r>
              <w:rPr>
                <w:color w:val="auto"/>
                <w:sz w:val="24"/>
                <w:lang w:val="zh-CN"/>
              </w:rPr>
              <w:t>月</w:t>
            </w:r>
            <w:r>
              <w:rPr>
                <w:rFonts w:hint="eastAsia"/>
                <w:color w:val="auto"/>
                <w:sz w:val="24"/>
              </w:rPr>
              <w:t>9</w:t>
            </w:r>
            <w:r>
              <w:rPr>
                <w:color w:val="auto"/>
                <w:sz w:val="24"/>
                <w:lang w:val="zh-CN"/>
              </w:rPr>
              <w:t>日</w:t>
            </w:r>
            <w:r>
              <w:rPr>
                <w:color w:val="auto"/>
                <w:sz w:val="24"/>
              </w:rPr>
              <w:t>项目已取得寻甸特色产业园区管理委员会出具的项目入园申请同意书</w:t>
            </w:r>
            <w:r>
              <w:rPr>
                <w:color w:val="auto"/>
                <w:sz w:val="24"/>
                <w:lang w:val="zh-CN"/>
              </w:rPr>
              <w:t>，</w:t>
            </w:r>
            <w:r>
              <w:rPr>
                <w:color w:val="auto"/>
                <w:sz w:val="24"/>
              </w:rPr>
              <w:t>同意书明确“项目符合</w:t>
            </w:r>
            <w:r>
              <w:rPr>
                <w:color w:val="auto"/>
                <w:sz w:val="24"/>
                <w:lang w:val="zh-CN"/>
              </w:rPr>
              <w:t>园区</w:t>
            </w:r>
            <w:r>
              <w:rPr>
                <w:rFonts w:hint="eastAsia"/>
                <w:color w:val="auto"/>
                <w:sz w:val="24"/>
              </w:rPr>
              <w:t>产业发展</w:t>
            </w:r>
            <w:r>
              <w:rPr>
                <w:color w:val="auto"/>
                <w:sz w:val="24"/>
                <w:lang w:val="zh-CN"/>
              </w:rPr>
              <w:t>，</w:t>
            </w:r>
            <w:r>
              <w:rPr>
                <w:rFonts w:hint="eastAsia"/>
                <w:color w:val="auto"/>
                <w:sz w:val="24"/>
              </w:rPr>
              <w:t>同意项目入驻</w:t>
            </w:r>
            <w:r>
              <w:rPr>
                <w:color w:val="auto"/>
                <w:sz w:val="24"/>
              </w:rPr>
              <w:t>寻甸特色产业园区羊街片区”。</w:t>
            </w:r>
          </w:p>
          <w:p w14:paraId="7B678E60">
            <w:pPr>
              <w:adjustRightInd w:val="0"/>
              <w:snapToGrid w:val="0"/>
              <w:spacing w:line="360" w:lineRule="auto"/>
              <w:ind w:firstLine="480" w:firstLineChars="200"/>
              <w:rPr>
                <w:color w:val="auto"/>
                <w:sz w:val="24"/>
                <w:highlight w:val="yellow"/>
                <w:lang w:val="zh-CN"/>
              </w:rPr>
            </w:pPr>
            <w:r>
              <w:rPr>
                <w:color w:val="auto"/>
                <w:sz w:val="24"/>
              </w:rPr>
              <w:t>综上分析，</w:t>
            </w:r>
            <w:r>
              <w:rPr>
                <w:color w:val="auto"/>
                <w:sz w:val="24"/>
                <w:lang w:val="zh-CN"/>
              </w:rPr>
              <w:t>项目建设</w:t>
            </w:r>
            <w:r>
              <w:rPr>
                <w:color w:val="auto"/>
                <w:sz w:val="24"/>
              </w:rPr>
              <w:t>与</w:t>
            </w:r>
            <w:r>
              <w:rPr>
                <w:color w:val="auto"/>
                <w:sz w:val="24"/>
                <w:lang w:val="zh-CN"/>
              </w:rPr>
              <w:t>《</w:t>
            </w:r>
            <w:r>
              <w:rPr>
                <w:color w:val="auto"/>
                <w:sz w:val="24"/>
              </w:rPr>
              <w:t>云南寻甸产业园区总体规划修编（2021-2035年）</w:t>
            </w:r>
            <w:r>
              <w:rPr>
                <w:color w:val="auto"/>
                <w:sz w:val="24"/>
                <w:lang w:val="zh-CN"/>
              </w:rPr>
              <w:t>》</w:t>
            </w:r>
            <w:r>
              <w:rPr>
                <w:color w:val="auto"/>
                <w:sz w:val="24"/>
              </w:rPr>
              <w:t>不冲突</w:t>
            </w:r>
            <w:r>
              <w:rPr>
                <w:color w:val="auto"/>
                <w:sz w:val="24"/>
                <w:lang w:val="zh-CN"/>
              </w:rPr>
              <w:t>。</w:t>
            </w:r>
          </w:p>
          <w:p w14:paraId="1473CDE5">
            <w:pPr>
              <w:autoSpaceDE w:val="0"/>
              <w:autoSpaceDN w:val="0"/>
              <w:adjustRightInd w:val="0"/>
              <w:snapToGrid w:val="0"/>
              <w:spacing w:line="360" w:lineRule="auto"/>
              <w:ind w:firstLine="482" w:firstLineChars="200"/>
              <w:jc w:val="left"/>
              <w:rPr>
                <w:b/>
                <w:bCs/>
                <w:color w:val="auto"/>
                <w:kern w:val="0"/>
                <w:sz w:val="24"/>
              </w:rPr>
            </w:pPr>
            <w:r>
              <w:rPr>
                <w:rFonts w:hint="eastAsia"/>
                <w:b/>
                <w:bCs/>
                <w:color w:val="auto"/>
                <w:kern w:val="0"/>
                <w:sz w:val="24"/>
              </w:rPr>
              <w:t>2</w:t>
            </w:r>
            <w:r>
              <w:rPr>
                <w:b/>
                <w:bCs/>
                <w:color w:val="auto"/>
                <w:kern w:val="0"/>
                <w:sz w:val="24"/>
              </w:rPr>
              <w:t>、与《</w:t>
            </w:r>
            <w:r>
              <w:rPr>
                <w:rFonts w:hint="eastAsia"/>
                <w:b/>
                <w:bCs/>
                <w:color w:val="auto"/>
                <w:sz w:val="24"/>
              </w:rPr>
              <w:t>云南寻甸产业园区总体规划修编（2021-2035年）</w:t>
            </w:r>
            <w:r>
              <w:rPr>
                <w:b/>
                <w:bCs/>
                <w:color w:val="auto"/>
                <w:kern w:val="0"/>
                <w:sz w:val="24"/>
              </w:rPr>
              <w:t>环境影响报告书》及其审查意见（</w:t>
            </w:r>
            <w:r>
              <w:rPr>
                <w:rFonts w:hint="eastAsia"/>
                <w:b/>
                <w:bCs/>
                <w:color w:val="auto"/>
                <w:kern w:val="0"/>
                <w:sz w:val="24"/>
              </w:rPr>
              <w:t>昆环审</w:t>
            </w:r>
            <w:r>
              <w:rPr>
                <w:b/>
                <w:bCs/>
                <w:color w:val="auto"/>
                <w:kern w:val="0"/>
                <w:sz w:val="24"/>
              </w:rPr>
              <w:t>【202</w:t>
            </w:r>
            <w:r>
              <w:rPr>
                <w:rFonts w:hint="eastAsia"/>
                <w:b/>
                <w:bCs/>
                <w:color w:val="auto"/>
                <w:kern w:val="0"/>
                <w:sz w:val="24"/>
              </w:rPr>
              <w:t>3</w:t>
            </w:r>
            <w:r>
              <w:rPr>
                <w:b/>
                <w:bCs/>
                <w:color w:val="auto"/>
                <w:kern w:val="0"/>
                <w:sz w:val="24"/>
              </w:rPr>
              <w:t>】</w:t>
            </w:r>
            <w:r>
              <w:rPr>
                <w:rFonts w:hint="eastAsia"/>
                <w:b/>
                <w:bCs/>
                <w:color w:val="auto"/>
                <w:kern w:val="0"/>
                <w:sz w:val="24"/>
              </w:rPr>
              <w:t>5</w:t>
            </w:r>
            <w:r>
              <w:rPr>
                <w:b/>
                <w:bCs/>
                <w:color w:val="auto"/>
                <w:kern w:val="0"/>
                <w:sz w:val="24"/>
              </w:rPr>
              <w:t>号）符合性分析</w:t>
            </w:r>
          </w:p>
          <w:p w14:paraId="53ABE3E4">
            <w:pPr>
              <w:adjustRightInd w:val="0"/>
              <w:snapToGrid w:val="0"/>
              <w:spacing w:line="360" w:lineRule="auto"/>
              <w:ind w:firstLine="480" w:firstLineChars="200"/>
              <w:rPr>
                <w:color w:val="auto"/>
                <w:sz w:val="24"/>
                <w:lang w:val="zh-CN"/>
              </w:rPr>
            </w:pPr>
            <w:r>
              <w:rPr>
                <w:color w:val="auto"/>
                <w:sz w:val="24"/>
                <w:lang w:val="zh-CN"/>
              </w:rPr>
              <w:t>根据《</w:t>
            </w:r>
            <w:r>
              <w:rPr>
                <w:rFonts w:hint="eastAsia"/>
                <w:color w:val="auto"/>
                <w:sz w:val="24"/>
              </w:rPr>
              <w:t>云南</w:t>
            </w:r>
            <w:r>
              <w:rPr>
                <w:color w:val="auto"/>
                <w:sz w:val="24"/>
                <w:lang w:val="zh-CN"/>
              </w:rPr>
              <w:t>寻甸产业园区总体规划修编（20</w:t>
            </w:r>
            <w:r>
              <w:rPr>
                <w:rFonts w:hint="eastAsia"/>
                <w:color w:val="auto"/>
                <w:sz w:val="24"/>
              </w:rPr>
              <w:t>21</w:t>
            </w:r>
            <w:r>
              <w:rPr>
                <w:color w:val="auto"/>
                <w:sz w:val="24"/>
                <w:lang w:val="zh-CN"/>
              </w:rPr>
              <w:t>-2035年）环境影响报告书》及其审查意见，项目与《</w:t>
            </w:r>
            <w:r>
              <w:rPr>
                <w:rFonts w:hint="eastAsia"/>
                <w:color w:val="auto"/>
                <w:sz w:val="24"/>
              </w:rPr>
              <w:t>云南</w:t>
            </w:r>
            <w:r>
              <w:rPr>
                <w:color w:val="auto"/>
                <w:sz w:val="24"/>
                <w:lang w:val="zh-CN"/>
              </w:rPr>
              <w:t>寻甸产业园区总体规划修编（20</w:t>
            </w:r>
            <w:r>
              <w:rPr>
                <w:rFonts w:hint="eastAsia"/>
                <w:color w:val="auto"/>
                <w:sz w:val="24"/>
              </w:rPr>
              <w:t>21</w:t>
            </w:r>
            <w:r>
              <w:rPr>
                <w:color w:val="auto"/>
                <w:sz w:val="24"/>
                <w:lang w:val="zh-CN"/>
              </w:rPr>
              <w:t>-2035年）环境影响报告书》符合性分析详见表</w:t>
            </w:r>
            <w:r>
              <w:rPr>
                <w:rFonts w:hint="eastAsia"/>
                <w:color w:val="auto"/>
                <w:sz w:val="24"/>
              </w:rPr>
              <w:t>1</w:t>
            </w:r>
            <w:r>
              <w:rPr>
                <w:color w:val="auto"/>
                <w:sz w:val="24"/>
                <w:lang w:val="zh-CN"/>
              </w:rPr>
              <w:t>-</w:t>
            </w:r>
            <w:r>
              <w:rPr>
                <w:rFonts w:hint="eastAsia"/>
                <w:color w:val="auto"/>
                <w:sz w:val="24"/>
              </w:rPr>
              <w:t>2</w:t>
            </w:r>
            <w:r>
              <w:rPr>
                <w:color w:val="auto"/>
                <w:sz w:val="24"/>
                <w:lang w:val="zh-CN"/>
              </w:rPr>
              <w:t>。</w:t>
            </w:r>
          </w:p>
          <w:p w14:paraId="4394EE69">
            <w:pPr>
              <w:adjustRightInd w:val="0"/>
              <w:snapToGrid w:val="0"/>
              <w:jc w:val="center"/>
              <w:rPr>
                <w:rFonts w:cs="黑体"/>
                <w:b/>
                <w:bCs/>
                <w:color w:val="auto"/>
              </w:rPr>
            </w:pPr>
            <w:r>
              <w:rPr>
                <w:rFonts w:hint="eastAsia" w:cs="黑体"/>
                <w:b/>
                <w:bCs/>
                <w:color w:val="auto"/>
              </w:rPr>
              <w:t>表1-2  项目与规划环评相符性对比分析表</w:t>
            </w:r>
          </w:p>
          <w:tbl>
            <w:tblPr>
              <w:tblStyle w:val="30"/>
              <w:tblW w:w="7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3855"/>
              <w:gridCol w:w="2511"/>
              <w:gridCol w:w="384"/>
            </w:tblGrid>
            <w:tr w14:paraId="3D4D7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vAlign w:val="center"/>
                </w:tcPr>
                <w:p w14:paraId="42BB9D7C">
                  <w:pPr>
                    <w:adjustRightInd w:val="0"/>
                    <w:snapToGrid w:val="0"/>
                    <w:jc w:val="center"/>
                    <w:rPr>
                      <w:b/>
                      <w:bCs/>
                      <w:color w:val="auto"/>
                    </w:rPr>
                  </w:pPr>
                  <w:r>
                    <w:rPr>
                      <w:rFonts w:hint="eastAsia"/>
                      <w:b/>
                      <w:bCs/>
                      <w:color w:val="auto"/>
                    </w:rPr>
                    <w:t>分类</w:t>
                  </w:r>
                </w:p>
              </w:tc>
              <w:tc>
                <w:tcPr>
                  <w:tcW w:w="3855" w:type="dxa"/>
                  <w:vAlign w:val="center"/>
                </w:tcPr>
                <w:p w14:paraId="0701F889">
                  <w:pPr>
                    <w:adjustRightInd w:val="0"/>
                    <w:snapToGrid w:val="0"/>
                    <w:jc w:val="center"/>
                    <w:rPr>
                      <w:b/>
                      <w:bCs/>
                      <w:color w:val="auto"/>
                    </w:rPr>
                  </w:pPr>
                  <w:r>
                    <w:rPr>
                      <w:rFonts w:hint="eastAsia"/>
                      <w:b/>
                      <w:bCs/>
                      <w:color w:val="auto"/>
                    </w:rPr>
                    <w:t>控制内容</w:t>
                  </w:r>
                </w:p>
              </w:tc>
              <w:tc>
                <w:tcPr>
                  <w:tcW w:w="2511" w:type="dxa"/>
                  <w:vAlign w:val="center"/>
                </w:tcPr>
                <w:p w14:paraId="2DF52CF5">
                  <w:pPr>
                    <w:adjustRightInd w:val="0"/>
                    <w:snapToGrid w:val="0"/>
                    <w:jc w:val="center"/>
                    <w:rPr>
                      <w:b/>
                      <w:bCs/>
                      <w:color w:val="auto"/>
                    </w:rPr>
                  </w:pPr>
                  <w:r>
                    <w:rPr>
                      <w:b/>
                      <w:bCs/>
                      <w:color w:val="auto"/>
                    </w:rPr>
                    <w:t>项目建设内容</w:t>
                  </w:r>
                </w:p>
              </w:tc>
              <w:tc>
                <w:tcPr>
                  <w:tcW w:w="384" w:type="dxa"/>
                  <w:vAlign w:val="center"/>
                </w:tcPr>
                <w:p w14:paraId="0C65E303">
                  <w:pPr>
                    <w:adjustRightInd w:val="0"/>
                    <w:snapToGrid w:val="0"/>
                    <w:jc w:val="center"/>
                    <w:rPr>
                      <w:b/>
                      <w:bCs/>
                      <w:color w:val="auto"/>
                    </w:rPr>
                  </w:pPr>
                  <w:r>
                    <w:rPr>
                      <w:b/>
                      <w:bCs/>
                      <w:color w:val="auto"/>
                    </w:rPr>
                    <w:t>符合性</w:t>
                  </w:r>
                </w:p>
              </w:tc>
            </w:tr>
            <w:tr w14:paraId="560E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1160" w:type="dxa"/>
                  <w:vAlign w:val="center"/>
                </w:tcPr>
                <w:p w14:paraId="051163F6">
                  <w:pPr>
                    <w:adjustRightInd w:val="0"/>
                    <w:snapToGrid w:val="0"/>
                    <w:jc w:val="center"/>
                    <w:rPr>
                      <w:color w:val="auto"/>
                    </w:rPr>
                  </w:pPr>
                  <w:r>
                    <w:rPr>
                      <w:rFonts w:hint="eastAsia"/>
                      <w:color w:val="auto"/>
                    </w:rPr>
                    <w:t>水污染减缓措施</w:t>
                  </w:r>
                </w:p>
              </w:tc>
              <w:tc>
                <w:tcPr>
                  <w:tcW w:w="3855" w:type="dxa"/>
                  <w:vAlign w:val="center"/>
                </w:tcPr>
                <w:p w14:paraId="57ED3AAC">
                  <w:pPr>
                    <w:adjustRightInd w:val="0"/>
                    <w:snapToGrid w:val="0"/>
                    <w:jc w:val="left"/>
                    <w:rPr>
                      <w:color w:val="auto"/>
                    </w:rPr>
                  </w:pPr>
                  <w:r>
                    <w:rPr>
                      <w:rFonts w:hint="eastAsia"/>
                      <w:color w:val="auto"/>
                    </w:rPr>
                    <w:t>①根据《规划修编》实施对水环境的影响分析，规划建设覆盖规划区范围的“雨污分流”排水体制。各煤、磷、盐化工等企业内部自行收集初期雨水进行处理后回用，园区雨水经过雨水管网收集后汇入附近地表水体；金所组团现状煤磷盐化工企业及废水实现零排放企业按现状处置方式，即由企业处理达标后循环回用或经已建的排污管道排至摩洛河。</w:t>
                  </w:r>
                </w:p>
                <w:p w14:paraId="5249D650">
                  <w:pPr>
                    <w:adjustRightInd w:val="0"/>
                    <w:snapToGrid w:val="0"/>
                    <w:jc w:val="left"/>
                    <w:rPr>
                      <w:color w:val="auto"/>
                    </w:rPr>
                  </w:pPr>
                  <w:r>
                    <w:rPr>
                      <w:rFonts w:hint="eastAsia"/>
                      <w:color w:val="auto"/>
                    </w:rPr>
                    <w:t>②园区严格按照规划要求，建设污水集中和分散处理设施，提高园区水资源利用率，减少污水排放。各组团后续入驻企业废水严格按照规划排水方案执行园区内企事业单位等应增加再生水回用接口。企业内部循环利用+园区调配两级保障措施，按分期发展要求分别建设污水处理回用系统，污水处理回用系统采取分质处理分级回用方式，回用于各类城市杂用水和工业补水等;</w:t>
                  </w:r>
                </w:p>
                <w:p w14:paraId="033C0845">
                  <w:pPr>
                    <w:adjustRightInd w:val="0"/>
                    <w:snapToGrid w:val="0"/>
                    <w:jc w:val="left"/>
                    <w:rPr>
                      <w:color w:val="auto"/>
                    </w:rPr>
                  </w:pPr>
                  <w:r>
                    <w:rPr>
                      <w:rFonts w:hint="eastAsia"/>
                      <w:color w:val="auto"/>
                    </w:rPr>
                    <w:t>③严格各污水处理设施的管理、监测工作，确保污水处理设施外排污水长期稳定达标。新建、迁建项目应采用先进的生产工艺和污染防治技术，其清洁生产水平应达到国内先进水平以上:实行严格的清洁生产审计，全过程降低对水的消耗和污染；工业企业应严格控制用水量，加大工业用水的重复利用率，发展节水型工业。</w:t>
                  </w:r>
                </w:p>
              </w:tc>
              <w:tc>
                <w:tcPr>
                  <w:tcW w:w="2511" w:type="dxa"/>
                  <w:vAlign w:val="center"/>
                </w:tcPr>
                <w:p w14:paraId="60D0866D">
                  <w:pPr>
                    <w:adjustRightInd w:val="0"/>
                    <w:snapToGrid w:val="0"/>
                    <w:jc w:val="left"/>
                    <w:rPr>
                      <w:color w:val="auto"/>
                    </w:rPr>
                  </w:pPr>
                  <w:r>
                    <w:rPr>
                      <w:rFonts w:hint="eastAsia"/>
                      <w:color w:val="auto"/>
                    </w:rPr>
                    <w:t>①项目已</w:t>
                  </w:r>
                  <w:r>
                    <w:rPr>
                      <w:rFonts w:hint="eastAsia"/>
                      <w:color w:val="auto"/>
                      <w:lang w:eastAsia="zh-CN"/>
                    </w:rPr>
                    <w:t>实行</w:t>
                  </w:r>
                  <w:r>
                    <w:rPr>
                      <w:rFonts w:hint="eastAsia"/>
                      <w:color w:val="auto"/>
                    </w:rPr>
                    <w:t>雨污分流制，不产生生产废水，生活污水经处理达标后全部回用于绿化和洒水降尘，不外排；</w:t>
                  </w:r>
                </w:p>
                <w:p w14:paraId="78F7B9C9">
                  <w:pPr>
                    <w:adjustRightInd w:val="0"/>
                    <w:snapToGrid w:val="0"/>
                    <w:jc w:val="left"/>
                    <w:rPr>
                      <w:color w:val="auto"/>
                    </w:rPr>
                  </w:pPr>
                  <w:r>
                    <w:rPr>
                      <w:rFonts w:hint="eastAsia"/>
                      <w:color w:val="auto"/>
                    </w:rPr>
                    <w:t>②项目依托租用厂房已建污水处理站对产生的污水进行处理后全部回用，不外排；</w:t>
                  </w:r>
                </w:p>
                <w:p w14:paraId="182204BF">
                  <w:pPr>
                    <w:adjustRightInd w:val="0"/>
                    <w:snapToGrid w:val="0"/>
                    <w:jc w:val="left"/>
                    <w:rPr>
                      <w:color w:val="auto"/>
                    </w:rPr>
                  </w:pPr>
                  <w:r>
                    <w:rPr>
                      <w:rFonts w:hint="eastAsia"/>
                      <w:color w:val="auto"/>
                    </w:rPr>
                    <w:t>③项目生产过程中不产生废水，生活废水通过“调节池+SBR生物膜”污水处理技术处理后回用，属于可行性污染防治技术。</w:t>
                  </w:r>
                </w:p>
              </w:tc>
              <w:tc>
                <w:tcPr>
                  <w:tcW w:w="384" w:type="dxa"/>
                  <w:vAlign w:val="center"/>
                </w:tcPr>
                <w:p w14:paraId="042C880D">
                  <w:pPr>
                    <w:adjustRightInd w:val="0"/>
                    <w:snapToGrid w:val="0"/>
                    <w:jc w:val="left"/>
                    <w:rPr>
                      <w:color w:val="auto"/>
                      <w:szCs w:val="21"/>
                    </w:rPr>
                  </w:pPr>
                  <w:r>
                    <w:rPr>
                      <w:color w:val="auto"/>
                      <w:szCs w:val="21"/>
                    </w:rPr>
                    <w:t>符合</w:t>
                  </w:r>
                </w:p>
              </w:tc>
            </w:tr>
            <w:tr w14:paraId="4AEA4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1160" w:type="dxa"/>
                  <w:vAlign w:val="center"/>
                </w:tcPr>
                <w:p w14:paraId="7E7B017C">
                  <w:pPr>
                    <w:adjustRightInd w:val="0"/>
                    <w:snapToGrid w:val="0"/>
                    <w:jc w:val="center"/>
                    <w:rPr>
                      <w:color w:val="auto"/>
                    </w:rPr>
                  </w:pPr>
                  <w:r>
                    <w:rPr>
                      <w:rFonts w:hint="eastAsia"/>
                      <w:color w:val="auto"/>
                    </w:rPr>
                    <w:t>大气污染减缓措施</w:t>
                  </w:r>
                </w:p>
              </w:tc>
              <w:tc>
                <w:tcPr>
                  <w:tcW w:w="3855" w:type="dxa"/>
                  <w:vAlign w:val="center"/>
                </w:tcPr>
                <w:p w14:paraId="5A9CF7E9">
                  <w:pPr>
                    <w:adjustRightInd w:val="0"/>
                    <w:snapToGrid w:val="0"/>
                    <w:jc w:val="left"/>
                    <w:rPr>
                      <w:color w:val="auto"/>
                    </w:rPr>
                  </w:pPr>
                  <w:r>
                    <w:rPr>
                      <w:rFonts w:hint="eastAsia"/>
                      <w:color w:val="auto"/>
                    </w:rPr>
                    <w:t>①按规划及其他相关要求规划区工业及民用均使用清洁能源。对严重污染大气环境的工艺、设备和产品实行淘汰制度；</w:t>
                  </w:r>
                </w:p>
                <w:p w14:paraId="078D83FE">
                  <w:pPr>
                    <w:adjustRightInd w:val="0"/>
                    <w:snapToGrid w:val="0"/>
                    <w:jc w:val="left"/>
                    <w:rPr>
                      <w:color w:val="auto"/>
                    </w:rPr>
                  </w:pPr>
                  <w:r>
                    <w:rPr>
                      <w:rFonts w:hint="eastAsia"/>
                      <w:color w:val="auto"/>
                    </w:rPr>
                    <w:t>②入驻的有大气污染源排放的项目环境影响评价文件中应将大气环境影响评价作为重点之一，深入分析项目入驻对区域大气环境的影响，明确环境空气污染防治措施并严格落实，要求作出明确的环境是否可行的结论；</w:t>
                  </w:r>
                </w:p>
                <w:p w14:paraId="5958C2C4">
                  <w:pPr>
                    <w:adjustRightInd w:val="0"/>
                    <w:snapToGrid w:val="0"/>
                    <w:jc w:val="left"/>
                    <w:rPr>
                      <w:color w:val="auto"/>
                    </w:rPr>
                  </w:pPr>
                  <w:r>
                    <w:rPr>
                      <w:rFonts w:hint="eastAsia"/>
                      <w:color w:val="auto"/>
                    </w:rPr>
                    <w:t>③推行清洁能源，建议考虑集中供热，实施循环经济，并对大气污染物实行总量控制；入驻企业必须采取新工艺、新技术，提高综合利用，禁止高耗能、重污染的企业入驻，要求规划区企业采用清洁生产工艺，加强源头治理，控制或者逐步削减大气污染物的排放量，严格控制废气污染物的排放，杜绝超标排放，推行清洁生产，减小能耗；</w:t>
                  </w:r>
                </w:p>
                <w:p w14:paraId="0B21EE8E">
                  <w:pPr>
                    <w:adjustRightInd w:val="0"/>
                    <w:snapToGrid w:val="0"/>
                    <w:jc w:val="left"/>
                    <w:rPr>
                      <w:color w:val="auto"/>
                    </w:rPr>
                  </w:pPr>
                  <w:r>
                    <w:rPr>
                      <w:rFonts w:hint="eastAsia"/>
                      <w:color w:val="auto"/>
                    </w:rPr>
                    <w:t>④规划区企业事业单位和其他生产经营者应当按照国家有关规定和监测规范，对其排放的工业废气和有毒有害大气污染物进行监测。其中，重点排污单位应当安装、使用大气污染物排放自动监测设备，与环境保护主管部门的监控设备联网，保证监测设备正常运行并依法公开排放信息。</w:t>
                  </w:r>
                </w:p>
              </w:tc>
              <w:tc>
                <w:tcPr>
                  <w:tcW w:w="2511" w:type="dxa"/>
                  <w:vAlign w:val="center"/>
                </w:tcPr>
                <w:p w14:paraId="4CAC91FE">
                  <w:pPr>
                    <w:adjustRightInd w:val="0"/>
                    <w:snapToGrid w:val="0"/>
                    <w:jc w:val="left"/>
                    <w:rPr>
                      <w:color w:val="auto"/>
                    </w:rPr>
                  </w:pPr>
                  <w:r>
                    <w:rPr>
                      <w:rFonts w:hint="eastAsia"/>
                      <w:color w:val="auto"/>
                    </w:rPr>
                    <w:t>①项目使用能源为电和天然气，均属于清洁能源；</w:t>
                  </w:r>
                </w:p>
                <w:p w14:paraId="1974E31E">
                  <w:pPr>
                    <w:adjustRightInd w:val="0"/>
                    <w:snapToGrid w:val="0"/>
                    <w:jc w:val="left"/>
                    <w:rPr>
                      <w:color w:val="auto"/>
                    </w:rPr>
                  </w:pPr>
                  <w:r>
                    <w:rPr>
                      <w:rFonts w:hint="eastAsia"/>
                      <w:color w:val="auto"/>
                    </w:rPr>
                    <w:t>②项目环评已将大气环境影响评价作为重点之一，本环评第四章第一节深入分析了项目</w:t>
                  </w:r>
                  <w:r>
                    <w:rPr>
                      <w:rFonts w:hint="eastAsia"/>
                      <w:color w:val="auto"/>
                      <w:lang w:eastAsia="zh-CN"/>
                    </w:rPr>
                    <w:t>入驻</w:t>
                  </w:r>
                  <w:r>
                    <w:rPr>
                      <w:rFonts w:hint="eastAsia"/>
                      <w:color w:val="auto"/>
                    </w:rPr>
                    <w:t>对区域大气的影响，并提出防治措施；</w:t>
                  </w:r>
                </w:p>
                <w:p w14:paraId="13F05894">
                  <w:pPr>
                    <w:adjustRightInd w:val="0"/>
                    <w:snapToGrid w:val="0"/>
                    <w:jc w:val="left"/>
                    <w:rPr>
                      <w:color w:val="auto"/>
                      <w:szCs w:val="21"/>
                    </w:rPr>
                  </w:pPr>
                  <w:r>
                    <w:rPr>
                      <w:rFonts w:hint="eastAsia"/>
                      <w:color w:val="auto"/>
                    </w:rPr>
                    <w:t>③项目生产供热使用清洁能源电和天然气，项目为纸制品制造业，不属于高污染高能耗项目，大气污染物主要为</w:t>
                  </w:r>
                  <w:r>
                    <w:rPr>
                      <w:rFonts w:hint="eastAsia"/>
                      <w:color w:val="auto"/>
                      <w:szCs w:val="21"/>
                    </w:rPr>
                    <w:t>甲醛、VOCs（以非甲烷总烃计）、废气经集气罩收集、“UV光解+三级活性炭吸附净化装置”处理后，由15m高排气筒（DA001）排放；</w:t>
                  </w:r>
                </w:p>
                <w:p w14:paraId="44F42C38">
                  <w:pPr>
                    <w:adjustRightInd w:val="0"/>
                    <w:snapToGrid w:val="0"/>
                    <w:jc w:val="left"/>
                    <w:rPr>
                      <w:color w:val="auto"/>
                      <w:szCs w:val="21"/>
                    </w:rPr>
                  </w:pPr>
                  <w:r>
                    <w:rPr>
                      <w:rFonts w:hint="eastAsia"/>
                      <w:color w:val="auto"/>
                      <w:szCs w:val="21"/>
                    </w:rPr>
                    <w:t>④本环评已按相关要求为项目制定大气污染物监测计划，要求企业投产后遵照执行。</w:t>
                  </w:r>
                </w:p>
              </w:tc>
              <w:tc>
                <w:tcPr>
                  <w:tcW w:w="384" w:type="dxa"/>
                  <w:vAlign w:val="center"/>
                </w:tcPr>
                <w:p w14:paraId="73B170BD">
                  <w:pPr>
                    <w:adjustRightInd w:val="0"/>
                    <w:snapToGrid w:val="0"/>
                    <w:jc w:val="left"/>
                    <w:rPr>
                      <w:color w:val="auto"/>
                      <w:szCs w:val="21"/>
                    </w:rPr>
                  </w:pPr>
                  <w:r>
                    <w:rPr>
                      <w:rFonts w:hint="eastAsia"/>
                      <w:color w:val="auto"/>
                      <w:szCs w:val="21"/>
                    </w:rPr>
                    <w:t>符合</w:t>
                  </w:r>
                </w:p>
              </w:tc>
            </w:tr>
            <w:tr w14:paraId="49847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160" w:type="dxa"/>
                  <w:vAlign w:val="center"/>
                </w:tcPr>
                <w:p w14:paraId="4B8F11FF">
                  <w:pPr>
                    <w:adjustRightInd w:val="0"/>
                    <w:snapToGrid w:val="0"/>
                    <w:jc w:val="center"/>
                    <w:rPr>
                      <w:color w:val="auto"/>
                    </w:rPr>
                  </w:pPr>
                  <w:r>
                    <w:rPr>
                      <w:rFonts w:hint="eastAsia"/>
                      <w:color w:val="auto"/>
                    </w:rPr>
                    <w:t>地下水环境影响减缓措施</w:t>
                  </w:r>
                </w:p>
              </w:tc>
              <w:tc>
                <w:tcPr>
                  <w:tcW w:w="3855" w:type="dxa"/>
                  <w:vAlign w:val="center"/>
                </w:tcPr>
                <w:p w14:paraId="117716E1">
                  <w:pPr>
                    <w:adjustRightInd w:val="0"/>
                    <w:snapToGrid w:val="0"/>
                    <w:jc w:val="left"/>
                    <w:rPr>
                      <w:color w:val="auto"/>
                    </w:rPr>
                  </w:pPr>
                  <w:r>
                    <w:rPr>
                      <w:rFonts w:hint="eastAsia"/>
                      <w:color w:val="auto"/>
                    </w:rPr>
                    <w:t>园区重点危险废水暂存区参照执行《危险废物贮存污染控制标准》(GB18597-2023) 、危险化学品、油库等储罐区域参照执行《石油化工企业防渗技术规范》 (GB/T50934-2013) 等相关要求进行分析。没有国家标准或行业防渗技术规范的企业，参照执行《环境影响评价技术导则 地下水》(HJ610-2016) 中各防渗区要求。工业固废堆存按照《一般工业固体废物贮存、处置污染控制标准》 (18599-2001) 要求选址及防渗设计。①杜绝高污染，高排水和淘汰落后工艺性质企业入园；②严禁入驻企业抽取地下水作为生产、生活用水；③规范各入驻企业废水处理设施、生产车间产污工段的地面应为硬化防渗地面，厂内污水沟应有相应防渗措施；④生活垃圾临时堆存点和厂内固废临时堆存点，必须具有防风、防雨、防渗措施，严禁露天乱堆放。堆存点应做到上有雨棚、底有混凝土层防渗周边至少有1.5~2m高的挡墙和环形截雨沟；</w:t>
                  </w:r>
                </w:p>
                <w:p w14:paraId="3A9E6C2D">
                  <w:pPr>
                    <w:adjustRightInd w:val="0"/>
                    <w:snapToGrid w:val="0"/>
                    <w:jc w:val="left"/>
                    <w:rPr>
                      <w:color w:val="auto"/>
                    </w:rPr>
                  </w:pPr>
                  <w:r>
                    <w:rPr>
                      <w:rFonts w:hint="eastAsia"/>
                      <w:color w:val="auto"/>
                    </w:rPr>
                    <w:t>⑤浸出毒性是Ⅱ类一般工业固废和危险固废则需严格按国家有关规定、规范处理处置，杜绝乱堆放或混堆现象；</w:t>
                  </w:r>
                </w:p>
                <w:p w14:paraId="530ADE1D">
                  <w:pPr>
                    <w:adjustRightInd w:val="0"/>
                    <w:snapToGrid w:val="0"/>
                    <w:jc w:val="left"/>
                    <w:rPr>
                      <w:color w:val="auto"/>
                    </w:rPr>
                  </w:pPr>
                  <w:r>
                    <w:rPr>
                      <w:rFonts w:hint="eastAsia"/>
                      <w:color w:val="auto"/>
                    </w:rPr>
                    <w:t>⑥严禁入园企业向地下渗坑、岩溶洼地排水、落水洞排污。严禁入驻企业在园区内新建永久性固废处置场，危险废物委托有资质单位进行清运处置；⑦杜绝各企业生产废水、生活污水及废油、废酸、固体废弃物任意乱排放进入岩溶(洼地、落水洞)环境或农田、水体中，保护地下水环境免受污染；⑧工程建设前应进行厂区岩土工程地质细勘察和进一步的详细水文地质勘察，查明厂区所在处及其附近的断裂构造详情、地下水位埋深及水位动态变化等情况，取得更加详细的工程地质及水文地质资料，为工程设计提供资料。涉及重金属及危险化学品的企业在平面布局时需考虑场地地下水含水层分布情况，尽量使重大风险源、废水收集治理等可能出现渗漏风险的设施设置于泥岩隔水层之上。</w:t>
                  </w:r>
                </w:p>
                <w:p w14:paraId="65C6D937">
                  <w:pPr>
                    <w:adjustRightInd w:val="0"/>
                    <w:snapToGrid w:val="0"/>
                    <w:jc w:val="left"/>
                    <w:rPr>
                      <w:color w:val="auto"/>
                    </w:rPr>
                  </w:pPr>
                  <w:r>
                    <w:rPr>
                      <w:rFonts w:hint="eastAsia"/>
                      <w:color w:val="auto"/>
                    </w:rPr>
                    <w:t>⑨企业场地、各生产车间及原料、废渣临时堆放场地、污水处理设施等区域按照国家标准或行业防渗技术规范、《环境影响评价技术导则 地下水环境》 (HJ610-2016)中的防渗要求进行防渗设计，固废处置应符合相关法规和技术规范要求，渗滤液不得任意外排，避免渗滤液下渗污染地下水环境。</w:t>
                  </w:r>
                </w:p>
              </w:tc>
              <w:tc>
                <w:tcPr>
                  <w:tcW w:w="2511" w:type="dxa"/>
                  <w:vAlign w:val="center"/>
                </w:tcPr>
                <w:p w14:paraId="1263B8BC">
                  <w:pPr>
                    <w:adjustRightInd w:val="0"/>
                    <w:snapToGrid w:val="0"/>
                    <w:jc w:val="left"/>
                    <w:rPr>
                      <w:color w:val="auto"/>
                    </w:rPr>
                  </w:pPr>
                  <w:r>
                    <w:rPr>
                      <w:rFonts w:hint="eastAsia"/>
                      <w:color w:val="auto"/>
                    </w:rPr>
                    <w:t>本环评要求项目危废暂存间、一般固废暂存间分别按照《危险废物贮存污染控制标准》(GB18597-2023)、《一般工业固体废物贮存、处置污染控制标准》 (18599-2001) 进行建设；</w:t>
                  </w:r>
                </w:p>
                <w:p w14:paraId="252BAE0D">
                  <w:pPr>
                    <w:adjustRightInd w:val="0"/>
                    <w:snapToGrid w:val="0"/>
                    <w:jc w:val="left"/>
                    <w:rPr>
                      <w:color w:val="auto"/>
                    </w:rPr>
                  </w:pPr>
                  <w:r>
                    <w:rPr>
                      <w:rFonts w:hint="eastAsia"/>
                      <w:color w:val="auto"/>
                    </w:rPr>
                    <w:t>①项目为纸制品制造业，不属于高污染高排水的行业，项目不涉及淘汰落后工艺；</w:t>
                  </w:r>
                </w:p>
                <w:p w14:paraId="5DA77959">
                  <w:pPr>
                    <w:adjustRightInd w:val="0"/>
                    <w:snapToGrid w:val="0"/>
                    <w:jc w:val="left"/>
                    <w:rPr>
                      <w:color w:val="auto"/>
                    </w:rPr>
                  </w:pPr>
                  <w:r>
                    <w:rPr>
                      <w:rFonts w:hint="eastAsia"/>
                      <w:color w:val="auto"/>
                    </w:rPr>
                    <w:t>②项目生产生活用水为园区管网供水；</w:t>
                  </w:r>
                </w:p>
                <w:p w14:paraId="63C77C1D">
                  <w:pPr>
                    <w:adjustRightInd w:val="0"/>
                    <w:snapToGrid w:val="0"/>
                    <w:jc w:val="left"/>
                    <w:rPr>
                      <w:color w:val="auto"/>
                    </w:rPr>
                  </w:pPr>
                  <w:r>
                    <w:rPr>
                      <w:rFonts w:hint="eastAsia"/>
                      <w:color w:val="auto"/>
                    </w:rPr>
                    <w:t>③项目租用已建成厂房进行建设，生产厂房和污水收集设施均已按要求硬化防渗；</w:t>
                  </w:r>
                </w:p>
                <w:p w14:paraId="0AB4F01A">
                  <w:pPr>
                    <w:adjustRightInd w:val="0"/>
                    <w:snapToGrid w:val="0"/>
                    <w:jc w:val="left"/>
                    <w:rPr>
                      <w:color w:val="auto"/>
                    </w:rPr>
                  </w:pPr>
                  <w:r>
                    <w:rPr>
                      <w:rFonts w:hint="eastAsia"/>
                      <w:color w:val="auto"/>
                    </w:rPr>
                    <w:t>④项目危废暂存间和一般固废暂存间均建设于现有厂房内，防风、防雨、防渗措施均设置到位；</w:t>
                  </w:r>
                </w:p>
                <w:p w14:paraId="4D702711">
                  <w:pPr>
                    <w:adjustRightInd w:val="0"/>
                    <w:snapToGrid w:val="0"/>
                    <w:jc w:val="left"/>
                    <w:rPr>
                      <w:color w:val="auto"/>
                    </w:rPr>
                  </w:pPr>
                  <w:r>
                    <w:rPr>
                      <w:rFonts w:hint="eastAsia"/>
                      <w:color w:val="auto"/>
                    </w:rPr>
                    <w:t>⑤项目不涉及浸出毒性是Ⅱ类一般工业固废，且本环评要求危废暂存间按照《危险废物贮存污染控制标准》(GB18597-2023)进行建设；</w:t>
                  </w:r>
                </w:p>
                <w:p w14:paraId="2E522CD9">
                  <w:pPr>
                    <w:adjustRightInd w:val="0"/>
                    <w:snapToGrid w:val="0"/>
                    <w:jc w:val="left"/>
                    <w:rPr>
                      <w:color w:val="auto"/>
                    </w:rPr>
                  </w:pPr>
                  <w:r>
                    <w:rPr>
                      <w:rFonts w:hint="eastAsia"/>
                      <w:color w:val="auto"/>
                    </w:rPr>
                    <w:t>⑥项目区内不存在地下渗坑、岩溶洼地排水、落水洞，不新建永久性固废处置场，危险废物统一暂存于危废暂存间后委托有资质的单位清运处置；</w:t>
                  </w:r>
                </w:p>
                <w:p w14:paraId="0BCA8716">
                  <w:pPr>
                    <w:adjustRightInd w:val="0"/>
                    <w:snapToGrid w:val="0"/>
                    <w:jc w:val="left"/>
                    <w:rPr>
                      <w:color w:val="auto"/>
                    </w:rPr>
                  </w:pPr>
                  <w:r>
                    <w:rPr>
                      <w:rFonts w:hint="eastAsia"/>
                      <w:color w:val="auto"/>
                    </w:rPr>
                    <w:t>⑦项目不产生生产废水，生活污水处理达标后全部回用于厂区绿化和道路浇洒，不外排；一般固废和危险废物统一收集后委托有资质的单位清运处置；</w:t>
                  </w:r>
                </w:p>
                <w:p w14:paraId="3E84636D">
                  <w:pPr>
                    <w:adjustRightInd w:val="0"/>
                    <w:snapToGrid w:val="0"/>
                    <w:jc w:val="left"/>
                    <w:rPr>
                      <w:color w:val="auto"/>
                    </w:rPr>
                  </w:pPr>
                  <w:r>
                    <w:rPr>
                      <w:rFonts w:hint="eastAsia"/>
                      <w:color w:val="auto"/>
                    </w:rPr>
                    <w:t>⑧项目租用已建成合规厂房建设，不涉及重金属及危险化学品；</w:t>
                  </w:r>
                </w:p>
                <w:p w14:paraId="66F7BB99">
                  <w:pPr>
                    <w:adjustRightInd w:val="0"/>
                    <w:snapToGrid w:val="0"/>
                    <w:jc w:val="left"/>
                    <w:rPr>
                      <w:color w:val="auto"/>
                    </w:rPr>
                  </w:pPr>
                  <w:r>
                    <w:rPr>
                      <w:rFonts w:hint="eastAsia"/>
                      <w:color w:val="auto"/>
                    </w:rPr>
                    <w:t>⑨项目租用已建成合规厂房建设，车间、污水处理设施均已按照国家标准或行业防渗技术规范、《环境影响评价技术导则 地下水环境》 (HJ610-2016)中的防渗要求进行防渗建设；固废均统一收集后委托有资质的单位进行清运处置，无渗滤液产生。</w:t>
                  </w:r>
                </w:p>
              </w:tc>
              <w:tc>
                <w:tcPr>
                  <w:tcW w:w="384" w:type="dxa"/>
                  <w:vAlign w:val="center"/>
                </w:tcPr>
                <w:p w14:paraId="29A2EB5B">
                  <w:pPr>
                    <w:adjustRightInd w:val="0"/>
                    <w:snapToGrid w:val="0"/>
                    <w:jc w:val="left"/>
                    <w:rPr>
                      <w:color w:val="auto"/>
                      <w:szCs w:val="21"/>
                    </w:rPr>
                  </w:pPr>
                  <w:r>
                    <w:rPr>
                      <w:rFonts w:hint="eastAsia"/>
                      <w:color w:val="auto"/>
                      <w:szCs w:val="21"/>
                    </w:rPr>
                    <w:t>符合</w:t>
                  </w:r>
                </w:p>
              </w:tc>
            </w:tr>
            <w:tr w14:paraId="481A4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160" w:type="dxa"/>
                  <w:vAlign w:val="center"/>
                </w:tcPr>
                <w:p w14:paraId="2C4DB7EA">
                  <w:pPr>
                    <w:adjustRightInd w:val="0"/>
                    <w:snapToGrid w:val="0"/>
                    <w:jc w:val="center"/>
                    <w:rPr>
                      <w:color w:val="auto"/>
                    </w:rPr>
                  </w:pPr>
                  <w:r>
                    <w:rPr>
                      <w:rFonts w:hint="eastAsia"/>
                      <w:color w:val="auto"/>
                    </w:rPr>
                    <w:t>土壤环境污染防治措施</w:t>
                  </w:r>
                </w:p>
              </w:tc>
              <w:tc>
                <w:tcPr>
                  <w:tcW w:w="3855" w:type="dxa"/>
                  <w:vAlign w:val="center"/>
                </w:tcPr>
                <w:p w14:paraId="484D364D">
                  <w:pPr>
                    <w:adjustRightInd w:val="0"/>
                    <w:snapToGrid w:val="0"/>
                    <w:jc w:val="left"/>
                    <w:rPr>
                      <w:color w:val="auto"/>
                    </w:rPr>
                  </w:pPr>
                  <w:r>
                    <w:rPr>
                      <w:rFonts w:hint="eastAsia"/>
                      <w:color w:val="auto"/>
                    </w:rPr>
                    <w:t>①源头控制措施：选用合格的生产原料，从源头上控制污染物的产生；</w:t>
                  </w:r>
                </w:p>
                <w:p w14:paraId="0924D9ED">
                  <w:pPr>
                    <w:adjustRightInd w:val="0"/>
                    <w:snapToGrid w:val="0"/>
                    <w:jc w:val="left"/>
                    <w:rPr>
                      <w:color w:val="auto"/>
                    </w:rPr>
                  </w:pPr>
                  <w:r>
                    <w:rPr>
                      <w:rFonts w:hint="eastAsia"/>
                      <w:color w:val="auto"/>
                    </w:rPr>
                    <w:t>②末端控制措施， 废气经处理后外排，减少废气中的污染物排放；</w:t>
                  </w:r>
                </w:p>
                <w:p w14:paraId="32CC8180">
                  <w:pPr>
                    <w:adjustRightInd w:val="0"/>
                    <w:snapToGrid w:val="0"/>
                    <w:jc w:val="left"/>
                    <w:rPr>
                      <w:color w:val="auto"/>
                    </w:rPr>
                  </w:pPr>
                  <w:r>
                    <w:rPr>
                      <w:rFonts w:hint="eastAsia"/>
                      <w:color w:val="auto"/>
                    </w:rPr>
                    <w:t>③污染监控体系：实施覆盖生产区的土壤污染监控系统，及时发现污染及时控制；</w:t>
                  </w:r>
                </w:p>
                <w:p w14:paraId="13BA06DE">
                  <w:pPr>
                    <w:adjustRightInd w:val="0"/>
                    <w:snapToGrid w:val="0"/>
                    <w:jc w:val="left"/>
                    <w:rPr>
                      <w:color w:val="auto"/>
                    </w:rPr>
                  </w:pPr>
                  <w:r>
                    <w:rPr>
                      <w:rFonts w:hint="eastAsia"/>
                      <w:color w:val="auto"/>
                    </w:rPr>
                    <w:t>④应急响应措施：一旦发现污染事故，立即启动应急预案、采取应急措施控制土壤，并使污染得到治理；</w:t>
                  </w:r>
                </w:p>
                <w:p w14:paraId="2CEC3E97">
                  <w:pPr>
                    <w:adjustRightInd w:val="0"/>
                    <w:snapToGrid w:val="0"/>
                    <w:jc w:val="left"/>
                    <w:rPr>
                      <w:color w:val="auto"/>
                    </w:rPr>
                  </w:pPr>
                  <w:r>
                    <w:rPr>
                      <w:rFonts w:hint="eastAsia"/>
                      <w:color w:val="auto"/>
                    </w:rPr>
                    <w:t>⑤绿化措施：合理利用项目区的空余空间，加强项目区的绿化；</w:t>
                  </w:r>
                </w:p>
                <w:p w14:paraId="0061DCD7">
                  <w:pPr>
                    <w:adjustRightInd w:val="0"/>
                    <w:snapToGrid w:val="0"/>
                    <w:jc w:val="left"/>
                    <w:rPr>
                      <w:color w:val="auto"/>
                    </w:rPr>
                  </w:pPr>
                  <w:r>
                    <w:rPr>
                      <w:rFonts w:hint="eastAsia"/>
                      <w:color w:val="auto"/>
                    </w:rPr>
                    <w:t>⑥严格固体废物运输管理，避免在运输过程中的散落；一旦发生散落事件，及时清理收集，防止进入农田。</w:t>
                  </w:r>
                </w:p>
              </w:tc>
              <w:tc>
                <w:tcPr>
                  <w:tcW w:w="2511" w:type="dxa"/>
                  <w:vAlign w:val="center"/>
                </w:tcPr>
                <w:p w14:paraId="244B1787">
                  <w:pPr>
                    <w:pStyle w:val="7"/>
                    <w:rPr>
                      <w:color w:val="auto"/>
                      <w:kern w:val="2"/>
                      <w:sz w:val="21"/>
                      <w:szCs w:val="21"/>
                    </w:rPr>
                  </w:pPr>
                  <w:r>
                    <w:rPr>
                      <w:rFonts w:hint="eastAsia"/>
                      <w:color w:val="auto"/>
                      <w:kern w:val="2"/>
                      <w:sz w:val="21"/>
                      <w:szCs w:val="21"/>
                    </w:rPr>
                    <w:t>①项目生产原料主要为三聚氰胺甲醛树脂，满足《木材工业胶粘剂用脲醛、酚醛、三聚氰胺甲醛树脂》（GB/T 14732-2017）要求；</w:t>
                  </w:r>
                </w:p>
                <w:p w14:paraId="24067D73">
                  <w:pPr>
                    <w:adjustRightInd w:val="0"/>
                    <w:snapToGrid w:val="0"/>
                    <w:jc w:val="left"/>
                    <w:rPr>
                      <w:color w:val="auto"/>
                    </w:rPr>
                  </w:pPr>
                  <w:r>
                    <w:rPr>
                      <w:rFonts w:hint="eastAsia"/>
                      <w:color w:val="auto"/>
                    </w:rPr>
                    <w:t>②项目废气通过</w:t>
                  </w:r>
                  <w:r>
                    <w:rPr>
                      <w:rFonts w:hint="eastAsia"/>
                      <w:color w:val="auto"/>
                      <w:szCs w:val="21"/>
                    </w:rPr>
                    <w:t>“UV光解+三级活性炭吸附净化装置”处理后通过15m高排气筒（DA001）排放；③项目租用已建成</w:t>
                  </w:r>
                  <w:r>
                    <w:rPr>
                      <w:rFonts w:hint="eastAsia"/>
                      <w:color w:val="auto"/>
                    </w:rPr>
                    <w:t>合规厂房建设，生产区域均已进行硬化处理，无裸露土壤；</w:t>
                  </w:r>
                </w:p>
                <w:p w14:paraId="07AC6CDE">
                  <w:pPr>
                    <w:adjustRightInd w:val="0"/>
                    <w:snapToGrid w:val="0"/>
                    <w:jc w:val="left"/>
                    <w:rPr>
                      <w:color w:val="auto"/>
                    </w:rPr>
                  </w:pPr>
                  <w:r>
                    <w:rPr>
                      <w:rFonts w:hint="eastAsia"/>
                      <w:color w:val="auto"/>
                    </w:rPr>
                    <w:t>④本环评已在第四章提出相应应急措施；</w:t>
                  </w:r>
                </w:p>
                <w:p w14:paraId="2D0DD4C2">
                  <w:pPr>
                    <w:adjustRightInd w:val="0"/>
                    <w:snapToGrid w:val="0"/>
                    <w:jc w:val="left"/>
                    <w:rPr>
                      <w:color w:val="auto"/>
                    </w:rPr>
                  </w:pPr>
                  <w:r>
                    <w:rPr>
                      <w:rFonts w:hint="eastAsia"/>
                      <w:color w:val="auto"/>
                    </w:rPr>
                    <w:t>⑤项目已在办公楼北侧进行260m</w:t>
                  </w:r>
                  <w:r>
                    <w:rPr>
                      <w:rFonts w:hint="eastAsia"/>
                      <w:color w:val="auto"/>
                      <w:vertAlign w:val="superscript"/>
                    </w:rPr>
                    <w:t>2</w:t>
                  </w:r>
                  <w:r>
                    <w:rPr>
                      <w:rFonts w:hint="eastAsia"/>
                      <w:color w:val="auto"/>
                    </w:rPr>
                    <w:t>的绿化；</w:t>
                  </w:r>
                </w:p>
                <w:p w14:paraId="207CEA4B">
                  <w:pPr>
                    <w:adjustRightInd w:val="0"/>
                    <w:snapToGrid w:val="0"/>
                    <w:jc w:val="left"/>
                    <w:rPr>
                      <w:color w:val="auto"/>
                    </w:rPr>
                  </w:pPr>
                  <w:r>
                    <w:rPr>
                      <w:rFonts w:hint="eastAsia"/>
                      <w:color w:val="auto"/>
                    </w:rPr>
                    <w:t>⑥项目固废统一收集后，委托有资质的单位进行清运处置。</w:t>
                  </w:r>
                </w:p>
              </w:tc>
              <w:tc>
                <w:tcPr>
                  <w:tcW w:w="384" w:type="dxa"/>
                  <w:vAlign w:val="center"/>
                </w:tcPr>
                <w:p w14:paraId="7F909997">
                  <w:pPr>
                    <w:adjustRightInd w:val="0"/>
                    <w:snapToGrid w:val="0"/>
                    <w:jc w:val="left"/>
                    <w:rPr>
                      <w:color w:val="auto"/>
                      <w:szCs w:val="21"/>
                    </w:rPr>
                  </w:pPr>
                  <w:r>
                    <w:rPr>
                      <w:rFonts w:hint="eastAsia"/>
                      <w:color w:val="auto"/>
                      <w:szCs w:val="21"/>
                    </w:rPr>
                    <w:t>符合</w:t>
                  </w:r>
                </w:p>
              </w:tc>
            </w:tr>
            <w:tr w14:paraId="290FF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160" w:type="dxa"/>
                  <w:vAlign w:val="center"/>
                </w:tcPr>
                <w:p w14:paraId="74F01C10">
                  <w:pPr>
                    <w:adjustRightInd w:val="0"/>
                    <w:snapToGrid w:val="0"/>
                    <w:jc w:val="center"/>
                    <w:rPr>
                      <w:color w:val="auto"/>
                    </w:rPr>
                  </w:pPr>
                  <w:r>
                    <w:rPr>
                      <w:rFonts w:hint="eastAsia"/>
                      <w:color w:val="auto"/>
                    </w:rPr>
                    <w:t>噪声影响减缓措施</w:t>
                  </w:r>
                </w:p>
              </w:tc>
              <w:tc>
                <w:tcPr>
                  <w:tcW w:w="3855" w:type="dxa"/>
                  <w:vAlign w:val="center"/>
                </w:tcPr>
                <w:p w14:paraId="1D9D4AF9">
                  <w:pPr>
                    <w:adjustRightInd w:val="0"/>
                    <w:snapToGrid w:val="0"/>
                    <w:jc w:val="left"/>
                    <w:rPr>
                      <w:color w:val="auto"/>
                    </w:rPr>
                  </w:pPr>
                  <w:r>
                    <w:rPr>
                      <w:rFonts w:hint="eastAsia"/>
                      <w:color w:val="auto"/>
                    </w:rPr>
                    <w:t>①根据规划实施后对声环境的影响分析，本评价提出规划区应合理布局各企业位置，要将工业用地、公共设施用地等噪声污染较高的用地与住宅等需要安静的用地分隔开来，居住区应尽量离开交通干线40m以上，将仓储用地放于交通干道两侧，入园企业也要注意将生产区与办公区分离开来；</w:t>
                  </w:r>
                </w:p>
                <w:p w14:paraId="560DF588">
                  <w:pPr>
                    <w:adjustRightInd w:val="0"/>
                    <w:snapToGrid w:val="0"/>
                    <w:jc w:val="left"/>
                    <w:rPr>
                      <w:color w:val="auto"/>
                    </w:rPr>
                  </w:pPr>
                  <w:r>
                    <w:rPr>
                      <w:rFonts w:hint="eastAsia"/>
                      <w:color w:val="auto"/>
                    </w:rPr>
                    <w:t>②入园企业如果使用一些高噪声设备如风机、空压机、冷却塔、发电机等，应做好消音降噪措施，建设过程中一定要对高噪声设备实行“同时设计同时施工、同时验收”的原则，杜绝先污染后治理的现象出现。</w:t>
                  </w:r>
                </w:p>
              </w:tc>
              <w:tc>
                <w:tcPr>
                  <w:tcW w:w="2511" w:type="dxa"/>
                  <w:vAlign w:val="center"/>
                </w:tcPr>
                <w:p w14:paraId="7721A21A">
                  <w:pPr>
                    <w:adjustRightInd w:val="0"/>
                    <w:snapToGrid w:val="0"/>
                    <w:jc w:val="left"/>
                    <w:rPr>
                      <w:color w:val="auto"/>
                    </w:rPr>
                  </w:pPr>
                  <w:r>
                    <w:rPr>
                      <w:rFonts w:hint="eastAsia"/>
                      <w:color w:val="auto"/>
                    </w:rPr>
                    <w:t>①项目位于工业园区内，用地性质为工业用地，生产厂房与办公楼已单独分离；</w:t>
                  </w:r>
                </w:p>
                <w:p w14:paraId="305229A5">
                  <w:pPr>
                    <w:adjustRightInd w:val="0"/>
                    <w:snapToGrid w:val="0"/>
                    <w:jc w:val="left"/>
                    <w:rPr>
                      <w:color w:val="auto"/>
                    </w:rPr>
                  </w:pPr>
                  <w:r>
                    <w:rPr>
                      <w:rFonts w:hint="eastAsia"/>
                      <w:color w:val="auto"/>
                    </w:rPr>
                    <w:t>②项目主要产噪设备为空压机、风机、搅拌机等，均已设置基础减震和厂房隔声措施；项目设备均已安装，但未投入使用，环评要求项目遵循“三同时原则”，杜绝先污染后治理的现象出现。</w:t>
                  </w:r>
                </w:p>
              </w:tc>
              <w:tc>
                <w:tcPr>
                  <w:tcW w:w="384" w:type="dxa"/>
                  <w:vAlign w:val="center"/>
                </w:tcPr>
                <w:p w14:paraId="157B7770">
                  <w:pPr>
                    <w:adjustRightInd w:val="0"/>
                    <w:snapToGrid w:val="0"/>
                    <w:jc w:val="left"/>
                    <w:rPr>
                      <w:color w:val="auto"/>
                      <w:szCs w:val="21"/>
                    </w:rPr>
                  </w:pPr>
                  <w:r>
                    <w:rPr>
                      <w:rFonts w:hint="eastAsia"/>
                      <w:color w:val="auto"/>
                      <w:szCs w:val="21"/>
                    </w:rPr>
                    <w:t>符合</w:t>
                  </w:r>
                </w:p>
              </w:tc>
            </w:tr>
            <w:tr w14:paraId="288E2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160" w:type="dxa"/>
                  <w:vAlign w:val="center"/>
                </w:tcPr>
                <w:p w14:paraId="4652BBB6">
                  <w:pPr>
                    <w:adjustRightInd w:val="0"/>
                    <w:snapToGrid w:val="0"/>
                    <w:jc w:val="center"/>
                    <w:rPr>
                      <w:color w:val="auto"/>
                    </w:rPr>
                  </w:pPr>
                  <w:r>
                    <w:rPr>
                      <w:rFonts w:hint="eastAsia"/>
                      <w:color w:val="auto"/>
                    </w:rPr>
                    <w:t>固体废物污染防治措施</w:t>
                  </w:r>
                </w:p>
              </w:tc>
              <w:tc>
                <w:tcPr>
                  <w:tcW w:w="3855" w:type="dxa"/>
                  <w:vAlign w:val="center"/>
                </w:tcPr>
                <w:p w14:paraId="543CA7C2">
                  <w:pPr>
                    <w:adjustRightInd w:val="0"/>
                    <w:snapToGrid w:val="0"/>
                    <w:jc w:val="left"/>
                    <w:rPr>
                      <w:color w:val="auto"/>
                    </w:rPr>
                  </w:pPr>
                  <w:r>
                    <w:rPr>
                      <w:rFonts w:hint="eastAsia"/>
                      <w:color w:val="auto"/>
                    </w:rPr>
                    <w:t>①园区不统一设置渣场，现有企业及未来入驻企业，禁止在园区内新建永久性固废处置渣场。临时渣场建设应严格按照《一般工业固体废物贮存和填埋污染控制标准》(GB18599-2020)的相关规定进行设置，充分采取防渗防雨淋等措施；</w:t>
                  </w:r>
                </w:p>
                <w:p w14:paraId="61212806">
                  <w:pPr>
                    <w:adjustRightInd w:val="0"/>
                    <w:snapToGrid w:val="0"/>
                    <w:jc w:val="left"/>
                    <w:rPr>
                      <w:color w:val="auto"/>
                    </w:rPr>
                  </w:pPr>
                  <w:r>
                    <w:rPr>
                      <w:rFonts w:hint="eastAsia"/>
                      <w:color w:val="auto"/>
                    </w:rPr>
                    <w:t>②对工业固体废物中可以回收利用的进行充分综合利用，立足于在园区内加以消化。园区应加强工业固废管理，按“谁产生、谁负责”原则，要求园区企业对产生固体废物进行处置、储存，应将固体废物的性质、产生量、处置去向等向环保主管部门进行</w:t>
                  </w:r>
                  <w:r>
                    <w:rPr>
                      <w:rFonts w:hint="eastAsia"/>
                      <w:color w:val="auto"/>
                      <w:lang w:eastAsia="zh-CN"/>
                    </w:rPr>
                    <w:t>申报</w:t>
                  </w:r>
                  <w:r>
                    <w:rPr>
                      <w:rFonts w:hint="eastAsia"/>
                      <w:color w:val="auto"/>
                    </w:rPr>
                    <w:t>登记，严禁随意倾倒。调整产业结构，减少高资源消耗、高能耗企业，减少固废的产生。从清洁生产、循环经济角度控制工业固体废物产生量，引导企业系统内部减量化和循环利用，降低单位产品固体废物产量。提高综合利用率，加大工业固体废物综合利用技术的开发力度，促进固体废物重新进入生产循环系统，实现固体废物的回收、循环、利用及资源；</w:t>
                  </w:r>
                </w:p>
                <w:p w14:paraId="2285E6EB">
                  <w:pPr>
                    <w:adjustRightInd w:val="0"/>
                    <w:snapToGrid w:val="0"/>
                    <w:jc w:val="left"/>
                    <w:rPr>
                      <w:color w:val="auto"/>
                    </w:rPr>
                  </w:pPr>
                  <w:r>
                    <w:rPr>
                      <w:rFonts w:hint="eastAsia"/>
                      <w:color w:val="auto"/>
                    </w:rPr>
                    <w:t>③对于危险固废，需要按《危险废物贮存污染控制标准》(GB18597-2023)的要求进行贮存，委托危险废物中心处理;目前不能处置的废物，应在项目内妥善贮存。严格按照《中华人民共和国固体废物污染环境防治法》对危险废物污染环境污染防治的特别规定，做好危险废物的</w:t>
                  </w:r>
                  <w:r>
                    <w:rPr>
                      <w:rFonts w:hint="eastAsia"/>
                      <w:color w:val="auto"/>
                      <w:lang w:eastAsia="zh-CN"/>
                    </w:rPr>
                    <w:t>申报</w:t>
                  </w:r>
                  <w:r>
                    <w:rPr>
                      <w:rFonts w:hint="eastAsia"/>
                      <w:color w:val="auto"/>
                    </w:rPr>
                    <w:t>登记、处置和管理。</w:t>
                  </w:r>
                </w:p>
                <w:p w14:paraId="14127E35">
                  <w:pPr>
                    <w:adjustRightInd w:val="0"/>
                    <w:snapToGrid w:val="0"/>
                    <w:jc w:val="left"/>
                    <w:rPr>
                      <w:color w:val="auto"/>
                    </w:rPr>
                  </w:pPr>
                  <w:r>
                    <w:rPr>
                      <w:rFonts w:hint="eastAsia"/>
                      <w:color w:val="auto"/>
                    </w:rPr>
                    <w:t>强化危险废物管理；</w:t>
                  </w:r>
                </w:p>
                <w:p w14:paraId="6554A3E3">
                  <w:pPr>
                    <w:adjustRightInd w:val="0"/>
                    <w:snapToGrid w:val="0"/>
                    <w:jc w:val="left"/>
                    <w:rPr>
                      <w:color w:val="auto"/>
                    </w:rPr>
                  </w:pPr>
                  <w:r>
                    <w:rPr>
                      <w:rFonts w:hint="eastAsia"/>
                      <w:color w:val="auto"/>
                    </w:rPr>
                    <w:t>④规划区产生的生活垃圾则委托环卫部门统一收集并运至城市生活垃圾卫生填埋场进行处置;制定地方商品进入和消费的指导性政策，限制过度包装商品的进入，建立消费品包装物回收体系，逐步取缔一次性餐具类商品的销售和使用。鼓励净菜类产业和相关服务体系的发展，减少厨房残余垃圾产生量;</w:t>
                  </w:r>
                </w:p>
                <w:p w14:paraId="54E295E8">
                  <w:pPr>
                    <w:adjustRightInd w:val="0"/>
                    <w:snapToGrid w:val="0"/>
                    <w:jc w:val="left"/>
                    <w:rPr>
                      <w:color w:val="auto"/>
                    </w:rPr>
                  </w:pPr>
                  <w:r>
                    <w:rPr>
                      <w:rFonts w:hint="eastAsia"/>
                      <w:color w:val="auto"/>
                    </w:rPr>
                    <w:t>⑤工程开挖土石方、建筑垃圾和施工人员生活垃圾要及时清运，以免给周围环境带来影响。</w:t>
                  </w:r>
                </w:p>
              </w:tc>
              <w:tc>
                <w:tcPr>
                  <w:tcW w:w="2511" w:type="dxa"/>
                  <w:vAlign w:val="center"/>
                </w:tcPr>
                <w:p w14:paraId="64CE4459">
                  <w:pPr>
                    <w:adjustRightInd w:val="0"/>
                    <w:snapToGrid w:val="0"/>
                    <w:jc w:val="left"/>
                    <w:rPr>
                      <w:color w:val="auto"/>
                      <w:szCs w:val="21"/>
                    </w:rPr>
                  </w:pPr>
                  <w:r>
                    <w:rPr>
                      <w:rFonts w:hint="eastAsia"/>
                      <w:color w:val="auto"/>
                      <w:szCs w:val="21"/>
                    </w:rPr>
                    <w:t>①项目不涉及渣场；</w:t>
                  </w:r>
                </w:p>
                <w:p w14:paraId="42A1E613">
                  <w:pPr>
                    <w:adjustRightInd w:val="0"/>
                    <w:snapToGrid w:val="0"/>
                    <w:jc w:val="left"/>
                    <w:rPr>
                      <w:color w:val="auto"/>
                      <w:szCs w:val="21"/>
                    </w:rPr>
                  </w:pPr>
                  <w:r>
                    <w:rPr>
                      <w:rFonts w:hint="eastAsia"/>
                      <w:color w:val="auto"/>
                      <w:szCs w:val="21"/>
                    </w:rPr>
                    <w:t>②项目已设置危废暂存间和一般固废暂存间，对项目固废进行统一收集暂存，其中，废包装材料外售给废品收购站，其余固废均由有资质的单位进行清运处置；</w:t>
                  </w:r>
                </w:p>
                <w:p w14:paraId="3B37964B">
                  <w:pPr>
                    <w:adjustRightInd w:val="0"/>
                    <w:snapToGrid w:val="0"/>
                    <w:jc w:val="left"/>
                    <w:rPr>
                      <w:color w:val="auto"/>
                      <w:szCs w:val="21"/>
                    </w:rPr>
                  </w:pPr>
                  <w:r>
                    <w:rPr>
                      <w:rFonts w:hint="eastAsia"/>
                      <w:color w:val="auto"/>
                      <w:szCs w:val="21"/>
                    </w:rPr>
                    <w:t>③项目租用已建成合规厂房进行建设，在厂房东北角拟建危废暂存间，本环评要求严格按照</w:t>
                  </w:r>
                  <w:r>
                    <w:rPr>
                      <w:rFonts w:hint="eastAsia"/>
                      <w:color w:val="auto"/>
                    </w:rPr>
                    <w:t>《危险废物贮存污染控制标准》(GB18597-2023)的要求进行建设和贮存；</w:t>
                  </w:r>
                  <w:r>
                    <w:rPr>
                      <w:rFonts w:hint="eastAsia"/>
                      <w:color w:val="auto"/>
                      <w:szCs w:val="21"/>
                    </w:rPr>
                    <w:t>项目固废处置率100%，不存在</w:t>
                  </w:r>
                  <w:r>
                    <w:rPr>
                      <w:rFonts w:hint="eastAsia"/>
                      <w:color w:val="auto"/>
                    </w:rPr>
                    <w:t>不能处置的废物</w:t>
                  </w:r>
                  <w:r>
                    <w:rPr>
                      <w:rFonts w:hint="eastAsia"/>
                      <w:color w:val="auto"/>
                      <w:szCs w:val="21"/>
                    </w:rPr>
                    <w:t>；</w:t>
                  </w:r>
                </w:p>
                <w:p w14:paraId="091816E3">
                  <w:pPr>
                    <w:adjustRightInd w:val="0"/>
                    <w:snapToGrid w:val="0"/>
                    <w:jc w:val="left"/>
                    <w:rPr>
                      <w:color w:val="auto"/>
                      <w:szCs w:val="21"/>
                    </w:rPr>
                  </w:pPr>
                  <w:r>
                    <w:rPr>
                      <w:rFonts w:hint="eastAsia"/>
                      <w:color w:val="auto"/>
                      <w:szCs w:val="21"/>
                    </w:rPr>
                    <w:t>④项目已设置危废暂存间和一般固废暂存间，对项目固废进行统一收集暂存，并委托有资质的单位进行清运处置；项目不设置厨房，无厨余垃圾产生；</w:t>
                  </w:r>
                </w:p>
                <w:p w14:paraId="24265E4A">
                  <w:pPr>
                    <w:pStyle w:val="7"/>
                    <w:rPr>
                      <w:color w:val="auto"/>
                      <w:sz w:val="21"/>
                      <w:szCs w:val="21"/>
                    </w:rPr>
                  </w:pPr>
                  <w:r>
                    <w:rPr>
                      <w:rFonts w:hint="eastAsia"/>
                      <w:color w:val="auto"/>
                      <w:sz w:val="21"/>
                      <w:szCs w:val="21"/>
                    </w:rPr>
                    <w:t>⑤项目租用已建成合规厂房建设，不新增占地，施工期不涉及土石方开挖，施工期生活垃圾以及建筑垃圾已及时清运。</w:t>
                  </w:r>
                </w:p>
              </w:tc>
              <w:tc>
                <w:tcPr>
                  <w:tcW w:w="384" w:type="dxa"/>
                  <w:vAlign w:val="center"/>
                </w:tcPr>
                <w:p w14:paraId="4629EA2D">
                  <w:pPr>
                    <w:adjustRightInd w:val="0"/>
                    <w:snapToGrid w:val="0"/>
                    <w:jc w:val="left"/>
                    <w:rPr>
                      <w:color w:val="auto"/>
                      <w:szCs w:val="21"/>
                    </w:rPr>
                  </w:pPr>
                  <w:r>
                    <w:rPr>
                      <w:rFonts w:hint="eastAsia"/>
                      <w:color w:val="auto"/>
                      <w:szCs w:val="21"/>
                    </w:rPr>
                    <w:t>符合</w:t>
                  </w:r>
                </w:p>
              </w:tc>
            </w:tr>
            <w:tr w14:paraId="63595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160" w:type="dxa"/>
                  <w:vAlign w:val="center"/>
                </w:tcPr>
                <w:p w14:paraId="344C1775">
                  <w:pPr>
                    <w:adjustRightInd w:val="0"/>
                    <w:snapToGrid w:val="0"/>
                    <w:jc w:val="center"/>
                    <w:rPr>
                      <w:color w:val="auto"/>
                    </w:rPr>
                  </w:pPr>
                  <w:r>
                    <w:rPr>
                      <w:rFonts w:hint="eastAsia"/>
                      <w:color w:val="auto"/>
                    </w:rPr>
                    <w:t>生态环境影响减缓措施</w:t>
                  </w:r>
                </w:p>
              </w:tc>
              <w:tc>
                <w:tcPr>
                  <w:tcW w:w="3855" w:type="dxa"/>
                  <w:vAlign w:val="center"/>
                </w:tcPr>
                <w:p w14:paraId="18A4F489">
                  <w:pPr>
                    <w:adjustRightInd w:val="0"/>
                    <w:snapToGrid w:val="0"/>
                    <w:jc w:val="left"/>
                    <w:rPr>
                      <w:color w:val="auto"/>
                    </w:rPr>
                  </w:pPr>
                  <w:r>
                    <w:rPr>
                      <w:rFonts w:hint="eastAsia"/>
                      <w:color w:val="auto"/>
                    </w:rPr>
                    <w:t>①强化规划区内项目建设施工期保护；</w:t>
                  </w:r>
                </w:p>
                <w:p w14:paraId="046F87A9">
                  <w:pPr>
                    <w:adjustRightInd w:val="0"/>
                    <w:snapToGrid w:val="0"/>
                    <w:jc w:val="left"/>
                    <w:rPr>
                      <w:color w:val="auto"/>
                    </w:rPr>
                  </w:pPr>
                  <w:r>
                    <w:rPr>
                      <w:rFonts w:hint="eastAsia"/>
                      <w:color w:val="auto"/>
                    </w:rPr>
                    <w:t>②</w:t>
                  </w:r>
                  <w:r>
                    <w:rPr>
                      <w:color w:val="auto"/>
                    </w:rPr>
                    <w:t>优先进行生态基础设施建设</w:t>
                  </w:r>
                  <w:r>
                    <w:rPr>
                      <w:rFonts w:hint="eastAsia"/>
                      <w:color w:val="auto"/>
                    </w:rPr>
                    <w:t>；</w:t>
                  </w:r>
                </w:p>
                <w:p w14:paraId="50F499F6">
                  <w:pPr>
                    <w:adjustRightInd w:val="0"/>
                    <w:snapToGrid w:val="0"/>
                    <w:jc w:val="left"/>
                    <w:rPr>
                      <w:color w:val="auto"/>
                    </w:rPr>
                  </w:pPr>
                  <w:r>
                    <w:rPr>
                      <w:rFonts w:hint="eastAsia"/>
                      <w:color w:val="auto"/>
                    </w:rPr>
                    <w:t>③</w:t>
                  </w:r>
                  <w:r>
                    <w:rPr>
                      <w:color w:val="auto"/>
                    </w:rPr>
                    <w:t>注重生态环境保护的管理和宣传教育</w:t>
                  </w:r>
                  <w:r>
                    <w:rPr>
                      <w:rFonts w:hint="eastAsia"/>
                      <w:color w:val="auto"/>
                    </w:rPr>
                    <w:t>；</w:t>
                  </w:r>
                </w:p>
                <w:p w14:paraId="4604242F">
                  <w:pPr>
                    <w:adjustRightInd w:val="0"/>
                    <w:snapToGrid w:val="0"/>
                    <w:jc w:val="left"/>
                    <w:rPr>
                      <w:color w:val="auto"/>
                    </w:rPr>
                  </w:pPr>
                  <w:r>
                    <w:rPr>
                      <w:rFonts w:hint="eastAsia"/>
                      <w:color w:val="auto"/>
                    </w:rPr>
                    <w:t>④</w:t>
                  </w:r>
                  <w:r>
                    <w:rPr>
                      <w:color w:val="auto"/>
                    </w:rPr>
                    <w:t>规划实施建设活动时应尽量避开耕地、林地，尽量选择在灌</w:t>
                  </w:r>
                  <w:r>
                    <w:rPr>
                      <w:rFonts w:hint="eastAsia"/>
                      <w:color w:val="auto"/>
                      <w:lang w:eastAsia="zh-CN"/>
                    </w:rPr>
                    <w:t>草丛</w:t>
                  </w:r>
                  <w:r>
                    <w:rPr>
                      <w:color w:val="auto"/>
                    </w:rPr>
                    <w:t>、荒地等植被较差或未开发利用的区域，以减少对植被的破坏</w:t>
                  </w:r>
                  <w:r>
                    <w:rPr>
                      <w:rFonts w:hint="eastAsia"/>
                      <w:color w:val="auto"/>
                    </w:rPr>
                    <w:t>；</w:t>
                  </w:r>
                </w:p>
                <w:p w14:paraId="3C678691">
                  <w:pPr>
                    <w:adjustRightInd w:val="0"/>
                    <w:snapToGrid w:val="0"/>
                    <w:jc w:val="left"/>
                    <w:rPr>
                      <w:color w:val="auto"/>
                    </w:rPr>
                  </w:pPr>
                  <w:r>
                    <w:rPr>
                      <w:rFonts w:hint="eastAsia"/>
                      <w:color w:val="auto"/>
                    </w:rPr>
                    <w:t>⑤</w:t>
                  </w:r>
                  <w:r>
                    <w:rPr>
                      <w:color w:val="auto"/>
                    </w:rPr>
                    <w:t>在保证质量的情况下尽量缩短工期，从而尽量减少对占地范围环境的扰动;施工结束后，对施工现场进行迹地清理，尽早开展植被恢复和复垦,植被的恢复必须按照当地的实际情况，针对不同的土壤条件、气候条件以及坡度、海拔等条件进行乔灌草的合理配置，建立起植被与生境水分条件相符合的群落生态关系，优先选用乡土物种进行植被恢复，禁止引入外来入侵物种</w:t>
                  </w:r>
                  <w:r>
                    <w:rPr>
                      <w:rFonts w:hint="eastAsia"/>
                      <w:color w:val="auto"/>
                    </w:rPr>
                    <w:t>；</w:t>
                  </w:r>
                </w:p>
                <w:p w14:paraId="5980B5C0">
                  <w:pPr>
                    <w:adjustRightInd w:val="0"/>
                    <w:snapToGrid w:val="0"/>
                    <w:jc w:val="left"/>
                    <w:rPr>
                      <w:color w:val="auto"/>
                    </w:rPr>
                  </w:pPr>
                  <w:r>
                    <w:rPr>
                      <w:rFonts w:hint="eastAsia"/>
                      <w:color w:val="auto"/>
                    </w:rPr>
                    <w:t>⑥</w:t>
                  </w:r>
                  <w:r>
                    <w:rPr>
                      <w:color w:val="auto"/>
                    </w:rPr>
                    <w:t>工程施工应分散分区进行，开挖面要及时种上草皮，缩短裸露面的暴露时间，减少水土流失。在施工过程中，控制地表破坏程度，尽量保护周围的土壤和植被，要严格按照施工规划尽可能少占地。合理布设施工场地，减少土地占用。施工单位要做好相应的施工组织与管理工作，尽量缩短工期。及时清理施工现场，不得遗留任何固体废物、建(构)筑物的残体、生活垃圾和《石) 方等，某些关键节点采取临时围挡进行封闭施工。</w:t>
                  </w:r>
                </w:p>
              </w:tc>
              <w:tc>
                <w:tcPr>
                  <w:tcW w:w="2511" w:type="dxa"/>
                  <w:vAlign w:val="center"/>
                </w:tcPr>
                <w:p w14:paraId="2C09AAF9">
                  <w:pPr>
                    <w:adjustRightInd w:val="0"/>
                    <w:snapToGrid w:val="0"/>
                    <w:jc w:val="left"/>
                    <w:rPr>
                      <w:color w:val="auto"/>
                      <w:szCs w:val="21"/>
                    </w:rPr>
                  </w:pPr>
                  <w:r>
                    <w:rPr>
                      <w:rFonts w:hint="eastAsia"/>
                      <w:color w:val="auto"/>
                      <w:szCs w:val="21"/>
                    </w:rPr>
                    <w:t>①项目租用已建成厂房进行建设，不新增占地，施工期不涉及土方开挖，施工仅进行设备安装，主要污染因子为扬尘，定期进行洒水降尘后对生态环境影响较小；</w:t>
                  </w:r>
                </w:p>
                <w:p w14:paraId="15329CB4">
                  <w:pPr>
                    <w:adjustRightInd w:val="0"/>
                    <w:snapToGrid w:val="0"/>
                    <w:jc w:val="left"/>
                    <w:rPr>
                      <w:color w:val="auto"/>
                      <w:szCs w:val="21"/>
                    </w:rPr>
                  </w:pPr>
                  <w:r>
                    <w:rPr>
                      <w:rFonts w:hint="eastAsia"/>
                      <w:color w:val="auto"/>
                      <w:szCs w:val="21"/>
                    </w:rPr>
                    <w:t>②项目租用已建成厂房进行建设，已在办公楼北侧进行260m</w:t>
                  </w:r>
                  <w:r>
                    <w:rPr>
                      <w:rFonts w:hint="eastAsia"/>
                      <w:color w:val="auto"/>
                      <w:szCs w:val="21"/>
                      <w:vertAlign w:val="superscript"/>
                    </w:rPr>
                    <w:t>2</w:t>
                  </w:r>
                  <w:r>
                    <w:rPr>
                      <w:rFonts w:hint="eastAsia"/>
                      <w:color w:val="auto"/>
                      <w:szCs w:val="21"/>
                    </w:rPr>
                    <w:t>的绿化建设；</w:t>
                  </w:r>
                </w:p>
                <w:p w14:paraId="076510E4">
                  <w:pPr>
                    <w:adjustRightInd w:val="0"/>
                    <w:snapToGrid w:val="0"/>
                    <w:jc w:val="left"/>
                    <w:rPr>
                      <w:color w:val="auto"/>
                      <w:szCs w:val="21"/>
                    </w:rPr>
                  </w:pPr>
                  <w:r>
                    <w:rPr>
                      <w:rFonts w:hint="eastAsia"/>
                      <w:color w:val="auto"/>
                      <w:szCs w:val="21"/>
                    </w:rPr>
                    <w:t>③环评要求项目建设后应制定相应的环境管理制度，并及时、定期对员工进行培训；</w:t>
                  </w:r>
                </w:p>
                <w:p w14:paraId="2CE88A6C">
                  <w:pPr>
                    <w:adjustRightInd w:val="0"/>
                    <w:snapToGrid w:val="0"/>
                    <w:jc w:val="left"/>
                    <w:rPr>
                      <w:color w:val="auto"/>
                      <w:szCs w:val="21"/>
                    </w:rPr>
                  </w:pPr>
                  <w:r>
                    <w:rPr>
                      <w:rFonts w:hint="eastAsia"/>
                      <w:color w:val="auto"/>
                      <w:szCs w:val="21"/>
                    </w:rPr>
                    <w:t>④项目租用已建成厂房进行建设，不新增占地，不会对植被造成破坏；</w:t>
                  </w:r>
                </w:p>
                <w:p w14:paraId="6709CB4C">
                  <w:pPr>
                    <w:adjustRightInd w:val="0"/>
                    <w:snapToGrid w:val="0"/>
                    <w:jc w:val="left"/>
                    <w:rPr>
                      <w:color w:val="auto"/>
                      <w:szCs w:val="21"/>
                    </w:rPr>
                  </w:pPr>
                  <w:r>
                    <w:rPr>
                      <w:rFonts w:hint="eastAsia"/>
                      <w:color w:val="auto"/>
                      <w:szCs w:val="21"/>
                    </w:rPr>
                    <w:t>⑤项目租用已建成厂房进行建设，不新增占地，不涉及植被破坏、土地开垦等活动；</w:t>
                  </w:r>
                </w:p>
                <w:p w14:paraId="0B148A95">
                  <w:pPr>
                    <w:adjustRightInd w:val="0"/>
                    <w:snapToGrid w:val="0"/>
                    <w:jc w:val="left"/>
                    <w:rPr>
                      <w:color w:val="auto"/>
                      <w:szCs w:val="21"/>
                    </w:rPr>
                  </w:pPr>
                  <w:r>
                    <w:rPr>
                      <w:rFonts w:hint="eastAsia"/>
                      <w:color w:val="auto"/>
                      <w:szCs w:val="21"/>
                    </w:rPr>
                    <w:t>⑥项目租用已建成厂房进行建设，不新增占地，不涉及地表破坏和水土流失，无建筑垃圾产生。</w:t>
                  </w:r>
                </w:p>
              </w:tc>
              <w:tc>
                <w:tcPr>
                  <w:tcW w:w="384" w:type="dxa"/>
                  <w:vAlign w:val="center"/>
                </w:tcPr>
                <w:p w14:paraId="7BAB0865">
                  <w:pPr>
                    <w:adjustRightInd w:val="0"/>
                    <w:snapToGrid w:val="0"/>
                    <w:jc w:val="left"/>
                    <w:rPr>
                      <w:color w:val="auto"/>
                      <w:szCs w:val="21"/>
                    </w:rPr>
                  </w:pPr>
                  <w:r>
                    <w:rPr>
                      <w:rFonts w:hint="eastAsia"/>
                      <w:color w:val="auto"/>
                      <w:szCs w:val="21"/>
                    </w:rPr>
                    <w:t>符合</w:t>
                  </w:r>
                </w:p>
              </w:tc>
            </w:tr>
            <w:tr w14:paraId="342B4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160" w:type="dxa"/>
                  <w:vAlign w:val="center"/>
                </w:tcPr>
                <w:p w14:paraId="69D5363B">
                  <w:pPr>
                    <w:adjustRightInd w:val="0"/>
                    <w:snapToGrid w:val="0"/>
                    <w:jc w:val="center"/>
                    <w:rPr>
                      <w:color w:val="auto"/>
                    </w:rPr>
                  </w:pPr>
                  <w:r>
                    <w:rPr>
                      <w:rFonts w:hint="eastAsia"/>
                      <w:color w:val="auto"/>
                    </w:rPr>
                    <w:t>事故及风险防范措施</w:t>
                  </w:r>
                </w:p>
              </w:tc>
              <w:tc>
                <w:tcPr>
                  <w:tcW w:w="3855" w:type="dxa"/>
                  <w:vAlign w:val="center"/>
                </w:tcPr>
                <w:p w14:paraId="105552A0">
                  <w:pPr>
                    <w:adjustRightInd w:val="0"/>
                    <w:snapToGrid w:val="0"/>
                    <w:jc w:val="left"/>
                    <w:rPr>
                      <w:color w:val="auto"/>
                    </w:rPr>
                  </w:pPr>
                  <w:r>
                    <w:rPr>
                      <w:rFonts w:hint="eastAsia"/>
                      <w:color w:val="auto"/>
                    </w:rPr>
                    <w:t>①规划实施过程中，园区管委会和环保部门对进驻园区企业进行风险排查，掌握园区企业危险化学品使用、贮存和生产情况；</w:t>
                  </w:r>
                </w:p>
                <w:p w14:paraId="074DFCDE">
                  <w:pPr>
                    <w:adjustRightInd w:val="0"/>
                    <w:snapToGrid w:val="0"/>
                    <w:jc w:val="left"/>
                    <w:rPr>
                      <w:color w:val="auto"/>
                    </w:rPr>
                  </w:pPr>
                  <w:r>
                    <w:rPr>
                      <w:rFonts w:hint="eastAsia"/>
                      <w:color w:val="auto"/>
                    </w:rPr>
                    <w:t>②企业进驻园区时，根据进驻企业的生产规模、产品方案、工艺流程以及危险化学品使用、贮存和生产情况，对进驻企业按照 HJ/T169-2018《建设项目环境风险评价技术导则》的要求进行环境风险评价，提出各项目的环境风险防范措施和应急预案，确定各项目的安全防护距离；</w:t>
                  </w:r>
                </w:p>
                <w:p w14:paraId="4DB3CC61">
                  <w:pPr>
                    <w:adjustRightInd w:val="0"/>
                    <w:snapToGrid w:val="0"/>
                    <w:jc w:val="left"/>
                    <w:rPr>
                      <w:color w:val="auto"/>
                    </w:rPr>
                  </w:pPr>
                  <w:r>
                    <w:rPr>
                      <w:rFonts w:hint="eastAsia"/>
                      <w:color w:val="auto"/>
                    </w:rPr>
                    <w:t>③根据进驻项目可能发生的风险事故和清消废水产生量，对存在环境风险的项目，在进行设计施工时，设置清消废水收集池，清消废水经收集处理达标后才能外排；</w:t>
                  </w:r>
                </w:p>
                <w:p w14:paraId="762A76FE">
                  <w:pPr>
                    <w:adjustRightInd w:val="0"/>
                    <w:snapToGrid w:val="0"/>
                    <w:jc w:val="left"/>
                    <w:rPr>
                      <w:color w:val="auto"/>
                    </w:rPr>
                  </w:pPr>
                  <w:r>
                    <w:rPr>
                      <w:rFonts w:hint="eastAsia"/>
                      <w:color w:val="auto"/>
                    </w:rPr>
                    <w:t>④对于涉及使用易燃易爆危险化学品的企业进驻园区时，园区管委会应要求企业做好该距离范围内的火灾、爆炸防护工作，通过对进驻企业进行安全或风险评价，提出合理的防护距离，在该距离范围内，不得堆放易燃、易爆、有毒有害等危险化学品，并预留消防通道；</w:t>
                  </w:r>
                </w:p>
                <w:p w14:paraId="1A0A5CF4">
                  <w:pPr>
                    <w:adjustRightInd w:val="0"/>
                    <w:snapToGrid w:val="0"/>
                    <w:jc w:val="left"/>
                    <w:rPr>
                      <w:color w:val="auto"/>
                    </w:rPr>
                  </w:pPr>
                  <w:r>
                    <w:rPr>
                      <w:rFonts w:hint="eastAsia"/>
                      <w:color w:val="auto"/>
                    </w:rPr>
                    <w:t>⑤园区周围环境目标众多，环境敏感程度较高，限制根据 HJ/T169-2018《建设项目环境风险评价技术导则》判定的极高危害企业 (P1) 入驻。</w:t>
                  </w:r>
                </w:p>
              </w:tc>
              <w:tc>
                <w:tcPr>
                  <w:tcW w:w="2511" w:type="dxa"/>
                  <w:vAlign w:val="center"/>
                </w:tcPr>
                <w:p w14:paraId="52CE40B0">
                  <w:pPr>
                    <w:adjustRightInd w:val="0"/>
                    <w:snapToGrid w:val="0"/>
                    <w:jc w:val="left"/>
                    <w:rPr>
                      <w:color w:val="auto"/>
                      <w:szCs w:val="21"/>
                    </w:rPr>
                  </w:pPr>
                  <w:r>
                    <w:rPr>
                      <w:rFonts w:hint="eastAsia"/>
                      <w:color w:val="auto"/>
                      <w:szCs w:val="21"/>
                    </w:rPr>
                    <w:t>①项目为纸制品制造业，涉及的危险化学品仅为天然气，项目天然气由园区管网供应，其贮存和输送过程均可控；</w:t>
                  </w:r>
                </w:p>
                <w:p w14:paraId="4693687B">
                  <w:pPr>
                    <w:adjustRightInd w:val="0"/>
                    <w:snapToGrid w:val="0"/>
                    <w:jc w:val="left"/>
                    <w:rPr>
                      <w:color w:val="auto"/>
                      <w:szCs w:val="21"/>
                    </w:rPr>
                  </w:pPr>
                  <w:r>
                    <w:rPr>
                      <w:rFonts w:hint="eastAsia"/>
                      <w:color w:val="auto"/>
                      <w:szCs w:val="21"/>
                    </w:rPr>
                    <w:t>②本环评第四章已对项目提出</w:t>
                  </w:r>
                  <w:r>
                    <w:rPr>
                      <w:rFonts w:hint="eastAsia"/>
                      <w:color w:val="auto"/>
                    </w:rPr>
                    <w:t>环境风险防范措施；并要求项目后续</w:t>
                  </w:r>
                  <w:r>
                    <w:rPr>
                      <w:rFonts w:hint="eastAsia"/>
                      <w:color w:val="auto"/>
                      <w:szCs w:val="21"/>
                    </w:rPr>
                    <w:t>按要求编制突发环境事件应急预案并进行备案；</w:t>
                  </w:r>
                </w:p>
                <w:p w14:paraId="2CA9B51D">
                  <w:pPr>
                    <w:adjustRightInd w:val="0"/>
                    <w:snapToGrid w:val="0"/>
                    <w:jc w:val="left"/>
                    <w:rPr>
                      <w:color w:val="auto"/>
                    </w:rPr>
                  </w:pPr>
                  <w:r>
                    <w:rPr>
                      <w:rFonts w:hint="eastAsia"/>
                      <w:color w:val="auto"/>
                      <w:szCs w:val="21"/>
                    </w:rPr>
                    <w:t>③环评提出项目需建设事故应急池，用来储存</w:t>
                  </w:r>
                  <w:r>
                    <w:rPr>
                      <w:rFonts w:hint="eastAsia"/>
                      <w:color w:val="auto"/>
                    </w:rPr>
                    <w:t>清消废水，事故应急池有效容积不少于15m</w:t>
                  </w:r>
                  <w:r>
                    <w:rPr>
                      <w:rFonts w:hint="eastAsia"/>
                      <w:color w:val="auto"/>
                      <w:vertAlign w:val="superscript"/>
                    </w:rPr>
                    <w:t>3</w:t>
                  </w:r>
                  <w:r>
                    <w:rPr>
                      <w:rFonts w:hint="eastAsia"/>
                      <w:color w:val="auto"/>
                    </w:rPr>
                    <w:t>；</w:t>
                  </w:r>
                </w:p>
                <w:p w14:paraId="369E0854">
                  <w:pPr>
                    <w:adjustRightInd w:val="0"/>
                    <w:snapToGrid w:val="0"/>
                    <w:jc w:val="left"/>
                    <w:rPr>
                      <w:color w:val="auto"/>
                      <w:szCs w:val="21"/>
                    </w:rPr>
                  </w:pPr>
                  <w:r>
                    <w:rPr>
                      <w:rFonts w:hint="eastAsia"/>
                      <w:color w:val="auto"/>
                    </w:rPr>
                    <w:t>④项目为纸制品制造业，项目涉及的易燃易爆危险化学品为天然气，均为园区管道输送，</w:t>
                  </w:r>
                  <w:r>
                    <w:rPr>
                      <w:rFonts w:hint="eastAsia"/>
                      <w:color w:val="auto"/>
                      <w:szCs w:val="21"/>
                    </w:rPr>
                    <w:t>其贮存和输送过程均可控，且项目不涉及其他</w:t>
                  </w:r>
                  <w:r>
                    <w:rPr>
                      <w:rFonts w:hint="eastAsia"/>
                      <w:color w:val="auto"/>
                    </w:rPr>
                    <w:t>易燃、易爆、有毒有害等危险化学品的储存堆放</w:t>
                  </w:r>
                  <w:r>
                    <w:rPr>
                      <w:rFonts w:hint="eastAsia"/>
                      <w:color w:val="auto"/>
                      <w:szCs w:val="21"/>
                    </w:rPr>
                    <w:t>；</w:t>
                  </w:r>
                </w:p>
                <w:p w14:paraId="3D42F5FB">
                  <w:pPr>
                    <w:adjustRightInd w:val="0"/>
                    <w:snapToGrid w:val="0"/>
                    <w:jc w:val="left"/>
                    <w:rPr>
                      <w:color w:val="auto"/>
                      <w:szCs w:val="21"/>
                    </w:rPr>
                  </w:pPr>
                  <w:r>
                    <w:rPr>
                      <w:rFonts w:hint="eastAsia"/>
                      <w:color w:val="auto"/>
                      <w:szCs w:val="21"/>
                    </w:rPr>
                    <w:t>⑤项目危险物质工艺系统危险特性等级为P4；</w:t>
                  </w:r>
                </w:p>
              </w:tc>
              <w:tc>
                <w:tcPr>
                  <w:tcW w:w="384" w:type="dxa"/>
                  <w:vAlign w:val="center"/>
                </w:tcPr>
                <w:p w14:paraId="68DC32F7">
                  <w:pPr>
                    <w:adjustRightInd w:val="0"/>
                    <w:snapToGrid w:val="0"/>
                    <w:jc w:val="left"/>
                    <w:rPr>
                      <w:color w:val="auto"/>
                      <w:szCs w:val="21"/>
                    </w:rPr>
                  </w:pPr>
                  <w:r>
                    <w:rPr>
                      <w:rFonts w:hint="eastAsia"/>
                      <w:color w:val="auto"/>
                      <w:szCs w:val="21"/>
                    </w:rPr>
                    <w:t>符合</w:t>
                  </w:r>
                </w:p>
              </w:tc>
            </w:tr>
          </w:tbl>
          <w:p w14:paraId="7B434DAD">
            <w:pPr>
              <w:adjustRightInd w:val="0"/>
              <w:snapToGrid w:val="0"/>
              <w:spacing w:line="360" w:lineRule="auto"/>
              <w:ind w:firstLine="480" w:firstLineChars="200"/>
              <w:rPr>
                <w:color w:val="auto"/>
                <w:sz w:val="24"/>
                <w:lang w:val="zh-CN"/>
              </w:rPr>
            </w:pPr>
            <w:r>
              <w:rPr>
                <w:color w:val="auto"/>
                <w:sz w:val="24"/>
                <w:lang w:val="zh-CN"/>
              </w:rPr>
              <w:t>综上所述，项目建设与《</w:t>
            </w:r>
            <w:r>
              <w:rPr>
                <w:rFonts w:hint="eastAsia"/>
                <w:color w:val="auto"/>
                <w:sz w:val="24"/>
              </w:rPr>
              <w:t>云南</w:t>
            </w:r>
            <w:r>
              <w:rPr>
                <w:color w:val="auto"/>
                <w:sz w:val="24"/>
                <w:lang w:val="zh-CN"/>
              </w:rPr>
              <w:t>寻甸产业园区总体规划修编（20</w:t>
            </w:r>
            <w:r>
              <w:rPr>
                <w:rFonts w:hint="eastAsia"/>
                <w:color w:val="auto"/>
                <w:sz w:val="24"/>
              </w:rPr>
              <w:t>21</w:t>
            </w:r>
            <w:r>
              <w:rPr>
                <w:color w:val="auto"/>
                <w:sz w:val="24"/>
                <w:lang w:val="zh-CN"/>
              </w:rPr>
              <w:t>-2035年）环境影响报告书》</w:t>
            </w:r>
            <w:r>
              <w:rPr>
                <w:rFonts w:hint="eastAsia"/>
                <w:color w:val="auto"/>
                <w:sz w:val="24"/>
                <w:lang w:val="zh-CN"/>
              </w:rPr>
              <w:t>要求</w:t>
            </w:r>
            <w:r>
              <w:rPr>
                <w:color w:val="auto"/>
                <w:sz w:val="24"/>
                <w:lang w:val="zh-CN"/>
              </w:rPr>
              <w:t>相符</w:t>
            </w:r>
            <w:r>
              <w:rPr>
                <w:rFonts w:hint="eastAsia"/>
                <w:color w:val="auto"/>
                <w:sz w:val="24"/>
                <w:lang w:val="zh-CN"/>
              </w:rPr>
              <w:t>。</w:t>
            </w:r>
          </w:p>
          <w:p w14:paraId="0DB421D6">
            <w:pPr>
              <w:adjustRightInd w:val="0"/>
              <w:snapToGrid w:val="0"/>
              <w:spacing w:line="360" w:lineRule="auto"/>
              <w:ind w:firstLine="480" w:firstLineChars="200"/>
              <w:rPr>
                <w:color w:val="auto"/>
                <w:sz w:val="24"/>
                <w:lang w:val="zh-CN"/>
              </w:rPr>
            </w:pPr>
            <w:r>
              <w:rPr>
                <w:rFonts w:hint="eastAsia"/>
                <w:color w:val="auto"/>
                <w:sz w:val="24"/>
              </w:rPr>
              <w:t>项目与云南省生态环境厅关于《云南</w:t>
            </w:r>
            <w:r>
              <w:rPr>
                <w:color w:val="auto"/>
                <w:sz w:val="24"/>
                <w:lang w:val="zh-CN"/>
              </w:rPr>
              <w:t>寻甸产业园区总体规划修编（20</w:t>
            </w:r>
            <w:r>
              <w:rPr>
                <w:rFonts w:hint="eastAsia"/>
                <w:color w:val="auto"/>
                <w:sz w:val="24"/>
              </w:rPr>
              <w:t>21</w:t>
            </w:r>
            <w:r>
              <w:rPr>
                <w:color w:val="auto"/>
                <w:sz w:val="24"/>
                <w:lang w:val="zh-CN"/>
              </w:rPr>
              <w:t>-2035年）环境影响报告书</w:t>
            </w:r>
            <w:r>
              <w:rPr>
                <w:rFonts w:hint="eastAsia"/>
                <w:color w:val="auto"/>
                <w:sz w:val="24"/>
              </w:rPr>
              <w:t>》审查意见的函（昆环复【2023】5号）相符性分析见下表</w:t>
            </w:r>
            <w:r>
              <w:rPr>
                <w:color w:val="auto"/>
                <w:sz w:val="24"/>
                <w:lang w:val="zh-CN"/>
              </w:rPr>
              <w:t>。</w:t>
            </w:r>
          </w:p>
          <w:p w14:paraId="09CEAA10">
            <w:pPr>
              <w:adjustRightInd w:val="0"/>
              <w:snapToGrid w:val="0"/>
              <w:ind w:firstLine="422" w:firstLineChars="200"/>
              <w:jc w:val="center"/>
              <w:rPr>
                <w:color w:val="auto"/>
              </w:rPr>
            </w:pPr>
            <w:r>
              <w:rPr>
                <w:b/>
                <w:color w:val="auto"/>
                <w:kern w:val="0"/>
                <w:szCs w:val="21"/>
              </w:rPr>
              <w:t>表</w:t>
            </w:r>
            <w:r>
              <w:rPr>
                <w:rFonts w:hint="eastAsia"/>
                <w:b/>
                <w:color w:val="auto"/>
                <w:kern w:val="0"/>
                <w:szCs w:val="21"/>
              </w:rPr>
              <w:t>1</w:t>
            </w:r>
            <w:r>
              <w:rPr>
                <w:b/>
                <w:color w:val="auto"/>
                <w:kern w:val="0"/>
                <w:szCs w:val="21"/>
              </w:rPr>
              <w:t>-</w:t>
            </w:r>
            <w:r>
              <w:rPr>
                <w:rFonts w:hint="eastAsia"/>
                <w:b/>
                <w:color w:val="auto"/>
                <w:kern w:val="0"/>
                <w:szCs w:val="21"/>
              </w:rPr>
              <w:t>3</w:t>
            </w:r>
            <w:r>
              <w:rPr>
                <w:b/>
                <w:color w:val="auto"/>
                <w:kern w:val="0"/>
                <w:szCs w:val="21"/>
              </w:rPr>
              <w:t xml:space="preserve"> </w:t>
            </w:r>
            <w:r>
              <w:rPr>
                <w:rFonts w:hint="eastAsia"/>
                <w:b/>
                <w:color w:val="auto"/>
                <w:kern w:val="0"/>
                <w:szCs w:val="21"/>
              </w:rPr>
              <w:t xml:space="preserve"> </w:t>
            </w:r>
            <w:r>
              <w:rPr>
                <w:b/>
                <w:color w:val="auto"/>
                <w:kern w:val="0"/>
                <w:szCs w:val="21"/>
              </w:rPr>
              <w:t>与审查意见相符性分析</w:t>
            </w:r>
          </w:p>
          <w:tbl>
            <w:tblPr>
              <w:tblStyle w:val="30"/>
              <w:tblW w:w="7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6"/>
              <w:gridCol w:w="2626"/>
              <w:gridCol w:w="603"/>
            </w:tblGrid>
            <w:tr w14:paraId="16428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4536" w:type="dxa"/>
                  <w:vAlign w:val="center"/>
                </w:tcPr>
                <w:p w14:paraId="265651B2">
                  <w:pPr>
                    <w:adjustRightInd w:val="0"/>
                    <w:snapToGrid w:val="0"/>
                    <w:jc w:val="center"/>
                    <w:rPr>
                      <w:b/>
                      <w:bCs/>
                      <w:color w:val="auto"/>
                      <w:szCs w:val="21"/>
                    </w:rPr>
                  </w:pPr>
                  <w:r>
                    <w:rPr>
                      <w:b/>
                      <w:bCs/>
                      <w:color w:val="auto"/>
                      <w:szCs w:val="21"/>
                    </w:rPr>
                    <w:t>审查意见提出要求</w:t>
                  </w:r>
                </w:p>
              </w:tc>
              <w:tc>
                <w:tcPr>
                  <w:tcW w:w="2626" w:type="dxa"/>
                  <w:vAlign w:val="center"/>
                </w:tcPr>
                <w:p w14:paraId="18C0493F">
                  <w:pPr>
                    <w:adjustRightInd w:val="0"/>
                    <w:snapToGrid w:val="0"/>
                    <w:jc w:val="center"/>
                    <w:rPr>
                      <w:b/>
                      <w:bCs/>
                      <w:color w:val="auto"/>
                      <w:szCs w:val="21"/>
                    </w:rPr>
                  </w:pPr>
                  <w:r>
                    <w:rPr>
                      <w:b/>
                      <w:bCs/>
                      <w:color w:val="auto"/>
                      <w:szCs w:val="21"/>
                    </w:rPr>
                    <w:t>本项目情况</w:t>
                  </w:r>
                </w:p>
              </w:tc>
              <w:tc>
                <w:tcPr>
                  <w:tcW w:w="603" w:type="dxa"/>
                  <w:vAlign w:val="center"/>
                </w:tcPr>
                <w:p w14:paraId="30F2965C">
                  <w:pPr>
                    <w:adjustRightInd w:val="0"/>
                    <w:snapToGrid w:val="0"/>
                    <w:jc w:val="center"/>
                    <w:rPr>
                      <w:b/>
                      <w:bCs/>
                      <w:color w:val="auto"/>
                      <w:szCs w:val="21"/>
                    </w:rPr>
                  </w:pPr>
                  <w:r>
                    <w:rPr>
                      <w:b/>
                      <w:bCs/>
                      <w:color w:val="auto"/>
                      <w:szCs w:val="21"/>
                    </w:rPr>
                    <w:t>相符性分析</w:t>
                  </w:r>
                </w:p>
              </w:tc>
            </w:tr>
            <w:tr w14:paraId="15B7A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7" w:hRule="atLeast"/>
              </w:trPr>
              <w:tc>
                <w:tcPr>
                  <w:tcW w:w="4536" w:type="dxa"/>
                  <w:vAlign w:val="center"/>
                </w:tcPr>
                <w:p w14:paraId="3B8DB3E0">
                  <w:pPr>
                    <w:adjustRightInd w:val="0"/>
                    <w:snapToGrid w:val="0"/>
                    <w:ind w:firstLine="420" w:firstLineChars="200"/>
                    <w:jc w:val="left"/>
                    <w:rPr>
                      <w:color w:val="auto"/>
                      <w:szCs w:val="21"/>
                    </w:rPr>
                  </w:pPr>
                  <w:r>
                    <w:rPr>
                      <w:rFonts w:hint="eastAsia"/>
                      <w:color w:val="auto"/>
                      <w:szCs w:val="21"/>
                    </w:rPr>
                    <w:t>严守环境质量底线、严格新入园项目及现有项目环境管理。制定主要污染物区域削减方案，建立健全主要污染物管理台账，采取有效措施减少氮氧化物、二氧化硫、挥发性有机物、化学需氧量、氨氮等污染物排放总量，确保区域环境质量持续改善。</w:t>
                  </w:r>
                </w:p>
                <w:p w14:paraId="7A7973C4">
                  <w:pPr>
                    <w:adjustRightInd w:val="0"/>
                    <w:snapToGrid w:val="0"/>
                    <w:ind w:firstLine="420" w:firstLineChars="200"/>
                    <w:jc w:val="left"/>
                    <w:rPr>
                      <w:color w:val="auto"/>
                      <w:szCs w:val="21"/>
                    </w:rPr>
                  </w:pPr>
                </w:p>
              </w:tc>
              <w:tc>
                <w:tcPr>
                  <w:tcW w:w="2626" w:type="dxa"/>
                  <w:vAlign w:val="center"/>
                </w:tcPr>
                <w:p w14:paraId="1223BD7E">
                  <w:pPr>
                    <w:adjustRightInd w:val="0"/>
                    <w:snapToGrid w:val="0"/>
                    <w:jc w:val="center"/>
                    <w:rPr>
                      <w:color w:val="auto"/>
                      <w:szCs w:val="21"/>
                    </w:rPr>
                  </w:pPr>
                  <w:r>
                    <w:rPr>
                      <w:rFonts w:hint="eastAsia"/>
                      <w:color w:val="auto"/>
                      <w:szCs w:val="21"/>
                    </w:rPr>
                    <w:t>项目调胶和烘干过程产生的甲醛、VOCs（以非甲烷总烃计）废气经集气罩收集、“UV光解+三级活性炭吸附净化装置”处理后，由15m高排气筒（DA001）排放。项目使用清洁能源天然气作为生产热源燃料。项目采取的环保措施</w:t>
                  </w:r>
                  <w:r>
                    <w:rPr>
                      <w:color w:val="auto"/>
                      <w:szCs w:val="21"/>
                    </w:rPr>
                    <w:t>可有效减少主要污染物</w:t>
                  </w:r>
                  <w:r>
                    <w:rPr>
                      <w:rFonts w:hint="eastAsia"/>
                      <w:color w:val="auto"/>
                      <w:szCs w:val="21"/>
                    </w:rPr>
                    <w:t>甲醛、VOCs（以非甲烷总烃计）、NOx和SO</w:t>
                  </w:r>
                  <w:r>
                    <w:rPr>
                      <w:rFonts w:hint="eastAsia"/>
                      <w:color w:val="auto"/>
                      <w:szCs w:val="21"/>
                      <w:vertAlign w:val="subscript"/>
                    </w:rPr>
                    <w:t>2</w:t>
                  </w:r>
                  <w:r>
                    <w:rPr>
                      <w:color w:val="auto"/>
                      <w:szCs w:val="21"/>
                    </w:rPr>
                    <w:t>的排放总量</w:t>
                  </w:r>
                  <w:r>
                    <w:rPr>
                      <w:rFonts w:hint="eastAsia"/>
                      <w:color w:val="auto"/>
                      <w:szCs w:val="21"/>
                    </w:rPr>
                    <w:t>；</w:t>
                  </w:r>
                </w:p>
              </w:tc>
              <w:tc>
                <w:tcPr>
                  <w:tcW w:w="603" w:type="dxa"/>
                  <w:vAlign w:val="center"/>
                </w:tcPr>
                <w:p w14:paraId="63224C5D">
                  <w:pPr>
                    <w:adjustRightInd w:val="0"/>
                    <w:snapToGrid w:val="0"/>
                    <w:jc w:val="center"/>
                    <w:rPr>
                      <w:color w:val="auto"/>
                      <w:szCs w:val="21"/>
                    </w:rPr>
                  </w:pPr>
                  <w:r>
                    <w:rPr>
                      <w:color w:val="auto"/>
                      <w:szCs w:val="21"/>
                    </w:rPr>
                    <w:t>相符</w:t>
                  </w:r>
                </w:p>
              </w:tc>
            </w:tr>
            <w:tr w14:paraId="04AF3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7" w:hRule="atLeast"/>
              </w:trPr>
              <w:tc>
                <w:tcPr>
                  <w:tcW w:w="4536" w:type="dxa"/>
                  <w:vAlign w:val="center"/>
                </w:tcPr>
                <w:p w14:paraId="6BA330DE">
                  <w:pPr>
                    <w:adjustRightInd w:val="0"/>
                    <w:snapToGrid w:val="0"/>
                    <w:ind w:firstLine="420" w:firstLineChars="200"/>
                    <w:jc w:val="left"/>
                    <w:rPr>
                      <w:color w:val="auto"/>
                      <w:szCs w:val="21"/>
                    </w:rPr>
                  </w:pPr>
                  <w:r>
                    <w:rPr>
                      <w:rFonts w:hint="eastAsia"/>
                      <w:color w:val="auto"/>
                      <w:szCs w:val="21"/>
                    </w:rPr>
                    <w:t>入园企业应采用先进的生产工艺路线、设备、清洁能源与原料，从源头上控制污染物的产生。高度重视园区废水收集处理、回用、排放的环境管理。实施“雨污分流”，加强天生桥组团、金所组团初期雨水的收集、处理，加快园区污水处理厂再生水处理设施及配套管网建设。严格落实牛栏江流域严禁新改扩建工业废水排污口的要求；强化园区生活污水收集处理回用，加强区域水环境综合整治，确保实现区域水环境质量改善目标。</w:t>
                  </w:r>
                </w:p>
                <w:p w14:paraId="76CB48C8">
                  <w:pPr>
                    <w:adjustRightInd w:val="0"/>
                    <w:snapToGrid w:val="0"/>
                    <w:jc w:val="center"/>
                    <w:rPr>
                      <w:color w:val="auto"/>
                      <w:szCs w:val="21"/>
                    </w:rPr>
                  </w:pPr>
                </w:p>
              </w:tc>
              <w:tc>
                <w:tcPr>
                  <w:tcW w:w="2626" w:type="dxa"/>
                  <w:vAlign w:val="center"/>
                </w:tcPr>
                <w:p w14:paraId="180CD740">
                  <w:pPr>
                    <w:adjustRightInd w:val="0"/>
                    <w:snapToGrid w:val="0"/>
                    <w:jc w:val="center"/>
                    <w:rPr>
                      <w:color w:val="auto"/>
                      <w:szCs w:val="21"/>
                    </w:rPr>
                  </w:pPr>
                  <w:r>
                    <w:rPr>
                      <w:rFonts w:hint="eastAsia"/>
                      <w:color w:val="auto"/>
                      <w:szCs w:val="21"/>
                    </w:rPr>
                    <w:t>项目已优化生产工艺，减少了水的使用，且不产生生产废水。项目不产生生产废水，生活污水通过污水处理站处理达标后回用于厂区绿化和道路浇洒，不外排；</w:t>
                  </w:r>
                </w:p>
              </w:tc>
              <w:tc>
                <w:tcPr>
                  <w:tcW w:w="603" w:type="dxa"/>
                  <w:vAlign w:val="center"/>
                </w:tcPr>
                <w:p w14:paraId="6D05B8DF">
                  <w:pPr>
                    <w:adjustRightInd w:val="0"/>
                    <w:snapToGrid w:val="0"/>
                    <w:jc w:val="center"/>
                    <w:rPr>
                      <w:color w:val="auto"/>
                      <w:szCs w:val="21"/>
                    </w:rPr>
                  </w:pPr>
                  <w:r>
                    <w:rPr>
                      <w:color w:val="auto"/>
                      <w:szCs w:val="21"/>
                    </w:rPr>
                    <w:t>相符</w:t>
                  </w:r>
                </w:p>
              </w:tc>
            </w:tr>
            <w:tr w14:paraId="253FD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7" w:hRule="atLeast"/>
              </w:trPr>
              <w:tc>
                <w:tcPr>
                  <w:tcW w:w="4536" w:type="dxa"/>
                  <w:vAlign w:val="center"/>
                </w:tcPr>
                <w:p w14:paraId="74DDD353">
                  <w:pPr>
                    <w:adjustRightInd w:val="0"/>
                    <w:snapToGrid w:val="0"/>
                    <w:ind w:firstLine="420" w:firstLineChars="200"/>
                    <w:jc w:val="left"/>
                    <w:rPr>
                      <w:color w:val="auto"/>
                      <w:szCs w:val="21"/>
                    </w:rPr>
                  </w:pPr>
                  <w:r>
                    <w:rPr>
                      <w:rFonts w:hint="eastAsia"/>
                      <w:color w:val="auto"/>
                      <w:szCs w:val="21"/>
                    </w:rPr>
                    <w:t>园区在产业布局和入园项目建设时应充分考虑对地下水环境影响，按照《报告书》提出的重点保护区、重点控制区、其他区域三类区域进行分级管控。严格水文地质、工程地质勘察做好地下水污染防治和监控，按相关规范要求采取针对性防渗措施，严格执行《地下水管理条例》等相关规定。</w:t>
                  </w:r>
                </w:p>
                <w:p w14:paraId="1369DB54">
                  <w:pPr>
                    <w:adjustRightInd w:val="0"/>
                    <w:snapToGrid w:val="0"/>
                    <w:jc w:val="center"/>
                    <w:rPr>
                      <w:color w:val="auto"/>
                      <w:szCs w:val="21"/>
                    </w:rPr>
                  </w:pPr>
                </w:p>
              </w:tc>
              <w:tc>
                <w:tcPr>
                  <w:tcW w:w="2626" w:type="dxa"/>
                  <w:vAlign w:val="center"/>
                </w:tcPr>
                <w:p w14:paraId="47DFBD2B">
                  <w:pPr>
                    <w:adjustRightInd w:val="0"/>
                    <w:snapToGrid w:val="0"/>
                    <w:jc w:val="center"/>
                    <w:rPr>
                      <w:color w:val="auto"/>
                      <w:szCs w:val="21"/>
                    </w:rPr>
                  </w:pPr>
                  <w:r>
                    <w:rPr>
                      <w:rFonts w:hint="eastAsia"/>
                      <w:color w:val="auto"/>
                      <w:szCs w:val="21"/>
                    </w:rPr>
                    <w:t>根据《报告书》中提出的地下水环境红线划分情况，项目位于其他区域，属于可引导开发的区域。</w:t>
                  </w:r>
                </w:p>
              </w:tc>
              <w:tc>
                <w:tcPr>
                  <w:tcW w:w="603" w:type="dxa"/>
                  <w:vAlign w:val="center"/>
                </w:tcPr>
                <w:p w14:paraId="50F8E2DB">
                  <w:pPr>
                    <w:adjustRightInd w:val="0"/>
                    <w:snapToGrid w:val="0"/>
                    <w:jc w:val="center"/>
                    <w:rPr>
                      <w:color w:val="auto"/>
                      <w:szCs w:val="21"/>
                    </w:rPr>
                  </w:pPr>
                  <w:r>
                    <w:rPr>
                      <w:color w:val="auto"/>
                      <w:szCs w:val="21"/>
                    </w:rPr>
                    <w:t>相符</w:t>
                  </w:r>
                </w:p>
              </w:tc>
            </w:tr>
            <w:tr w14:paraId="56FB8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6" w:hRule="atLeast"/>
              </w:trPr>
              <w:tc>
                <w:tcPr>
                  <w:tcW w:w="4536" w:type="dxa"/>
                  <w:vAlign w:val="center"/>
                </w:tcPr>
                <w:p w14:paraId="2DB7713E">
                  <w:pPr>
                    <w:adjustRightInd w:val="0"/>
                    <w:snapToGrid w:val="0"/>
                    <w:ind w:firstLine="420" w:firstLineChars="200"/>
                    <w:jc w:val="left"/>
                    <w:rPr>
                      <w:color w:val="auto"/>
                      <w:szCs w:val="21"/>
                    </w:rPr>
                  </w:pPr>
                  <w:r>
                    <w:rPr>
                      <w:color w:val="auto"/>
                      <w:szCs w:val="21"/>
                    </w:rPr>
                    <w:t>建立环境风险防控体系，提高环境应急能力，加强区内重要环境风险源管控，严控高风险产业发展规模。强化园区危险化学品储运的环境风险管理，加强金所组团现有煤、磷</w:t>
                  </w:r>
                  <w:r>
                    <w:rPr>
                      <w:rFonts w:hint="eastAsia"/>
                      <w:color w:val="auto"/>
                      <w:szCs w:val="21"/>
                    </w:rPr>
                    <w:t>、</w:t>
                  </w:r>
                  <w:r>
                    <w:rPr>
                      <w:color w:val="auto"/>
                      <w:szCs w:val="21"/>
                    </w:rPr>
                    <w:t>盐化工企业和天生桥组团磷化工企业环境风险管控。制定厂区园区、区域三级防控措施，强化园区环境监测与预警能力建设环境风险应急与防范措施，建立应急响应联动机制和风险防控体系。重点关注地表水环境风险防控措施，应确保事故状态下工业废水零排放。编制突发环境事件应急预案，防范环境风险避免事故排放，保障区域环境安全</w:t>
                  </w:r>
                  <w:r>
                    <w:rPr>
                      <w:rFonts w:hint="eastAsia"/>
                      <w:color w:val="auto"/>
                      <w:szCs w:val="21"/>
                    </w:rPr>
                    <w:t>。</w:t>
                  </w:r>
                </w:p>
              </w:tc>
              <w:tc>
                <w:tcPr>
                  <w:tcW w:w="2626" w:type="dxa"/>
                  <w:vAlign w:val="center"/>
                </w:tcPr>
                <w:p w14:paraId="750A7E4F">
                  <w:pPr>
                    <w:adjustRightInd w:val="0"/>
                    <w:snapToGrid w:val="0"/>
                    <w:jc w:val="center"/>
                    <w:rPr>
                      <w:color w:val="auto"/>
                      <w:szCs w:val="21"/>
                    </w:rPr>
                  </w:pPr>
                  <w:r>
                    <w:rPr>
                      <w:color w:val="auto"/>
                      <w:szCs w:val="21"/>
                    </w:rPr>
                    <w:t>本项目不涉及危险化学品储运，也不属于煤、磷、盐化工企业，环境风险一般，在采取相应的措施后，环境风险能</w:t>
                  </w:r>
                  <w:r>
                    <w:rPr>
                      <w:rFonts w:hint="eastAsia"/>
                      <w:color w:val="auto"/>
                      <w:szCs w:val="21"/>
                      <w:lang w:eastAsia="zh-CN"/>
                    </w:rPr>
                    <w:t>达到</w:t>
                  </w:r>
                  <w:r>
                    <w:rPr>
                      <w:color w:val="auto"/>
                      <w:szCs w:val="21"/>
                    </w:rPr>
                    <w:t>可接受水平</w:t>
                  </w:r>
                  <w:r>
                    <w:rPr>
                      <w:rFonts w:hint="eastAsia"/>
                      <w:color w:val="auto"/>
                      <w:szCs w:val="21"/>
                    </w:rPr>
                    <w:t>，项目将按要求编制</w:t>
                  </w:r>
                  <w:r>
                    <w:rPr>
                      <w:color w:val="auto"/>
                      <w:szCs w:val="21"/>
                    </w:rPr>
                    <w:t>突发环境事件应急预案</w:t>
                  </w:r>
                  <w:r>
                    <w:rPr>
                      <w:rFonts w:hint="eastAsia"/>
                      <w:color w:val="auto"/>
                      <w:szCs w:val="21"/>
                    </w:rPr>
                    <w:t>。</w:t>
                  </w:r>
                </w:p>
              </w:tc>
              <w:tc>
                <w:tcPr>
                  <w:tcW w:w="603" w:type="dxa"/>
                  <w:vAlign w:val="center"/>
                </w:tcPr>
                <w:p w14:paraId="0D9BEC02">
                  <w:pPr>
                    <w:adjustRightInd w:val="0"/>
                    <w:snapToGrid w:val="0"/>
                    <w:jc w:val="center"/>
                    <w:rPr>
                      <w:color w:val="auto"/>
                      <w:szCs w:val="21"/>
                    </w:rPr>
                  </w:pPr>
                  <w:r>
                    <w:rPr>
                      <w:color w:val="auto"/>
                      <w:szCs w:val="21"/>
                    </w:rPr>
                    <w:t>相符</w:t>
                  </w:r>
                </w:p>
              </w:tc>
            </w:tr>
            <w:tr w14:paraId="675CE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4536" w:type="dxa"/>
                  <w:vAlign w:val="center"/>
                </w:tcPr>
                <w:p w14:paraId="42DB6630">
                  <w:pPr>
                    <w:adjustRightInd w:val="0"/>
                    <w:snapToGrid w:val="0"/>
                    <w:ind w:firstLine="420" w:firstLineChars="200"/>
                    <w:jc w:val="left"/>
                    <w:rPr>
                      <w:color w:val="auto"/>
                      <w:szCs w:val="21"/>
                    </w:rPr>
                  </w:pPr>
                  <w:r>
                    <w:rPr>
                      <w:color w:val="auto"/>
                      <w:szCs w:val="21"/>
                    </w:rPr>
                    <w:t>落实《关于“十四五”大宗固体废弃物综合利用的指导意见》(发改环资[2021] 381 号)、《昆明市加快推动磷石膏综合利用二十条措施》等要求，按无害化、减量化、资源化的原则积极探索园区固体废弃物的源头减量、资源化综合利用途径，着力提升磷石膏综合利用率 (量)，化解磷石膏处理处置困难带来的环境问题。做好危险废物的收集、贮存、转运和处置各个环节的监管工作。园区固体废物暂存 (处置) 场的选址和建设必须按照相关要求严格落实污染防治措施，确保园区固废得到妥善处置。</w:t>
                  </w:r>
                </w:p>
              </w:tc>
              <w:tc>
                <w:tcPr>
                  <w:tcW w:w="2626" w:type="dxa"/>
                  <w:vAlign w:val="center"/>
                </w:tcPr>
                <w:p w14:paraId="23E3E5BB">
                  <w:pPr>
                    <w:adjustRightInd w:val="0"/>
                    <w:snapToGrid w:val="0"/>
                    <w:jc w:val="center"/>
                    <w:rPr>
                      <w:color w:val="auto"/>
                      <w:szCs w:val="21"/>
                    </w:rPr>
                  </w:pPr>
                  <w:r>
                    <w:rPr>
                      <w:rFonts w:hint="eastAsia"/>
                      <w:color w:val="auto"/>
                      <w:szCs w:val="21"/>
                    </w:rPr>
                    <w:t>项目不涉及磷石膏，且项目已设置危废暂存间和一般固废暂存间，委托有资质的单位清运处置，固废处置率100%。</w:t>
                  </w:r>
                </w:p>
              </w:tc>
              <w:tc>
                <w:tcPr>
                  <w:tcW w:w="603" w:type="dxa"/>
                  <w:vAlign w:val="center"/>
                </w:tcPr>
                <w:p w14:paraId="2B11AFA7">
                  <w:pPr>
                    <w:adjustRightInd w:val="0"/>
                    <w:snapToGrid w:val="0"/>
                    <w:jc w:val="center"/>
                    <w:rPr>
                      <w:color w:val="auto"/>
                      <w:szCs w:val="21"/>
                    </w:rPr>
                  </w:pPr>
                  <w:r>
                    <w:rPr>
                      <w:color w:val="auto"/>
                      <w:szCs w:val="21"/>
                    </w:rPr>
                    <w:t>相符</w:t>
                  </w:r>
                </w:p>
              </w:tc>
            </w:tr>
          </w:tbl>
          <w:p w14:paraId="4EACD9F2">
            <w:pPr>
              <w:pStyle w:val="73"/>
              <w:snapToGrid w:val="0"/>
              <w:jc w:val="left"/>
              <w:rPr>
                <w:color w:val="auto"/>
              </w:rPr>
            </w:pPr>
            <w:r>
              <w:rPr>
                <w:color w:val="auto"/>
              </w:rPr>
              <w:t>由上表可知，项目与规划环评的审查意见相符。</w:t>
            </w:r>
          </w:p>
          <w:p w14:paraId="11A41B18">
            <w:pPr>
              <w:adjustRightInd w:val="0"/>
              <w:snapToGrid w:val="0"/>
              <w:spacing w:line="360" w:lineRule="auto"/>
              <w:ind w:firstLine="480" w:firstLineChars="200"/>
              <w:rPr>
                <w:b/>
                <w:bCs/>
                <w:color w:val="auto"/>
                <w:sz w:val="24"/>
              </w:rPr>
            </w:pPr>
            <w:r>
              <w:rPr>
                <w:color w:val="auto"/>
                <w:sz w:val="24"/>
              </w:rPr>
              <w:t>综上所述，项目建设与《</w:t>
            </w:r>
            <w:r>
              <w:rPr>
                <w:rFonts w:hint="eastAsia"/>
                <w:color w:val="auto"/>
                <w:sz w:val="24"/>
              </w:rPr>
              <w:t>云南</w:t>
            </w:r>
            <w:r>
              <w:rPr>
                <w:color w:val="auto"/>
                <w:sz w:val="24"/>
                <w:lang w:val="zh-CN"/>
              </w:rPr>
              <w:t>寻甸产业园区总体规划修编（20</w:t>
            </w:r>
            <w:r>
              <w:rPr>
                <w:rFonts w:hint="eastAsia"/>
                <w:color w:val="auto"/>
                <w:sz w:val="24"/>
              </w:rPr>
              <w:t>21</w:t>
            </w:r>
            <w:r>
              <w:rPr>
                <w:color w:val="auto"/>
                <w:sz w:val="24"/>
                <w:lang w:val="zh-CN"/>
              </w:rPr>
              <w:t>-2035年）环境影响报告书</w:t>
            </w:r>
            <w:r>
              <w:rPr>
                <w:color w:val="auto"/>
                <w:sz w:val="24"/>
              </w:rPr>
              <w:t>》规划环评及审查意见相符。</w:t>
            </w:r>
          </w:p>
          <w:p w14:paraId="351ACA69">
            <w:pPr>
              <w:autoSpaceDE w:val="0"/>
              <w:autoSpaceDN w:val="0"/>
              <w:adjustRightInd w:val="0"/>
              <w:snapToGrid w:val="0"/>
              <w:spacing w:line="360" w:lineRule="auto"/>
              <w:ind w:firstLine="482" w:firstLineChars="200"/>
              <w:jc w:val="left"/>
              <w:rPr>
                <w:b/>
                <w:bCs/>
                <w:color w:val="auto"/>
                <w:kern w:val="0"/>
                <w:sz w:val="24"/>
                <w:lang w:val="zh-CN"/>
              </w:rPr>
            </w:pPr>
            <w:r>
              <w:rPr>
                <w:rFonts w:hint="eastAsia"/>
                <w:b/>
                <w:bCs/>
                <w:color w:val="auto"/>
                <w:kern w:val="0"/>
                <w:sz w:val="24"/>
              </w:rPr>
              <w:t>3</w:t>
            </w:r>
            <w:r>
              <w:rPr>
                <w:b/>
                <w:bCs/>
                <w:color w:val="auto"/>
                <w:kern w:val="0"/>
                <w:sz w:val="24"/>
                <w:lang w:val="zh-CN"/>
              </w:rPr>
              <w:t>、与《</w:t>
            </w:r>
            <w:r>
              <w:rPr>
                <w:rFonts w:hint="eastAsia"/>
                <w:b/>
                <w:bCs/>
                <w:color w:val="auto"/>
                <w:kern w:val="0"/>
                <w:sz w:val="24"/>
              </w:rPr>
              <w:t>云南</w:t>
            </w:r>
            <w:r>
              <w:rPr>
                <w:b/>
                <w:bCs/>
                <w:color w:val="auto"/>
                <w:kern w:val="0"/>
                <w:sz w:val="24"/>
                <w:lang w:val="zh-CN"/>
              </w:rPr>
              <w:t>寻甸产业园区总体规划修编（20</w:t>
            </w:r>
            <w:r>
              <w:rPr>
                <w:rFonts w:hint="eastAsia"/>
                <w:b/>
                <w:bCs/>
                <w:color w:val="auto"/>
                <w:kern w:val="0"/>
                <w:sz w:val="24"/>
              </w:rPr>
              <w:t>21</w:t>
            </w:r>
            <w:r>
              <w:rPr>
                <w:b/>
                <w:bCs/>
                <w:color w:val="auto"/>
                <w:kern w:val="0"/>
                <w:sz w:val="24"/>
                <w:lang w:val="zh-CN"/>
              </w:rPr>
              <w:t>-2035年）环境影响报告书》</w:t>
            </w:r>
            <w:r>
              <w:rPr>
                <w:rFonts w:hint="eastAsia"/>
                <w:b/>
                <w:bCs/>
                <w:color w:val="auto"/>
                <w:kern w:val="0"/>
                <w:sz w:val="24"/>
                <w:lang w:val="zh-CN"/>
              </w:rPr>
              <w:t>中环境准入条件</w:t>
            </w:r>
            <w:r>
              <w:rPr>
                <w:b/>
                <w:bCs/>
                <w:color w:val="auto"/>
                <w:kern w:val="0"/>
                <w:sz w:val="24"/>
                <w:lang w:val="zh-CN"/>
              </w:rPr>
              <w:t>符合性分析</w:t>
            </w:r>
          </w:p>
          <w:p w14:paraId="451CB561">
            <w:pPr>
              <w:adjustRightInd w:val="0"/>
              <w:snapToGrid w:val="0"/>
              <w:spacing w:line="360" w:lineRule="auto"/>
              <w:ind w:firstLine="480" w:firstLineChars="200"/>
              <w:rPr>
                <w:color w:val="auto"/>
                <w:sz w:val="24"/>
                <w:lang w:val="zh-CN"/>
              </w:rPr>
            </w:pPr>
            <w:r>
              <w:rPr>
                <w:color w:val="auto"/>
                <w:sz w:val="24"/>
                <w:lang w:val="zh-CN"/>
              </w:rPr>
              <w:t>根据</w:t>
            </w:r>
            <w:r>
              <w:rPr>
                <w:color w:val="auto"/>
                <w:sz w:val="24"/>
              </w:rPr>
              <w:t>《</w:t>
            </w:r>
            <w:r>
              <w:rPr>
                <w:rFonts w:hint="eastAsia"/>
                <w:color w:val="auto"/>
                <w:sz w:val="24"/>
              </w:rPr>
              <w:t>云南</w:t>
            </w:r>
            <w:r>
              <w:rPr>
                <w:color w:val="auto"/>
                <w:sz w:val="24"/>
                <w:lang w:val="zh-CN"/>
              </w:rPr>
              <w:t>寻甸产业园区总体规划修编（20</w:t>
            </w:r>
            <w:r>
              <w:rPr>
                <w:rFonts w:hint="eastAsia"/>
                <w:color w:val="auto"/>
                <w:sz w:val="24"/>
              </w:rPr>
              <w:t>21</w:t>
            </w:r>
            <w:r>
              <w:rPr>
                <w:color w:val="auto"/>
                <w:sz w:val="24"/>
                <w:lang w:val="zh-CN"/>
              </w:rPr>
              <w:t>-2035年）</w:t>
            </w:r>
            <w:r>
              <w:rPr>
                <w:color w:val="auto"/>
                <w:sz w:val="24"/>
              </w:rPr>
              <w:t>环境影响报告书》</w:t>
            </w:r>
            <w:r>
              <w:rPr>
                <w:color w:val="auto"/>
                <w:sz w:val="24"/>
                <w:lang w:val="zh-CN"/>
              </w:rPr>
              <w:t>，园区准入负面清单及对照情况如下：</w:t>
            </w:r>
          </w:p>
          <w:p w14:paraId="487C222E">
            <w:pPr>
              <w:adjustRightInd w:val="0"/>
              <w:snapToGrid w:val="0"/>
              <w:jc w:val="center"/>
              <w:rPr>
                <w:rFonts w:cs="黑体"/>
                <w:b/>
                <w:bCs/>
                <w:color w:val="auto"/>
              </w:rPr>
            </w:pPr>
            <w:r>
              <w:rPr>
                <w:b/>
                <w:bCs/>
                <w:color w:val="auto"/>
                <w:szCs w:val="21"/>
              </w:rPr>
              <w:t>表</w:t>
            </w:r>
            <w:r>
              <w:rPr>
                <w:rFonts w:hint="eastAsia"/>
                <w:b/>
                <w:bCs/>
                <w:color w:val="auto"/>
                <w:szCs w:val="21"/>
              </w:rPr>
              <w:t>1</w:t>
            </w:r>
            <w:r>
              <w:rPr>
                <w:b/>
                <w:bCs/>
                <w:color w:val="auto"/>
                <w:szCs w:val="21"/>
              </w:rPr>
              <w:t>-</w:t>
            </w:r>
            <w:r>
              <w:rPr>
                <w:rFonts w:hint="eastAsia"/>
                <w:b/>
                <w:bCs/>
                <w:color w:val="auto"/>
                <w:szCs w:val="21"/>
              </w:rPr>
              <w:t>4</w:t>
            </w:r>
            <w:r>
              <w:rPr>
                <w:b/>
                <w:bCs/>
                <w:color w:val="auto"/>
                <w:szCs w:val="21"/>
              </w:rPr>
              <w:t xml:space="preserve">  </w:t>
            </w:r>
            <w:r>
              <w:rPr>
                <w:rFonts w:hint="eastAsia" w:cs="黑体"/>
                <w:b/>
                <w:bCs/>
                <w:color w:val="auto"/>
              </w:rPr>
              <w:t>项目与规划环评环境准入负面清单相符性对比分析表</w:t>
            </w:r>
          </w:p>
          <w:tbl>
            <w:tblPr>
              <w:tblStyle w:val="30"/>
              <w:tblW w:w="77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658"/>
              <w:gridCol w:w="3466"/>
              <w:gridCol w:w="2746"/>
              <w:gridCol w:w="394"/>
            </w:tblGrid>
            <w:tr w14:paraId="2E8C2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9" w:type="dxa"/>
                  <w:gridSpan w:val="2"/>
                  <w:vAlign w:val="center"/>
                </w:tcPr>
                <w:p w14:paraId="2FC0B7A4">
                  <w:pPr>
                    <w:adjustRightInd w:val="0"/>
                    <w:snapToGrid w:val="0"/>
                    <w:jc w:val="center"/>
                    <w:rPr>
                      <w:b/>
                      <w:bCs/>
                      <w:color w:val="auto"/>
                    </w:rPr>
                  </w:pPr>
                  <w:r>
                    <w:rPr>
                      <w:rFonts w:hint="eastAsia"/>
                      <w:b/>
                      <w:bCs/>
                      <w:color w:val="auto"/>
                    </w:rPr>
                    <w:t>分类</w:t>
                  </w:r>
                </w:p>
              </w:tc>
              <w:tc>
                <w:tcPr>
                  <w:tcW w:w="3466" w:type="dxa"/>
                  <w:vAlign w:val="center"/>
                </w:tcPr>
                <w:p w14:paraId="0027EFBA">
                  <w:pPr>
                    <w:adjustRightInd w:val="0"/>
                    <w:snapToGrid w:val="0"/>
                    <w:jc w:val="center"/>
                    <w:rPr>
                      <w:b/>
                      <w:bCs/>
                      <w:color w:val="auto"/>
                    </w:rPr>
                  </w:pPr>
                  <w:r>
                    <w:rPr>
                      <w:rFonts w:hint="eastAsia"/>
                      <w:b/>
                      <w:bCs/>
                      <w:color w:val="auto"/>
                    </w:rPr>
                    <w:t>控制内容</w:t>
                  </w:r>
                </w:p>
              </w:tc>
              <w:tc>
                <w:tcPr>
                  <w:tcW w:w="2746" w:type="dxa"/>
                  <w:vAlign w:val="center"/>
                </w:tcPr>
                <w:p w14:paraId="28FDD481">
                  <w:pPr>
                    <w:adjustRightInd w:val="0"/>
                    <w:snapToGrid w:val="0"/>
                    <w:jc w:val="center"/>
                    <w:rPr>
                      <w:b/>
                      <w:bCs/>
                      <w:color w:val="auto"/>
                    </w:rPr>
                  </w:pPr>
                  <w:r>
                    <w:rPr>
                      <w:b/>
                      <w:bCs/>
                      <w:color w:val="auto"/>
                    </w:rPr>
                    <w:t>项目建设内容</w:t>
                  </w:r>
                </w:p>
              </w:tc>
              <w:tc>
                <w:tcPr>
                  <w:tcW w:w="394" w:type="dxa"/>
                  <w:vAlign w:val="center"/>
                </w:tcPr>
                <w:p w14:paraId="4776E122">
                  <w:pPr>
                    <w:adjustRightInd w:val="0"/>
                    <w:snapToGrid w:val="0"/>
                    <w:jc w:val="center"/>
                    <w:rPr>
                      <w:b/>
                      <w:bCs/>
                      <w:color w:val="auto"/>
                    </w:rPr>
                  </w:pPr>
                  <w:r>
                    <w:rPr>
                      <w:b/>
                      <w:bCs/>
                      <w:color w:val="auto"/>
                    </w:rPr>
                    <w:t>符合性</w:t>
                  </w:r>
                </w:p>
              </w:tc>
            </w:tr>
            <w:tr w14:paraId="42610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vMerge w:val="restart"/>
                  <w:vAlign w:val="center"/>
                </w:tcPr>
                <w:p w14:paraId="4C6772A7">
                  <w:pPr>
                    <w:adjustRightInd w:val="0"/>
                    <w:snapToGrid w:val="0"/>
                    <w:jc w:val="center"/>
                    <w:rPr>
                      <w:color w:val="auto"/>
                    </w:rPr>
                  </w:pPr>
                  <w:r>
                    <w:rPr>
                      <w:rFonts w:hint="eastAsia"/>
                      <w:color w:val="auto"/>
                    </w:rPr>
                    <w:t>总体要求</w:t>
                  </w:r>
                </w:p>
              </w:tc>
              <w:tc>
                <w:tcPr>
                  <w:tcW w:w="658" w:type="dxa"/>
                  <w:vAlign w:val="center"/>
                </w:tcPr>
                <w:p w14:paraId="663FED6D">
                  <w:pPr>
                    <w:adjustRightInd w:val="0"/>
                    <w:snapToGrid w:val="0"/>
                    <w:jc w:val="center"/>
                    <w:rPr>
                      <w:color w:val="auto"/>
                    </w:rPr>
                  </w:pPr>
                  <w:r>
                    <w:rPr>
                      <w:rFonts w:hint="eastAsia"/>
                      <w:color w:val="auto"/>
                    </w:rPr>
                    <w:t>禁入行业</w:t>
                  </w:r>
                </w:p>
              </w:tc>
              <w:tc>
                <w:tcPr>
                  <w:tcW w:w="3466" w:type="dxa"/>
                  <w:vAlign w:val="center"/>
                </w:tcPr>
                <w:p w14:paraId="1D98FDB4">
                  <w:pPr>
                    <w:adjustRightInd w:val="0"/>
                    <w:snapToGrid w:val="0"/>
                    <w:jc w:val="left"/>
                    <w:rPr>
                      <w:color w:val="auto"/>
                    </w:rPr>
                  </w:pPr>
                  <w:r>
                    <w:rPr>
                      <w:rFonts w:hint="eastAsia"/>
                      <w:color w:val="auto"/>
                    </w:rPr>
                    <w:t>（1）</w:t>
                  </w:r>
                  <w:r>
                    <w:rPr>
                      <w:color w:val="auto"/>
                    </w:rPr>
                    <w:t>《产业结构调整指导目录 (2019 年本</w:t>
                  </w:r>
                  <w:r>
                    <w:rPr>
                      <w:rFonts w:hint="eastAsia"/>
                      <w:color w:val="auto"/>
                    </w:rPr>
                    <w:t>，2021年修订）</w:t>
                  </w:r>
                  <w:r>
                    <w:rPr>
                      <w:color w:val="auto"/>
                    </w:rPr>
                    <w:t>》 中禁止、限制类的行业。</w:t>
                  </w:r>
                </w:p>
                <w:p w14:paraId="0D70E991">
                  <w:pPr>
                    <w:adjustRightInd w:val="0"/>
                    <w:snapToGrid w:val="0"/>
                    <w:jc w:val="left"/>
                    <w:rPr>
                      <w:color w:val="auto"/>
                    </w:rPr>
                  </w:pPr>
                  <w:r>
                    <w:rPr>
                      <w:rFonts w:hint="eastAsia"/>
                      <w:color w:val="auto"/>
                    </w:rPr>
                    <w:t>（2）</w:t>
                  </w:r>
                  <w:r>
                    <w:rPr>
                      <w:color w:val="auto"/>
                    </w:rPr>
                    <w:t>《外商投资产业指导目录 (2017 年修订)》中禁止类。</w:t>
                  </w:r>
                </w:p>
                <w:p w14:paraId="4D21B621">
                  <w:pPr>
                    <w:adjustRightInd w:val="0"/>
                    <w:snapToGrid w:val="0"/>
                    <w:jc w:val="left"/>
                    <w:rPr>
                      <w:color w:val="auto"/>
                    </w:rPr>
                  </w:pPr>
                  <w:r>
                    <w:rPr>
                      <w:rFonts w:hint="eastAsia"/>
                      <w:color w:val="auto"/>
                    </w:rPr>
                    <w:t>（3）</w:t>
                  </w:r>
                  <w:r>
                    <w:rPr>
                      <w:color w:val="auto"/>
                      <w:kern w:val="0"/>
                      <w:szCs w:val="21"/>
                    </w:rPr>
                    <w:t>严禁</w:t>
                  </w:r>
                  <w:r>
                    <w:rPr>
                      <w:rFonts w:hint="eastAsia"/>
                      <w:color w:val="auto"/>
                      <w:kern w:val="0"/>
                      <w:szCs w:val="21"/>
                    </w:rPr>
                    <w:t>不符合要求的</w:t>
                  </w:r>
                  <w:r>
                    <w:rPr>
                      <w:color w:val="auto"/>
                      <w:kern w:val="0"/>
                      <w:szCs w:val="21"/>
                    </w:rPr>
                    <w:t>高风险高污染行业入驻</w:t>
                  </w:r>
                  <w:r>
                    <w:rPr>
                      <w:rFonts w:hint="eastAsia"/>
                      <w:color w:val="auto"/>
                    </w:rPr>
                    <w:t>；</w:t>
                  </w:r>
                </w:p>
                <w:p w14:paraId="15EBB61D">
                  <w:pPr>
                    <w:adjustRightInd w:val="0"/>
                    <w:snapToGrid w:val="0"/>
                    <w:jc w:val="left"/>
                    <w:rPr>
                      <w:color w:val="auto"/>
                    </w:rPr>
                  </w:pPr>
                  <w:r>
                    <w:rPr>
                      <w:rFonts w:hint="eastAsia"/>
                      <w:color w:val="auto"/>
                    </w:rPr>
                    <w:t>（4）</w:t>
                  </w:r>
                  <w:r>
                    <w:rPr>
                      <w:color w:val="auto"/>
                    </w:rPr>
                    <w:t>禁止引入其他不在园区产业定位、不符合园区环保要求项目，如造纸制浆、印染、染料、制革、炼焦、炼硫、炼砷、炼油、有色金属等项目。</w:t>
                  </w:r>
                </w:p>
                <w:p w14:paraId="078071D4">
                  <w:pPr>
                    <w:adjustRightInd w:val="0"/>
                    <w:snapToGrid w:val="0"/>
                    <w:jc w:val="left"/>
                    <w:rPr>
                      <w:color w:val="auto"/>
                    </w:rPr>
                  </w:pPr>
                  <w:r>
                    <w:rPr>
                      <w:rFonts w:hint="eastAsia"/>
                      <w:color w:val="auto"/>
                    </w:rPr>
                    <w:t>（5）</w:t>
                  </w:r>
                  <w:r>
                    <w:rPr>
                      <w:color w:val="auto"/>
                    </w:rPr>
                    <w:t>污水成分复杂或废水、废液按现有技术无法妥善处置的产业。</w:t>
                  </w:r>
                </w:p>
                <w:p w14:paraId="55FD079E">
                  <w:pPr>
                    <w:adjustRightInd w:val="0"/>
                    <w:snapToGrid w:val="0"/>
                    <w:jc w:val="left"/>
                    <w:rPr>
                      <w:color w:val="auto"/>
                    </w:rPr>
                  </w:pPr>
                  <w:r>
                    <w:rPr>
                      <w:rFonts w:hint="eastAsia"/>
                      <w:color w:val="auto"/>
                    </w:rPr>
                    <w:t>（6）</w:t>
                  </w:r>
                  <w:r>
                    <w:rPr>
                      <w:color w:val="auto"/>
                    </w:rPr>
                    <w:t>物耗、能耗相对较高，产生的大气污染类型复杂、环境风险较大的产业、项目或工艺</w:t>
                  </w:r>
                  <w:r>
                    <w:rPr>
                      <w:rFonts w:hint="eastAsia"/>
                      <w:color w:val="auto"/>
                    </w:rPr>
                    <w:t>，</w:t>
                  </w:r>
                  <w:r>
                    <w:rPr>
                      <w:color w:val="auto"/>
                    </w:rPr>
                    <w:t>且产生的大气污染物无法自身治理或妥善处置或处理成本较高的产生。</w:t>
                  </w:r>
                </w:p>
                <w:p w14:paraId="664DE991">
                  <w:pPr>
                    <w:adjustRightInd w:val="0"/>
                    <w:snapToGrid w:val="0"/>
                    <w:jc w:val="left"/>
                    <w:rPr>
                      <w:color w:val="auto"/>
                    </w:rPr>
                  </w:pPr>
                  <w:r>
                    <w:rPr>
                      <w:rFonts w:hint="eastAsia"/>
                      <w:color w:val="auto"/>
                    </w:rPr>
                    <w:t>（7）</w:t>
                  </w:r>
                  <w:r>
                    <w:rPr>
                      <w:color w:val="auto"/>
                    </w:rPr>
                    <w:t>不能严格按“三同时”要求建厂的企业，无法满足卫生防护距离、大气环境防护距离的企业。</w:t>
                  </w:r>
                </w:p>
                <w:p w14:paraId="5D9E0FAE">
                  <w:pPr>
                    <w:adjustRightInd w:val="0"/>
                    <w:snapToGrid w:val="0"/>
                    <w:jc w:val="left"/>
                    <w:rPr>
                      <w:color w:val="auto"/>
                    </w:rPr>
                  </w:pPr>
                  <w:r>
                    <w:rPr>
                      <w:rFonts w:hint="eastAsia"/>
                      <w:color w:val="auto"/>
                    </w:rPr>
                    <w:t>（8）</w:t>
                  </w:r>
                  <w:r>
                    <w:rPr>
                      <w:color w:val="auto"/>
                    </w:rPr>
                    <w:t>与《云南省牛栏江保护条例》存在冲突的项目。</w:t>
                  </w:r>
                </w:p>
                <w:p w14:paraId="524C5C7C">
                  <w:pPr>
                    <w:adjustRightInd w:val="0"/>
                    <w:snapToGrid w:val="0"/>
                    <w:jc w:val="left"/>
                    <w:rPr>
                      <w:color w:val="auto"/>
                    </w:rPr>
                  </w:pPr>
                  <w:r>
                    <w:rPr>
                      <w:rFonts w:hint="eastAsia"/>
                      <w:color w:val="auto"/>
                    </w:rPr>
                    <w:t>（9）</w:t>
                  </w:r>
                  <w:r>
                    <w:rPr>
                      <w:color w:val="auto"/>
                      <w:szCs w:val="21"/>
                    </w:rPr>
                    <w:t>《长江经济带发展负面清单指南（试行，2022年版）》</w:t>
                  </w:r>
                  <w:r>
                    <w:rPr>
                      <w:rFonts w:hint="eastAsia"/>
                      <w:color w:val="auto"/>
                      <w:szCs w:val="21"/>
                    </w:rPr>
                    <w:t>和</w:t>
                  </w:r>
                  <w:r>
                    <w:rPr>
                      <w:color w:val="auto"/>
                      <w:szCs w:val="21"/>
                    </w:rPr>
                    <w:t>《云南省推动长江经济带发展负面清单指南实施细则（试行，2022年版）》</w:t>
                  </w:r>
                  <w:r>
                    <w:rPr>
                      <w:rFonts w:hint="eastAsia"/>
                      <w:color w:val="auto"/>
                      <w:szCs w:val="21"/>
                    </w:rPr>
                    <w:t>中的禁止项目。</w:t>
                  </w:r>
                </w:p>
                <w:p w14:paraId="1052E105">
                  <w:pPr>
                    <w:adjustRightInd w:val="0"/>
                    <w:snapToGrid w:val="0"/>
                    <w:rPr>
                      <w:color w:val="auto"/>
                    </w:rPr>
                  </w:pPr>
                  <w:r>
                    <w:rPr>
                      <w:rFonts w:hint="eastAsia"/>
                      <w:color w:val="auto"/>
                    </w:rPr>
                    <w:t>（10）</w:t>
                  </w:r>
                  <w:r>
                    <w:rPr>
                      <w:color w:val="auto"/>
                    </w:rPr>
                    <w:t>禁止引入单位产品能耗、物耗、污染物产生量和排放量等清洁生产指标达不到国内先进水平的产业(项目)</w:t>
                  </w:r>
                  <w:r>
                    <w:rPr>
                      <w:rFonts w:hint="eastAsia"/>
                      <w:color w:val="auto"/>
                    </w:rPr>
                    <w:t>；</w:t>
                  </w:r>
                  <w:r>
                    <w:rPr>
                      <w:color w:val="auto"/>
                    </w:rPr>
                    <w:t>资源综合利用率低、产生废物量大，且按近期技术水平不能综合利用的行业</w:t>
                  </w:r>
                  <w:r>
                    <w:rPr>
                      <w:rFonts w:hint="eastAsia"/>
                      <w:color w:val="auto"/>
                    </w:rPr>
                    <w:t>，</w:t>
                  </w:r>
                  <w:r>
                    <w:rPr>
                      <w:color w:val="auto"/>
                    </w:rPr>
                    <w:t>高耗水且排放污水、废液按现有技术经济无法治理或妥善处置的产业。</w:t>
                  </w:r>
                </w:p>
                <w:p w14:paraId="1D9695FD">
                  <w:pPr>
                    <w:adjustRightInd w:val="0"/>
                    <w:snapToGrid w:val="0"/>
                    <w:rPr>
                      <w:color w:val="auto"/>
                      <w:szCs w:val="21"/>
                    </w:rPr>
                  </w:pPr>
                  <w:r>
                    <w:rPr>
                      <w:rFonts w:hint="eastAsia"/>
                      <w:color w:val="auto"/>
                      <w:szCs w:val="21"/>
                    </w:rPr>
                    <w:t>（11）未来入驻企业禁止在园区内新建永久性工业固废处置场。</w:t>
                  </w:r>
                </w:p>
                <w:p w14:paraId="53052842">
                  <w:pPr>
                    <w:adjustRightInd w:val="0"/>
                    <w:snapToGrid w:val="0"/>
                    <w:rPr>
                      <w:color w:val="auto"/>
                      <w:szCs w:val="21"/>
                    </w:rPr>
                  </w:pPr>
                  <w:r>
                    <w:rPr>
                      <w:rFonts w:hint="eastAsia"/>
                      <w:color w:val="auto"/>
                      <w:szCs w:val="21"/>
                    </w:rPr>
                    <w:t>（12）</w:t>
                  </w:r>
                  <w:r>
                    <w:rPr>
                      <w:color w:val="auto"/>
                      <w:szCs w:val="21"/>
                    </w:rPr>
                    <w:t>严禁引入物耗、水耗和能耗相对较高，但符合园区总体规划产业类别的其他产业（</w:t>
                  </w:r>
                  <w:r>
                    <w:rPr>
                      <w:rFonts w:hint="eastAsia"/>
                      <w:color w:val="auto"/>
                      <w:szCs w:val="21"/>
                    </w:rPr>
                    <w:t>①</w:t>
                  </w:r>
                  <w:r>
                    <w:rPr>
                      <w:color w:val="auto"/>
                      <w:szCs w:val="21"/>
                    </w:rPr>
                    <w:t>属于规划既定行业，但污染类型复杂、环境风险较大的产业、项目或工艺；</w:t>
                  </w:r>
                  <w:r>
                    <w:rPr>
                      <w:rFonts w:hint="eastAsia"/>
                      <w:color w:val="auto"/>
                      <w:szCs w:val="21"/>
                    </w:rPr>
                    <w:t>②</w:t>
                  </w:r>
                  <w:r>
                    <w:rPr>
                      <w:color w:val="auto"/>
                      <w:szCs w:val="21"/>
                    </w:rPr>
                    <w:t>产生废物，且按自有技术水平无法治理或妥善处置的；</w:t>
                  </w:r>
                  <w:r>
                    <w:rPr>
                      <w:rFonts w:hint="eastAsia"/>
                      <w:color w:val="auto"/>
                      <w:szCs w:val="21"/>
                    </w:rPr>
                    <w:t>③</w:t>
                  </w:r>
                  <w:r>
                    <w:rPr>
                      <w:color w:val="auto"/>
                      <w:szCs w:val="21"/>
                    </w:rPr>
                    <w:t>现有污染治理技术不成熟，或现有技术经济条件难以承受污染物治理成本的）。</w:t>
                  </w:r>
                </w:p>
                <w:p w14:paraId="0CF060B3">
                  <w:pPr>
                    <w:adjustRightInd w:val="0"/>
                    <w:snapToGrid w:val="0"/>
                    <w:jc w:val="left"/>
                    <w:rPr>
                      <w:color w:val="auto"/>
                    </w:rPr>
                  </w:pPr>
                  <w:r>
                    <w:rPr>
                      <w:rFonts w:hint="eastAsia"/>
                      <w:color w:val="auto"/>
                      <w:szCs w:val="21"/>
                    </w:rPr>
                    <w:t>（13）禁止入园企业开采地下水作为生产、生活用水。</w:t>
                  </w:r>
                </w:p>
              </w:tc>
              <w:tc>
                <w:tcPr>
                  <w:tcW w:w="2746" w:type="dxa"/>
                  <w:vAlign w:val="center"/>
                </w:tcPr>
                <w:p w14:paraId="5B987204">
                  <w:pPr>
                    <w:adjustRightInd w:val="0"/>
                    <w:snapToGrid w:val="0"/>
                    <w:jc w:val="left"/>
                    <w:rPr>
                      <w:color w:val="auto"/>
                      <w:szCs w:val="21"/>
                    </w:rPr>
                  </w:pPr>
                  <w:r>
                    <w:rPr>
                      <w:rFonts w:hint="eastAsia"/>
                      <w:color w:val="auto"/>
                      <w:szCs w:val="21"/>
                    </w:rPr>
                    <w:t>项目为纸制品制造行业。</w:t>
                  </w:r>
                </w:p>
                <w:p w14:paraId="2BA318C6">
                  <w:pPr>
                    <w:numPr>
                      <w:ilvl w:val="0"/>
                      <w:numId w:val="4"/>
                    </w:numPr>
                    <w:adjustRightInd w:val="0"/>
                    <w:snapToGrid w:val="0"/>
                    <w:jc w:val="left"/>
                    <w:rPr>
                      <w:color w:val="auto"/>
                      <w:szCs w:val="21"/>
                    </w:rPr>
                  </w:pPr>
                  <w:r>
                    <w:rPr>
                      <w:rFonts w:hint="eastAsia"/>
                      <w:color w:val="auto"/>
                      <w:szCs w:val="21"/>
                    </w:rPr>
                    <w:t>属于</w:t>
                  </w:r>
                  <w:r>
                    <w:rPr>
                      <w:color w:val="auto"/>
                    </w:rPr>
                    <w:t>《产业结构调整指导目录 (2019 年本</w:t>
                  </w:r>
                  <w:r>
                    <w:rPr>
                      <w:rFonts w:hint="eastAsia"/>
                      <w:color w:val="auto"/>
                    </w:rPr>
                    <w:t>，2021年修订）</w:t>
                  </w:r>
                  <w:r>
                    <w:rPr>
                      <w:color w:val="auto"/>
                    </w:rPr>
                    <w:t>》 中</w:t>
                  </w:r>
                  <w:r>
                    <w:rPr>
                      <w:rFonts w:hint="eastAsia"/>
                      <w:color w:val="auto"/>
                    </w:rPr>
                    <w:t>的允许类项目</w:t>
                  </w:r>
                  <w:r>
                    <w:rPr>
                      <w:rFonts w:hint="eastAsia"/>
                      <w:color w:val="auto"/>
                      <w:szCs w:val="21"/>
                    </w:rPr>
                    <w:t>；</w:t>
                  </w:r>
                </w:p>
                <w:p w14:paraId="0E24D098">
                  <w:pPr>
                    <w:numPr>
                      <w:ilvl w:val="0"/>
                      <w:numId w:val="4"/>
                    </w:numPr>
                    <w:adjustRightInd w:val="0"/>
                    <w:snapToGrid w:val="0"/>
                    <w:rPr>
                      <w:color w:val="auto"/>
                    </w:rPr>
                  </w:pPr>
                  <w:r>
                    <w:rPr>
                      <w:rFonts w:hint="eastAsia"/>
                      <w:color w:val="auto"/>
                      <w:szCs w:val="21"/>
                    </w:rPr>
                    <w:t>不属于</w:t>
                  </w:r>
                  <w:r>
                    <w:rPr>
                      <w:color w:val="auto"/>
                    </w:rPr>
                    <w:t>《外商投资产业指导目录 (2017年修订)》中禁止类</w:t>
                  </w:r>
                  <w:r>
                    <w:rPr>
                      <w:rFonts w:hint="eastAsia"/>
                      <w:color w:val="auto"/>
                    </w:rPr>
                    <w:t>项目；</w:t>
                  </w:r>
                </w:p>
                <w:p w14:paraId="34DA3085">
                  <w:pPr>
                    <w:numPr>
                      <w:ilvl w:val="0"/>
                      <w:numId w:val="4"/>
                    </w:numPr>
                    <w:adjustRightInd w:val="0"/>
                    <w:snapToGrid w:val="0"/>
                    <w:rPr>
                      <w:color w:val="auto"/>
                    </w:rPr>
                  </w:pPr>
                  <w:r>
                    <w:rPr>
                      <w:rFonts w:hint="eastAsia"/>
                      <w:color w:val="auto"/>
                    </w:rPr>
                    <w:t>项目产品为三聚氰胺浸渍纸，属于纸制品制造业，不属于高风险高污染行业；</w:t>
                  </w:r>
                </w:p>
                <w:p w14:paraId="45A7C021">
                  <w:pPr>
                    <w:adjustRightInd w:val="0"/>
                    <w:snapToGrid w:val="0"/>
                    <w:jc w:val="left"/>
                    <w:rPr>
                      <w:color w:val="auto"/>
                    </w:rPr>
                  </w:pPr>
                  <w:r>
                    <w:rPr>
                      <w:rFonts w:hint="eastAsia"/>
                      <w:color w:val="auto"/>
                    </w:rPr>
                    <w:t>（4）项目产品为三聚氰胺浸渍纸，作为家具生产的原材料，符合羊街片区园区产业定位，项目不涉及</w:t>
                  </w:r>
                  <w:r>
                    <w:rPr>
                      <w:color w:val="auto"/>
                    </w:rPr>
                    <w:t>造纸制浆、印染、染料、制革、炼焦、炼硫、炼砷、炼油、有色金属</w:t>
                  </w:r>
                  <w:r>
                    <w:rPr>
                      <w:rFonts w:hint="eastAsia"/>
                      <w:color w:val="auto"/>
                    </w:rPr>
                    <w:t>等工艺；</w:t>
                  </w:r>
                </w:p>
                <w:p w14:paraId="6001C51E">
                  <w:pPr>
                    <w:adjustRightInd w:val="0"/>
                    <w:snapToGrid w:val="0"/>
                    <w:jc w:val="left"/>
                    <w:rPr>
                      <w:color w:val="auto"/>
                    </w:rPr>
                  </w:pPr>
                  <w:r>
                    <w:rPr>
                      <w:rFonts w:hint="eastAsia"/>
                      <w:color w:val="auto"/>
                    </w:rPr>
                    <w:t>（5）项目无废液产生，产生的废水仅为生活污水，成分不复杂，通过污水处理设备处理达标后全部回用于厂区绿化和道路浇洒，不外排；</w:t>
                  </w:r>
                </w:p>
                <w:p w14:paraId="3570D613">
                  <w:pPr>
                    <w:adjustRightInd w:val="0"/>
                    <w:snapToGrid w:val="0"/>
                    <w:jc w:val="left"/>
                    <w:rPr>
                      <w:color w:val="auto"/>
                    </w:rPr>
                  </w:pPr>
                  <w:r>
                    <w:rPr>
                      <w:rFonts w:hint="eastAsia"/>
                      <w:color w:val="auto"/>
                    </w:rPr>
                    <w:t>（6）项目能耗较低，产生的大气污染物主要为挥发性有机物，且经过“UV光解+活性炭吸附”后可达标排放；</w:t>
                  </w:r>
                </w:p>
                <w:p w14:paraId="4020D6CA">
                  <w:pPr>
                    <w:adjustRightInd w:val="0"/>
                    <w:snapToGrid w:val="0"/>
                    <w:jc w:val="left"/>
                    <w:rPr>
                      <w:color w:val="auto"/>
                    </w:rPr>
                  </w:pPr>
                  <w:r>
                    <w:rPr>
                      <w:rFonts w:hint="eastAsia"/>
                      <w:color w:val="auto"/>
                    </w:rPr>
                    <w:t>（7）项目无需设置大气环境防护距离，且能严格按照“三同时”要求建厂；</w:t>
                  </w:r>
                </w:p>
                <w:p w14:paraId="2CAF4E10">
                  <w:pPr>
                    <w:adjustRightInd w:val="0"/>
                    <w:snapToGrid w:val="0"/>
                    <w:jc w:val="left"/>
                    <w:rPr>
                      <w:color w:val="auto"/>
                    </w:rPr>
                  </w:pPr>
                  <w:r>
                    <w:rPr>
                      <w:rFonts w:hint="eastAsia"/>
                      <w:color w:val="auto"/>
                    </w:rPr>
                    <w:t>（8）项目与</w:t>
                  </w:r>
                  <w:r>
                    <w:rPr>
                      <w:color w:val="auto"/>
                    </w:rPr>
                    <w:t>《云南省牛栏江保护条例》</w:t>
                  </w:r>
                  <w:r>
                    <w:rPr>
                      <w:rFonts w:hint="eastAsia"/>
                      <w:color w:val="auto"/>
                    </w:rPr>
                    <w:t>不冲突；</w:t>
                  </w:r>
                </w:p>
                <w:p w14:paraId="5438BA9D">
                  <w:pPr>
                    <w:adjustRightInd w:val="0"/>
                    <w:snapToGrid w:val="0"/>
                    <w:jc w:val="left"/>
                    <w:rPr>
                      <w:color w:val="auto"/>
                    </w:rPr>
                  </w:pPr>
                  <w:r>
                    <w:rPr>
                      <w:rFonts w:hint="eastAsia"/>
                      <w:color w:val="auto"/>
                    </w:rPr>
                    <w:t>（9）项目为纸制品制造业，不属于</w:t>
                  </w:r>
                  <w:r>
                    <w:rPr>
                      <w:color w:val="auto"/>
                      <w:szCs w:val="21"/>
                    </w:rPr>
                    <w:t>《长江经济带发展负面清单指南（试行，2022年版）》</w:t>
                  </w:r>
                  <w:r>
                    <w:rPr>
                      <w:rFonts w:hint="eastAsia"/>
                      <w:color w:val="auto"/>
                      <w:szCs w:val="21"/>
                    </w:rPr>
                    <w:t>和</w:t>
                  </w:r>
                  <w:r>
                    <w:rPr>
                      <w:color w:val="auto"/>
                      <w:szCs w:val="21"/>
                    </w:rPr>
                    <w:t>《云南省推动长江经济带发展负面清单指南实施细则（试行，2022年版）》</w:t>
                  </w:r>
                  <w:r>
                    <w:rPr>
                      <w:rFonts w:hint="eastAsia"/>
                      <w:color w:val="auto"/>
                      <w:szCs w:val="21"/>
                    </w:rPr>
                    <w:t>中的禁止项目；</w:t>
                  </w:r>
                </w:p>
                <w:p w14:paraId="05D2D970">
                  <w:pPr>
                    <w:adjustRightInd w:val="0"/>
                    <w:snapToGrid w:val="0"/>
                    <w:jc w:val="left"/>
                    <w:rPr>
                      <w:color w:val="auto"/>
                      <w:szCs w:val="21"/>
                    </w:rPr>
                  </w:pPr>
                  <w:r>
                    <w:rPr>
                      <w:rFonts w:hint="eastAsia"/>
                      <w:color w:val="auto"/>
                      <w:szCs w:val="21"/>
                    </w:rPr>
                    <w:t>（10）项目能耗较低，资源综合利用率较高，产生的污染物质均能得到有效处置。</w:t>
                  </w:r>
                </w:p>
                <w:p w14:paraId="2FD18C46">
                  <w:pPr>
                    <w:adjustRightInd w:val="0"/>
                    <w:snapToGrid w:val="0"/>
                    <w:jc w:val="left"/>
                    <w:rPr>
                      <w:color w:val="auto"/>
                      <w:szCs w:val="21"/>
                    </w:rPr>
                  </w:pPr>
                  <w:r>
                    <w:rPr>
                      <w:rFonts w:hint="eastAsia"/>
                      <w:color w:val="auto"/>
                      <w:szCs w:val="21"/>
                    </w:rPr>
                    <w:t>（11）项目不设永久性工业固废处置场；</w:t>
                  </w:r>
                </w:p>
                <w:p w14:paraId="2D57B11D">
                  <w:pPr>
                    <w:adjustRightInd w:val="0"/>
                    <w:snapToGrid w:val="0"/>
                    <w:jc w:val="left"/>
                    <w:rPr>
                      <w:color w:val="auto"/>
                    </w:rPr>
                  </w:pPr>
                  <w:r>
                    <w:rPr>
                      <w:rFonts w:hint="eastAsia"/>
                      <w:color w:val="auto"/>
                      <w:szCs w:val="21"/>
                    </w:rPr>
                    <w:t>（12）项目为纸制品制造业，最终产品为三聚氰胺浸渍纸，属于纸制品制造业，但不涉及造纸制浆，项目能耗较低，污染类型不复杂，且环评提出的污染治理技术已成熟，可有效对项目产生的污染物进行治理和处置；（13）项目用水为园区管网供水，不涉及地下水开采。</w:t>
                  </w:r>
                </w:p>
              </w:tc>
              <w:tc>
                <w:tcPr>
                  <w:tcW w:w="394" w:type="dxa"/>
                  <w:vAlign w:val="center"/>
                </w:tcPr>
                <w:p w14:paraId="311096A0">
                  <w:pPr>
                    <w:adjustRightInd w:val="0"/>
                    <w:snapToGrid w:val="0"/>
                    <w:jc w:val="center"/>
                    <w:rPr>
                      <w:color w:val="auto"/>
                    </w:rPr>
                  </w:pPr>
                  <w:r>
                    <w:rPr>
                      <w:color w:val="auto"/>
                    </w:rPr>
                    <w:t>符合</w:t>
                  </w:r>
                </w:p>
              </w:tc>
            </w:tr>
            <w:tr w14:paraId="0FBF3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vMerge w:val="continue"/>
                  <w:vAlign w:val="center"/>
                </w:tcPr>
                <w:p w14:paraId="5F2314AE">
                  <w:pPr>
                    <w:adjustRightInd w:val="0"/>
                    <w:snapToGrid w:val="0"/>
                    <w:jc w:val="center"/>
                    <w:rPr>
                      <w:color w:val="auto"/>
                    </w:rPr>
                  </w:pPr>
                </w:p>
              </w:tc>
              <w:tc>
                <w:tcPr>
                  <w:tcW w:w="658" w:type="dxa"/>
                  <w:vAlign w:val="center"/>
                </w:tcPr>
                <w:p w14:paraId="36C7DF17">
                  <w:pPr>
                    <w:adjustRightInd w:val="0"/>
                    <w:snapToGrid w:val="0"/>
                    <w:jc w:val="center"/>
                    <w:rPr>
                      <w:color w:val="auto"/>
                    </w:rPr>
                  </w:pPr>
                  <w:r>
                    <w:rPr>
                      <w:rFonts w:hint="eastAsia"/>
                      <w:color w:val="auto"/>
                    </w:rPr>
                    <w:t>禁入工艺</w:t>
                  </w:r>
                </w:p>
              </w:tc>
              <w:tc>
                <w:tcPr>
                  <w:tcW w:w="3466" w:type="dxa"/>
                  <w:vAlign w:val="center"/>
                </w:tcPr>
                <w:p w14:paraId="69A58661">
                  <w:pPr>
                    <w:adjustRightInd w:val="0"/>
                    <w:snapToGrid w:val="0"/>
                    <w:jc w:val="left"/>
                    <w:rPr>
                      <w:color w:val="auto"/>
                    </w:rPr>
                  </w:pPr>
                  <w:r>
                    <w:rPr>
                      <w:rFonts w:hint="eastAsia"/>
                      <w:color w:val="auto"/>
                    </w:rPr>
                    <w:t>（1）</w:t>
                  </w:r>
                  <w:r>
                    <w:rPr>
                      <w:color w:val="auto"/>
                    </w:rPr>
                    <w:t>《产业结构调整指导目录 (2019年本</w:t>
                  </w:r>
                  <w:r>
                    <w:rPr>
                      <w:rFonts w:hint="eastAsia"/>
                      <w:color w:val="auto"/>
                    </w:rPr>
                    <w:t>，2021年修订）</w:t>
                  </w:r>
                  <w:r>
                    <w:rPr>
                      <w:color w:val="auto"/>
                    </w:rPr>
                    <w:t>》中淘汰、落后的生产工艺</w:t>
                  </w:r>
                  <w:r>
                    <w:rPr>
                      <w:rFonts w:hint="eastAsia"/>
                      <w:color w:val="auto"/>
                    </w:rPr>
                    <w:t>；</w:t>
                  </w:r>
                </w:p>
                <w:p w14:paraId="03D8639D">
                  <w:pPr>
                    <w:adjustRightInd w:val="0"/>
                    <w:snapToGrid w:val="0"/>
                    <w:jc w:val="left"/>
                    <w:rPr>
                      <w:color w:val="auto"/>
                    </w:rPr>
                  </w:pPr>
                  <w:r>
                    <w:rPr>
                      <w:rFonts w:hint="eastAsia"/>
                      <w:color w:val="auto"/>
                    </w:rPr>
                    <w:t>（2）</w:t>
                  </w:r>
                  <w:r>
                    <w:rPr>
                      <w:color w:val="auto"/>
                    </w:rPr>
                    <w:t>《部分工业行业淘汰落后生产工艺装备和产品指导目录(2010年本)》的生产工艺</w:t>
                  </w:r>
                  <w:r>
                    <w:rPr>
                      <w:rFonts w:hint="eastAsia"/>
                      <w:color w:val="auto"/>
                    </w:rPr>
                    <w:t>；</w:t>
                  </w:r>
                </w:p>
                <w:p w14:paraId="42F4B5FA">
                  <w:pPr>
                    <w:adjustRightInd w:val="0"/>
                    <w:snapToGrid w:val="0"/>
                    <w:jc w:val="left"/>
                    <w:rPr>
                      <w:color w:val="auto"/>
                    </w:rPr>
                  </w:pPr>
                </w:p>
              </w:tc>
              <w:tc>
                <w:tcPr>
                  <w:tcW w:w="2746" w:type="dxa"/>
                  <w:vAlign w:val="center"/>
                </w:tcPr>
                <w:p w14:paraId="5E8D3652">
                  <w:pPr>
                    <w:adjustRightInd w:val="0"/>
                    <w:snapToGrid w:val="0"/>
                    <w:jc w:val="left"/>
                    <w:rPr>
                      <w:color w:val="auto"/>
                    </w:rPr>
                  </w:pPr>
                  <w:r>
                    <w:rPr>
                      <w:rFonts w:hint="eastAsia"/>
                      <w:color w:val="auto"/>
                    </w:rPr>
                    <w:t>（1）项目不使用</w:t>
                  </w:r>
                  <w:r>
                    <w:rPr>
                      <w:color w:val="auto"/>
                    </w:rPr>
                    <w:t>《产业结构调整指导目录 (2019年本</w:t>
                  </w:r>
                  <w:r>
                    <w:rPr>
                      <w:rFonts w:hint="eastAsia"/>
                      <w:color w:val="auto"/>
                    </w:rPr>
                    <w:t>，2021年修订）</w:t>
                  </w:r>
                  <w:r>
                    <w:rPr>
                      <w:color w:val="auto"/>
                    </w:rPr>
                    <w:t>》中淘汰、落后的生产工艺</w:t>
                  </w:r>
                  <w:r>
                    <w:rPr>
                      <w:rFonts w:hint="eastAsia"/>
                      <w:color w:val="auto"/>
                    </w:rPr>
                    <w:t>；</w:t>
                  </w:r>
                </w:p>
                <w:p w14:paraId="0AEAC5D6">
                  <w:pPr>
                    <w:adjustRightInd w:val="0"/>
                    <w:snapToGrid w:val="0"/>
                    <w:jc w:val="left"/>
                    <w:rPr>
                      <w:color w:val="auto"/>
                    </w:rPr>
                  </w:pPr>
                  <w:r>
                    <w:rPr>
                      <w:rFonts w:hint="eastAsia"/>
                      <w:color w:val="auto"/>
                    </w:rPr>
                    <w:t>（2）项目不使用</w:t>
                  </w:r>
                  <w:r>
                    <w:rPr>
                      <w:color w:val="auto"/>
                    </w:rPr>
                    <w:t>《部分工业行业淘汰落后生产工艺装备和产品指导目录(2010年本)》</w:t>
                  </w:r>
                  <w:r>
                    <w:rPr>
                      <w:rFonts w:hint="eastAsia"/>
                      <w:color w:val="auto"/>
                    </w:rPr>
                    <w:t>中</w:t>
                  </w:r>
                  <w:r>
                    <w:rPr>
                      <w:color w:val="auto"/>
                    </w:rPr>
                    <w:t>的生产工艺</w:t>
                  </w:r>
                  <w:r>
                    <w:rPr>
                      <w:rFonts w:hint="eastAsia"/>
                      <w:color w:val="auto"/>
                    </w:rPr>
                    <w:t>；</w:t>
                  </w:r>
                </w:p>
              </w:tc>
              <w:tc>
                <w:tcPr>
                  <w:tcW w:w="394" w:type="dxa"/>
                  <w:vAlign w:val="center"/>
                </w:tcPr>
                <w:p w14:paraId="39415243">
                  <w:pPr>
                    <w:adjustRightInd w:val="0"/>
                    <w:snapToGrid w:val="0"/>
                    <w:jc w:val="center"/>
                    <w:rPr>
                      <w:color w:val="auto"/>
                    </w:rPr>
                  </w:pPr>
                  <w:r>
                    <w:rPr>
                      <w:color w:val="auto"/>
                    </w:rPr>
                    <w:t>符合</w:t>
                  </w:r>
                </w:p>
              </w:tc>
            </w:tr>
            <w:tr w14:paraId="20EC4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vMerge w:val="continue"/>
                  <w:vAlign w:val="center"/>
                </w:tcPr>
                <w:p w14:paraId="7BE6BB32">
                  <w:pPr>
                    <w:adjustRightInd w:val="0"/>
                    <w:snapToGrid w:val="0"/>
                    <w:jc w:val="center"/>
                    <w:rPr>
                      <w:color w:val="auto"/>
                    </w:rPr>
                  </w:pPr>
                </w:p>
              </w:tc>
              <w:tc>
                <w:tcPr>
                  <w:tcW w:w="658" w:type="dxa"/>
                  <w:vAlign w:val="center"/>
                </w:tcPr>
                <w:p w14:paraId="319F602A">
                  <w:pPr>
                    <w:adjustRightInd w:val="0"/>
                    <w:snapToGrid w:val="0"/>
                    <w:jc w:val="center"/>
                    <w:rPr>
                      <w:color w:val="auto"/>
                    </w:rPr>
                  </w:pPr>
                  <w:r>
                    <w:rPr>
                      <w:rFonts w:hint="eastAsia"/>
                      <w:color w:val="auto"/>
                    </w:rPr>
                    <w:t>禁入产品</w:t>
                  </w:r>
                </w:p>
              </w:tc>
              <w:tc>
                <w:tcPr>
                  <w:tcW w:w="3466" w:type="dxa"/>
                  <w:vAlign w:val="center"/>
                </w:tcPr>
                <w:p w14:paraId="293DDFB6">
                  <w:pPr>
                    <w:adjustRightInd w:val="0"/>
                    <w:snapToGrid w:val="0"/>
                    <w:jc w:val="left"/>
                    <w:rPr>
                      <w:color w:val="auto"/>
                      <w:szCs w:val="21"/>
                    </w:rPr>
                  </w:pPr>
                  <w:r>
                    <w:rPr>
                      <w:color w:val="auto"/>
                      <w:szCs w:val="21"/>
                    </w:rPr>
                    <w:t>《部分工业行业淘汰落后生产工艺装备和产品指导目录</w:t>
                  </w:r>
                  <w:r>
                    <w:rPr>
                      <w:rFonts w:hint="eastAsia"/>
                      <w:color w:val="auto"/>
                      <w:szCs w:val="21"/>
                    </w:rPr>
                    <w:t>（</w:t>
                  </w:r>
                  <w:r>
                    <w:rPr>
                      <w:color w:val="auto"/>
                      <w:szCs w:val="21"/>
                    </w:rPr>
                    <w:t>2010年本</w:t>
                  </w:r>
                  <w:r>
                    <w:rPr>
                      <w:rFonts w:hint="eastAsia"/>
                      <w:color w:val="auto"/>
                      <w:szCs w:val="21"/>
                    </w:rPr>
                    <w:t>）</w:t>
                  </w:r>
                  <w:r>
                    <w:rPr>
                      <w:color w:val="auto"/>
                      <w:szCs w:val="21"/>
                    </w:rPr>
                    <w:t>》的</w:t>
                  </w:r>
                  <w:r>
                    <w:rPr>
                      <w:rFonts w:hint="eastAsia"/>
                      <w:color w:val="auto"/>
                      <w:szCs w:val="21"/>
                    </w:rPr>
                    <w:t>产品。</w:t>
                  </w:r>
                </w:p>
              </w:tc>
              <w:tc>
                <w:tcPr>
                  <w:tcW w:w="2746" w:type="dxa"/>
                  <w:vAlign w:val="center"/>
                </w:tcPr>
                <w:p w14:paraId="7354C301">
                  <w:pPr>
                    <w:adjustRightInd w:val="0"/>
                    <w:snapToGrid w:val="0"/>
                    <w:jc w:val="left"/>
                    <w:rPr>
                      <w:color w:val="auto"/>
                      <w:szCs w:val="21"/>
                    </w:rPr>
                  </w:pPr>
                  <w:r>
                    <w:rPr>
                      <w:color w:val="auto"/>
                      <w:szCs w:val="21"/>
                    </w:rPr>
                    <w:t>项目</w:t>
                  </w:r>
                  <w:r>
                    <w:rPr>
                      <w:rFonts w:hint="eastAsia"/>
                      <w:color w:val="auto"/>
                      <w:szCs w:val="21"/>
                    </w:rPr>
                    <w:t>产品为三聚氰胺浸渍纸，不属于</w:t>
                  </w:r>
                  <w:r>
                    <w:rPr>
                      <w:color w:val="auto"/>
                      <w:szCs w:val="21"/>
                    </w:rPr>
                    <w:t>《部分工业行业淘汰落后生产工艺装备和产品指导目录</w:t>
                  </w:r>
                  <w:r>
                    <w:rPr>
                      <w:rFonts w:hint="eastAsia"/>
                      <w:color w:val="auto"/>
                      <w:szCs w:val="21"/>
                    </w:rPr>
                    <w:t>（</w:t>
                  </w:r>
                  <w:r>
                    <w:rPr>
                      <w:color w:val="auto"/>
                      <w:szCs w:val="21"/>
                    </w:rPr>
                    <w:t>2010年本</w:t>
                  </w:r>
                  <w:r>
                    <w:rPr>
                      <w:rFonts w:hint="eastAsia"/>
                      <w:color w:val="auto"/>
                      <w:szCs w:val="21"/>
                    </w:rPr>
                    <w:t>）</w:t>
                  </w:r>
                  <w:r>
                    <w:rPr>
                      <w:color w:val="auto"/>
                      <w:szCs w:val="21"/>
                    </w:rPr>
                    <w:t>》</w:t>
                  </w:r>
                  <w:r>
                    <w:rPr>
                      <w:rFonts w:hint="eastAsia"/>
                      <w:color w:val="auto"/>
                      <w:szCs w:val="21"/>
                    </w:rPr>
                    <w:t>中</w:t>
                  </w:r>
                  <w:r>
                    <w:rPr>
                      <w:color w:val="auto"/>
                      <w:szCs w:val="21"/>
                    </w:rPr>
                    <w:t>的</w:t>
                  </w:r>
                  <w:r>
                    <w:rPr>
                      <w:rFonts w:hint="eastAsia"/>
                      <w:color w:val="auto"/>
                      <w:szCs w:val="21"/>
                    </w:rPr>
                    <w:t>产品。</w:t>
                  </w:r>
                </w:p>
              </w:tc>
              <w:tc>
                <w:tcPr>
                  <w:tcW w:w="394" w:type="dxa"/>
                  <w:vAlign w:val="center"/>
                </w:tcPr>
                <w:p w14:paraId="6BEEDFB3">
                  <w:pPr>
                    <w:adjustRightInd w:val="0"/>
                    <w:snapToGrid w:val="0"/>
                    <w:jc w:val="left"/>
                    <w:rPr>
                      <w:color w:val="auto"/>
                    </w:rPr>
                  </w:pPr>
                  <w:r>
                    <w:rPr>
                      <w:color w:val="auto"/>
                    </w:rPr>
                    <w:t>符合</w:t>
                  </w:r>
                </w:p>
              </w:tc>
            </w:tr>
            <w:tr w14:paraId="28A21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vMerge w:val="continue"/>
                  <w:vAlign w:val="center"/>
                </w:tcPr>
                <w:p w14:paraId="76B74308">
                  <w:pPr>
                    <w:adjustRightInd w:val="0"/>
                    <w:snapToGrid w:val="0"/>
                    <w:jc w:val="center"/>
                    <w:rPr>
                      <w:color w:val="auto"/>
                    </w:rPr>
                  </w:pPr>
                </w:p>
              </w:tc>
              <w:tc>
                <w:tcPr>
                  <w:tcW w:w="658" w:type="dxa"/>
                  <w:vAlign w:val="center"/>
                </w:tcPr>
                <w:p w14:paraId="46303AE0">
                  <w:pPr>
                    <w:adjustRightInd w:val="0"/>
                    <w:snapToGrid w:val="0"/>
                    <w:jc w:val="center"/>
                    <w:rPr>
                      <w:color w:val="auto"/>
                    </w:rPr>
                  </w:pPr>
                  <w:r>
                    <w:rPr>
                      <w:rFonts w:hint="eastAsia"/>
                      <w:color w:val="auto"/>
                    </w:rPr>
                    <w:t>清洁生产水平</w:t>
                  </w:r>
                </w:p>
              </w:tc>
              <w:tc>
                <w:tcPr>
                  <w:tcW w:w="3466" w:type="dxa"/>
                  <w:vAlign w:val="center"/>
                </w:tcPr>
                <w:p w14:paraId="0D4D014E">
                  <w:pPr>
                    <w:adjustRightInd w:val="0"/>
                    <w:snapToGrid w:val="0"/>
                    <w:jc w:val="left"/>
                    <w:rPr>
                      <w:color w:val="auto"/>
                      <w:szCs w:val="21"/>
                    </w:rPr>
                  </w:pPr>
                  <w:r>
                    <w:rPr>
                      <w:rFonts w:hint="eastAsia"/>
                      <w:color w:val="auto"/>
                      <w:szCs w:val="21"/>
                    </w:rPr>
                    <w:t>清洁生产水平低于国家生产标准的国内先进水平。</w:t>
                  </w:r>
                </w:p>
              </w:tc>
              <w:tc>
                <w:tcPr>
                  <w:tcW w:w="2746" w:type="dxa"/>
                  <w:vAlign w:val="center"/>
                </w:tcPr>
                <w:p w14:paraId="3342F80A">
                  <w:pPr>
                    <w:adjustRightInd w:val="0"/>
                    <w:snapToGrid w:val="0"/>
                    <w:jc w:val="left"/>
                    <w:rPr>
                      <w:color w:val="auto"/>
                      <w:szCs w:val="21"/>
                    </w:rPr>
                  </w:pPr>
                  <w:r>
                    <w:rPr>
                      <w:color w:val="auto"/>
                      <w:szCs w:val="21"/>
                    </w:rPr>
                    <w:t>项目</w:t>
                  </w:r>
                  <w:r>
                    <w:rPr>
                      <w:rFonts w:hint="eastAsia"/>
                      <w:color w:val="auto"/>
                      <w:szCs w:val="21"/>
                    </w:rPr>
                    <w:t>清洁生产水平不低于国家生产标准的国内先进水平。</w:t>
                  </w:r>
                </w:p>
              </w:tc>
              <w:tc>
                <w:tcPr>
                  <w:tcW w:w="394" w:type="dxa"/>
                  <w:vAlign w:val="center"/>
                </w:tcPr>
                <w:p w14:paraId="6EB84833">
                  <w:pPr>
                    <w:adjustRightInd w:val="0"/>
                    <w:snapToGrid w:val="0"/>
                    <w:jc w:val="left"/>
                    <w:rPr>
                      <w:color w:val="auto"/>
                      <w:szCs w:val="21"/>
                    </w:rPr>
                  </w:pPr>
                  <w:r>
                    <w:rPr>
                      <w:color w:val="auto"/>
                      <w:szCs w:val="21"/>
                    </w:rPr>
                    <w:t>符合</w:t>
                  </w:r>
                </w:p>
              </w:tc>
            </w:tr>
            <w:tr w14:paraId="5C4A1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3" w:hRule="atLeast"/>
                <w:jc w:val="center"/>
              </w:trPr>
              <w:tc>
                <w:tcPr>
                  <w:tcW w:w="501" w:type="dxa"/>
                  <w:vMerge w:val="continue"/>
                  <w:vAlign w:val="center"/>
                </w:tcPr>
                <w:p w14:paraId="2B9E8DAA">
                  <w:pPr>
                    <w:adjustRightInd w:val="0"/>
                    <w:snapToGrid w:val="0"/>
                    <w:jc w:val="center"/>
                    <w:rPr>
                      <w:color w:val="auto"/>
                    </w:rPr>
                  </w:pPr>
                </w:p>
              </w:tc>
              <w:tc>
                <w:tcPr>
                  <w:tcW w:w="658" w:type="dxa"/>
                  <w:vAlign w:val="center"/>
                </w:tcPr>
                <w:p w14:paraId="7DF2D813">
                  <w:pPr>
                    <w:adjustRightInd w:val="0"/>
                    <w:snapToGrid w:val="0"/>
                    <w:jc w:val="center"/>
                    <w:rPr>
                      <w:color w:val="auto"/>
                    </w:rPr>
                  </w:pPr>
                  <w:r>
                    <w:rPr>
                      <w:rFonts w:hint="eastAsia"/>
                      <w:color w:val="auto"/>
                    </w:rPr>
                    <w:t>限制进入</w:t>
                  </w:r>
                </w:p>
              </w:tc>
              <w:tc>
                <w:tcPr>
                  <w:tcW w:w="3466" w:type="dxa"/>
                  <w:vAlign w:val="center"/>
                </w:tcPr>
                <w:p w14:paraId="0943521C">
                  <w:pPr>
                    <w:adjustRightInd w:val="0"/>
                    <w:snapToGrid w:val="0"/>
                    <w:jc w:val="left"/>
                    <w:rPr>
                      <w:color w:val="auto"/>
                      <w:szCs w:val="21"/>
                    </w:rPr>
                  </w:pPr>
                  <w:r>
                    <w:rPr>
                      <w:rFonts w:hint="eastAsia"/>
                      <w:color w:val="auto"/>
                      <w:szCs w:val="21"/>
                    </w:rPr>
                    <w:t>（1）</w:t>
                  </w:r>
                  <w:r>
                    <w:rPr>
                      <w:color w:val="auto"/>
                      <w:szCs w:val="21"/>
                    </w:rPr>
                    <w:t>《产业结构调整指导目录 (2019 年本</w:t>
                  </w:r>
                  <w:r>
                    <w:rPr>
                      <w:rFonts w:hint="eastAsia"/>
                      <w:color w:val="auto"/>
                      <w:szCs w:val="21"/>
                    </w:rPr>
                    <w:t>，2021年修订）</w:t>
                  </w:r>
                  <w:r>
                    <w:rPr>
                      <w:color w:val="auto"/>
                      <w:szCs w:val="21"/>
                    </w:rPr>
                    <w:t>》中所列的限制类项目</w:t>
                  </w:r>
                  <w:r>
                    <w:rPr>
                      <w:rFonts w:hint="eastAsia"/>
                      <w:color w:val="auto"/>
                      <w:szCs w:val="21"/>
                    </w:rPr>
                    <w:t>；</w:t>
                  </w:r>
                </w:p>
                <w:p w14:paraId="06527F1D">
                  <w:pPr>
                    <w:adjustRightInd w:val="0"/>
                    <w:snapToGrid w:val="0"/>
                    <w:jc w:val="left"/>
                    <w:rPr>
                      <w:color w:val="auto"/>
                      <w:szCs w:val="21"/>
                    </w:rPr>
                  </w:pPr>
                  <w:r>
                    <w:rPr>
                      <w:rFonts w:hint="eastAsia"/>
                      <w:color w:val="auto"/>
                      <w:szCs w:val="21"/>
                    </w:rPr>
                    <w:t>（2）</w:t>
                  </w:r>
                  <w:r>
                    <w:rPr>
                      <w:color w:val="auto"/>
                      <w:szCs w:val="21"/>
                    </w:rPr>
                    <w:t>《外商投资产业指导目录 (2017 年修订)》中所列的限制类项目</w:t>
                  </w:r>
                  <w:r>
                    <w:rPr>
                      <w:rFonts w:hint="eastAsia"/>
                      <w:color w:val="auto"/>
                      <w:szCs w:val="21"/>
                    </w:rPr>
                    <w:t>；</w:t>
                  </w:r>
                </w:p>
                <w:p w14:paraId="0CF76B65">
                  <w:pPr>
                    <w:adjustRightInd w:val="0"/>
                    <w:snapToGrid w:val="0"/>
                    <w:jc w:val="left"/>
                    <w:rPr>
                      <w:color w:val="auto"/>
                      <w:szCs w:val="21"/>
                    </w:rPr>
                  </w:pPr>
                  <w:r>
                    <w:rPr>
                      <w:rFonts w:hint="eastAsia"/>
                      <w:color w:val="auto"/>
                      <w:szCs w:val="21"/>
                    </w:rPr>
                    <w:t>（3）</w:t>
                  </w:r>
                  <w:r>
                    <w:rPr>
                      <w:color w:val="auto"/>
                      <w:szCs w:val="21"/>
                    </w:rPr>
                    <w:t>严格限制引进涉及《中国严格限制进出口的有毒化学品目录(2018年本)》中所列有毒化学品的项目</w:t>
                  </w:r>
                  <w:r>
                    <w:rPr>
                      <w:rFonts w:hint="eastAsia"/>
                      <w:color w:val="auto"/>
                      <w:szCs w:val="21"/>
                    </w:rPr>
                    <w:t>；</w:t>
                  </w:r>
                </w:p>
                <w:p w14:paraId="0DF60634">
                  <w:pPr>
                    <w:adjustRightInd w:val="0"/>
                    <w:snapToGrid w:val="0"/>
                    <w:jc w:val="left"/>
                    <w:rPr>
                      <w:color w:val="auto"/>
                      <w:szCs w:val="21"/>
                    </w:rPr>
                  </w:pPr>
                </w:p>
              </w:tc>
              <w:tc>
                <w:tcPr>
                  <w:tcW w:w="2746" w:type="dxa"/>
                  <w:vAlign w:val="center"/>
                </w:tcPr>
                <w:p w14:paraId="521247B1">
                  <w:pPr>
                    <w:adjustRightInd w:val="0"/>
                    <w:snapToGrid w:val="0"/>
                    <w:jc w:val="left"/>
                    <w:rPr>
                      <w:color w:val="auto"/>
                      <w:szCs w:val="21"/>
                    </w:rPr>
                  </w:pPr>
                  <w:r>
                    <w:rPr>
                      <w:rFonts w:hint="eastAsia"/>
                      <w:color w:val="auto"/>
                      <w:szCs w:val="21"/>
                    </w:rPr>
                    <w:t>项目为纸制品制造行业。</w:t>
                  </w:r>
                </w:p>
                <w:p w14:paraId="65C90BEA">
                  <w:pPr>
                    <w:adjustRightInd w:val="0"/>
                    <w:snapToGrid w:val="0"/>
                    <w:jc w:val="left"/>
                    <w:rPr>
                      <w:color w:val="auto"/>
                      <w:szCs w:val="21"/>
                    </w:rPr>
                  </w:pPr>
                  <w:r>
                    <w:rPr>
                      <w:rFonts w:hint="eastAsia"/>
                      <w:color w:val="auto"/>
                      <w:szCs w:val="21"/>
                    </w:rPr>
                    <w:t>（1）属于</w:t>
                  </w:r>
                  <w:r>
                    <w:rPr>
                      <w:color w:val="auto"/>
                      <w:szCs w:val="21"/>
                    </w:rPr>
                    <w:t>《产业结构调整指导目录 (2019 年本</w:t>
                  </w:r>
                  <w:r>
                    <w:rPr>
                      <w:rFonts w:hint="eastAsia"/>
                      <w:color w:val="auto"/>
                      <w:szCs w:val="21"/>
                    </w:rPr>
                    <w:t>，2021年修订）</w:t>
                  </w:r>
                  <w:r>
                    <w:rPr>
                      <w:color w:val="auto"/>
                      <w:szCs w:val="21"/>
                    </w:rPr>
                    <w:t>》 中</w:t>
                  </w:r>
                  <w:r>
                    <w:rPr>
                      <w:rFonts w:hint="eastAsia"/>
                      <w:color w:val="auto"/>
                      <w:szCs w:val="21"/>
                    </w:rPr>
                    <w:t>的允许类项目；</w:t>
                  </w:r>
                </w:p>
                <w:p w14:paraId="10E66A69">
                  <w:pPr>
                    <w:adjustRightInd w:val="0"/>
                    <w:snapToGrid w:val="0"/>
                    <w:jc w:val="left"/>
                    <w:rPr>
                      <w:color w:val="auto"/>
                      <w:szCs w:val="21"/>
                    </w:rPr>
                  </w:pPr>
                  <w:r>
                    <w:rPr>
                      <w:rFonts w:hint="eastAsia"/>
                      <w:color w:val="auto"/>
                      <w:szCs w:val="21"/>
                    </w:rPr>
                    <w:t>（2）不属于</w:t>
                  </w:r>
                  <w:r>
                    <w:rPr>
                      <w:color w:val="auto"/>
                      <w:szCs w:val="21"/>
                    </w:rPr>
                    <w:t>《外商投资产业指导目录 (2017 年修订)》中所列的限制类项目</w:t>
                  </w:r>
                  <w:r>
                    <w:rPr>
                      <w:rFonts w:hint="eastAsia"/>
                      <w:color w:val="auto"/>
                      <w:szCs w:val="21"/>
                    </w:rPr>
                    <w:t>；</w:t>
                  </w:r>
                </w:p>
                <w:p w14:paraId="62F53FF7">
                  <w:pPr>
                    <w:adjustRightInd w:val="0"/>
                    <w:snapToGrid w:val="0"/>
                    <w:jc w:val="left"/>
                    <w:rPr>
                      <w:color w:val="auto"/>
                      <w:szCs w:val="21"/>
                    </w:rPr>
                  </w:pPr>
                  <w:r>
                    <w:rPr>
                      <w:rFonts w:hint="eastAsia"/>
                      <w:color w:val="auto"/>
                      <w:szCs w:val="21"/>
                    </w:rPr>
                    <w:t>（3）项目不</w:t>
                  </w:r>
                  <w:r>
                    <w:rPr>
                      <w:color w:val="auto"/>
                      <w:szCs w:val="21"/>
                    </w:rPr>
                    <w:t>涉及《中国严格限制进出口的有毒化学品目录(2018年本)》中所列有毒化学品的项目</w:t>
                  </w:r>
                  <w:r>
                    <w:rPr>
                      <w:rFonts w:hint="eastAsia"/>
                      <w:color w:val="auto"/>
                      <w:szCs w:val="21"/>
                    </w:rPr>
                    <w:t>；</w:t>
                  </w:r>
                </w:p>
              </w:tc>
              <w:tc>
                <w:tcPr>
                  <w:tcW w:w="394" w:type="dxa"/>
                  <w:vAlign w:val="center"/>
                </w:tcPr>
                <w:p w14:paraId="409BC969">
                  <w:pPr>
                    <w:adjustRightInd w:val="0"/>
                    <w:snapToGrid w:val="0"/>
                    <w:jc w:val="left"/>
                    <w:rPr>
                      <w:color w:val="auto"/>
                      <w:szCs w:val="21"/>
                    </w:rPr>
                  </w:pPr>
                  <w:r>
                    <w:rPr>
                      <w:color w:val="auto"/>
                      <w:szCs w:val="21"/>
                    </w:rPr>
                    <w:t>符合</w:t>
                  </w:r>
                </w:p>
              </w:tc>
            </w:tr>
            <w:tr w14:paraId="0DDEA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vMerge w:val="restart"/>
                  <w:vAlign w:val="center"/>
                </w:tcPr>
                <w:p w14:paraId="5414BD47">
                  <w:pPr>
                    <w:adjustRightInd w:val="0"/>
                    <w:snapToGrid w:val="0"/>
                    <w:jc w:val="center"/>
                    <w:rPr>
                      <w:color w:val="auto"/>
                    </w:rPr>
                  </w:pPr>
                  <w:r>
                    <w:rPr>
                      <w:rFonts w:hint="eastAsia"/>
                      <w:color w:val="auto"/>
                    </w:rPr>
                    <w:t>规划产业要求</w:t>
                  </w:r>
                </w:p>
              </w:tc>
              <w:tc>
                <w:tcPr>
                  <w:tcW w:w="658" w:type="dxa"/>
                  <w:vAlign w:val="center"/>
                </w:tcPr>
                <w:p w14:paraId="4C088D00">
                  <w:pPr>
                    <w:adjustRightInd w:val="0"/>
                    <w:snapToGrid w:val="0"/>
                    <w:jc w:val="center"/>
                    <w:rPr>
                      <w:color w:val="auto"/>
                    </w:rPr>
                  </w:pPr>
                  <w:r>
                    <w:rPr>
                      <w:rFonts w:hint="eastAsia"/>
                      <w:color w:val="auto"/>
                    </w:rPr>
                    <w:t>现状产业区</w:t>
                  </w:r>
                </w:p>
              </w:tc>
              <w:tc>
                <w:tcPr>
                  <w:tcW w:w="3466" w:type="dxa"/>
                  <w:vAlign w:val="center"/>
                </w:tcPr>
                <w:p w14:paraId="74C0A057">
                  <w:pPr>
                    <w:adjustRightInd w:val="0"/>
                    <w:snapToGrid w:val="0"/>
                    <w:jc w:val="left"/>
                    <w:rPr>
                      <w:color w:val="auto"/>
                      <w:szCs w:val="21"/>
                    </w:rPr>
                  </w:pPr>
                  <w:r>
                    <w:rPr>
                      <w:rFonts w:hint="eastAsia"/>
                      <w:color w:val="auto"/>
                      <w:szCs w:val="21"/>
                    </w:rPr>
                    <w:t>允许</w:t>
                  </w:r>
                  <w:r>
                    <w:rPr>
                      <w:color w:val="auto"/>
                      <w:szCs w:val="21"/>
                    </w:rPr>
                    <w:t>煤磷盐化工</w:t>
                  </w:r>
                  <w:r>
                    <w:rPr>
                      <w:rFonts w:hint="eastAsia"/>
                      <w:color w:val="auto"/>
                      <w:szCs w:val="21"/>
                    </w:rPr>
                    <w:t>及配套产业进行环保提升改造</w:t>
                  </w:r>
                  <w:r>
                    <w:rPr>
                      <w:color w:val="auto"/>
                      <w:szCs w:val="21"/>
                    </w:rPr>
                    <w:t>。</w:t>
                  </w:r>
                </w:p>
              </w:tc>
              <w:tc>
                <w:tcPr>
                  <w:tcW w:w="2746" w:type="dxa"/>
                  <w:vAlign w:val="center"/>
                </w:tcPr>
                <w:p w14:paraId="6537C591">
                  <w:pPr>
                    <w:adjustRightInd w:val="0"/>
                    <w:snapToGrid w:val="0"/>
                    <w:jc w:val="left"/>
                    <w:rPr>
                      <w:color w:val="auto"/>
                      <w:szCs w:val="21"/>
                    </w:rPr>
                  </w:pPr>
                  <w:r>
                    <w:rPr>
                      <w:rFonts w:hint="eastAsia"/>
                      <w:color w:val="auto"/>
                      <w:szCs w:val="21"/>
                    </w:rPr>
                    <w:t>项目不属于</w:t>
                  </w:r>
                  <w:r>
                    <w:rPr>
                      <w:color w:val="auto"/>
                      <w:szCs w:val="21"/>
                    </w:rPr>
                    <w:t>煤、磷、盐化工</w:t>
                  </w:r>
                  <w:r>
                    <w:rPr>
                      <w:rFonts w:hint="eastAsia"/>
                      <w:color w:val="auto"/>
                      <w:szCs w:val="21"/>
                    </w:rPr>
                    <w:t>企业。</w:t>
                  </w:r>
                </w:p>
              </w:tc>
              <w:tc>
                <w:tcPr>
                  <w:tcW w:w="394" w:type="dxa"/>
                  <w:vAlign w:val="center"/>
                </w:tcPr>
                <w:p w14:paraId="19AEE5A1">
                  <w:pPr>
                    <w:adjustRightInd w:val="0"/>
                    <w:snapToGrid w:val="0"/>
                    <w:jc w:val="left"/>
                    <w:rPr>
                      <w:color w:val="auto"/>
                      <w:szCs w:val="21"/>
                    </w:rPr>
                  </w:pPr>
                  <w:r>
                    <w:rPr>
                      <w:color w:val="auto"/>
                      <w:szCs w:val="21"/>
                    </w:rPr>
                    <w:t>符合</w:t>
                  </w:r>
                </w:p>
              </w:tc>
            </w:tr>
            <w:tr w14:paraId="0AE39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vMerge w:val="continue"/>
                  <w:vAlign w:val="center"/>
                </w:tcPr>
                <w:p w14:paraId="450C71F7">
                  <w:pPr>
                    <w:adjustRightInd w:val="0"/>
                    <w:snapToGrid w:val="0"/>
                    <w:jc w:val="center"/>
                    <w:rPr>
                      <w:color w:val="auto"/>
                    </w:rPr>
                  </w:pPr>
                </w:p>
              </w:tc>
              <w:tc>
                <w:tcPr>
                  <w:tcW w:w="658" w:type="dxa"/>
                  <w:vAlign w:val="center"/>
                </w:tcPr>
                <w:p w14:paraId="1A6F5800">
                  <w:pPr>
                    <w:adjustRightInd w:val="0"/>
                    <w:snapToGrid w:val="0"/>
                    <w:jc w:val="center"/>
                    <w:rPr>
                      <w:color w:val="auto"/>
                    </w:rPr>
                  </w:pPr>
                  <w:r>
                    <w:rPr>
                      <w:rFonts w:hint="eastAsia"/>
                      <w:color w:val="auto"/>
                    </w:rPr>
                    <w:t>绿色建材产业</w:t>
                  </w:r>
                </w:p>
              </w:tc>
              <w:tc>
                <w:tcPr>
                  <w:tcW w:w="3466" w:type="dxa"/>
                  <w:vMerge w:val="restart"/>
                  <w:vAlign w:val="center"/>
                </w:tcPr>
                <w:p w14:paraId="21833528">
                  <w:pPr>
                    <w:adjustRightInd w:val="0"/>
                    <w:snapToGrid w:val="0"/>
                    <w:jc w:val="left"/>
                    <w:rPr>
                      <w:color w:val="auto"/>
                      <w:szCs w:val="21"/>
                    </w:rPr>
                  </w:pPr>
                  <w:r>
                    <w:rPr>
                      <w:color w:val="auto"/>
                      <w:szCs w:val="21"/>
                    </w:rPr>
                    <w:t>禁止</w:t>
                  </w:r>
                  <w:r>
                    <w:rPr>
                      <w:rFonts w:hint="eastAsia"/>
                      <w:color w:val="auto"/>
                      <w:szCs w:val="21"/>
                    </w:rPr>
                    <w:t>生产废水不能循环回用，且向牛栏江流域排放生产废水的</w:t>
                  </w:r>
                  <w:r>
                    <w:rPr>
                      <w:color w:val="auto"/>
                      <w:szCs w:val="21"/>
                    </w:rPr>
                    <w:t>企业入驻。</w:t>
                  </w:r>
                </w:p>
              </w:tc>
              <w:tc>
                <w:tcPr>
                  <w:tcW w:w="2746" w:type="dxa"/>
                  <w:vMerge w:val="restart"/>
                  <w:vAlign w:val="center"/>
                </w:tcPr>
                <w:p w14:paraId="0D3C15A7">
                  <w:pPr>
                    <w:adjustRightInd w:val="0"/>
                    <w:snapToGrid w:val="0"/>
                    <w:jc w:val="left"/>
                    <w:rPr>
                      <w:color w:val="auto"/>
                      <w:szCs w:val="21"/>
                    </w:rPr>
                  </w:pPr>
                  <w:r>
                    <w:rPr>
                      <w:rFonts w:hint="eastAsia"/>
                      <w:color w:val="auto"/>
                      <w:szCs w:val="21"/>
                    </w:rPr>
                    <w:t>项目生产过程中不产生生产废水，且项目不设废水排放口。</w:t>
                  </w:r>
                </w:p>
              </w:tc>
              <w:tc>
                <w:tcPr>
                  <w:tcW w:w="394" w:type="dxa"/>
                  <w:vMerge w:val="restart"/>
                  <w:vAlign w:val="center"/>
                </w:tcPr>
                <w:p w14:paraId="17DD4447">
                  <w:pPr>
                    <w:adjustRightInd w:val="0"/>
                    <w:snapToGrid w:val="0"/>
                    <w:jc w:val="left"/>
                    <w:rPr>
                      <w:color w:val="auto"/>
                      <w:szCs w:val="21"/>
                    </w:rPr>
                  </w:pPr>
                  <w:r>
                    <w:rPr>
                      <w:color w:val="auto"/>
                      <w:szCs w:val="21"/>
                    </w:rPr>
                    <w:t>符合</w:t>
                  </w:r>
                </w:p>
              </w:tc>
            </w:tr>
            <w:tr w14:paraId="6A7E9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vMerge w:val="continue"/>
                  <w:vAlign w:val="center"/>
                </w:tcPr>
                <w:p w14:paraId="197899DB">
                  <w:pPr>
                    <w:adjustRightInd w:val="0"/>
                    <w:snapToGrid w:val="0"/>
                    <w:jc w:val="center"/>
                    <w:rPr>
                      <w:color w:val="auto"/>
                    </w:rPr>
                  </w:pPr>
                </w:p>
              </w:tc>
              <w:tc>
                <w:tcPr>
                  <w:tcW w:w="658" w:type="dxa"/>
                  <w:vAlign w:val="center"/>
                </w:tcPr>
                <w:p w14:paraId="57FDCFB2">
                  <w:pPr>
                    <w:adjustRightInd w:val="0"/>
                    <w:snapToGrid w:val="0"/>
                    <w:jc w:val="center"/>
                    <w:rPr>
                      <w:color w:val="auto"/>
                    </w:rPr>
                  </w:pPr>
                  <w:r>
                    <w:rPr>
                      <w:rFonts w:hint="eastAsia"/>
                      <w:color w:val="auto"/>
                    </w:rPr>
                    <w:t>先进装备制造业</w:t>
                  </w:r>
                </w:p>
              </w:tc>
              <w:tc>
                <w:tcPr>
                  <w:tcW w:w="3466" w:type="dxa"/>
                  <w:vMerge w:val="continue"/>
                  <w:vAlign w:val="center"/>
                </w:tcPr>
                <w:p w14:paraId="543D3DE0">
                  <w:pPr>
                    <w:adjustRightInd w:val="0"/>
                    <w:snapToGrid w:val="0"/>
                    <w:jc w:val="left"/>
                    <w:rPr>
                      <w:color w:val="auto"/>
                    </w:rPr>
                  </w:pPr>
                </w:p>
              </w:tc>
              <w:tc>
                <w:tcPr>
                  <w:tcW w:w="2746" w:type="dxa"/>
                  <w:vMerge w:val="continue"/>
                  <w:vAlign w:val="center"/>
                </w:tcPr>
                <w:p w14:paraId="48500BDE">
                  <w:pPr>
                    <w:adjustRightInd w:val="0"/>
                    <w:snapToGrid w:val="0"/>
                    <w:jc w:val="left"/>
                    <w:rPr>
                      <w:color w:val="auto"/>
                      <w:szCs w:val="21"/>
                    </w:rPr>
                  </w:pPr>
                </w:p>
              </w:tc>
              <w:tc>
                <w:tcPr>
                  <w:tcW w:w="394" w:type="dxa"/>
                  <w:vMerge w:val="continue"/>
                  <w:vAlign w:val="center"/>
                </w:tcPr>
                <w:p w14:paraId="1036CB54">
                  <w:pPr>
                    <w:adjustRightInd w:val="0"/>
                    <w:snapToGrid w:val="0"/>
                    <w:jc w:val="left"/>
                    <w:rPr>
                      <w:color w:val="auto"/>
                      <w:szCs w:val="21"/>
                    </w:rPr>
                  </w:pPr>
                </w:p>
              </w:tc>
            </w:tr>
            <w:tr w14:paraId="7816B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vMerge w:val="continue"/>
                  <w:vAlign w:val="center"/>
                </w:tcPr>
                <w:p w14:paraId="7B5E66FB">
                  <w:pPr>
                    <w:adjustRightInd w:val="0"/>
                    <w:snapToGrid w:val="0"/>
                    <w:jc w:val="center"/>
                    <w:rPr>
                      <w:color w:val="auto"/>
                    </w:rPr>
                  </w:pPr>
                </w:p>
              </w:tc>
              <w:tc>
                <w:tcPr>
                  <w:tcW w:w="658" w:type="dxa"/>
                  <w:vAlign w:val="center"/>
                </w:tcPr>
                <w:p w14:paraId="4157445D">
                  <w:pPr>
                    <w:adjustRightInd w:val="0"/>
                    <w:snapToGrid w:val="0"/>
                    <w:jc w:val="center"/>
                    <w:rPr>
                      <w:color w:val="auto"/>
                    </w:rPr>
                  </w:pPr>
                  <w:r>
                    <w:rPr>
                      <w:rFonts w:hint="eastAsia"/>
                      <w:color w:val="auto"/>
                    </w:rPr>
                    <w:t>非烟轻工产业</w:t>
                  </w:r>
                </w:p>
              </w:tc>
              <w:tc>
                <w:tcPr>
                  <w:tcW w:w="3466" w:type="dxa"/>
                  <w:vAlign w:val="center"/>
                </w:tcPr>
                <w:p w14:paraId="2D103F50">
                  <w:pPr>
                    <w:adjustRightInd w:val="0"/>
                    <w:snapToGrid w:val="0"/>
                    <w:rPr>
                      <w:color w:val="auto"/>
                      <w:szCs w:val="21"/>
                    </w:rPr>
                  </w:pPr>
                  <w:r>
                    <w:rPr>
                      <w:rFonts w:hint="eastAsia"/>
                      <w:color w:val="auto"/>
                      <w:szCs w:val="21"/>
                    </w:rPr>
                    <w:t>（1）木材加工及家具制造业：禁止含有制胶工艺的企业入驻。</w:t>
                  </w:r>
                </w:p>
                <w:p w14:paraId="23B67660">
                  <w:pPr>
                    <w:adjustRightInd w:val="0"/>
                    <w:snapToGrid w:val="0"/>
                    <w:jc w:val="left"/>
                    <w:rPr>
                      <w:color w:val="auto"/>
                    </w:rPr>
                  </w:pPr>
                  <w:r>
                    <w:rPr>
                      <w:rFonts w:hint="eastAsia"/>
                      <w:color w:val="auto"/>
                      <w:szCs w:val="21"/>
                    </w:rPr>
                    <w:t>（2）食品业：要求规上企业工业用水重复利用率＞65%。</w:t>
                  </w:r>
                </w:p>
              </w:tc>
              <w:tc>
                <w:tcPr>
                  <w:tcW w:w="2746" w:type="dxa"/>
                  <w:vAlign w:val="center"/>
                </w:tcPr>
                <w:p w14:paraId="37FFEE37">
                  <w:pPr>
                    <w:adjustRightInd w:val="0"/>
                    <w:snapToGrid w:val="0"/>
                    <w:jc w:val="left"/>
                    <w:rPr>
                      <w:color w:val="auto"/>
                      <w:szCs w:val="21"/>
                    </w:rPr>
                  </w:pPr>
                  <w:r>
                    <w:rPr>
                      <w:rFonts w:hint="eastAsia"/>
                      <w:color w:val="auto"/>
                      <w:szCs w:val="21"/>
                    </w:rPr>
                    <w:t>项目为纸制品制造业，项目使用胶水为外购成品胶水，不涉及制胶工艺，且无生产废水产生。</w:t>
                  </w:r>
                </w:p>
              </w:tc>
              <w:tc>
                <w:tcPr>
                  <w:tcW w:w="394" w:type="dxa"/>
                  <w:vAlign w:val="center"/>
                </w:tcPr>
                <w:p w14:paraId="56746CAD">
                  <w:pPr>
                    <w:adjustRightInd w:val="0"/>
                    <w:snapToGrid w:val="0"/>
                    <w:jc w:val="left"/>
                    <w:rPr>
                      <w:color w:val="auto"/>
                      <w:szCs w:val="21"/>
                    </w:rPr>
                  </w:pPr>
                  <w:r>
                    <w:rPr>
                      <w:color w:val="auto"/>
                      <w:szCs w:val="21"/>
                    </w:rPr>
                    <w:t>符合</w:t>
                  </w:r>
                </w:p>
              </w:tc>
            </w:tr>
            <w:tr w14:paraId="3ED36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vMerge w:val="continue"/>
                  <w:vAlign w:val="center"/>
                </w:tcPr>
                <w:p w14:paraId="67BBFED7">
                  <w:pPr>
                    <w:adjustRightInd w:val="0"/>
                    <w:snapToGrid w:val="0"/>
                    <w:jc w:val="center"/>
                    <w:rPr>
                      <w:color w:val="auto"/>
                    </w:rPr>
                  </w:pPr>
                </w:p>
              </w:tc>
              <w:tc>
                <w:tcPr>
                  <w:tcW w:w="658" w:type="dxa"/>
                  <w:vAlign w:val="center"/>
                </w:tcPr>
                <w:p w14:paraId="24023D88">
                  <w:pPr>
                    <w:adjustRightInd w:val="0"/>
                    <w:snapToGrid w:val="0"/>
                    <w:jc w:val="center"/>
                    <w:rPr>
                      <w:color w:val="auto"/>
                    </w:rPr>
                  </w:pPr>
                  <w:r>
                    <w:rPr>
                      <w:rFonts w:hint="eastAsia"/>
                      <w:color w:val="auto"/>
                    </w:rPr>
                    <w:t>绿色化工</w:t>
                  </w:r>
                </w:p>
              </w:tc>
              <w:tc>
                <w:tcPr>
                  <w:tcW w:w="3466" w:type="dxa"/>
                  <w:vAlign w:val="center"/>
                </w:tcPr>
                <w:p w14:paraId="29D3D427">
                  <w:pPr>
                    <w:adjustRightInd w:val="0"/>
                    <w:snapToGrid w:val="0"/>
                    <w:rPr>
                      <w:color w:val="auto"/>
                      <w:szCs w:val="21"/>
                    </w:rPr>
                  </w:pPr>
                  <w:r>
                    <w:rPr>
                      <w:color w:val="auto"/>
                      <w:szCs w:val="21"/>
                    </w:rPr>
                    <w:t>①</w:t>
                  </w:r>
                  <w:r>
                    <w:rPr>
                      <w:rFonts w:hint="eastAsia"/>
                      <w:color w:val="auto"/>
                      <w:szCs w:val="21"/>
                    </w:rPr>
                    <w:t>园区规划在金所片区天生桥组团设置化工园区，建议园区尽快按化工园区的设立要求设立化工园区，并申请省级业务主管部门进行认定。</w:t>
                  </w:r>
                </w:p>
                <w:p w14:paraId="5D08EB52">
                  <w:pPr>
                    <w:adjustRightInd w:val="0"/>
                    <w:snapToGrid w:val="0"/>
                    <w:jc w:val="left"/>
                    <w:rPr>
                      <w:color w:val="auto"/>
                    </w:rPr>
                  </w:pPr>
                  <w:r>
                    <w:rPr>
                      <w:color w:val="auto"/>
                      <w:szCs w:val="21"/>
                    </w:rPr>
                    <w:t>②</w:t>
                  </w:r>
                  <w:r>
                    <w:rPr>
                      <w:rFonts w:hint="eastAsia"/>
                      <w:color w:val="auto"/>
                      <w:szCs w:val="21"/>
                    </w:rPr>
                    <w:t>金所片区金所组团禁止新建、改建、扩建化工生产线项目。</w:t>
                  </w:r>
                </w:p>
              </w:tc>
              <w:tc>
                <w:tcPr>
                  <w:tcW w:w="2746" w:type="dxa"/>
                  <w:vAlign w:val="center"/>
                </w:tcPr>
                <w:p w14:paraId="52992FF5">
                  <w:pPr>
                    <w:adjustRightInd w:val="0"/>
                    <w:snapToGrid w:val="0"/>
                    <w:jc w:val="left"/>
                    <w:rPr>
                      <w:color w:val="auto"/>
                      <w:szCs w:val="21"/>
                    </w:rPr>
                  </w:pPr>
                  <w:r>
                    <w:rPr>
                      <w:rFonts w:hint="eastAsia"/>
                      <w:color w:val="auto"/>
                      <w:szCs w:val="21"/>
                    </w:rPr>
                    <w:t>项目为纸制品制造业，不属于化工项目，不涉及化工生产线。</w:t>
                  </w:r>
                </w:p>
              </w:tc>
              <w:tc>
                <w:tcPr>
                  <w:tcW w:w="394" w:type="dxa"/>
                  <w:vAlign w:val="center"/>
                </w:tcPr>
                <w:p w14:paraId="4F4065B6">
                  <w:pPr>
                    <w:adjustRightInd w:val="0"/>
                    <w:snapToGrid w:val="0"/>
                    <w:jc w:val="left"/>
                    <w:rPr>
                      <w:color w:val="auto"/>
                      <w:szCs w:val="21"/>
                    </w:rPr>
                  </w:pPr>
                  <w:r>
                    <w:rPr>
                      <w:color w:val="auto"/>
                      <w:szCs w:val="21"/>
                    </w:rPr>
                    <w:t>符合</w:t>
                  </w:r>
                </w:p>
              </w:tc>
            </w:tr>
            <w:tr w14:paraId="2E642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vMerge w:val="continue"/>
                  <w:vAlign w:val="center"/>
                </w:tcPr>
                <w:p w14:paraId="3A868B20">
                  <w:pPr>
                    <w:adjustRightInd w:val="0"/>
                    <w:snapToGrid w:val="0"/>
                    <w:jc w:val="center"/>
                    <w:rPr>
                      <w:color w:val="auto"/>
                    </w:rPr>
                  </w:pPr>
                </w:p>
              </w:tc>
              <w:tc>
                <w:tcPr>
                  <w:tcW w:w="658" w:type="dxa"/>
                  <w:vAlign w:val="center"/>
                </w:tcPr>
                <w:p w14:paraId="43040ECD">
                  <w:pPr>
                    <w:adjustRightInd w:val="0"/>
                    <w:snapToGrid w:val="0"/>
                    <w:jc w:val="center"/>
                    <w:rPr>
                      <w:color w:val="auto"/>
                    </w:rPr>
                  </w:pPr>
                  <w:r>
                    <w:rPr>
                      <w:rFonts w:hint="eastAsia"/>
                      <w:color w:val="auto"/>
                    </w:rPr>
                    <w:t>生物医药</w:t>
                  </w:r>
                </w:p>
              </w:tc>
              <w:tc>
                <w:tcPr>
                  <w:tcW w:w="3466" w:type="dxa"/>
                  <w:vAlign w:val="center"/>
                </w:tcPr>
                <w:p w14:paraId="0474D856">
                  <w:pPr>
                    <w:adjustRightInd w:val="0"/>
                    <w:snapToGrid w:val="0"/>
                    <w:jc w:val="left"/>
                    <w:rPr>
                      <w:color w:val="auto"/>
                    </w:rPr>
                  </w:pPr>
                  <w:r>
                    <w:rPr>
                      <w:color w:val="auto"/>
                    </w:rPr>
                    <w:t>满足《云南省“十四五”生物医药产业创新发展规划要求 》</w:t>
                  </w:r>
                  <w:r>
                    <w:rPr>
                      <w:rFonts w:hint="eastAsia"/>
                      <w:color w:val="auto"/>
                    </w:rPr>
                    <w:t>。</w:t>
                  </w:r>
                </w:p>
              </w:tc>
              <w:tc>
                <w:tcPr>
                  <w:tcW w:w="2746" w:type="dxa"/>
                  <w:vAlign w:val="center"/>
                </w:tcPr>
                <w:p w14:paraId="27FEA8EB">
                  <w:pPr>
                    <w:adjustRightInd w:val="0"/>
                    <w:snapToGrid w:val="0"/>
                    <w:jc w:val="left"/>
                    <w:rPr>
                      <w:color w:val="auto"/>
                      <w:szCs w:val="21"/>
                    </w:rPr>
                  </w:pPr>
                  <w:r>
                    <w:rPr>
                      <w:rFonts w:hint="eastAsia"/>
                      <w:color w:val="auto"/>
                      <w:szCs w:val="21"/>
                    </w:rPr>
                    <w:t>项目不属于生物医药企业。</w:t>
                  </w:r>
                </w:p>
              </w:tc>
              <w:tc>
                <w:tcPr>
                  <w:tcW w:w="394" w:type="dxa"/>
                  <w:vAlign w:val="center"/>
                </w:tcPr>
                <w:p w14:paraId="610B1C43">
                  <w:pPr>
                    <w:adjustRightInd w:val="0"/>
                    <w:snapToGrid w:val="0"/>
                    <w:jc w:val="left"/>
                    <w:rPr>
                      <w:color w:val="auto"/>
                      <w:szCs w:val="21"/>
                    </w:rPr>
                  </w:pPr>
                  <w:r>
                    <w:rPr>
                      <w:color w:val="auto"/>
                      <w:szCs w:val="21"/>
                    </w:rPr>
                    <w:t>符合</w:t>
                  </w:r>
                </w:p>
              </w:tc>
            </w:tr>
          </w:tbl>
          <w:p w14:paraId="12560545">
            <w:pPr>
              <w:snapToGrid w:val="0"/>
              <w:spacing w:line="360" w:lineRule="auto"/>
              <w:ind w:firstLine="480" w:firstLineChars="200"/>
              <w:rPr>
                <w:rFonts w:cs="宋体"/>
                <w:color w:val="auto"/>
                <w:kern w:val="0"/>
                <w:sz w:val="24"/>
                <w:highlight w:val="yellow"/>
              </w:rPr>
            </w:pPr>
            <w:r>
              <w:rPr>
                <w:color w:val="auto"/>
                <w:sz w:val="24"/>
              </w:rPr>
              <w:t>因此，本项目不属于工业园区负面清单规定的范围内，符合环境准入负面清单要求。</w:t>
            </w:r>
          </w:p>
        </w:tc>
      </w:tr>
      <w:tr w14:paraId="7C961D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32" w:type="dxa"/>
            <w:vAlign w:val="center"/>
          </w:tcPr>
          <w:p w14:paraId="396D6B2B">
            <w:pPr>
              <w:autoSpaceDE w:val="0"/>
              <w:autoSpaceDN w:val="0"/>
              <w:adjustRightInd w:val="0"/>
              <w:snapToGrid w:val="0"/>
              <w:jc w:val="center"/>
              <w:rPr>
                <w:rFonts w:cs="宋体"/>
                <w:color w:val="auto"/>
                <w:kern w:val="0"/>
                <w:sz w:val="24"/>
              </w:rPr>
            </w:pPr>
            <w:r>
              <w:rPr>
                <w:rFonts w:hint="eastAsia" w:cs="宋体"/>
                <w:color w:val="auto"/>
                <w:kern w:val="0"/>
                <w:sz w:val="24"/>
              </w:rPr>
              <w:t>其他符合性分析</w:t>
            </w:r>
          </w:p>
        </w:tc>
        <w:tc>
          <w:tcPr>
            <w:tcW w:w="7994" w:type="dxa"/>
            <w:gridSpan w:val="5"/>
            <w:vAlign w:val="center"/>
          </w:tcPr>
          <w:p w14:paraId="0C683DEA">
            <w:pPr>
              <w:autoSpaceDE w:val="0"/>
              <w:autoSpaceDN w:val="0"/>
              <w:adjustRightInd w:val="0"/>
              <w:snapToGrid w:val="0"/>
              <w:spacing w:line="360" w:lineRule="auto"/>
              <w:ind w:firstLine="482" w:firstLineChars="200"/>
              <w:jc w:val="left"/>
              <w:rPr>
                <w:b/>
                <w:bCs/>
                <w:color w:val="auto"/>
                <w:kern w:val="0"/>
                <w:sz w:val="24"/>
              </w:rPr>
            </w:pPr>
            <w:r>
              <w:rPr>
                <w:rFonts w:hint="eastAsia"/>
                <w:b/>
                <w:bCs/>
                <w:color w:val="auto"/>
                <w:kern w:val="0"/>
                <w:sz w:val="24"/>
              </w:rPr>
              <w:t>1、项目与“三线一单”的相符性分析</w:t>
            </w:r>
          </w:p>
          <w:p w14:paraId="1CDB5E32">
            <w:pPr>
              <w:autoSpaceDE w:val="0"/>
              <w:autoSpaceDN w:val="0"/>
              <w:adjustRightInd w:val="0"/>
              <w:snapToGrid w:val="0"/>
              <w:spacing w:line="360" w:lineRule="auto"/>
              <w:ind w:firstLine="482" w:firstLineChars="200"/>
              <w:jc w:val="left"/>
              <w:rPr>
                <w:b/>
                <w:bCs/>
                <w:color w:val="auto"/>
                <w:kern w:val="0"/>
                <w:sz w:val="24"/>
              </w:rPr>
            </w:pPr>
            <w:r>
              <w:rPr>
                <w:rFonts w:hint="eastAsia"/>
                <w:b/>
                <w:bCs/>
                <w:color w:val="auto"/>
                <w:kern w:val="0"/>
                <w:sz w:val="24"/>
              </w:rPr>
              <w:t>（1）生态保护红线</w:t>
            </w:r>
          </w:p>
          <w:p w14:paraId="31C52807">
            <w:pPr>
              <w:autoSpaceDE w:val="0"/>
              <w:autoSpaceDN w:val="0"/>
              <w:adjustRightInd w:val="0"/>
              <w:snapToGrid w:val="0"/>
              <w:spacing w:line="360" w:lineRule="auto"/>
              <w:ind w:firstLine="480" w:firstLineChars="200"/>
              <w:rPr>
                <w:color w:val="auto"/>
                <w:kern w:val="0"/>
                <w:sz w:val="24"/>
              </w:rPr>
            </w:pPr>
            <w:r>
              <w:rPr>
                <w:color w:val="auto"/>
                <w:sz w:val="24"/>
                <w:lang w:val="zh-CN"/>
              </w:rPr>
              <w:t>根据《云南省人民政府关于发布云南省生态保护红线的通知》云政发[2018]32号和《云南省人民政府关于实施“三线一单”生态环境分区管控的意见》云政发（2020）29号文，</w:t>
            </w:r>
            <w:r>
              <w:rPr>
                <w:rFonts w:hint="eastAsia"/>
                <w:color w:val="auto"/>
                <w:sz w:val="24"/>
                <w:lang w:val="zh-CN"/>
              </w:rPr>
              <w:t>本</w:t>
            </w:r>
            <w:r>
              <w:rPr>
                <w:color w:val="auto"/>
                <w:sz w:val="24"/>
                <w:lang w:val="zh-CN"/>
              </w:rPr>
              <w:t>项目位于云南寻甸产业园区</w:t>
            </w:r>
            <w:r>
              <w:rPr>
                <w:rFonts w:hint="eastAsia"/>
                <w:color w:val="auto"/>
                <w:sz w:val="24"/>
              </w:rPr>
              <w:t>羊街</w:t>
            </w:r>
            <w:r>
              <w:rPr>
                <w:color w:val="auto"/>
                <w:sz w:val="24"/>
                <w:lang w:val="zh-CN"/>
              </w:rPr>
              <w:t>片区</w:t>
            </w:r>
            <w:r>
              <w:rPr>
                <w:rFonts w:hint="eastAsia"/>
                <w:color w:val="auto"/>
                <w:sz w:val="24"/>
                <w:lang w:val="zh-CN"/>
              </w:rPr>
              <w:t>，</w:t>
            </w:r>
            <w:r>
              <w:rPr>
                <w:color w:val="auto"/>
                <w:sz w:val="24"/>
                <w:lang w:val="zh-CN"/>
              </w:rPr>
              <w:t>属规划的工业用地，不在生态红线范围内，项目符合生态保护红线的相关要求</w:t>
            </w:r>
            <w:r>
              <w:rPr>
                <w:color w:val="auto"/>
                <w:kern w:val="0"/>
                <w:sz w:val="24"/>
              </w:rPr>
              <w:t>。</w:t>
            </w:r>
          </w:p>
          <w:p w14:paraId="34D15694">
            <w:pPr>
              <w:pStyle w:val="13"/>
              <w:adjustRightInd w:val="0"/>
              <w:snapToGrid w:val="0"/>
              <w:spacing w:line="360" w:lineRule="auto"/>
              <w:ind w:firstLine="482" w:firstLineChars="200"/>
              <w:rPr>
                <w:rFonts w:ascii="Times New Roman" w:hAnsi="Times New Roman"/>
                <w:b/>
                <w:bCs/>
                <w:color w:val="auto"/>
                <w:sz w:val="24"/>
              </w:rPr>
            </w:pPr>
            <w:r>
              <w:rPr>
                <w:rFonts w:ascii="Times New Roman" w:hAnsi="Times New Roman"/>
                <w:b/>
                <w:bCs/>
                <w:color w:val="auto"/>
                <w:sz w:val="24"/>
              </w:rPr>
              <w:t>（2）环境质量底线</w:t>
            </w:r>
          </w:p>
          <w:p w14:paraId="345489C5">
            <w:pPr>
              <w:autoSpaceDE w:val="0"/>
              <w:autoSpaceDN w:val="0"/>
              <w:adjustRightInd w:val="0"/>
              <w:snapToGrid w:val="0"/>
              <w:spacing w:line="360" w:lineRule="auto"/>
              <w:ind w:firstLine="480" w:firstLineChars="200"/>
              <w:rPr>
                <w:color w:val="auto"/>
                <w:kern w:val="0"/>
                <w:sz w:val="24"/>
              </w:rPr>
            </w:pPr>
            <w:r>
              <w:rPr>
                <w:rFonts w:hint="eastAsia"/>
                <w:color w:val="auto"/>
                <w:sz w:val="24"/>
                <w:lang w:val="zh-CN" w:bidi="ar"/>
              </w:rPr>
              <w:t>本项目排放的废气均经过有效治理，实现达标排放，满足区域环境质量要求，不会改变区域大气环境功能区划；项目</w:t>
            </w:r>
            <w:r>
              <w:rPr>
                <w:rFonts w:hint="eastAsia"/>
                <w:color w:val="auto"/>
                <w:sz w:val="24"/>
                <w:lang w:bidi="ar"/>
              </w:rPr>
              <w:t>无废水产生</w:t>
            </w:r>
            <w:r>
              <w:rPr>
                <w:rFonts w:hint="eastAsia"/>
                <w:color w:val="auto"/>
                <w:sz w:val="24"/>
                <w:lang w:val="zh-CN" w:bidi="ar"/>
              </w:rPr>
              <w:t>，不会对区域地表水环境造成影响，不会改变区域地表水环境功能区划；项目运营期产生的噪声可实现厂界达标排放，满足声环境质量要求，不会改变区域声环境功能区划；项目运营期产生的固体废物均可得到有效、妥善的处理处置，不会形成二次污染。综上，本项目建设符合环境质量底线要求，不会对区域环境质量造成明显影响</w:t>
            </w:r>
            <w:r>
              <w:rPr>
                <w:color w:val="auto"/>
                <w:kern w:val="0"/>
                <w:sz w:val="24"/>
              </w:rPr>
              <w:t>。</w:t>
            </w:r>
          </w:p>
          <w:p w14:paraId="2018989D">
            <w:pPr>
              <w:numPr>
                <w:ilvl w:val="0"/>
                <w:numId w:val="5"/>
              </w:numPr>
              <w:autoSpaceDE w:val="0"/>
              <w:autoSpaceDN w:val="0"/>
              <w:adjustRightInd w:val="0"/>
              <w:snapToGrid w:val="0"/>
              <w:spacing w:line="360" w:lineRule="auto"/>
              <w:ind w:firstLine="482" w:firstLineChars="200"/>
              <w:rPr>
                <w:b/>
                <w:bCs/>
                <w:color w:val="auto"/>
                <w:sz w:val="24"/>
              </w:rPr>
            </w:pPr>
            <w:r>
              <w:rPr>
                <w:b/>
                <w:bCs/>
                <w:color w:val="auto"/>
                <w:sz w:val="24"/>
              </w:rPr>
              <w:t>资源利用上线</w:t>
            </w:r>
          </w:p>
          <w:p w14:paraId="619C17F0">
            <w:pPr>
              <w:autoSpaceDE w:val="0"/>
              <w:autoSpaceDN w:val="0"/>
              <w:adjustRightInd w:val="0"/>
              <w:snapToGrid w:val="0"/>
              <w:spacing w:line="360" w:lineRule="auto"/>
              <w:ind w:firstLine="480" w:firstLineChars="200"/>
              <w:rPr>
                <w:color w:val="auto"/>
                <w:kern w:val="0"/>
                <w:sz w:val="24"/>
              </w:rPr>
            </w:pPr>
            <w:r>
              <w:rPr>
                <w:color w:val="auto"/>
                <w:kern w:val="0"/>
                <w:sz w:val="24"/>
              </w:rPr>
              <w:t>项目运营过程消耗一定的电能、水，资源消耗量相对于区域资源利用总量较少，符合资源利用上线要求。</w:t>
            </w:r>
          </w:p>
          <w:p w14:paraId="5D7B15BB">
            <w:pPr>
              <w:numPr>
                <w:ilvl w:val="0"/>
                <w:numId w:val="5"/>
              </w:numPr>
              <w:autoSpaceDE w:val="0"/>
              <w:autoSpaceDN w:val="0"/>
              <w:adjustRightInd w:val="0"/>
              <w:snapToGrid w:val="0"/>
              <w:spacing w:line="360" w:lineRule="auto"/>
              <w:ind w:firstLine="482" w:firstLineChars="200"/>
              <w:rPr>
                <w:b/>
                <w:bCs/>
                <w:color w:val="auto"/>
                <w:sz w:val="24"/>
              </w:rPr>
            </w:pPr>
            <w:r>
              <w:rPr>
                <w:b/>
                <w:bCs/>
                <w:color w:val="auto"/>
                <w:sz w:val="24"/>
              </w:rPr>
              <w:t>环境准入负面清单</w:t>
            </w:r>
          </w:p>
          <w:p w14:paraId="7A753247">
            <w:pPr>
              <w:snapToGrid w:val="0"/>
              <w:spacing w:line="360" w:lineRule="auto"/>
              <w:ind w:firstLine="480" w:firstLineChars="200"/>
              <w:rPr>
                <w:color w:val="auto"/>
                <w:kern w:val="0"/>
                <w:sz w:val="24"/>
              </w:rPr>
            </w:pPr>
            <w:r>
              <w:rPr>
                <w:rFonts w:hint="eastAsia"/>
                <w:color w:val="auto"/>
                <w:kern w:val="0"/>
                <w:sz w:val="24"/>
              </w:rPr>
              <w:t>项目不属于产业政策指导名录中的淘汰、限制类，不属于规划环评</w:t>
            </w:r>
            <w:r>
              <w:rPr>
                <w:color w:val="auto"/>
                <w:kern w:val="0"/>
                <w:sz w:val="24"/>
              </w:rPr>
              <w:t>准入负面清单</w:t>
            </w:r>
            <w:r>
              <w:rPr>
                <w:rFonts w:hint="eastAsia"/>
                <w:color w:val="auto"/>
                <w:kern w:val="0"/>
                <w:sz w:val="24"/>
              </w:rPr>
              <w:t>、长江经济带负面清单中的禁止、限制行业</w:t>
            </w:r>
            <w:r>
              <w:rPr>
                <w:color w:val="auto"/>
                <w:kern w:val="0"/>
                <w:sz w:val="24"/>
              </w:rPr>
              <w:t>，项目采取环境保护措施后，废气、噪声均可达标排放，</w:t>
            </w:r>
            <w:r>
              <w:rPr>
                <w:rFonts w:hint="eastAsia"/>
                <w:color w:val="auto"/>
                <w:kern w:val="0"/>
                <w:sz w:val="24"/>
              </w:rPr>
              <w:t>生产废水循环使用，生活废水经处理达标后用于绿化及道路洒水降尘，</w:t>
            </w:r>
            <w:r>
              <w:rPr>
                <w:color w:val="auto"/>
                <w:kern w:val="0"/>
                <w:sz w:val="24"/>
              </w:rPr>
              <w:t>固体废物能够得到合理处置，不会产生二次污染。</w:t>
            </w:r>
          </w:p>
          <w:p w14:paraId="7F9D3556">
            <w:pPr>
              <w:spacing w:line="360" w:lineRule="auto"/>
              <w:ind w:firstLine="480"/>
              <w:rPr>
                <w:b/>
                <w:bCs/>
                <w:color w:val="auto"/>
                <w:kern w:val="0"/>
                <w:sz w:val="24"/>
              </w:rPr>
            </w:pPr>
            <w:r>
              <w:rPr>
                <w:rFonts w:hint="eastAsia"/>
                <w:b/>
                <w:bCs/>
                <w:color w:val="auto"/>
                <w:sz w:val="24"/>
              </w:rPr>
              <w:t>2</w:t>
            </w:r>
            <w:r>
              <w:rPr>
                <w:b/>
                <w:bCs/>
                <w:color w:val="auto"/>
                <w:sz w:val="24"/>
              </w:rPr>
              <w:t>、</w:t>
            </w:r>
            <w:r>
              <w:rPr>
                <w:rFonts w:hint="eastAsia"/>
                <w:b/>
                <w:bCs/>
                <w:color w:val="auto"/>
                <w:sz w:val="24"/>
              </w:rPr>
              <w:t>与昆明市人民政府关于昆明市“三线一单”生态环境分区管控的实施意见相符性分析</w:t>
            </w:r>
          </w:p>
          <w:p w14:paraId="5AEFD12D">
            <w:pPr>
              <w:spacing w:line="360" w:lineRule="auto"/>
              <w:ind w:firstLine="480"/>
              <w:rPr>
                <w:rFonts w:eastAsia="Times New Roman"/>
                <w:color w:val="auto"/>
                <w:sz w:val="24"/>
              </w:rPr>
            </w:pPr>
            <w:r>
              <w:rPr>
                <w:rFonts w:hint="eastAsia" w:eastAsia="Times New Roman"/>
                <w:color w:val="auto"/>
                <w:sz w:val="24"/>
              </w:rPr>
              <w:t>根据《昆明市人民政府关于实施“三线一单”生态环境分区管控的意见》（昆政发[2021]21号），项目位于云南寻甸特色产业园区重点管控单元（ZH53012920004），本项目与生态环境分区管控的意见相符性分析如下。</w:t>
            </w:r>
          </w:p>
          <w:p w14:paraId="7C13970A">
            <w:pPr>
              <w:snapToGrid w:val="0"/>
              <w:ind w:firstLine="422" w:firstLineChars="200"/>
              <w:jc w:val="center"/>
              <w:rPr>
                <w:b/>
                <w:bCs/>
                <w:color w:val="auto"/>
                <w:szCs w:val="21"/>
              </w:rPr>
            </w:pPr>
            <w:r>
              <w:rPr>
                <w:rFonts w:hint="eastAsia"/>
                <w:b/>
                <w:bCs/>
                <w:color w:val="auto"/>
                <w:szCs w:val="21"/>
              </w:rPr>
              <w:t>表1-5  与云南寻甸特色产业园区重点管控单元（ZH53012920004）相符性分析</w:t>
            </w:r>
          </w:p>
          <w:tbl>
            <w:tblPr>
              <w:tblStyle w:val="31"/>
              <w:tblW w:w="7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772"/>
              <w:gridCol w:w="517"/>
              <w:gridCol w:w="2854"/>
              <w:gridCol w:w="2587"/>
              <w:gridCol w:w="517"/>
            </w:tblGrid>
            <w:tr w14:paraId="774D0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288" w:type="dxa"/>
                  <w:gridSpan w:val="2"/>
                  <w:vAlign w:val="center"/>
                </w:tcPr>
                <w:p w14:paraId="6D18DD9D">
                  <w:pPr>
                    <w:jc w:val="center"/>
                    <w:rPr>
                      <w:color w:val="auto"/>
                      <w:szCs w:val="21"/>
                    </w:rPr>
                  </w:pPr>
                  <w:r>
                    <w:rPr>
                      <w:rFonts w:hint="eastAsia"/>
                      <w:color w:val="auto"/>
                      <w:szCs w:val="21"/>
                    </w:rPr>
                    <w:t>类别</w:t>
                  </w:r>
                </w:p>
              </w:tc>
              <w:tc>
                <w:tcPr>
                  <w:tcW w:w="3371" w:type="dxa"/>
                  <w:gridSpan w:val="2"/>
                  <w:vAlign w:val="center"/>
                </w:tcPr>
                <w:p w14:paraId="59B2CA00">
                  <w:pPr>
                    <w:jc w:val="center"/>
                    <w:rPr>
                      <w:color w:val="auto"/>
                      <w:szCs w:val="21"/>
                    </w:rPr>
                  </w:pPr>
                  <w:r>
                    <w:rPr>
                      <w:rFonts w:hint="eastAsia"/>
                      <w:color w:val="auto"/>
                      <w:szCs w:val="21"/>
                    </w:rPr>
                    <w:t>文件要求</w:t>
                  </w:r>
                </w:p>
              </w:tc>
              <w:tc>
                <w:tcPr>
                  <w:tcW w:w="2587" w:type="dxa"/>
                  <w:vAlign w:val="center"/>
                </w:tcPr>
                <w:p w14:paraId="33FA2B02">
                  <w:pPr>
                    <w:jc w:val="center"/>
                    <w:rPr>
                      <w:color w:val="auto"/>
                      <w:szCs w:val="21"/>
                    </w:rPr>
                  </w:pPr>
                  <w:r>
                    <w:rPr>
                      <w:rFonts w:hint="eastAsia"/>
                      <w:color w:val="auto"/>
                      <w:szCs w:val="21"/>
                    </w:rPr>
                    <w:t>相符性分析</w:t>
                  </w:r>
                </w:p>
              </w:tc>
              <w:tc>
                <w:tcPr>
                  <w:tcW w:w="517" w:type="dxa"/>
                  <w:vAlign w:val="center"/>
                </w:tcPr>
                <w:p w14:paraId="017ED891">
                  <w:pPr>
                    <w:jc w:val="center"/>
                    <w:rPr>
                      <w:color w:val="auto"/>
                      <w:szCs w:val="21"/>
                    </w:rPr>
                  </w:pPr>
                  <w:r>
                    <w:rPr>
                      <w:rFonts w:hint="eastAsia"/>
                      <w:color w:val="auto"/>
                      <w:szCs w:val="21"/>
                    </w:rPr>
                    <w:t>符合性</w:t>
                  </w:r>
                </w:p>
              </w:tc>
            </w:tr>
            <w:tr w14:paraId="0A41C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8" w:type="dxa"/>
                  <w:gridSpan w:val="2"/>
                  <w:vAlign w:val="center"/>
                </w:tcPr>
                <w:p w14:paraId="3EEBD092">
                  <w:pPr>
                    <w:jc w:val="center"/>
                    <w:rPr>
                      <w:color w:val="auto"/>
                      <w:szCs w:val="21"/>
                    </w:rPr>
                  </w:pPr>
                  <w:r>
                    <w:rPr>
                      <w:rFonts w:hint="eastAsia"/>
                      <w:color w:val="auto"/>
                      <w:szCs w:val="21"/>
                    </w:rPr>
                    <w:t>生态保护红线</w:t>
                  </w:r>
                </w:p>
              </w:tc>
              <w:tc>
                <w:tcPr>
                  <w:tcW w:w="3371" w:type="dxa"/>
                  <w:gridSpan w:val="2"/>
                  <w:vAlign w:val="center"/>
                </w:tcPr>
                <w:p w14:paraId="238E7022">
                  <w:pPr>
                    <w:widowControl/>
                    <w:jc w:val="center"/>
                    <w:rPr>
                      <w:color w:val="auto"/>
                      <w:szCs w:val="21"/>
                    </w:rPr>
                  </w:pPr>
                  <w:r>
                    <w:rPr>
                      <w:color w:val="auto"/>
                      <w:szCs w:val="21"/>
                    </w:rPr>
                    <w:t>生态保护红线区严格执行云南省人民政府发布的《云南省生态保护红线》，全市生态保护红线总面积为4662.53平方公里，占全市国土面积的22.19%。生态保护红线区按照国家和云南省颁布的生态保护红线有关管控政策办法执行，原则上按禁止开发区域的要求进行管理，严禁不符合主体功能定位的各类开发活动，严禁任意改变用途，确保生态保护红线生态功能不降低、面积不减少、性质不改变。</w:t>
                  </w:r>
                </w:p>
              </w:tc>
              <w:tc>
                <w:tcPr>
                  <w:tcW w:w="2587" w:type="dxa"/>
                  <w:vAlign w:val="center"/>
                </w:tcPr>
                <w:p w14:paraId="0C904678">
                  <w:pPr>
                    <w:jc w:val="center"/>
                    <w:rPr>
                      <w:color w:val="auto"/>
                      <w:szCs w:val="21"/>
                    </w:rPr>
                  </w:pPr>
                  <w:r>
                    <w:rPr>
                      <w:rFonts w:eastAsia="Times New Roman"/>
                      <w:color w:val="auto"/>
                      <w:szCs w:val="21"/>
                      <w:lang w:val="zh-CN"/>
                    </w:rPr>
                    <w:t>本项目建设地点位于云南省昆明市寻甸县特色产业园区</w:t>
                  </w:r>
                  <w:r>
                    <w:rPr>
                      <w:rFonts w:hint="eastAsia"/>
                      <w:color w:val="auto"/>
                      <w:szCs w:val="21"/>
                    </w:rPr>
                    <w:t>羊街</w:t>
                  </w:r>
                  <w:r>
                    <w:rPr>
                      <w:rFonts w:eastAsia="Times New Roman"/>
                      <w:color w:val="auto"/>
                      <w:szCs w:val="21"/>
                      <w:lang w:val="zh-CN"/>
                    </w:rPr>
                    <w:t>片区</w:t>
                  </w:r>
                  <w:r>
                    <w:rPr>
                      <w:rFonts w:hint="eastAsia" w:eastAsia="Times New Roman"/>
                      <w:color w:val="auto"/>
                      <w:szCs w:val="21"/>
                      <w:lang w:val="zh-CN"/>
                    </w:rPr>
                    <w:t>，</w:t>
                  </w:r>
                  <w:r>
                    <w:rPr>
                      <w:rFonts w:eastAsia="Times New Roman"/>
                      <w:color w:val="auto"/>
                      <w:szCs w:val="21"/>
                      <w:lang w:val="zh-CN"/>
                    </w:rPr>
                    <w:t>属规划的工业用地，不涉及自然保护区、风景名胜区、饮用水源保护区等特殊敏感区，项目周边也无文物保护单位、古树名木分布，不涉及生态保护红线。</w:t>
                  </w:r>
                </w:p>
              </w:tc>
              <w:tc>
                <w:tcPr>
                  <w:tcW w:w="517" w:type="dxa"/>
                  <w:vAlign w:val="center"/>
                </w:tcPr>
                <w:p w14:paraId="7501C9CC">
                  <w:pPr>
                    <w:rPr>
                      <w:color w:val="auto"/>
                      <w:szCs w:val="21"/>
                    </w:rPr>
                  </w:pPr>
                  <w:r>
                    <w:rPr>
                      <w:rFonts w:hint="eastAsia"/>
                      <w:color w:val="auto"/>
                      <w:szCs w:val="21"/>
                    </w:rPr>
                    <w:t>符合</w:t>
                  </w:r>
                </w:p>
              </w:tc>
            </w:tr>
            <w:tr w14:paraId="042AC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restart"/>
                  <w:vAlign w:val="center"/>
                </w:tcPr>
                <w:p w14:paraId="5266D76F">
                  <w:pPr>
                    <w:jc w:val="center"/>
                    <w:rPr>
                      <w:color w:val="auto"/>
                      <w:szCs w:val="21"/>
                    </w:rPr>
                  </w:pPr>
                  <w:r>
                    <w:rPr>
                      <w:rFonts w:hint="eastAsia"/>
                      <w:color w:val="auto"/>
                      <w:szCs w:val="21"/>
                    </w:rPr>
                    <w:t>环境质量底线</w:t>
                  </w:r>
                </w:p>
              </w:tc>
              <w:tc>
                <w:tcPr>
                  <w:tcW w:w="772" w:type="dxa"/>
                  <w:vAlign w:val="center"/>
                </w:tcPr>
                <w:p w14:paraId="37C0BC62">
                  <w:pPr>
                    <w:jc w:val="center"/>
                    <w:rPr>
                      <w:color w:val="auto"/>
                      <w:szCs w:val="21"/>
                    </w:rPr>
                  </w:pPr>
                  <w:r>
                    <w:rPr>
                      <w:rFonts w:hint="eastAsia"/>
                      <w:color w:val="auto"/>
                      <w:szCs w:val="21"/>
                    </w:rPr>
                    <w:t>大气环境质量底线</w:t>
                  </w:r>
                </w:p>
              </w:tc>
              <w:tc>
                <w:tcPr>
                  <w:tcW w:w="3371" w:type="dxa"/>
                  <w:gridSpan w:val="2"/>
                  <w:vAlign w:val="center"/>
                </w:tcPr>
                <w:p w14:paraId="06ABAF96">
                  <w:pPr>
                    <w:widowControl/>
                    <w:jc w:val="center"/>
                    <w:rPr>
                      <w:color w:val="auto"/>
                      <w:szCs w:val="21"/>
                    </w:rPr>
                  </w:pPr>
                  <w:r>
                    <w:rPr>
                      <w:color w:val="auto"/>
                    </w:rPr>
                    <w:t>全市环境空气质量总体保持优良，主城建成区空气质量优良天数占比达99%以上，二氧化硫（SO</w:t>
                  </w:r>
                  <w:r>
                    <w:rPr>
                      <w:color w:val="auto"/>
                      <w:vertAlign w:val="subscript"/>
                    </w:rPr>
                    <w:t>2</w:t>
                  </w:r>
                  <w:r>
                    <w:rPr>
                      <w:color w:val="auto"/>
                    </w:rPr>
                    <w:t>）和氮氧化物（NO</w:t>
                  </w:r>
                  <w:r>
                    <w:rPr>
                      <w:color w:val="auto"/>
                      <w:vertAlign w:val="subscript"/>
                    </w:rPr>
                    <w:t>X</w:t>
                  </w:r>
                  <w:r>
                    <w:rPr>
                      <w:color w:val="auto"/>
                    </w:rPr>
                    <w:t>）排放总量控制在省下达的目标以内，主城区空气中颗粒物（PM10、PM2.5）稳定达《环境空气质量标准》二级标准以上。</w:t>
                  </w:r>
                </w:p>
              </w:tc>
              <w:tc>
                <w:tcPr>
                  <w:tcW w:w="2587" w:type="dxa"/>
                  <w:vAlign w:val="center"/>
                </w:tcPr>
                <w:p w14:paraId="14DF8D25">
                  <w:pPr>
                    <w:jc w:val="center"/>
                    <w:rPr>
                      <w:color w:val="auto"/>
                      <w:szCs w:val="21"/>
                    </w:rPr>
                  </w:pPr>
                  <w:r>
                    <w:rPr>
                      <w:color w:val="auto"/>
                      <w:szCs w:val="21"/>
                    </w:rPr>
                    <w:t>项目区属于环境空气质量达标区，项目运营期产生的大气污染物经采取环评提出的措施后能够达标排放，对大气环境质量影响较小，不会突破当地环境质量底线</w:t>
                  </w:r>
                  <w:r>
                    <w:rPr>
                      <w:rFonts w:hint="eastAsia"/>
                      <w:color w:val="auto"/>
                      <w:szCs w:val="21"/>
                    </w:rPr>
                    <w:t>。</w:t>
                  </w:r>
                </w:p>
              </w:tc>
              <w:tc>
                <w:tcPr>
                  <w:tcW w:w="517" w:type="dxa"/>
                  <w:vAlign w:val="center"/>
                </w:tcPr>
                <w:p w14:paraId="3FF0EDDA">
                  <w:pPr>
                    <w:rPr>
                      <w:color w:val="auto"/>
                      <w:szCs w:val="21"/>
                    </w:rPr>
                  </w:pPr>
                  <w:r>
                    <w:rPr>
                      <w:rFonts w:hint="eastAsia"/>
                      <w:color w:val="auto"/>
                      <w:szCs w:val="21"/>
                    </w:rPr>
                    <w:t>符合</w:t>
                  </w:r>
                </w:p>
              </w:tc>
            </w:tr>
            <w:tr w14:paraId="36FA0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continue"/>
                  <w:vAlign w:val="center"/>
                </w:tcPr>
                <w:p w14:paraId="373AB14D">
                  <w:pPr>
                    <w:jc w:val="center"/>
                    <w:rPr>
                      <w:color w:val="auto"/>
                      <w:szCs w:val="21"/>
                    </w:rPr>
                  </w:pPr>
                </w:p>
              </w:tc>
              <w:tc>
                <w:tcPr>
                  <w:tcW w:w="772" w:type="dxa"/>
                  <w:vAlign w:val="center"/>
                </w:tcPr>
                <w:p w14:paraId="633E8086">
                  <w:pPr>
                    <w:jc w:val="center"/>
                    <w:rPr>
                      <w:color w:val="auto"/>
                      <w:szCs w:val="21"/>
                    </w:rPr>
                  </w:pPr>
                  <w:r>
                    <w:rPr>
                      <w:rFonts w:hint="eastAsia"/>
                      <w:color w:val="auto"/>
                      <w:szCs w:val="21"/>
                    </w:rPr>
                    <w:t>水环境质量底线</w:t>
                  </w:r>
                </w:p>
              </w:tc>
              <w:tc>
                <w:tcPr>
                  <w:tcW w:w="3371" w:type="dxa"/>
                  <w:gridSpan w:val="2"/>
                  <w:vAlign w:val="center"/>
                </w:tcPr>
                <w:p w14:paraId="76543004">
                  <w:pPr>
                    <w:widowControl/>
                    <w:jc w:val="center"/>
                    <w:rPr>
                      <w:color w:val="auto"/>
                      <w:szCs w:val="21"/>
                    </w:rPr>
                  </w:pPr>
                  <w:r>
                    <w:rPr>
                      <w:color w:val="auto"/>
                    </w:rPr>
                    <w:t>纳入国家和省级考核的地表水监测断面水质优良率稳步提升，滇池流域、阳宗海流域水环境质量明显改善，水生态系统功能逐步恢复，滇池草海水质达Ⅳ类，滇池外海水质达Ⅳ类（化学需氧量≤40毫克/升），阳宗海水质达Ⅲ类，集中式饮用水源水质巩固改善。</w:t>
                  </w:r>
                </w:p>
              </w:tc>
              <w:tc>
                <w:tcPr>
                  <w:tcW w:w="2587" w:type="dxa"/>
                  <w:vAlign w:val="center"/>
                </w:tcPr>
                <w:p w14:paraId="633D685A">
                  <w:pPr>
                    <w:jc w:val="center"/>
                    <w:rPr>
                      <w:color w:val="auto"/>
                      <w:kern w:val="0"/>
                      <w:szCs w:val="21"/>
                    </w:rPr>
                  </w:pPr>
                  <w:r>
                    <w:rPr>
                      <w:rFonts w:hint="eastAsia"/>
                      <w:color w:val="auto"/>
                      <w:szCs w:val="21"/>
                    </w:rPr>
                    <w:t>项目区周边的地表水体为羊街河（果马河），位于项目西侧1.5km。</w:t>
                  </w:r>
                  <w:r>
                    <w:rPr>
                      <w:color w:val="auto"/>
                      <w:kern w:val="0"/>
                      <w:szCs w:val="21"/>
                    </w:rPr>
                    <w:t>根据寻甸县人民政府发布的“202</w:t>
                  </w:r>
                  <w:r>
                    <w:rPr>
                      <w:rFonts w:hint="eastAsia"/>
                      <w:color w:val="auto"/>
                      <w:kern w:val="0"/>
                      <w:szCs w:val="21"/>
                    </w:rPr>
                    <w:t>2</w:t>
                  </w:r>
                  <w:r>
                    <w:rPr>
                      <w:color w:val="auto"/>
                      <w:kern w:val="0"/>
                      <w:szCs w:val="21"/>
                    </w:rPr>
                    <w:t>年</w:t>
                  </w:r>
                  <w:r>
                    <w:rPr>
                      <w:rFonts w:hint="eastAsia"/>
                      <w:color w:val="auto"/>
                      <w:kern w:val="0"/>
                      <w:szCs w:val="21"/>
                    </w:rPr>
                    <w:t>12</w:t>
                  </w:r>
                  <w:r>
                    <w:rPr>
                      <w:color w:val="auto"/>
                      <w:kern w:val="0"/>
                      <w:szCs w:val="21"/>
                    </w:rPr>
                    <w:t>月寻甸县水环境质量监测月报”，寻甸县环境监测站对</w:t>
                  </w:r>
                  <w:r>
                    <w:rPr>
                      <w:rFonts w:hint="eastAsia"/>
                      <w:color w:val="auto"/>
                      <w:kern w:val="0"/>
                      <w:szCs w:val="21"/>
                    </w:rPr>
                    <w:t>羊街河</w:t>
                  </w:r>
                </w:p>
                <w:p w14:paraId="70EE3FD7">
                  <w:pPr>
                    <w:jc w:val="center"/>
                    <w:rPr>
                      <w:color w:val="auto"/>
                      <w:szCs w:val="21"/>
                    </w:rPr>
                  </w:pPr>
                  <w:r>
                    <w:rPr>
                      <w:rFonts w:hint="eastAsia"/>
                      <w:color w:val="auto"/>
                      <w:kern w:val="0"/>
                      <w:szCs w:val="21"/>
                    </w:rPr>
                    <w:t>（</w:t>
                  </w:r>
                  <w:r>
                    <w:rPr>
                      <w:rFonts w:hint="eastAsia"/>
                      <w:color w:val="auto"/>
                      <w:szCs w:val="21"/>
                    </w:rPr>
                    <w:t>果马河</w:t>
                  </w:r>
                  <w:r>
                    <w:rPr>
                      <w:rFonts w:hint="eastAsia"/>
                      <w:color w:val="auto"/>
                      <w:kern w:val="0"/>
                      <w:szCs w:val="21"/>
                    </w:rPr>
                    <w:t>）李家坝断面</w:t>
                  </w:r>
                  <w:r>
                    <w:rPr>
                      <w:color w:val="auto"/>
                      <w:kern w:val="0"/>
                      <w:szCs w:val="21"/>
                    </w:rPr>
                    <w:t>的水质监测结果为Ⅲ类</w:t>
                  </w:r>
                  <w:r>
                    <w:rPr>
                      <w:rFonts w:hint="eastAsia"/>
                      <w:color w:val="auto"/>
                      <w:szCs w:val="21"/>
                    </w:rPr>
                    <w:t>。项目无生产废水产生，生活污水经污水处理站处理达标后用于绿化及道路洒水降尘，不外排，不会改变区域地表水环境功能。</w:t>
                  </w:r>
                </w:p>
              </w:tc>
              <w:tc>
                <w:tcPr>
                  <w:tcW w:w="517" w:type="dxa"/>
                  <w:vAlign w:val="center"/>
                </w:tcPr>
                <w:p w14:paraId="498E4F25">
                  <w:pPr>
                    <w:rPr>
                      <w:color w:val="auto"/>
                      <w:szCs w:val="21"/>
                    </w:rPr>
                  </w:pPr>
                  <w:r>
                    <w:rPr>
                      <w:rFonts w:hint="eastAsia"/>
                      <w:color w:val="auto"/>
                      <w:szCs w:val="21"/>
                    </w:rPr>
                    <w:t>符合</w:t>
                  </w:r>
                </w:p>
              </w:tc>
            </w:tr>
            <w:tr w14:paraId="2843C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dxa"/>
                  <w:vMerge w:val="continue"/>
                  <w:vAlign w:val="center"/>
                </w:tcPr>
                <w:p w14:paraId="6DF7312A">
                  <w:pPr>
                    <w:jc w:val="center"/>
                    <w:rPr>
                      <w:color w:val="auto"/>
                      <w:szCs w:val="21"/>
                    </w:rPr>
                  </w:pPr>
                </w:p>
              </w:tc>
              <w:tc>
                <w:tcPr>
                  <w:tcW w:w="772" w:type="dxa"/>
                  <w:vAlign w:val="center"/>
                </w:tcPr>
                <w:p w14:paraId="385CBCDE">
                  <w:pPr>
                    <w:jc w:val="center"/>
                    <w:rPr>
                      <w:color w:val="auto"/>
                      <w:szCs w:val="21"/>
                    </w:rPr>
                  </w:pPr>
                  <w:r>
                    <w:rPr>
                      <w:rFonts w:hint="eastAsia"/>
                      <w:color w:val="auto"/>
                      <w:szCs w:val="21"/>
                    </w:rPr>
                    <w:t>土壤环境风险防控底线</w:t>
                  </w:r>
                </w:p>
              </w:tc>
              <w:tc>
                <w:tcPr>
                  <w:tcW w:w="3371" w:type="dxa"/>
                  <w:gridSpan w:val="2"/>
                  <w:vAlign w:val="center"/>
                </w:tcPr>
                <w:p w14:paraId="54EAF82F">
                  <w:pPr>
                    <w:widowControl/>
                    <w:jc w:val="center"/>
                    <w:rPr>
                      <w:color w:val="auto"/>
                      <w:szCs w:val="21"/>
                    </w:rPr>
                  </w:pPr>
                  <w:r>
                    <w:rPr>
                      <w:color w:val="auto"/>
                      <w:szCs w:val="21"/>
                    </w:rPr>
                    <w:t>土壤环境风险防范体系进一步完善，</w:t>
                  </w:r>
                  <w:r>
                    <w:rPr>
                      <w:color w:val="auto"/>
                    </w:rPr>
                    <w:t>受污染耕地安全利用率和污染地块安全利用率进一步提高，逐步改善全市土壤环境质量，遏制土壤污染恶化趋势，土壤环境风险得到基本管控。污染地块安全利用率、耕地土壤环境质量达到国家和云南省考核要求。</w:t>
                  </w:r>
                </w:p>
              </w:tc>
              <w:tc>
                <w:tcPr>
                  <w:tcW w:w="2587" w:type="dxa"/>
                  <w:vAlign w:val="center"/>
                </w:tcPr>
                <w:p w14:paraId="6B665AE8">
                  <w:pPr>
                    <w:jc w:val="center"/>
                    <w:rPr>
                      <w:color w:val="auto"/>
                      <w:szCs w:val="21"/>
                    </w:rPr>
                  </w:pPr>
                  <w:r>
                    <w:rPr>
                      <w:rFonts w:hint="eastAsia"/>
                      <w:color w:val="auto"/>
                      <w:szCs w:val="21"/>
                    </w:rPr>
                    <w:t>项目设置了危废暂存间</w:t>
                  </w:r>
                  <w:r>
                    <w:rPr>
                      <w:color w:val="auto"/>
                      <w:szCs w:val="21"/>
                    </w:rPr>
                    <w:t>暂存，</w:t>
                  </w:r>
                  <w:r>
                    <w:rPr>
                      <w:rFonts w:hint="eastAsia"/>
                      <w:color w:val="auto"/>
                      <w:szCs w:val="21"/>
                    </w:rPr>
                    <w:t>危险废物</w:t>
                  </w:r>
                  <w:r>
                    <w:rPr>
                      <w:color w:val="auto"/>
                      <w:szCs w:val="21"/>
                    </w:rPr>
                    <w:t>委托有资质单位定期清运处置，</w:t>
                  </w:r>
                  <w:r>
                    <w:rPr>
                      <w:rFonts w:hint="eastAsia"/>
                      <w:color w:val="auto"/>
                      <w:szCs w:val="21"/>
                    </w:rPr>
                    <w:t>危废暂存</w:t>
                  </w:r>
                  <w:r>
                    <w:rPr>
                      <w:color w:val="auto"/>
                      <w:szCs w:val="21"/>
                    </w:rPr>
                    <w:t>间地面和四周墙裙进行重点防渗处理，并设置围堰、备用桶等应急设施。项目采取了土壤污染防控措施，对土壤环境质量影响较小</w:t>
                  </w:r>
                  <w:r>
                    <w:rPr>
                      <w:rFonts w:hint="eastAsia"/>
                      <w:color w:val="auto"/>
                      <w:szCs w:val="21"/>
                    </w:rPr>
                    <w:t>。</w:t>
                  </w:r>
                </w:p>
              </w:tc>
              <w:tc>
                <w:tcPr>
                  <w:tcW w:w="517" w:type="dxa"/>
                  <w:vAlign w:val="center"/>
                </w:tcPr>
                <w:p w14:paraId="564D28B9">
                  <w:pPr>
                    <w:rPr>
                      <w:color w:val="auto"/>
                      <w:szCs w:val="21"/>
                    </w:rPr>
                  </w:pPr>
                  <w:r>
                    <w:rPr>
                      <w:rFonts w:hint="eastAsia"/>
                      <w:color w:val="auto"/>
                      <w:szCs w:val="21"/>
                    </w:rPr>
                    <w:t>符合</w:t>
                  </w:r>
                </w:p>
              </w:tc>
            </w:tr>
            <w:tr w14:paraId="589F5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516" w:type="dxa"/>
                  <w:vMerge w:val="restart"/>
                  <w:vAlign w:val="center"/>
                </w:tcPr>
                <w:p w14:paraId="47323DA4">
                  <w:pPr>
                    <w:jc w:val="center"/>
                    <w:rPr>
                      <w:color w:val="auto"/>
                      <w:szCs w:val="21"/>
                    </w:rPr>
                  </w:pPr>
                  <w:r>
                    <w:rPr>
                      <w:rFonts w:hint="eastAsia"/>
                      <w:color w:val="auto"/>
                      <w:szCs w:val="21"/>
                    </w:rPr>
                    <w:t>资源利用上线</w:t>
                  </w:r>
                </w:p>
              </w:tc>
              <w:tc>
                <w:tcPr>
                  <w:tcW w:w="772" w:type="dxa"/>
                  <w:vAlign w:val="center"/>
                </w:tcPr>
                <w:p w14:paraId="215DEA0F">
                  <w:pPr>
                    <w:jc w:val="center"/>
                    <w:rPr>
                      <w:color w:val="auto"/>
                      <w:szCs w:val="21"/>
                    </w:rPr>
                  </w:pPr>
                  <w:r>
                    <w:rPr>
                      <w:rFonts w:hint="eastAsia"/>
                      <w:color w:val="auto"/>
                      <w:szCs w:val="21"/>
                    </w:rPr>
                    <w:t>水资源利用上线</w:t>
                  </w:r>
                </w:p>
              </w:tc>
              <w:tc>
                <w:tcPr>
                  <w:tcW w:w="3371" w:type="dxa"/>
                  <w:gridSpan w:val="2"/>
                  <w:vAlign w:val="center"/>
                </w:tcPr>
                <w:p w14:paraId="1CF91902">
                  <w:pPr>
                    <w:jc w:val="center"/>
                    <w:rPr>
                      <w:color w:val="auto"/>
                      <w:szCs w:val="21"/>
                    </w:rPr>
                  </w:pPr>
                  <w:r>
                    <w:rPr>
                      <w:color w:val="auto"/>
                      <w:szCs w:val="21"/>
                    </w:rPr>
                    <w:t>按照国家、省、市有关要求和规划，按时完成全市用水总量、用水效率、限制纳污“三条红线”水资源上限控制指标</w:t>
                  </w:r>
                  <w:r>
                    <w:rPr>
                      <w:rFonts w:hint="eastAsia"/>
                      <w:color w:val="auto"/>
                      <w:szCs w:val="21"/>
                    </w:rPr>
                    <w:t>。</w:t>
                  </w:r>
                </w:p>
              </w:tc>
              <w:tc>
                <w:tcPr>
                  <w:tcW w:w="2587" w:type="dxa"/>
                  <w:vAlign w:val="center"/>
                </w:tcPr>
                <w:p w14:paraId="6FAAF3F2">
                  <w:pPr>
                    <w:jc w:val="center"/>
                    <w:rPr>
                      <w:color w:val="auto"/>
                      <w:szCs w:val="21"/>
                    </w:rPr>
                  </w:pPr>
                  <w:r>
                    <w:rPr>
                      <w:color w:val="auto"/>
                      <w:szCs w:val="21"/>
                    </w:rPr>
                    <w:t>项目运营过程中消耗一定量的水资源</w:t>
                  </w:r>
                  <w:r>
                    <w:rPr>
                      <w:rFonts w:hint="eastAsia"/>
                      <w:color w:val="auto"/>
                      <w:szCs w:val="21"/>
                    </w:rPr>
                    <w:t>，用水量较小，对</w:t>
                  </w:r>
                  <w:r>
                    <w:rPr>
                      <w:color w:val="auto"/>
                      <w:szCs w:val="21"/>
                    </w:rPr>
                    <w:t>全市用水总量、用水效率、限制纳污“三条红线”水资源上限</w:t>
                  </w:r>
                  <w:r>
                    <w:rPr>
                      <w:rFonts w:hint="eastAsia"/>
                      <w:color w:val="auto"/>
                      <w:szCs w:val="21"/>
                    </w:rPr>
                    <w:t>贡献很小。</w:t>
                  </w:r>
                </w:p>
              </w:tc>
              <w:tc>
                <w:tcPr>
                  <w:tcW w:w="517" w:type="dxa"/>
                  <w:vAlign w:val="center"/>
                </w:tcPr>
                <w:p w14:paraId="6F29D171">
                  <w:pPr>
                    <w:rPr>
                      <w:color w:val="auto"/>
                      <w:szCs w:val="21"/>
                    </w:rPr>
                  </w:pPr>
                  <w:r>
                    <w:rPr>
                      <w:rFonts w:hint="eastAsia"/>
                      <w:color w:val="auto"/>
                      <w:szCs w:val="21"/>
                    </w:rPr>
                    <w:t>符合</w:t>
                  </w:r>
                </w:p>
              </w:tc>
            </w:tr>
            <w:tr w14:paraId="47F4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516" w:type="dxa"/>
                  <w:vMerge w:val="continue"/>
                  <w:vAlign w:val="center"/>
                </w:tcPr>
                <w:p w14:paraId="0F1AAB5C">
                  <w:pPr>
                    <w:jc w:val="center"/>
                    <w:rPr>
                      <w:color w:val="auto"/>
                      <w:szCs w:val="21"/>
                    </w:rPr>
                  </w:pPr>
                </w:p>
              </w:tc>
              <w:tc>
                <w:tcPr>
                  <w:tcW w:w="772" w:type="dxa"/>
                  <w:vAlign w:val="center"/>
                </w:tcPr>
                <w:p w14:paraId="5E213C6B">
                  <w:pPr>
                    <w:jc w:val="center"/>
                    <w:rPr>
                      <w:color w:val="auto"/>
                      <w:szCs w:val="21"/>
                    </w:rPr>
                  </w:pPr>
                  <w:r>
                    <w:rPr>
                      <w:rFonts w:hint="eastAsia"/>
                      <w:color w:val="auto"/>
                      <w:szCs w:val="21"/>
                    </w:rPr>
                    <w:t>能源利用上线</w:t>
                  </w:r>
                </w:p>
              </w:tc>
              <w:tc>
                <w:tcPr>
                  <w:tcW w:w="3371" w:type="dxa"/>
                  <w:gridSpan w:val="2"/>
                  <w:vAlign w:val="center"/>
                </w:tcPr>
                <w:p w14:paraId="22BBFD27">
                  <w:pPr>
                    <w:jc w:val="center"/>
                    <w:rPr>
                      <w:color w:val="auto"/>
                      <w:szCs w:val="21"/>
                    </w:rPr>
                  </w:pPr>
                  <w:r>
                    <w:rPr>
                      <w:rFonts w:hint="eastAsia"/>
                      <w:color w:val="auto"/>
                      <w:szCs w:val="21"/>
                    </w:rPr>
                    <w:t>按时完成单位GDP能耗下降率、能源消费总量等能源控制指标。</w:t>
                  </w:r>
                </w:p>
              </w:tc>
              <w:tc>
                <w:tcPr>
                  <w:tcW w:w="2587" w:type="dxa"/>
                  <w:vAlign w:val="center"/>
                </w:tcPr>
                <w:p w14:paraId="62B926DB">
                  <w:pPr>
                    <w:jc w:val="center"/>
                    <w:rPr>
                      <w:color w:val="auto"/>
                      <w:szCs w:val="21"/>
                    </w:rPr>
                  </w:pPr>
                  <w:r>
                    <w:rPr>
                      <w:rFonts w:hint="eastAsia"/>
                      <w:color w:val="auto"/>
                      <w:szCs w:val="21"/>
                    </w:rPr>
                    <w:t>项目生产过程中主要使用电及天然气作为能源，不属于高耗能项目。</w:t>
                  </w:r>
                </w:p>
              </w:tc>
              <w:tc>
                <w:tcPr>
                  <w:tcW w:w="517" w:type="dxa"/>
                  <w:vAlign w:val="center"/>
                </w:tcPr>
                <w:p w14:paraId="73E01C0C">
                  <w:pPr>
                    <w:rPr>
                      <w:color w:val="auto"/>
                      <w:szCs w:val="21"/>
                    </w:rPr>
                  </w:pPr>
                  <w:r>
                    <w:rPr>
                      <w:rFonts w:hint="eastAsia"/>
                      <w:color w:val="auto"/>
                      <w:szCs w:val="21"/>
                    </w:rPr>
                    <w:t>符合</w:t>
                  </w:r>
                </w:p>
              </w:tc>
            </w:tr>
            <w:tr w14:paraId="7498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516" w:type="dxa"/>
                  <w:vMerge w:val="continue"/>
                  <w:vAlign w:val="center"/>
                </w:tcPr>
                <w:p w14:paraId="23BA9CF9">
                  <w:pPr>
                    <w:jc w:val="center"/>
                    <w:rPr>
                      <w:color w:val="auto"/>
                      <w:szCs w:val="21"/>
                    </w:rPr>
                  </w:pPr>
                </w:p>
              </w:tc>
              <w:tc>
                <w:tcPr>
                  <w:tcW w:w="772" w:type="dxa"/>
                  <w:vAlign w:val="center"/>
                </w:tcPr>
                <w:p w14:paraId="1B11829A">
                  <w:pPr>
                    <w:jc w:val="center"/>
                    <w:rPr>
                      <w:color w:val="auto"/>
                      <w:szCs w:val="21"/>
                    </w:rPr>
                  </w:pPr>
                  <w:r>
                    <w:rPr>
                      <w:rFonts w:hint="eastAsia"/>
                      <w:color w:val="auto"/>
                      <w:szCs w:val="21"/>
                    </w:rPr>
                    <w:t>土地资源利用上线</w:t>
                  </w:r>
                </w:p>
              </w:tc>
              <w:tc>
                <w:tcPr>
                  <w:tcW w:w="3371" w:type="dxa"/>
                  <w:gridSpan w:val="2"/>
                  <w:vAlign w:val="center"/>
                </w:tcPr>
                <w:p w14:paraId="719D88D0">
                  <w:pPr>
                    <w:jc w:val="center"/>
                    <w:rPr>
                      <w:color w:val="auto"/>
                      <w:szCs w:val="21"/>
                    </w:rPr>
                  </w:pPr>
                  <w:r>
                    <w:rPr>
                      <w:rFonts w:hint="eastAsia"/>
                      <w:color w:val="auto"/>
                      <w:szCs w:val="21"/>
                    </w:rPr>
                    <w:t>按时完成耕地保有量、基本农田保护面积、建设用地总规模等土地资源利用上限控制指标。</w:t>
                  </w:r>
                </w:p>
              </w:tc>
              <w:tc>
                <w:tcPr>
                  <w:tcW w:w="2587" w:type="dxa"/>
                  <w:vAlign w:val="center"/>
                </w:tcPr>
                <w:p w14:paraId="01401D79">
                  <w:pPr>
                    <w:jc w:val="center"/>
                    <w:rPr>
                      <w:color w:val="auto"/>
                      <w:szCs w:val="21"/>
                    </w:rPr>
                  </w:pPr>
                  <w:r>
                    <w:rPr>
                      <w:rFonts w:hint="eastAsia"/>
                      <w:color w:val="auto"/>
                      <w:szCs w:val="21"/>
                    </w:rPr>
                    <w:t>项目不占用耕地及基本农田，不新增占地。</w:t>
                  </w:r>
                </w:p>
              </w:tc>
              <w:tc>
                <w:tcPr>
                  <w:tcW w:w="517" w:type="dxa"/>
                  <w:vAlign w:val="center"/>
                </w:tcPr>
                <w:p w14:paraId="24F21748">
                  <w:pPr>
                    <w:rPr>
                      <w:color w:val="auto"/>
                      <w:szCs w:val="21"/>
                    </w:rPr>
                  </w:pPr>
                  <w:r>
                    <w:rPr>
                      <w:rFonts w:hint="eastAsia"/>
                      <w:color w:val="auto"/>
                      <w:szCs w:val="21"/>
                    </w:rPr>
                    <w:t>符合</w:t>
                  </w:r>
                </w:p>
              </w:tc>
            </w:tr>
            <w:tr w14:paraId="288C1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restart"/>
                  <w:vAlign w:val="center"/>
                </w:tcPr>
                <w:p w14:paraId="29DE378E">
                  <w:pPr>
                    <w:jc w:val="center"/>
                    <w:rPr>
                      <w:color w:val="auto"/>
                      <w:szCs w:val="21"/>
                    </w:rPr>
                  </w:pPr>
                  <w:r>
                    <w:rPr>
                      <w:rFonts w:hint="eastAsia"/>
                      <w:color w:val="auto"/>
                      <w:szCs w:val="21"/>
                    </w:rPr>
                    <w:t>生态环境准入清单</w:t>
                  </w:r>
                </w:p>
              </w:tc>
              <w:tc>
                <w:tcPr>
                  <w:tcW w:w="772" w:type="dxa"/>
                  <w:vMerge w:val="restart"/>
                  <w:vAlign w:val="center"/>
                </w:tcPr>
                <w:p w14:paraId="440BFB0D">
                  <w:pPr>
                    <w:jc w:val="center"/>
                    <w:rPr>
                      <w:color w:val="auto"/>
                      <w:szCs w:val="21"/>
                    </w:rPr>
                  </w:pPr>
                  <w:r>
                    <w:rPr>
                      <w:rFonts w:hint="eastAsia"/>
                      <w:color w:val="auto"/>
                      <w:szCs w:val="21"/>
                    </w:rPr>
                    <w:t>重点管控单元（云南寻甸特色产业园区）</w:t>
                  </w:r>
                </w:p>
              </w:tc>
              <w:tc>
                <w:tcPr>
                  <w:tcW w:w="517" w:type="dxa"/>
                  <w:vAlign w:val="center"/>
                </w:tcPr>
                <w:p w14:paraId="033EA813">
                  <w:pPr>
                    <w:jc w:val="center"/>
                    <w:rPr>
                      <w:color w:val="auto"/>
                      <w:szCs w:val="21"/>
                    </w:rPr>
                  </w:pPr>
                  <w:r>
                    <w:rPr>
                      <w:rFonts w:hint="eastAsia"/>
                      <w:color w:val="auto"/>
                      <w:szCs w:val="21"/>
                    </w:rPr>
                    <w:t>空间布局约束</w:t>
                  </w:r>
                </w:p>
              </w:tc>
              <w:tc>
                <w:tcPr>
                  <w:tcW w:w="2854" w:type="dxa"/>
                  <w:vAlign w:val="center"/>
                </w:tcPr>
                <w:p w14:paraId="02FAC0A2">
                  <w:pPr>
                    <w:jc w:val="center"/>
                    <w:rPr>
                      <w:color w:val="auto"/>
                      <w:szCs w:val="21"/>
                    </w:rPr>
                  </w:pPr>
                  <w:r>
                    <w:rPr>
                      <w:rFonts w:hint="eastAsia"/>
                      <w:color w:val="auto"/>
                      <w:szCs w:val="21"/>
                    </w:rPr>
                    <w:t>1.金所片区重点发展新型材料和家具制造产业，羊街片区重点发展先进装备制造和家具制造产业。</w:t>
                  </w:r>
                </w:p>
                <w:p w14:paraId="2DC12AE9">
                  <w:pPr>
                    <w:jc w:val="center"/>
                    <w:rPr>
                      <w:color w:val="auto"/>
                      <w:szCs w:val="21"/>
                    </w:rPr>
                  </w:pPr>
                  <w:r>
                    <w:rPr>
                      <w:rFonts w:hint="eastAsia"/>
                      <w:color w:val="auto"/>
                      <w:szCs w:val="21"/>
                    </w:rPr>
                    <w:t>2.禁止引入造纸、印染等需水量大，生产废水不能实现循环回用不外排的企业。</w:t>
                  </w:r>
                </w:p>
              </w:tc>
              <w:tc>
                <w:tcPr>
                  <w:tcW w:w="2587" w:type="dxa"/>
                  <w:vAlign w:val="center"/>
                </w:tcPr>
                <w:p w14:paraId="6A0F6517">
                  <w:pPr>
                    <w:jc w:val="center"/>
                    <w:rPr>
                      <w:color w:val="auto"/>
                    </w:rPr>
                  </w:pPr>
                  <w:r>
                    <w:rPr>
                      <w:rFonts w:hint="eastAsia"/>
                      <w:color w:val="auto"/>
                    </w:rPr>
                    <w:t>1.本项目位于羊街片区，为其他纸制品制造项目。</w:t>
                  </w:r>
                </w:p>
                <w:p w14:paraId="0175F31B">
                  <w:pPr>
                    <w:pStyle w:val="9"/>
                    <w:jc w:val="center"/>
                    <w:rPr>
                      <w:color w:val="auto"/>
                      <w:sz w:val="21"/>
                      <w:szCs w:val="21"/>
                    </w:rPr>
                  </w:pPr>
                  <w:r>
                    <w:rPr>
                      <w:rFonts w:hint="eastAsia"/>
                      <w:color w:val="auto"/>
                      <w:sz w:val="21"/>
                      <w:szCs w:val="21"/>
                    </w:rPr>
                    <w:t>2.本项目不属于造纸、印染等需水量大、生产废水不能实现循环回用不外排的企业。</w:t>
                  </w:r>
                </w:p>
              </w:tc>
              <w:tc>
                <w:tcPr>
                  <w:tcW w:w="517" w:type="dxa"/>
                  <w:vAlign w:val="center"/>
                </w:tcPr>
                <w:p w14:paraId="142B86E8">
                  <w:pPr>
                    <w:rPr>
                      <w:color w:val="auto"/>
                      <w:szCs w:val="21"/>
                    </w:rPr>
                  </w:pPr>
                  <w:r>
                    <w:rPr>
                      <w:rFonts w:hint="eastAsia"/>
                      <w:color w:val="auto"/>
                      <w:szCs w:val="21"/>
                    </w:rPr>
                    <w:t>符合</w:t>
                  </w:r>
                </w:p>
              </w:tc>
            </w:tr>
            <w:tr w14:paraId="37E26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dxa"/>
                  <w:vMerge w:val="continue"/>
                  <w:vAlign w:val="center"/>
                </w:tcPr>
                <w:p w14:paraId="2B2EF822">
                  <w:pPr>
                    <w:jc w:val="center"/>
                    <w:rPr>
                      <w:color w:val="auto"/>
                      <w:szCs w:val="21"/>
                    </w:rPr>
                  </w:pPr>
                </w:p>
              </w:tc>
              <w:tc>
                <w:tcPr>
                  <w:tcW w:w="772" w:type="dxa"/>
                  <w:vMerge w:val="continue"/>
                  <w:vAlign w:val="center"/>
                </w:tcPr>
                <w:p w14:paraId="3689C4AA">
                  <w:pPr>
                    <w:jc w:val="center"/>
                    <w:rPr>
                      <w:color w:val="auto"/>
                      <w:szCs w:val="21"/>
                    </w:rPr>
                  </w:pPr>
                </w:p>
              </w:tc>
              <w:tc>
                <w:tcPr>
                  <w:tcW w:w="517" w:type="dxa"/>
                  <w:vAlign w:val="center"/>
                </w:tcPr>
                <w:p w14:paraId="612D3A9F">
                  <w:pPr>
                    <w:jc w:val="center"/>
                    <w:rPr>
                      <w:color w:val="auto"/>
                      <w:szCs w:val="21"/>
                    </w:rPr>
                  </w:pPr>
                  <w:r>
                    <w:rPr>
                      <w:rFonts w:hint="eastAsia"/>
                      <w:color w:val="auto"/>
                      <w:szCs w:val="21"/>
                    </w:rPr>
                    <w:t>污染物排放管控</w:t>
                  </w:r>
                </w:p>
              </w:tc>
              <w:tc>
                <w:tcPr>
                  <w:tcW w:w="2854" w:type="dxa"/>
                  <w:vAlign w:val="center"/>
                </w:tcPr>
                <w:p w14:paraId="3A91D1A1">
                  <w:pPr>
                    <w:rPr>
                      <w:color w:val="auto"/>
                      <w:szCs w:val="21"/>
                    </w:rPr>
                  </w:pPr>
                  <w:r>
                    <w:rPr>
                      <w:rFonts w:hint="eastAsia"/>
                      <w:color w:val="auto"/>
                      <w:szCs w:val="21"/>
                    </w:rPr>
                    <w:t>1.主要指标二氧化硫、二氧化氮、可吸入颗粒物达到《环境空气质量标准》（GB3095-2012）Ⅱ级标准。</w:t>
                  </w:r>
                </w:p>
                <w:p w14:paraId="16C5C23A">
                  <w:pPr>
                    <w:rPr>
                      <w:color w:val="auto"/>
                      <w:szCs w:val="21"/>
                    </w:rPr>
                  </w:pPr>
                  <w:r>
                    <w:rPr>
                      <w:rFonts w:hint="eastAsia"/>
                      <w:color w:val="auto"/>
                      <w:szCs w:val="21"/>
                    </w:rPr>
                    <w:t>2.现状已发展成熟的煤磷盐化工企业及目前做到零排放的企业按现状方式排水，未来</w:t>
                  </w:r>
                  <w:r>
                    <w:rPr>
                      <w:rFonts w:hint="eastAsia"/>
                      <w:color w:val="auto"/>
                      <w:szCs w:val="21"/>
                      <w:lang w:eastAsia="zh-CN"/>
                    </w:rPr>
                    <w:t>入驻</w:t>
                  </w:r>
                  <w:r>
                    <w:rPr>
                      <w:rFonts w:hint="eastAsia"/>
                      <w:color w:val="auto"/>
                      <w:szCs w:val="21"/>
                    </w:rPr>
                    <w:t>企业生产废水由企业自行处理达标后循环回用不外排。</w:t>
                  </w:r>
                </w:p>
                <w:p w14:paraId="060873D0">
                  <w:pPr>
                    <w:rPr>
                      <w:color w:val="auto"/>
                      <w:szCs w:val="21"/>
                    </w:rPr>
                  </w:pPr>
                  <w:r>
                    <w:rPr>
                      <w:rFonts w:hint="eastAsia"/>
                      <w:color w:val="auto"/>
                      <w:szCs w:val="21"/>
                    </w:rPr>
                    <w:t>3.生活垃圾无害化处理率90%以上，工业固废处置利用率不小于95%。</w:t>
                  </w:r>
                </w:p>
              </w:tc>
              <w:tc>
                <w:tcPr>
                  <w:tcW w:w="2587" w:type="dxa"/>
                  <w:vAlign w:val="center"/>
                </w:tcPr>
                <w:p w14:paraId="4A33DA77">
                  <w:pPr>
                    <w:jc w:val="center"/>
                    <w:rPr>
                      <w:color w:val="auto"/>
                      <w:szCs w:val="21"/>
                    </w:rPr>
                  </w:pPr>
                  <w:r>
                    <w:rPr>
                      <w:rFonts w:hint="eastAsia"/>
                      <w:color w:val="auto"/>
                      <w:szCs w:val="21"/>
                    </w:rPr>
                    <w:t>1.根据《2022年度昆明市生态环境状况公报》，2022年寻甸县环境空气质量能达到《环境空气质量标准》（GB3095-2012）表1中二级标准要求。</w:t>
                  </w:r>
                </w:p>
                <w:p w14:paraId="14ED0D80">
                  <w:pPr>
                    <w:jc w:val="center"/>
                    <w:rPr>
                      <w:color w:val="auto"/>
                      <w:szCs w:val="21"/>
                    </w:rPr>
                  </w:pPr>
                  <w:r>
                    <w:rPr>
                      <w:rFonts w:hint="eastAsia"/>
                      <w:color w:val="auto"/>
                      <w:szCs w:val="21"/>
                    </w:rPr>
                    <w:t>2.项目无生产废水产生，生活污水经处理</w:t>
                  </w:r>
                  <w:r>
                    <w:rPr>
                      <w:color w:val="auto"/>
                      <w:szCs w:val="21"/>
                    </w:rPr>
                    <w:t>达《城市污水再生利用 城市杂用水水质》（GB/T18920-2020）中城市绿化、道路清扫、消防、建筑施工标准</w:t>
                  </w:r>
                  <w:r>
                    <w:rPr>
                      <w:rFonts w:hint="eastAsia"/>
                      <w:color w:val="auto"/>
                      <w:szCs w:val="21"/>
                    </w:rPr>
                    <w:t>后，回用于项目区绿化和道路洒水降尘。</w:t>
                  </w:r>
                </w:p>
                <w:p w14:paraId="0DF3E80B">
                  <w:pPr>
                    <w:jc w:val="center"/>
                    <w:rPr>
                      <w:color w:val="auto"/>
                      <w:szCs w:val="21"/>
                    </w:rPr>
                  </w:pPr>
                  <w:r>
                    <w:rPr>
                      <w:rFonts w:hint="eastAsia"/>
                      <w:color w:val="auto"/>
                      <w:szCs w:val="21"/>
                    </w:rPr>
                    <w:t>3.项目生活垃圾及工业固体废物100%合理处置。</w:t>
                  </w:r>
                </w:p>
              </w:tc>
              <w:tc>
                <w:tcPr>
                  <w:tcW w:w="517" w:type="dxa"/>
                  <w:vAlign w:val="center"/>
                </w:tcPr>
                <w:p w14:paraId="10E0CBE4">
                  <w:pPr>
                    <w:rPr>
                      <w:color w:val="auto"/>
                      <w:szCs w:val="21"/>
                    </w:rPr>
                  </w:pPr>
                  <w:r>
                    <w:rPr>
                      <w:rFonts w:hint="eastAsia"/>
                      <w:color w:val="auto"/>
                      <w:szCs w:val="21"/>
                    </w:rPr>
                    <w:t>符合</w:t>
                  </w:r>
                </w:p>
              </w:tc>
            </w:tr>
            <w:tr w14:paraId="66AB9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516" w:type="dxa"/>
                  <w:vMerge w:val="continue"/>
                  <w:vAlign w:val="center"/>
                </w:tcPr>
                <w:p w14:paraId="0901C88C">
                  <w:pPr>
                    <w:jc w:val="center"/>
                    <w:rPr>
                      <w:color w:val="auto"/>
                      <w:szCs w:val="21"/>
                    </w:rPr>
                  </w:pPr>
                </w:p>
              </w:tc>
              <w:tc>
                <w:tcPr>
                  <w:tcW w:w="772" w:type="dxa"/>
                  <w:vMerge w:val="continue"/>
                  <w:vAlign w:val="center"/>
                </w:tcPr>
                <w:p w14:paraId="39E70172">
                  <w:pPr>
                    <w:jc w:val="center"/>
                    <w:rPr>
                      <w:color w:val="auto"/>
                      <w:szCs w:val="21"/>
                    </w:rPr>
                  </w:pPr>
                </w:p>
              </w:tc>
              <w:tc>
                <w:tcPr>
                  <w:tcW w:w="517" w:type="dxa"/>
                  <w:vAlign w:val="center"/>
                </w:tcPr>
                <w:p w14:paraId="3445EA5D">
                  <w:pPr>
                    <w:jc w:val="center"/>
                    <w:rPr>
                      <w:color w:val="auto"/>
                      <w:szCs w:val="21"/>
                    </w:rPr>
                  </w:pPr>
                  <w:r>
                    <w:rPr>
                      <w:rFonts w:hint="eastAsia"/>
                      <w:color w:val="auto"/>
                      <w:szCs w:val="21"/>
                    </w:rPr>
                    <w:t>环境风险防控</w:t>
                  </w:r>
                </w:p>
              </w:tc>
              <w:tc>
                <w:tcPr>
                  <w:tcW w:w="2854" w:type="dxa"/>
                  <w:vAlign w:val="center"/>
                </w:tcPr>
                <w:p w14:paraId="44ACD02E">
                  <w:pPr>
                    <w:jc w:val="center"/>
                    <w:rPr>
                      <w:color w:val="auto"/>
                      <w:szCs w:val="21"/>
                    </w:rPr>
                  </w:pPr>
                  <w:r>
                    <w:rPr>
                      <w:rFonts w:hint="eastAsia"/>
                      <w:color w:val="auto"/>
                      <w:szCs w:val="21"/>
                    </w:rPr>
                    <w:t>1.组织编制环境风险应急预案，通过风险源的识别，制定不同风险源的应急处理处置方案，形成应对突发事故应急处理处置能力。</w:t>
                  </w:r>
                </w:p>
                <w:p w14:paraId="2C2308AD">
                  <w:pPr>
                    <w:jc w:val="center"/>
                    <w:rPr>
                      <w:color w:val="auto"/>
                      <w:szCs w:val="21"/>
                    </w:rPr>
                  </w:pPr>
                  <w:r>
                    <w:rPr>
                      <w:rFonts w:hint="eastAsia"/>
                      <w:color w:val="auto"/>
                      <w:szCs w:val="21"/>
                    </w:rPr>
                    <w:t>2.建设风险事故废水排放管道及处置池。</w:t>
                  </w:r>
                </w:p>
              </w:tc>
              <w:tc>
                <w:tcPr>
                  <w:tcW w:w="2587" w:type="dxa"/>
                  <w:vAlign w:val="center"/>
                </w:tcPr>
                <w:p w14:paraId="43CC6006">
                  <w:pPr>
                    <w:jc w:val="center"/>
                    <w:rPr>
                      <w:color w:val="auto"/>
                      <w:szCs w:val="21"/>
                    </w:rPr>
                  </w:pPr>
                  <w:r>
                    <w:rPr>
                      <w:rFonts w:hint="eastAsia"/>
                      <w:color w:val="auto"/>
                      <w:szCs w:val="21"/>
                    </w:rPr>
                    <w:t>项目建成后将继续完善相应的环保手续，制定突发环境事件应急预案，建设风险事故废水排放管道及处置池。</w:t>
                  </w:r>
                </w:p>
              </w:tc>
              <w:tc>
                <w:tcPr>
                  <w:tcW w:w="517" w:type="dxa"/>
                  <w:vAlign w:val="center"/>
                </w:tcPr>
                <w:p w14:paraId="42EE01C6">
                  <w:pPr>
                    <w:rPr>
                      <w:color w:val="auto"/>
                      <w:szCs w:val="21"/>
                    </w:rPr>
                  </w:pPr>
                  <w:r>
                    <w:rPr>
                      <w:rFonts w:hint="eastAsia"/>
                      <w:color w:val="auto"/>
                      <w:szCs w:val="21"/>
                    </w:rPr>
                    <w:t>符合</w:t>
                  </w:r>
                </w:p>
              </w:tc>
            </w:tr>
            <w:tr w14:paraId="2EFC7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516" w:type="dxa"/>
                  <w:vMerge w:val="continue"/>
                  <w:vAlign w:val="center"/>
                </w:tcPr>
                <w:p w14:paraId="238F1F29">
                  <w:pPr>
                    <w:jc w:val="center"/>
                    <w:rPr>
                      <w:color w:val="auto"/>
                    </w:rPr>
                  </w:pPr>
                </w:p>
              </w:tc>
              <w:tc>
                <w:tcPr>
                  <w:tcW w:w="772" w:type="dxa"/>
                  <w:vMerge w:val="continue"/>
                  <w:vAlign w:val="center"/>
                </w:tcPr>
                <w:p w14:paraId="2F8A3FC6">
                  <w:pPr>
                    <w:jc w:val="center"/>
                    <w:rPr>
                      <w:color w:val="auto"/>
                    </w:rPr>
                  </w:pPr>
                </w:p>
              </w:tc>
              <w:tc>
                <w:tcPr>
                  <w:tcW w:w="517" w:type="dxa"/>
                  <w:vAlign w:val="center"/>
                </w:tcPr>
                <w:p w14:paraId="0B101C7B">
                  <w:pPr>
                    <w:jc w:val="center"/>
                    <w:rPr>
                      <w:color w:val="auto"/>
                      <w:szCs w:val="21"/>
                    </w:rPr>
                  </w:pPr>
                  <w:r>
                    <w:rPr>
                      <w:rFonts w:hint="eastAsia"/>
                      <w:color w:val="auto"/>
                      <w:szCs w:val="21"/>
                    </w:rPr>
                    <w:t>资源开发效率要求</w:t>
                  </w:r>
                </w:p>
              </w:tc>
              <w:tc>
                <w:tcPr>
                  <w:tcW w:w="2854" w:type="dxa"/>
                  <w:vAlign w:val="center"/>
                </w:tcPr>
                <w:p w14:paraId="409B17A6">
                  <w:pPr>
                    <w:jc w:val="center"/>
                    <w:rPr>
                      <w:color w:val="auto"/>
                      <w:szCs w:val="21"/>
                    </w:rPr>
                  </w:pPr>
                  <w:r>
                    <w:rPr>
                      <w:rFonts w:hint="eastAsia"/>
                      <w:color w:val="auto"/>
                      <w:szCs w:val="21"/>
                    </w:rPr>
                    <w:t>1.清洁生产水平不低于国家清洁生产标准规定的国内先进水平。</w:t>
                  </w:r>
                </w:p>
                <w:p w14:paraId="7F805A47">
                  <w:pPr>
                    <w:jc w:val="center"/>
                    <w:rPr>
                      <w:color w:val="auto"/>
                      <w:szCs w:val="21"/>
                    </w:rPr>
                  </w:pPr>
                  <w:r>
                    <w:rPr>
                      <w:rFonts w:hint="eastAsia"/>
                      <w:color w:val="auto"/>
                      <w:szCs w:val="21"/>
                    </w:rPr>
                    <w:t>2.工业固废综合利用率≥70%，再生水回用率100%，工业用水重复利用率100%，单位工业增加值综合耗能≤0.5吨标煤/万元。</w:t>
                  </w:r>
                </w:p>
              </w:tc>
              <w:tc>
                <w:tcPr>
                  <w:tcW w:w="2587" w:type="dxa"/>
                  <w:vAlign w:val="center"/>
                </w:tcPr>
                <w:p w14:paraId="3F5E39C7">
                  <w:pPr>
                    <w:jc w:val="center"/>
                    <w:rPr>
                      <w:color w:val="auto"/>
                      <w:szCs w:val="21"/>
                    </w:rPr>
                  </w:pPr>
                  <w:r>
                    <w:rPr>
                      <w:rFonts w:hint="eastAsia"/>
                      <w:color w:val="auto"/>
                      <w:szCs w:val="21"/>
                    </w:rPr>
                    <w:t>本项目</w:t>
                  </w:r>
                  <w:r>
                    <w:rPr>
                      <w:rFonts w:hint="eastAsia"/>
                      <w:color w:val="auto"/>
                    </w:rPr>
                    <w:t>为其他纸制品制造项目；清洁生产水平不低于</w:t>
                  </w:r>
                  <w:r>
                    <w:rPr>
                      <w:rFonts w:hint="eastAsia"/>
                      <w:color w:val="auto"/>
                      <w:szCs w:val="21"/>
                    </w:rPr>
                    <w:t>国家清洁生产标准规定的国内先进水平。工业固废均经妥善处置，处置率达100%，综合利用率≥70%，项目无生产废水产生，生活污水经处理</w:t>
                  </w:r>
                  <w:r>
                    <w:rPr>
                      <w:color w:val="auto"/>
                      <w:szCs w:val="21"/>
                    </w:rPr>
                    <w:t>达《城市污水再生利用 城市杂用水水质》（GB/T18920-2020）中城市绿化、道路清扫、消防、建筑施工标准</w:t>
                  </w:r>
                  <w:r>
                    <w:rPr>
                      <w:rFonts w:hint="eastAsia"/>
                      <w:color w:val="auto"/>
                      <w:szCs w:val="21"/>
                    </w:rPr>
                    <w:t>后，回用于项目区绿化和道路洒水降尘。</w:t>
                  </w:r>
                </w:p>
              </w:tc>
              <w:tc>
                <w:tcPr>
                  <w:tcW w:w="517" w:type="dxa"/>
                  <w:vAlign w:val="center"/>
                </w:tcPr>
                <w:p w14:paraId="70357CFB">
                  <w:pPr>
                    <w:rPr>
                      <w:color w:val="auto"/>
                      <w:szCs w:val="21"/>
                    </w:rPr>
                  </w:pPr>
                  <w:r>
                    <w:rPr>
                      <w:rFonts w:hint="eastAsia"/>
                      <w:color w:val="auto"/>
                      <w:szCs w:val="21"/>
                    </w:rPr>
                    <w:t>符合</w:t>
                  </w:r>
                </w:p>
              </w:tc>
            </w:tr>
          </w:tbl>
          <w:p w14:paraId="2F7DF588">
            <w:pPr>
              <w:adjustRightInd w:val="0"/>
              <w:snapToGrid w:val="0"/>
              <w:spacing w:line="360" w:lineRule="auto"/>
              <w:ind w:firstLine="482" w:firstLineChars="200"/>
              <w:rPr>
                <w:b/>
                <w:bCs/>
                <w:color w:val="auto"/>
                <w:sz w:val="24"/>
              </w:rPr>
            </w:pPr>
            <w:r>
              <w:rPr>
                <w:rFonts w:hint="eastAsia"/>
                <w:b/>
                <w:bCs/>
                <w:color w:val="auto"/>
                <w:sz w:val="24"/>
              </w:rPr>
              <w:t>3、</w:t>
            </w:r>
            <w:r>
              <w:rPr>
                <w:b/>
                <w:bCs/>
                <w:color w:val="auto"/>
                <w:sz w:val="24"/>
              </w:rPr>
              <w:t>产业政策的符合性分析</w:t>
            </w:r>
          </w:p>
          <w:p w14:paraId="3DC69605">
            <w:pPr>
              <w:adjustRightInd w:val="0"/>
              <w:snapToGrid w:val="0"/>
              <w:spacing w:line="360" w:lineRule="auto"/>
              <w:ind w:firstLine="480" w:firstLineChars="200"/>
              <w:rPr>
                <w:color w:val="auto"/>
                <w:sz w:val="24"/>
              </w:rPr>
            </w:pPr>
            <w:r>
              <w:rPr>
                <w:color w:val="auto"/>
                <w:sz w:val="24"/>
              </w:rPr>
              <w:t>本项目为</w:t>
            </w:r>
            <w:r>
              <w:rPr>
                <w:rFonts w:hint="eastAsia"/>
                <w:color w:val="auto"/>
                <w:sz w:val="24"/>
              </w:rPr>
              <w:t>其他</w:t>
            </w:r>
            <w:r>
              <w:rPr>
                <w:color w:val="auto"/>
                <w:sz w:val="24"/>
              </w:rPr>
              <w:t>纸制品制造项目，根据《产业结构调整指导目录（2019年本</w:t>
            </w:r>
            <w:r>
              <w:rPr>
                <w:rFonts w:hint="eastAsia"/>
                <w:color w:val="auto"/>
                <w:sz w:val="24"/>
              </w:rPr>
              <w:t>，2021年版</w:t>
            </w:r>
            <w:r>
              <w:rPr>
                <w:color w:val="auto"/>
                <w:sz w:val="24"/>
              </w:rPr>
              <w:t>）》（国家发改委第29号令，2020年1月1日起实施）</w:t>
            </w:r>
            <w:r>
              <w:rPr>
                <w:rFonts w:hint="eastAsia"/>
                <w:color w:val="auto"/>
                <w:sz w:val="24"/>
              </w:rPr>
              <w:t>，本项目不属于</w:t>
            </w:r>
            <w:r>
              <w:rPr>
                <w:color w:val="auto"/>
                <w:sz w:val="24"/>
              </w:rPr>
              <w:t>鼓励</w:t>
            </w:r>
            <w:r>
              <w:rPr>
                <w:rFonts w:hint="eastAsia"/>
                <w:color w:val="auto"/>
                <w:sz w:val="24"/>
              </w:rPr>
              <w:t>类</w:t>
            </w:r>
            <w:r>
              <w:rPr>
                <w:color w:val="auto"/>
                <w:sz w:val="24"/>
              </w:rPr>
              <w:t>、限制</w:t>
            </w:r>
            <w:r>
              <w:rPr>
                <w:rFonts w:hint="eastAsia"/>
                <w:color w:val="auto"/>
                <w:sz w:val="24"/>
              </w:rPr>
              <w:t>类</w:t>
            </w:r>
            <w:r>
              <w:rPr>
                <w:color w:val="auto"/>
                <w:sz w:val="24"/>
              </w:rPr>
              <w:t>和淘汰</w:t>
            </w:r>
            <w:r>
              <w:rPr>
                <w:rFonts w:hint="eastAsia"/>
                <w:color w:val="auto"/>
                <w:sz w:val="24"/>
              </w:rPr>
              <w:t>，项目属于允许类，故项目</w:t>
            </w:r>
            <w:r>
              <w:rPr>
                <w:color w:val="auto"/>
                <w:sz w:val="24"/>
              </w:rPr>
              <w:t>符合国家相关产业政策。</w:t>
            </w:r>
          </w:p>
          <w:p w14:paraId="1B67D5EF">
            <w:pPr>
              <w:spacing w:line="360" w:lineRule="auto"/>
              <w:ind w:firstLine="482" w:firstLineChars="200"/>
              <w:rPr>
                <w:b/>
                <w:bCs/>
                <w:color w:val="auto"/>
                <w:sz w:val="24"/>
              </w:rPr>
            </w:pPr>
            <w:r>
              <w:rPr>
                <w:rFonts w:hint="eastAsia"/>
                <w:b/>
                <w:bCs/>
                <w:color w:val="auto"/>
                <w:sz w:val="24"/>
              </w:rPr>
              <w:t>4、</w:t>
            </w:r>
            <w:r>
              <w:rPr>
                <w:b/>
                <w:bCs/>
                <w:color w:val="auto"/>
                <w:sz w:val="24"/>
              </w:rPr>
              <w:t>与《云南省牛栏江保护条例》符合性分析</w:t>
            </w:r>
          </w:p>
          <w:p w14:paraId="40B37AA5">
            <w:pPr>
              <w:adjustRightInd w:val="0"/>
              <w:snapToGrid w:val="0"/>
              <w:spacing w:line="360" w:lineRule="auto"/>
              <w:ind w:firstLine="480" w:firstLineChars="200"/>
              <w:rPr>
                <w:color w:val="auto"/>
                <w:sz w:val="24"/>
              </w:rPr>
            </w:pPr>
            <w:r>
              <w:rPr>
                <w:color w:val="auto"/>
                <w:sz w:val="24"/>
              </w:rPr>
              <w:t>根据《云南省牛栏江保护条例》牛栏江流域上游保护区划分为水源保护核心区、重点污染控制区和重点水源涵养区。</w:t>
            </w:r>
          </w:p>
          <w:p w14:paraId="68152AD7">
            <w:pPr>
              <w:adjustRightInd w:val="0"/>
              <w:snapToGrid w:val="0"/>
              <w:spacing w:line="360" w:lineRule="auto"/>
              <w:ind w:firstLine="480" w:firstLineChars="200"/>
              <w:rPr>
                <w:color w:val="auto"/>
                <w:sz w:val="24"/>
              </w:rPr>
            </w:pPr>
            <w:r>
              <w:rPr>
                <w:color w:val="auto"/>
                <w:sz w:val="24"/>
              </w:rPr>
              <w:t>（1）水源保护核心区包括德泽水库库区和德泽水库以上牛栏江干流区。德泽水库库区为德泽水库正常蓄水位1790m水面及沿岸外延2000m的范围，区域范围超过一级山脊线的，按照一级山脊线划定；德泽水库以上牛栏江干流区指德泽水库以上干流（包括干流源头矣纳岔口至嘉丽泽对龙河河段）水域及两岸外延1000m的范围，区域范围超过一级山脊线的，按照一级山脊线划定。</w:t>
            </w:r>
          </w:p>
          <w:p w14:paraId="016C62A6">
            <w:pPr>
              <w:adjustRightInd w:val="0"/>
              <w:snapToGrid w:val="0"/>
              <w:spacing w:line="360" w:lineRule="auto"/>
              <w:ind w:firstLine="480" w:firstLineChars="200"/>
              <w:rPr>
                <w:color w:val="auto"/>
                <w:sz w:val="24"/>
              </w:rPr>
            </w:pPr>
            <w:r>
              <w:rPr>
                <w:color w:val="auto"/>
                <w:sz w:val="24"/>
              </w:rPr>
              <w:t>（2）重点污染控制区为水源保护核心区以外，流域范围内的坝区以及花庄河、果马河、普沙河、弥良河、对龙河、杨林河、匡郎河、前进河、马龙河水域及两岸外延3000m的区域，区域范围超过一级山脊线的，按照一级山脊线划定。</w:t>
            </w:r>
          </w:p>
          <w:p w14:paraId="456F78D5">
            <w:pPr>
              <w:adjustRightInd w:val="0"/>
              <w:snapToGrid w:val="0"/>
              <w:spacing w:line="360" w:lineRule="auto"/>
              <w:ind w:firstLine="480" w:firstLineChars="200"/>
              <w:rPr>
                <w:color w:val="auto"/>
                <w:sz w:val="24"/>
              </w:rPr>
            </w:pPr>
            <w:r>
              <w:rPr>
                <w:color w:val="auto"/>
                <w:sz w:val="24"/>
              </w:rPr>
              <w:t>（3）重点水源涵养区为流域范围内除水源保护核心区、重点污染控制区以外的集水区域。</w:t>
            </w:r>
          </w:p>
          <w:p w14:paraId="1F40308B">
            <w:pPr>
              <w:adjustRightInd w:val="0"/>
              <w:snapToGrid w:val="0"/>
              <w:spacing w:line="360" w:lineRule="auto"/>
              <w:ind w:firstLine="480" w:firstLineChars="200"/>
              <w:rPr>
                <w:color w:val="auto"/>
                <w:sz w:val="24"/>
              </w:rPr>
            </w:pPr>
            <w:r>
              <w:rPr>
                <w:color w:val="auto"/>
                <w:sz w:val="24"/>
              </w:rPr>
              <w:t>本项目位于云南省昆明市寻甸特色产业园区</w:t>
            </w:r>
            <w:r>
              <w:rPr>
                <w:rFonts w:hint="eastAsia"/>
                <w:color w:val="auto"/>
                <w:sz w:val="24"/>
              </w:rPr>
              <w:t>羊街</w:t>
            </w:r>
            <w:r>
              <w:rPr>
                <w:color w:val="auto"/>
                <w:sz w:val="24"/>
              </w:rPr>
              <w:t>片区，根据牛栏江水系功能规划图可知，项目区属于重点污染控制区。重点污染控制区需满足重点水源涵养区禁止的行为及重点污染控制区的禁止行为。根据《云南省牛栏江保护条例》中第三十二、三十三条中规定的禁止行为分析项目选址符合性。</w:t>
            </w:r>
          </w:p>
          <w:p w14:paraId="6ED9FBDE">
            <w:pPr>
              <w:adjustRightInd w:val="0"/>
              <w:snapToGrid w:val="0"/>
              <w:jc w:val="center"/>
              <w:rPr>
                <w:rFonts w:cs="黑体"/>
                <w:b/>
                <w:bCs/>
                <w:color w:val="auto"/>
              </w:rPr>
            </w:pPr>
            <w:r>
              <w:rPr>
                <w:rFonts w:hint="eastAsia" w:cs="黑体"/>
                <w:b/>
                <w:bCs/>
                <w:color w:val="auto"/>
              </w:rPr>
              <w:t>表1-6  建设内容与《云南省牛栏江保护条例》符合性分析</w:t>
            </w:r>
          </w:p>
          <w:tbl>
            <w:tblPr>
              <w:tblStyle w:val="30"/>
              <w:tblW w:w="7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2643"/>
              <w:gridCol w:w="3172"/>
              <w:gridCol w:w="830"/>
            </w:tblGrid>
            <w:tr w14:paraId="5DD02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vAlign w:val="center"/>
                </w:tcPr>
                <w:p w14:paraId="6ECD929C">
                  <w:pPr>
                    <w:pStyle w:val="9"/>
                    <w:widowControl w:val="0"/>
                    <w:adjustRightInd w:val="0"/>
                    <w:spacing w:before="0" w:after="0" w:line="240" w:lineRule="auto"/>
                    <w:ind w:right="0"/>
                    <w:jc w:val="center"/>
                    <w:rPr>
                      <w:color w:val="auto"/>
                      <w:sz w:val="21"/>
                      <w:szCs w:val="21"/>
                    </w:rPr>
                  </w:pPr>
                  <w:r>
                    <w:rPr>
                      <w:color w:val="auto"/>
                      <w:sz w:val="21"/>
                      <w:szCs w:val="21"/>
                    </w:rPr>
                    <w:t>保护区划分</w:t>
                  </w:r>
                </w:p>
              </w:tc>
              <w:tc>
                <w:tcPr>
                  <w:tcW w:w="2643" w:type="dxa"/>
                  <w:vAlign w:val="center"/>
                </w:tcPr>
                <w:p w14:paraId="1B7FAE55">
                  <w:pPr>
                    <w:pStyle w:val="9"/>
                    <w:widowControl w:val="0"/>
                    <w:adjustRightInd w:val="0"/>
                    <w:spacing w:before="0" w:after="0" w:line="240" w:lineRule="auto"/>
                    <w:ind w:right="0"/>
                    <w:jc w:val="center"/>
                    <w:rPr>
                      <w:color w:val="auto"/>
                      <w:sz w:val="21"/>
                      <w:szCs w:val="21"/>
                    </w:rPr>
                  </w:pPr>
                  <w:r>
                    <w:rPr>
                      <w:color w:val="auto"/>
                      <w:sz w:val="21"/>
                      <w:szCs w:val="21"/>
                    </w:rPr>
                    <w:t>禁止行为</w:t>
                  </w:r>
                </w:p>
              </w:tc>
              <w:tc>
                <w:tcPr>
                  <w:tcW w:w="3172" w:type="dxa"/>
                  <w:vAlign w:val="center"/>
                </w:tcPr>
                <w:p w14:paraId="7300748D">
                  <w:pPr>
                    <w:pStyle w:val="9"/>
                    <w:widowControl w:val="0"/>
                    <w:adjustRightInd w:val="0"/>
                    <w:spacing w:before="0" w:after="0" w:line="240" w:lineRule="auto"/>
                    <w:ind w:right="0"/>
                    <w:jc w:val="center"/>
                    <w:rPr>
                      <w:color w:val="auto"/>
                      <w:sz w:val="21"/>
                      <w:szCs w:val="21"/>
                    </w:rPr>
                  </w:pPr>
                  <w:r>
                    <w:rPr>
                      <w:color w:val="auto"/>
                      <w:sz w:val="21"/>
                      <w:szCs w:val="21"/>
                    </w:rPr>
                    <w:t>建设内容</w:t>
                  </w:r>
                </w:p>
              </w:tc>
              <w:tc>
                <w:tcPr>
                  <w:tcW w:w="830" w:type="dxa"/>
                  <w:vAlign w:val="center"/>
                </w:tcPr>
                <w:p w14:paraId="6AEF69CC">
                  <w:pPr>
                    <w:pStyle w:val="9"/>
                    <w:widowControl w:val="0"/>
                    <w:adjustRightInd w:val="0"/>
                    <w:spacing w:before="0" w:after="0" w:line="240" w:lineRule="auto"/>
                    <w:ind w:right="0"/>
                    <w:jc w:val="center"/>
                    <w:rPr>
                      <w:color w:val="auto"/>
                      <w:sz w:val="21"/>
                      <w:szCs w:val="21"/>
                    </w:rPr>
                  </w:pPr>
                  <w:r>
                    <w:rPr>
                      <w:color w:val="auto"/>
                      <w:sz w:val="21"/>
                      <w:szCs w:val="21"/>
                    </w:rPr>
                    <w:t>符合性</w:t>
                  </w:r>
                </w:p>
              </w:tc>
            </w:tr>
            <w:tr w14:paraId="569DC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vMerge w:val="restart"/>
                  <w:vAlign w:val="center"/>
                </w:tcPr>
                <w:p w14:paraId="6EBFB489">
                  <w:pPr>
                    <w:pStyle w:val="9"/>
                    <w:widowControl w:val="0"/>
                    <w:adjustRightInd w:val="0"/>
                    <w:spacing w:before="0" w:after="0" w:line="240" w:lineRule="auto"/>
                    <w:ind w:right="0"/>
                    <w:jc w:val="center"/>
                    <w:rPr>
                      <w:color w:val="auto"/>
                      <w:sz w:val="21"/>
                      <w:szCs w:val="21"/>
                    </w:rPr>
                  </w:pPr>
                  <w:r>
                    <w:rPr>
                      <w:color w:val="auto"/>
                      <w:sz w:val="21"/>
                      <w:szCs w:val="21"/>
                      <w:shd w:val="clear" w:color="auto" w:fill="FFFFFF"/>
                    </w:rPr>
                    <w:t>重点污染控制区内除重点水源涵养区禁止的行为外的其他禁止行为</w:t>
                  </w:r>
                </w:p>
              </w:tc>
              <w:tc>
                <w:tcPr>
                  <w:tcW w:w="2643" w:type="dxa"/>
                  <w:vAlign w:val="center"/>
                </w:tcPr>
                <w:p w14:paraId="38360338">
                  <w:pPr>
                    <w:pStyle w:val="9"/>
                    <w:widowControl w:val="0"/>
                    <w:adjustRightInd w:val="0"/>
                    <w:spacing w:before="0" w:after="0" w:line="240" w:lineRule="auto"/>
                    <w:ind w:right="0"/>
                    <w:jc w:val="center"/>
                    <w:rPr>
                      <w:color w:val="auto"/>
                      <w:sz w:val="21"/>
                      <w:szCs w:val="21"/>
                    </w:rPr>
                  </w:pPr>
                  <w:r>
                    <w:rPr>
                      <w:color w:val="auto"/>
                      <w:sz w:val="21"/>
                      <w:szCs w:val="21"/>
                    </w:rPr>
                    <w:t>（一）新建、扩建工业园区；</w:t>
                  </w:r>
                </w:p>
              </w:tc>
              <w:tc>
                <w:tcPr>
                  <w:tcW w:w="3172" w:type="dxa"/>
                  <w:vAlign w:val="center"/>
                </w:tcPr>
                <w:p w14:paraId="08F1069F">
                  <w:pPr>
                    <w:pStyle w:val="9"/>
                    <w:widowControl w:val="0"/>
                    <w:adjustRightInd w:val="0"/>
                    <w:spacing w:before="0" w:after="0" w:line="240" w:lineRule="auto"/>
                    <w:ind w:right="0"/>
                    <w:jc w:val="center"/>
                    <w:rPr>
                      <w:color w:val="auto"/>
                      <w:sz w:val="21"/>
                      <w:szCs w:val="21"/>
                    </w:rPr>
                  </w:pPr>
                  <w:r>
                    <w:rPr>
                      <w:rFonts w:hint="eastAsia"/>
                      <w:color w:val="auto"/>
                      <w:sz w:val="21"/>
                      <w:szCs w:val="21"/>
                    </w:rPr>
                    <w:t>该项目不涉及。</w:t>
                  </w:r>
                </w:p>
              </w:tc>
              <w:tc>
                <w:tcPr>
                  <w:tcW w:w="830" w:type="dxa"/>
                  <w:vAlign w:val="center"/>
                </w:tcPr>
                <w:p w14:paraId="644EDB4B">
                  <w:pPr>
                    <w:pStyle w:val="9"/>
                    <w:widowControl w:val="0"/>
                    <w:adjustRightInd w:val="0"/>
                    <w:spacing w:before="0" w:after="0" w:line="240" w:lineRule="auto"/>
                    <w:ind w:right="0"/>
                    <w:jc w:val="center"/>
                    <w:rPr>
                      <w:color w:val="auto"/>
                      <w:sz w:val="21"/>
                      <w:szCs w:val="21"/>
                    </w:rPr>
                  </w:pPr>
                  <w:r>
                    <w:rPr>
                      <w:color w:val="auto"/>
                      <w:sz w:val="21"/>
                      <w:szCs w:val="21"/>
                    </w:rPr>
                    <w:t>符合</w:t>
                  </w:r>
                </w:p>
              </w:tc>
            </w:tr>
            <w:tr w14:paraId="62D33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vMerge w:val="continue"/>
                  <w:vAlign w:val="center"/>
                </w:tcPr>
                <w:p w14:paraId="427DFCB6">
                  <w:pPr>
                    <w:pStyle w:val="9"/>
                    <w:widowControl w:val="0"/>
                    <w:adjustRightInd w:val="0"/>
                    <w:spacing w:before="0" w:after="0" w:line="240" w:lineRule="auto"/>
                    <w:ind w:right="0"/>
                    <w:jc w:val="center"/>
                    <w:rPr>
                      <w:color w:val="auto"/>
                      <w:sz w:val="21"/>
                      <w:szCs w:val="21"/>
                    </w:rPr>
                  </w:pPr>
                </w:p>
              </w:tc>
              <w:tc>
                <w:tcPr>
                  <w:tcW w:w="2643" w:type="dxa"/>
                  <w:vAlign w:val="center"/>
                </w:tcPr>
                <w:p w14:paraId="0A596C3F">
                  <w:pPr>
                    <w:pStyle w:val="9"/>
                    <w:widowControl w:val="0"/>
                    <w:adjustRightInd w:val="0"/>
                    <w:spacing w:before="0" w:after="0" w:line="240" w:lineRule="auto"/>
                    <w:ind w:right="0"/>
                    <w:jc w:val="center"/>
                    <w:rPr>
                      <w:color w:val="auto"/>
                      <w:sz w:val="21"/>
                      <w:szCs w:val="21"/>
                    </w:rPr>
                  </w:pPr>
                  <w:r>
                    <w:rPr>
                      <w:color w:val="auto"/>
                      <w:sz w:val="21"/>
                      <w:szCs w:val="21"/>
                    </w:rPr>
                    <w:t>（二）新建、扩建重点水污染物排放的工业项目；</w:t>
                  </w:r>
                </w:p>
              </w:tc>
              <w:tc>
                <w:tcPr>
                  <w:tcW w:w="3172" w:type="dxa"/>
                  <w:vAlign w:val="center"/>
                </w:tcPr>
                <w:p w14:paraId="74DB6972">
                  <w:pPr>
                    <w:pStyle w:val="9"/>
                    <w:widowControl w:val="0"/>
                    <w:adjustRightInd w:val="0"/>
                    <w:spacing w:before="0" w:after="0" w:line="240" w:lineRule="auto"/>
                    <w:ind w:right="0"/>
                    <w:jc w:val="center"/>
                    <w:rPr>
                      <w:color w:val="auto"/>
                      <w:sz w:val="21"/>
                      <w:szCs w:val="21"/>
                    </w:rPr>
                  </w:pPr>
                  <w:r>
                    <w:rPr>
                      <w:color w:val="auto"/>
                      <w:sz w:val="21"/>
                      <w:szCs w:val="21"/>
                    </w:rPr>
                    <w:t>项目废水不外排。</w:t>
                  </w:r>
                </w:p>
              </w:tc>
              <w:tc>
                <w:tcPr>
                  <w:tcW w:w="830" w:type="dxa"/>
                  <w:vAlign w:val="center"/>
                </w:tcPr>
                <w:p w14:paraId="04DB60AF">
                  <w:pPr>
                    <w:pStyle w:val="9"/>
                    <w:widowControl w:val="0"/>
                    <w:adjustRightInd w:val="0"/>
                    <w:spacing w:before="0" w:after="0" w:line="240" w:lineRule="auto"/>
                    <w:ind w:right="0"/>
                    <w:jc w:val="center"/>
                    <w:rPr>
                      <w:color w:val="auto"/>
                      <w:sz w:val="21"/>
                      <w:szCs w:val="21"/>
                    </w:rPr>
                  </w:pPr>
                  <w:r>
                    <w:rPr>
                      <w:color w:val="auto"/>
                      <w:sz w:val="21"/>
                      <w:szCs w:val="21"/>
                    </w:rPr>
                    <w:t>符合</w:t>
                  </w:r>
                </w:p>
              </w:tc>
            </w:tr>
            <w:tr w14:paraId="543CE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vMerge w:val="continue"/>
                  <w:vAlign w:val="center"/>
                </w:tcPr>
                <w:p w14:paraId="066B0A8B">
                  <w:pPr>
                    <w:pStyle w:val="9"/>
                    <w:widowControl w:val="0"/>
                    <w:adjustRightInd w:val="0"/>
                    <w:spacing w:before="0" w:after="0" w:line="240" w:lineRule="auto"/>
                    <w:ind w:right="0"/>
                    <w:jc w:val="center"/>
                    <w:rPr>
                      <w:color w:val="auto"/>
                      <w:sz w:val="21"/>
                      <w:szCs w:val="21"/>
                    </w:rPr>
                  </w:pPr>
                </w:p>
              </w:tc>
              <w:tc>
                <w:tcPr>
                  <w:tcW w:w="2643" w:type="dxa"/>
                  <w:vAlign w:val="center"/>
                </w:tcPr>
                <w:p w14:paraId="016AFD96">
                  <w:pPr>
                    <w:pStyle w:val="9"/>
                    <w:widowControl w:val="0"/>
                    <w:adjustRightInd w:val="0"/>
                    <w:spacing w:before="0" w:after="0" w:line="240" w:lineRule="auto"/>
                    <w:ind w:right="0"/>
                    <w:jc w:val="center"/>
                    <w:rPr>
                      <w:color w:val="auto"/>
                      <w:sz w:val="21"/>
                      <w:szCs w:val="21"/>
                    </w:rPr>
                  </w:pPr>
                  <w:r>
                    <w:rPr>
                      <w:color w:val="auto"/>
                      <w:sz w:val="21"/>
                      <w:szCs w:val="21"/>
                    </w:rPr>
                    <w:t>（三）新建、改建、扩建经营性陵园、公墓。</w:t>
                  </w:r>
                </w:p>
              </w:tc>
              <w:tc>
                <w:tcPr>
                  <w:tcW w:w="3172" w:type="dxa"/>
                  <w:vAlign w:val="center"/>
                </w:tcPr>
                <w:p w14:paraId="1FC351F7">
                  <w:pPr>
                    <w:pStyle w:val="9"/>
                    <w:widowControl w:val="0"/>
                    <w:adjustRightInd w:val="0"/>
                    <w:spacing w:before="0" w:after="0" w:line="240" w:lineRule="auto"/>
                    <w:ind w:right="0"/>
                    <w:jc w:val="center"/>
                    <w:rPr>
                      <w:color w:val="auto"/>
                      <w:sz w:val="21"/>
                      <w:szCs w:val="21"/>
                    </w:rPr>
                  </w:pPr>
                  <w:r>
                    <w:rPr>
                      <w:rFonts w:hint="eastAsia"/>
                      <w:color w:val="auto"/>
                      <w:sz w:val="21"/>
                      <w:szCs w:val="21"/>
                    </w:rPr>
                    <w:t>该项目不涉及</w:t>
                  </w:r>
                  <w:r>
                    <w:rPr>
                      <w:color w:val="auto"/>
                      <w:sz w:val="21"/>
                      <w:szCs w:val="21"/>
                    </w:rPr>
                    <w:t>营性陵园、公墓</w:t>
                  </w:r>
                  <w:r>
                    <w:rPr>
                      <w:rFonts w:hint="eastAsia"/>
                      <w:color w:val="auto"/>
                      <w:sz w:val="21"/>
                      <w:szCs w:val="21"/>
                    </w:rPr>
                    <w:t>。</w:t>
                  </w:r>
                </w:p>
              </w:tc>
              <w:tc>
                <w:tcPr>
                  <w:tcW w:w="830" w:type="dxa"/>
                  <w:vAlign w:val="center"/>
                </w:tcPr>
                <w:p w14:paraId="57EC2494">
                  <w:pPr>
                    <w:pStyle w:val="9"/>
                    <w:widowControl w:val="0"/>
                    <w:adjustRightInd w:val="0"/>
                    <w:spacing w:before="0" w:after="0" w:line="240" w:lineRule="auto"/>
                    <w:ind w:right="0"/>
                    <w:jc w:val="center"/>
                    <w:rPr>
                      <w:color w:val="auto"/>
                      <w:sz w:val="21"/>
                      <w:szCs w:val="21"/>
                    </w:rPr>
                  </w:pPr>
                  <w:r>
                    <w:rPr>
                      <w:color w:val="auto"/>
                      <w:sz w:val="21"/>
                      <w:szCs w:val="21"/>
                    </w:rPr>
                    <w:t>符合</w:t>
                  </w:r>
                </w:p>
              </w:tc>
            </w:tr>
            <w:tr w14:paraId="76D69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vMerge w:val="restart"/>
                  <w:vAlign w:val="center"/>
                </w:tcPr>
                <w:p w14:paraId="486C1744">
                  <w:pPr>
                    <w:pStyle w:val="9"/>
                    <w:adjustRightInd w:val="0"/>
                    <w:spacing w:after="0"/>
                    <w:jc w:val="center"/>
                    <w:rPr>
                      <w:color w:val="auto"/>
                      <w:kern w:val="2"/>
                      <w:sz w:val="21"/>
                      <w:szCs w:val="21"/>
                    </w:rPr>
                  </w:pPr>
                  <w:r>
                    <w:rPr>
                      <w:color w:val="auto"/>
                      <w:szCs w:val="21"/>
                    </w:rPr>
                    <w:t>重点水源涵养区内禁止下列行为</w:t>
                  </w:r>
                </w:p>
              </w:tc>
              <w:tc>
                <w:tcPr>
                  <w:tcW w:w="2643" w:type="dxa"/>
                  <w:vAlign w:val="center"/>
                </w:tcPr>
                <w:p w14:paraId="2846C723">
                  <w:pPr>
                    <w:pStyle w:val="9"/>
                    <w:widowControl w:val="0"/>
                    <w:adjustRightInd w:val="0"/>
                    <w:spacing w:before="0" w:after="0" w:line="240" w:lineRule="auto"/>
                    <w:ind w:right="0"/>
                    <w:jc w:val="center"/>
                    <w:rPr>
                      <w:color w:val="auto"/>
                      <w:sz w:val="21"/>
                      <w:szCs w:val="21"/>
                    </w:rPr>
                  </w:pPr>
                  <w:r>
                    <w:rPr>
                      <w:color w:val="auto"/>
                      <w:sz w:val="21"/>
                      <w:szCs w:val="21"/>
                    </w:rPr>
                    <w:t>（一）盗伐、滥伐林木和破坏草地；</w:t>
                  </w:r>
                </w:p>
              </w:tc>
              <w:tc>
                <w:tcPr>
                  <w:tcW w:w="3172" w:type="dxa"/>
                  <w:vAlign w:val="center"/>
                </w:tcPr>
                <w:p w14:paraId="4654E17F">
                  <w:pPr>
                    <w:pStyle w:val="9"/>
                    <w:adjustRightInd w:val="0"/>
                    <w:spacing w:after="0"/>
                    <w:jc w:val="center"/>
                    <w:rPr>
                      <w:color w:val="auto"/>
                      <w:kern w:val="2"/>
                      <w:sz w:val="21"/>
                      <w:szCs w:val="21"/>
                    </w:rPr>
                  </w:pPr>
                  <w:r>
                    <w:rPr>
                      <w:color w:val="auto"/>
                      <w:kern w:val="2"/>
                      <w:sz w:val="21"/>
                      <w:szCs w:val="21"/>
                    </w:rPr>
                    <w:t>项目不涉及</w:t>
                  </w:r>
                  <w:r>
                    <w:rPr>
                      <w:color w:val="auto"/>
                      <w:sz w:val="21"/>
                      <w:szCs w:val="21"/>
                    </w:rPr>
                    <w:t>盗伐、滥伐林木和破坏草地行为。</w:t>
                  </w:r>
                </w:p>
              </w:tc>
              <w:tc>
                <w:tcPr>
                  <w:tcW w:w="830" w:type="dxa"/>
                  <w:vAlign w:val="center"/>
                </w:tcPr>
                <w:p w14:paraId="2DB9A83C">
                  <w:pPr>
                    <w:adjustRightInd w:val="0"/>
                    <w:snapToGrid w:val="0"/>
                    <w:jc w:val="center"/>
                    <w:rPr>
                      <w:color w:val="auto"/>
                      <w:szCs w:val="21"/>
                    </w:rPr>
                  </w:pPr>
                  <w:r>
                    <w:rPr>
                      <w:color w:val="auto"/>
                      <w:szCs w:val="21"/>
                    </w:rPr>
                    <w:t>符合</w:t>
                  </w:r>
                </w:p>
              </w:tc>
            </w:tr>
            <w:tr w14:paraId="09F1D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vMerge w:val="continue"/>
                  <w:vAlign w:val="center"/>
                </w:tcPr>
                <w:p w14:paraId="394063FF">
                  <w:pPr>
                    <w:pStyle w:val="9"/>
                    <w:adjustRightInd w:val="0"/>
                    <w:spacing w:after="0"/>
                    <w:jc w:val="center"/>
                    <w:rPr>
                      <w:color w:val="auto"/>
                      <w:kern w:val="2"/>
                      <w:sz w:val="21"/>
                      <w:szCs w:val="21"/>
                    </w:rPr>
                  </w:pPr>
                </w:p>
              </w:tc>
              <w:tc>
                <w:tcPr>
                  <w:tcW w:w="2643" w:type="dxa"/>
                  <w:vAlign w:val="center"/>
                </w:tcPr>
                <w:p w14:paraId="5A6B9BDF">
                  <w:pPr>
                    <w:pStyle w:val="9"/>
                    <w:widowControl w:val="0"/>
                    <w:adjustRightInd w:val="0"/>
                    <w:spacing w:before="0" w:after="0" w:line="240" w:lineRule="auto"/>
                    <w:ind w:right="0"/>
                    <w:jc w:val="center"/>
                    <w:rPr>
                      <w:color w:val="auto"/>
                      <w:sz w:val="21"/>
                      <w:szCs w:val="21"/>
                    </w:rPr>
                  </w:pPr>
                  <w:r>
                    <w:rPr>
                      <w:color w:val="auto"/>
                      <w:sz w:val="21"/>
                      <w:szCs w:val="21"/>
                    </w:rPr>
                    <w:t>（二）使用高毒、高残留农药；</w:t>
                  </w:r>
                </w:p>
              </w:tc>
              <w:tc>
                <w:tcPr>
                  <w:tcW w:w="3172" w:type="dxa"/>
                  <w:vAlign w:val="center"/>
                </w:tcPr>
                <w:p w14:paraId="6D067D73">
                  <w:pPr>
                    <w:pStyle w:val="9"/>
                    <w:adjustRightInd w:val="0"/>
                    <w:spacing w:after="0"/>
                    <w:jc w:val="center"/>
                    <w:rPr>
                      <w:color w:val="auto"/>
                      <w:kern w:val="2"/>
                      <w:sz w:val="21"/>
                      <w:szCs w:val="21"/>
                    </w:rPr>
                  </w:pPr>
                  <w:r>
                    <w:rPr>
                      <w:color w:val="auto"/>
                      <w:kern w:val="2"/>
                      <w:sz w:val="21"/>
                      <w:szCs w:val="21"/>
                    </w:rPr>
                    <w:t>项目不</w:t>
                  </w:r>
                  <w:r>
                    <w:rPr>
                      <w:color w:val="auto"/>
                      <w:sz w:val="21"/>
                      <w:szCs w:val="21"/>
                    </w:rPr>
                    <w:t>使用高毒、高残留农药。</w:t>
                  </w:r>
                </w:p>
              </w:tc>
              <w:tc>
                <w:tcPr>
                  <w:tcW w:w="830" w:type="dxa"/>
                  <w:vAlign w:val="center"/>
                </w:tcPr>
                <w:p w14:paraId="0F9E8DA5">
                  <w:pPr>
                    <w:adjustRightInd w:val="0"/>
                    <w:snapToGrid w:val="0"/>
                    <w:jc w:val="center"/>
                    <w:rPr>
                      <w:color w:val="auto"/>
                      <w:szCs w:val="21"/>
                    </w:rPr>
                  </w:pPr>
                  <w:r>
                    <w:rPr>
                      <w:color w:val="auto"/>
                      <w:szCs w:val="21"/>
                    </w:rPr>
                    <w:t>符合</w:t>
                  </w:r>
                </w:p>
              </w:tc>
            </w:tr>
            <w:tr w14:paraId="79E24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3" w:type="dxa"/>
                  <w:vMerge w:val="continue"/>
                  <w:vAlign w:val="center"/>
                </w:tcPr>
                <w:p w14:paraId="1E8E514A">
                  <w:pPr>
                    <w:pStyle w:val="9"/>
                    <w:adjustRightInd w:val="0"/>
                    <w:spacing w:after="0"/>
                    <w:jc w:val="center"/>
                    <w:rPr>
                      <w:color w:val="auto"/>
                      <w:kern w:val="2"/>
                      <w:sz w:val="21"/>
                      <w:szCs w:val="21"/>
                    </w:rPr>
                  </w:pPr>
                </w:p>
              </w:tc>
              <w:tc>
                <w:tcPr>
                  <w:tcW w:w="2643" w:type="dxa"/>
                  <w:vAlign w:val="center"/>
                </w:tcPr>
                <w:p w14:paraId="594A8A95">
                  <w:pPr>
                    <w:pStyle w:val="9"/>
                    <w:widowControl w:val="0"/>
                    <w:adjustRightInd w:val="0"/>
                    <w:spacing w:before="0" w:after="0" w:line="240" w:lineRule="auto"/>
                    <w:ind w:right="0"/>
                    <w:jc w:val="center"/>
                    <w:rPr>
                      <w:color w:val="auto"/>
                      <w:sz w:val="21"/>
                      <w:szCs w:val="21"/>
                    </w:rPr>
                  </w:pPr>
                  <w:r>
                    <w:rPr>
                      <w:color w:val="auto"/>
                      <w:sz w:val="21"/>
                      <w:szCs w:val="21"/>
                    </w:rPr>
                    <w:t>（三）利用溶洞、渗井、渗坑、裂隙排放、倾倒含有毒有害物质的废水、废渣；</w:t>
                  </w:r>
                </w:p>
              </w:tc>
              <w:tc>
                <w:tcPr>
                  <w:tcW w:w="3172" w:type="dxa"/>
                  <w:vAlign w:val="center"/>
                </w:tcPr>
                <w:p w14:paraId="6F05EE5C">
                  <w:pPr>
                    <w:pStyle w:val="9"/>
                    <w:adjustRightInd w:val="0"/>
                    <w:spacing w:after="0"/>
                    <w:jc w:val="center"/>
                    <w:rPr>
                      <w:color w:val="auto"/>
                      <w:kern w:val="2"/>
                      <w:sz w:val="21"/>
                      <w:szCs w:val="21"/>
                    </w:rPr>
                  </w:pPr>
                  <w:r>
                    <w:rPr>
                      <w:color w:val="auto"/>
                      <w:sz w:val="21"/>
                      <w:szCs w:val="21"/>
                    </w:rPr>
                    <w:t>项目不涉及利用溶洞、渗井、渗坑、裂隙排放、倾倒含有毒有害物质的废水、废渣等行为。</w:t>
                  </w:r>
                </w:p>
              </w:tc>
              <w:tc>
                <w:tcPr>
                  <w:tcW w:w="830" w:type="dxa"/>
                  <w:vAlign w:val="center"/>
                </w:tcPr>
                <w:p w14:paraId="2168BAC8">
                  <w:pPr>
                    <w:adjustRightInd w:val="0"/>
                    <w:snapToGrid w:val="0"/>
                    <w:jc w:val="center"/>
                    <w:rPr>
                      <w:color w:val="auto"/>
                      <w:szCs w:val="21"/>
                    </w:rPr>
                  </w:pPr>
                  <w:r>
                    <w:rPr>
                      <w:color w:val="auto"/>
                      <w:szCs w:val="21"/>
                    </w:rPr>
                    <w:t>符合</w:t>
                  </w:r>
                </w:p>
              </w:tc>
            </w:tr>
            <w:tr w14:paraId="005CF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vMerge w:val="continue"/>
                  <w:vAlign w:val="center"/>
                </w:tcPr>
                <w:p w14:paraId="393744F1">
                  <w:pPr>
                    <w:pStyle w:val="9"/>
                    <w:adjustRightInd w:val="0"/>
                    <w:spacing w:after="0"/>
                    <w:jc w:val="center"/>
                    <w:rPr>
                      <w:color w:val="auto"/>
                      <w:kern w:val="2"/>
                      <w:sz w:val="21"/>
                      <w:szCs w:val="21"/>
                    </w:rPr>
                  </w:pPr>
                </w:p>
              </w:tc>
              <w:tc>
                <w:tcPr>
                  <w:tcW w:w="2643" w:type="dxa"/>
                  <w:vAlign w:val="center"/>
                </w:tcPr>
                <w:p w14:paraId="59E24E58">
                  <w:pPr>
                    <w:pStyle w:val="9"/>
                    <w:widowControl w:val="0"/>
                    <w:adjustRightInd w:val="0"/>
                    <w:spacing w:before="0" w:after="0" w:line="240" w:lineRule="auto"/>
                    <w:ind w:right="0"/>
                    <w:jc w:val="center"/>
                    <w:rPr>
                      <w:color w:val="auto"/>
                      <w:sz w:val="21"/>
                      <w:szCs w:val="21"/>
                    </w:rPr>
                  </w:pPr>
                  <w:r>
                    <w:rPr>
                      <w:color w:val="auto"/>
                      <w:sz w:val="21"/>
                      <w:szCs w:val="21"/>
                    </w:rPr>
                    <w:t>（四）向水体排放废水、倾倒工业废渣、城镇垃圾或者其他废弃物；</w:t>
                  </w:r>
                </w:p>
              </w:tc>
              <w:tc>
                <w:tcPr>
                  <w:tcW w:w="3172" w:type="dxa"/>
                  <w:vAlign w:val="center"/>
                </w:tcPr>
                <w:p w14:paraId="4E0A3E2B">
                  <w:pPr>
                    <w:pStyle w:val="9"/>
                    <w:adjustRightInd w:val="0"/>
                    <w:spacing w:after="0"/>
                    <w:jc w:val="center"/>
                    <w:rPr>
                      <w:color w:val="auto"/>
                      <w:kern w:val="2"/>
                      <w:sz w:val="21"/>
                      <w:szCs w:val="21"/>
                    </w:rPr>
                  </w:pPr>
                  <w:r>
                    <w:rPr>
                      <w:color w:val="auto"/>
                      <w:sz w:val="21"/>
                      <w:szCs w:val="21"/>
                    </w:rPr>
                    <w:t>项目废水不外排。固体废物合理处置率100%。项目不涉及向水体排放废水、倾倒工业废渣、城镇垃圾或者其他废弃物的行为。</w:t>
                  </w:r>
                </w:p>
              </w:tc>
              <w:tc>
                <w:tcPr>
                  <w:tcW w:w="830" w:type="dxa"/>
                  <w:vAlign w:val="center"/>
                </w:tcPr>
                <w:p w14:paraId="422D4A21">
                  <w:pPr>
                    <w:adjustRightInd w:val="0"/>
                    <w:snapToGrid w:val="0"/>
                    <w:jc w:val="center"/>
                    <w:rPr>
                      <w:color w:val="auto"/>
                      <w:szCs w:val="21"/>
                    </w:rPr>
                  </w:pPr>
                  <w:r>
                    <w:rPr>
                      <w:color w:val="auto"/>
                      <w:szCs w:val="21"/>
                    </w:rPr>
                    <w:t>符合</w:t>
                  </w:r>
                </w:p>
              </w:tc>
            </w:tr>
            <w:tr w14:paraId="70BEF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vMerge w:val="continue"/>
                  <w:vAlign w:val="center"/>
                </w:tcPr>
                <w:p w14:paraId="44968A6C">
                  <w:pPr>
                    <w:pStyle w:val="9"/>
                    <w:adjustRightInd w:val="0"/>
                    <w:spacing w:after="0"/>
                    <w:jc w:val="center"/>
                    <w:rPr>
                      <w:color w:val="auto"/>
                      <w:kern w:val="2"/>
                      <w:sz w:val="21"/>
                      <w:szCs w:val="21"/>
                    </w:rPr>
                  </w:pPr>
                </w:p>
              </w:tc>
              <w:tc>
                <w:tcPr>
                  <w:tcW w:w="2643" w:type="dxa"/>
                  <w:vAlign w:val="center"/>
                </w:tcPr>
                <w:p w14:paraId="63C32526">
                  <w:pPr>
                    <w:pStyle w:val="9"/>
                    <w:widowControl w:val="0"/>
                    <w:adjustRightInd w:val="0"/>
                    <w:spacing w:before="0" w:after="0" w:line="240" w:lineRule="auto"/>
                    <w:ind w:right="0"/>
                    <w:jc w:val="center"/>
                    <w:rPr>
                      <w:color w:val="auto"/>
                      <w:sz w:val="21"/>
                      <w:szCs w:val="21"/>
                    </w:rPr>
                  </w:pPr>
                  <w:r>
                    <w:rPr>
                      <w:color w:val="auto"/>
                      <w:sz w:val="21"/>
                      <w:szCs w:val="21"/>
                    </w:rPr>
                    <w:t>（五）在江河、渠道、水库最高水位线以下的滩地、岸坡堆放、存贮固体废弃物或者其他污染物；</w:t>
                  </w:r>
                </w:p>
              </w:tc>
              <w:tc>
                <w:tcPr>
                  <w:tcW w:w="3172" w:type="dxa"/>
                  <w:vAlign w:val="center"/>
                </w:tcPr>
                <w:p w14:paraId="61BB6CF3">
                  <w:pPr>
                    <w:pStyle w:val="9"/>
                    <w:adjustRightInd w:val="0"/>
                    <w:spacing w:after="0"/>
                    <w:jc w:val="center"/>
                    <w:rPr>
                      <w:color w:val="auto"/>
                      <w:kern w:val="2"/>
                      <w:sz w:val="21"/>
                      <w:szCs w:val="21"/>
                    </w:rPr>
                  </w:pPr>
                  <w:r>
                    <w:rPr>
                      <w:color w:val="auto"/>
                      <w:kern w:val="2"/>
                      <w:sz w:val="21"/>
                      <w:szCs w:val="21"/>
                    </w:rPr>
                    <w:t>项目不涉及</w:t>
                  </w:r>
                  <w:r>
                    <w:rPr>
                      <w:color w:val="auto"/>
                      <w:sz w:val="21"/>
                      <w:szCs w:val="21"/>
                    </w:rPr>
                    <w:t>在江河、渠道、水库最高水位线以下的滩地、岸坡堆放、存贮固体废弃物或者其他污染物的行为。</w:t>
                  </w:r>
                </w:p>
              </w:tc>
              <w:tc>
                <w:tcPr>
                  <w:tcW w:w="830" w:type="dxa"/>
                  <w:vAlign w:val="center"/>
                </w:tcPr>
                <w:p w14:paraId="1CF5F78F">
                  <w:pPr>
                    <w:adjustRightInd w:val="0"/>
                    <w:snapToGrid w:val="0"/>
                    <w:jc w:val="center"/>
                    <w:rPr>
                      <w:color w:val="auto"/>
                      <w:szCs w:val="21"/>
                    </w:rPr>
                  </w:pPr>
                  <w:r>
                    <w:rPr>
                      <w:color w:val="auto"/>
                      <w:szCs w:val="21"/>
                    </w:rPr>
                    <w:t>符合</w:t>
                  </w:r>
                </w:p>
              </w:tc>
            </w:tr>
            <w:tr w14:paraId="4E7BC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vMerge w:val="continue"/>
                  <w:vAlign w:val="center"/>
                </w:tcPr>
                <w:p w14:paraId="45EAAC98">
                  <w:pPr>
                    <w:pStyle w:val="9"/>
                    <w:adjustRightInd w:val="0"/>
                    <w:spacing w:after="0"/>
                    <w:jc w:val="center"/>
                    <w:rPr>
                      <w:color w:val="auto"/>
                      <w:kern w:val="2"/>
                      <w:sz w:val="21"/>
                      <w:szCs w:val="21"/>
                    </w:rPr>
                  </w:pPr>
                </w:p>
              </w:tc>
              <w:tc>
                <w:tcPr>
                  <w:tcW w:w="2643" w:type="dxa"/>
                  <w:vAlign w:val="center"/>
                </w:tcPr>
                <w:p w14:paraId="3DD75B38">
                  <w:pPr>
                    <w:pStyle w:val="9"/>
                    <w:widowControl w:val="0"/>
                    <w:adjustRightInd w:val="0"/>
                    <w:spacing w:before="0" w:after="0" w:line="240" w:lineRule="auto"/>
                    <w:ind w:right="0"/>
                    <w:jc w:val="center"/>
                    <w:rPr>
                      <w:color w:val="auto"/>
                      <w:sz w:val="21"/>
                      <w:szCs w:val="21"/>
                    </w:rPr>
                  </w:pPr>
                  <w:r>
                    <w:rPr>
                      <w:color w:val="auto"/>
                      <w:sz w:val="21"/>
                      <w:szCs w:val="21"/>
                    </w:rPr>
                    <w:t>（六）利用无防渗漏措施的沟渠、坑塘等输送或者存贮含有毒污染物的废水、含病原体的污水或者其他废弃物。</w:t>
                  </w:r>
                </w:p>
              </w:tc>
              <w:tc>
                <w:tcPr>
                  <w:tcW w:w="3172" w:type="dxa"/>
                  <w:vAlign w:val="center"/>
                </w:tcPr>
                <w:p w14:paraId="344764EC">
                  <w:pPr>
                    <w:pStyle w:val="9"/>
                    <w:adjustRightInd w:val="0"/>
                    <w:spacing w:after="0"/>
                    <w:jc w:val="center"/>
                    <w:rPr>
                      <w:color w:val="auto"/>
                      <w:kern w:val="2"/>
                      <w:sz w:val="21"/>
                      <w:szCs w:val="21"/>
                    </w:rPr>
                  </w:pPr>
                  <w:r>
                    <w:rPr>
                      <w:color w:val="auto"/>
                      <w:kern w:val="2"/>
                      <w:sz w:val="21"/>
                      <w:szCs w:val="21"/>
                    </w:rPr>
                    <w:t>项目不涉及</w:t>
                  </w:r>
                  <w:r>
                    <w:rPr>
                      <w:color w:val="auto"/>
                      <w:sz w:val="21"/>
                      <w:szCs w:val="21"/>
                    </w:rPr>
                    <w:t>利用无防渗漏措施的沟渠、坑塘等输送或者存贮含有毒污染物的废水、含病原体的污水或者其他废弃物的行为。</w:t>
                  </w:r>
                </w:p>
              </w:tc>
              <w:tc>
                <w:tcPr>
                  <w:tcW w:w="830" w:type="dxa"/>
                  <w:vAlign w:val="center"/>
                </w:tcPr>
                <w:p w14:paraId="47EFA889">
                  <w:pPr>
                    <w:adjustRightInd w:val="0"/>
                    <w:snapToGrid w:val="0"/>
                    <w:jc w:val="center"/>
                    <w:rPr>
                      <w:color w:val="auto"/>
                      <w:szCs w:val="21"/>
                    </w:rPr>
                  </w:pPr>
                  <w:r>
                    <w:rPr>
                      <w:color w:val="auto"/>
                      <w:szCs w:val="21"/>
                    </w:rPr>
                    <w:t>符合</w:t>
                  </w:r>
                </w:p>
              </w:tc>
            </w:tr>
          </w:tbl>
          <w:p w14:paraId="3E99B848">
            <w:pPr>
              <w:snapToGrid w:val="0"/>
              <w:spacing w:line="360" w:lineRule="auto"/>
              <w:ind w:firstLine="480" w:firstLineChars="200"/>
              <w:rPr>
                <w:b/>
                <w:bCs/>
                <w:color w:val="auto"/>
                <w:sz w:val="24"/>
              </w:rPr>
            </w:pPr>
            <w:r>
              <w:rPr>
                <w:color w:val="auto"/>
                <w:sz w:val="24"/>
              </w:rPr>
              <w:t>综上所述，项目与《云南省牛栏江保护条例》相符。</w:t>
            </w:r>
          </w:p>
          <w:p w14:paraId="16A9C030">
            <w:pPr>
              <w:snapToGrid w:val="0"/>
              <w:spacing w:line="360" w:lineRule="auto"/>
              <w:ind w:firstLine="482" w:firstLineChars="200"/>
              <w:rPr>
                <w:b/>
                <w:bCs/>
                <w:color w:val="auto"/>
                <w:sz w:val="24"/>
              </w:rPr>
            </w:pPr>
            <w:r>
              <w:rPr>
                <w:rFonts w:hint="eastAsia"/>
                <w:b/>
                <w:bCs/>
                <w:color w:val="auto"/>
                <w:sz w:val="24"/>
              </w:rPr>
              <w:t>5</w:t>
            </w:r>
            <w:r>
              <w:rPr>
                <w:b/>
                <w:bCs/>
                <w:color w:val="auto"/>
                <w:sz w:val="24"/>
              </w:rPr>
              <w:t>、与《牛栏江流域（云南部分）水环境保护规划（2009~2030）》的相符性分析</w:t>
            </w:r>
          </w:p>
          <w:p w14:paraId="28740594">
            <w:pPr>
              <w:adjustRightInd w:val="0"/>
              <w:snapToGrid w:val="0"/>
              <w:spacing w:line="360" w:lineRule="auto"/>
              <w:ind w:firstLine="480" w:firstLineChars="200"/>
              <w:rPr>
                <w:color w:val="auto"/>
                <w:sz w:val="24"/>
              </w:rPr>
            </w:pPr>
            <w:r>
              <w:rPr>
                <w:color w:val="auto"/>
                <w:sz w:val="24"/>
              </w:rPr>
              <w:t>根据《牛栏江流域（云南部分）水环境保护规划（2009~2030）》，牛栏江流域（云南段）水环境保护划分为两大控制区，即牛栏江上游（德泽水库坝址以上）重点保护区、牛栏江下游生态与环境保护区。其中牛栏江上游（德泽水库坝址以上）重点保护区包括水源保护核心区、重点污染控制区、水源涵养区。水源保护核心区包括牛栏江干流水面，河岸外围陆域1000米范围；德泽水库水面，库岸外围陆域2000m范围。涉及乡镇主要有牛栏江镇、塘子镇、河口乡、七星乡、德泽乡，面积为625.3km²，属于重点保护区。重点污染控制区主要是水源保护核心区边界外的坝区。涉及小哨乡、嵩阳镇、小街镇、杨桥乡、羊街镇、金所乡、月望乡、大坡乡、菱角乡、田坝乡十个乡镇，面积1892.56km²，属于污染重点治理区。水源涵养区包括除水源保护核心区、重点污染控制区以外的山地。涉及杨林镇、仁德镇、通泉镇、王家庄镇、马过河镇、旧县镇六个乡镇，面积1764.16km²。</w:t>
            </w:r>
          </w:p>
          <w:p w14:paraId="76A276B3">
            <w:pPr>
              <w:adjustRightInd w:val="0"/>
              <w:snapToGrid w:val="0"/>
              <w:spacing w:line="360" w:lineRule="auto"/>
              <w:ind w:firstLine="480" w:firstLineChars="200"/>
              <w:rPr>
                <w:color w:val="auto"/>
                <w:sz w:val="24"/>
              </w:rPr>
            </w:pPr>
            <w:r>
              <w:rPr>
                <w:color w:val="auto"/>
                <w:sz w:val="24"/>
              </w:rPr>
              <w:t>本项目位于云南省昆明市寻甸特色产业园区</w:t>
            </w:r>
            <w:r>
              <w:rPr>
                <w:rFonts w:hint="eastAsia"/>
                <w:color w:val="auto"/>
                <w:sz w:val="24"/>
              </w:rPr>
              <w:t>羊街</w:t>
            </w:r>
            <w:r>
              <w:rPr>
                <w:color w:val="auto"/>
                <w:sz w:val="24"/>
              </w:rPr>
              <w:t>片区，根据牛栏江水系功能规划图可知，项目区属于重点污染控制区。根据《牛栏江流域（云南部分）水环境保护规划（2009~2030）》中的工业园区污染源控制规划，开展杨林工业园区、寻甸特色工业园区和马龙工业园区的综合环境执法检查，清查园区内现有工业企业，对违反国家法律法规、产业政策及入园规定的企业实行关停或限期整改，建设完善污水处理设施、有毒有害固体废弃物处置设施。</w:t>
            </w:r>
          </w:p>
          <w:p w14:paraId="196D8326">
            <w:pPr>
              <w:adjustRightInd w:val="0"/>
              <w:snapToGrid w:val="0"/>
              <w:spacing w:line="360" w:lineRule="auto"/>
              <w:ind w:firstLine="480" w:firstLineChars="200"/>
              <w:rPr>
                <w:color w:val="auto"/>
                <w:sz w:val="24"/>
              </w:rPr>
            </w:pPr>
            <w:r>
              <w:rPr>
                <w:rFonts w:hint="eastAsia"/>
                <w:color w:val="auto"/>
                <w:sz w:val="24"/>
              </w:rPr>
              <w:t>项目无生产废水产生，运营期产生的生活污水进入化粪池、一体化污水处理站处理达到《城市污水再生利用城市杂用水水质》（GB/T18920-2020）中城市绿化、道路清扫标准后，回用于厂区非雨天绿化及道路洒水降尘，不外排</w:t>
            </w:r>
            <w:r>
              <w:rPr>
                <w:color w:val="auto"/>
                <w:sz w:val="24"/>
              </w:rPr>
              <w:t>。项目内设有垃圾和危废收集设施，可保证固废合理收集处置，一般生活固废由环卫部门进行处置，危废收集后委托有资质单位处理。项目选址符合《云南省牛栏江保护条例》中的选址要求。</w:t>
            </w:r>
          </w:p>
          <w:p w14:paraId="3BF91F08">
            <w:pPr>
              <w:adjustRightInd w:val="0"/>
              <w:snapToGrid w:val="0"/>
              <w:spacing w:line="360" w:lineRule="auto"/>
              <w:ind w:firstLine="480" w:firstLineChars="200"/>
              <w:rPr>
                <w:color w:val="auto"/>
                <w:sz w:val="24"/>
                <w:lang w:val="zh-CN"/>
              </w:rPr>
            </w:pPr>
            <w:r>
              <w:rPr>
                <w:color w:val="auto"/>
                <w:sz w:val="24"/>
              </w:rPr>
              <w:t>综上所述，项目选址符合《牛栏江流域（云南部分）水环境保护规划（2009~2030）》对重点污染控制区的水环境保护要求。</w:t>
            </w:r>
          </w:p>
          <w:p w14:paraId="082F6879">
            <w:pPr>
              <w:snapToGrid w:val="0"/>
              <w:spacing w:line="360" w:lineRule="auto"/>
              <w:ind w:firstLine="482" w:firstLineChars="200"/>
              <w:rPr>
                <w:b/>
                <w:bCs/>
                <w:color w:val="auto"/>
                <w:kern w:val="0"/>
                <w:sz w:val="24"/>
              </w:rPr>
            </w:pPr>
            <w:r>
              <w:rPr>
                <w:rFonts w:hint="eastAsia"/>
                <w:b/>
                <w:bCs/>
                <w:color w:val="auto"/>
                <w:kern w:val="0"/>
                <w:sz w:val="24"/>
              </w:rPr>
              <w:t>6、</w:t>
            </w:r>
            <w:r>
              <w:rPr>
                <w:b/>
                <w:bCs/>
                <w:color w:val="auto"/>
                <w:kern w:val="0"/>
                <w:sz w:val="24"/>
              </w:rPr>
              <w:t>项目与《牛栏江流域（</w:t>
            </w:r>
            <w:r>
              <w:rPr>
                <w:rFonts w:hint="eastAsia"/>
                <w:b/>
                <w:bCs/>
                <w:color w:val="auto"/>
                <w:kern w:val="0"/>
                <w:sz w:val="24"/>
              </w:rPr>
              <w:t>昆明</w:t>
            </w:r>
            <w:r>
              <w:rPr>
                <w:b/>
                <w:bCs/>
                <w:color w:val="auto"/>
                <w:kern w:val="0"/>
                <w:sz w:val="24"/>
              </w:rPr>
              <w:t>段）水环境保护规划（20</w:t>
            </w:r>
            <w:r>
              <w:rPr>
                <w:rFonts w:hint="eastAsia"/>
                <w:b/>
                <w:bCs/>
                <w:color w:val="auto"/>
                <w:kern w:val="0"/>
                <w:sz w:val="24"/>
              </w:rPr>
              <w:t>09</w:t>
            </w:r>
            <w:r>
              <w:rPr>
                <w:b/>
                <w:bCs/>
                <w:color w:val="auto"/>
                <w:kern w:val="0"/>
                <w:sz w:val="24"/>
              </w:rPr>
              <w:t>~2030）》的相符性分析</w:t>
            </w:r>
          </w:p>
          <w:p w14:paraId="42CE539B">
            <w:pPr>
              <w:autoSpaceDE w:val="0"/>
              <w:autoSpaceDN w:val="0"/>
              <w:snapToGrid w:val="0"/>
              <w:spacing w:line="360" w:lineRule="auto"/>
              <w:ind w:firstLine="480" w:firstLineChars="200"/>
              <w:rPr>
                <w:b/>
                <w:bCs/>
                <w:color w:val="auto"/>
                <w:kern w:val="0"/>
                <w:szCs w:val="21"/>
              </w:rPr>
            </w:pPr>
            <w:r>
              <w:rPr>
                <w:color w:val="auto"/>
                <w:kern w:val="0"/>
                <w:sz w:val="24"/>
              </w:rPr>
              <w:t>本项目位于云南省昆明市寻甸县特色产业园区</w:t>
            </w:r>
            <w:r>
              <w:rPr>
                <w:rFonts w:hint="eastAsia"/>
                <w:color w:val="auto"/>
                <w:kern w:val="0"/>
                <w:sz w:val="24"/>
              </w:rPr>
              <w:t>羊街</w:t>
            </w:r>
            <w:r>
              <w:rPr>
                <w:color w:val="auto"/>
                <w:kern w:val="0"/>
                <w:sz w:val="24"/>
              </w:rPr>
              <w:t>片区，根据《牛栏江（</w:t>
            </w:r>
            <w:r>
              <w:rPr>
                <w:rFonts w:hint="eastAsia"/>
                <w:color w:val="auto"/>
                <w:kern w:val="0"/>
                <w:sz w:val="24"/>
              </w:rPr>
              <w:t>昆明</w:t>
            </w:r>
            <w:r>
              <w:rPr>
                <w:color w:val="auto"/>
                <w:kern w:val="0"/>
                <w:sz w:val="24"/>
              </w:rPr>
              <w:t>段）水环境保护规划（2011~2030）》规划图分析可知，本项目属于</w:t>
            </w:r>
            <w:r>
              <w:rPr>
                <w:rStyle w:val="85"/>
                <w:color w:val="auto"/>
                <w:sz w:val="24"/>
              </w:rPr>
              <w:t>重点污染控制区。项目选址与</w:t>
            </w:r>
            <w:r>
              <w:rPr>
                <w:color w:val="auto"/>
                <w:kern w:val="0"/>
                <w:sz w:val="24"/>
              </w:rPr>
              <w:t>《牛栏江（</w:t>
            </w:r>
            <w:r>
              <w:rPr>
                <w:rFonts w:hint="eastAsia"/>
                <w:color w:val="auto"/>
                <w:kern w:val="0"/>
                <w:sz w:val="24"/>
              </w:rPr>
              <w:t>昆明</w:t>
            </w:r>
            <w:r>
              <w:rPr>
                <w:color w:val="auto"/>
                <w:kern w:val="0"/>
                <w:sz w:val="24"/>
              </w:rPr>
              <w:t>段）水环境保护规划（2</w:t>
            </w:r>
            <w:r>
              <w:rPr>
                <w:rFonts w:hint="eastAsia"/>
                <w:color w:val="auto"/>
                <w:kern w:val="0"/>
                <w:sz w:val="24"/>
              </w:rPr>
              <w:t>009</w:t>
            </w:r>
            <w:r>
              <w:rPr>
                <w:color w:val="auto"/>
                <w:kern w:val="0"/>
                <w:sz w:val="24"/>
              </w:rPr>
              <w:t>~2030）》中对重点污染控制区的水环境保护策略符合性分析详见</w:t>
            </w:r>
            <w:r>
              <w:rPr>
                <w:rFonts w:hint="eastAsia"/>
                <w:color w:val="auto"/>
                <w:kern w:val="0"/>
                <w:sz w:val="24"/>
              </w:rPr>
              <w:t>下表</w:t>
            </w:r>
            <w:r>
              <w:rPr>
                <w:color w:val="auto"/>
                <w:kern w:val="0"/>
                <w:sz w:val="24"/>
              </w:rPr>
              <w:t>。</w:t>
            </w:r>
          </w:p>
          <w:p w14:paraId="313356F0">
            <w:pPr>
              <w:widowControl/>
              <w:snapToGrid w:val="0"/>
              <w:ind w:firstLine="422" w:firstLineChars="200"/>
              <w:jc w:val="center"/>
              <w:rPr>
                <w:color w:val="auto"/>
                <w:kern w:val="0"/>
                <w:sz w:val="24"/>
              </w:rPr>
            </w:pPr>
            <w:r>
              <w:rPr>
                <w:b/>
                <w:bCs/>
                <w:color w:val="auto"/>
                <w:kern w:val="0"/>
                <w:szCs w:val="21"/>
              </w:rPr>
              <w:t>表</w:t>
            </w:r>
            <w:r>
              <w:rPr>
                <w:rFonts w:hint="eastAsia"/>
                <w:b/>
                <w:bCs/>
                <w:color w:val="auto"/>
                <w:kern w:val="0"/>
                <w:szCs w:val="21"/>
              </w:rPr>
              <w:t>1</w:t>
            </w:r>
            <w:r>
              <w:rPr>
                <w:b/>
                <w:bCs/>
                <w:color w:val="auto"/>
                <w:kern w:val="0"/>
                <w:szCs w:val="21"/>
              </w:rPr>
              <w:t>-</w:t>
            </w:r>
            <w:r>
              <w:rPr>
                <w:rFonts w:hint="eastAsia"/>
                <w:b/>
                <w:bCs/>
                <w:color w:val="auto"/>
                <w:kern w:val="0"/>
                <w:szCs w:val="21"/>
              </w:rPr>
              <w:t>7</w:t>
            </w:r>
            <w:r>
              <w:rPr>
                <w:b/>
                <w:bCs/>
                <w:color w:val="auto"/>
                <w:kern w:val="0"/>
                <w:szCs w:val="21"/>
              </w:rPr>
              <w:t xml:space="preserve">  项目选址与《牛栏江流域（</w:t>
            </w:r>
            <w:r>
              <w:rPr>
                <w:rFonts w:hint="eastAsia"/>
                <w:b/>
                <w:bCs/>
                <w:color w:val="auto"/>
                <w:kern w:val="0"/>
                <w:szCs w:val="21"/>
              </w:rPr>
              <w:t>昆明</w:t>
            </w:r>
            <w:r>
              <w:rPr>
                <w:b/>
                <w:bCs/>
                <w:color w:val="auto"/>
                <w:kern w:val="0"/>
                <w:szCs w:val="21"/>
              </w:rPr>
              <w:t>段）水环境保护规划》对照分析</w:t>
            </w:r>
          </w:p>
          <w:tbl>
            <w:tblPr>
              <w:tblStyle w:val="30"/>
              <w:tblW w:w="77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2764"/>
              <w:gridCol w:w="3702"/>
              <w:gridCol w:w="772"/>
            </w:tblGrid>
            <w:tr w14:paraId="0A974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527" w:type="dxa"/>
                  <w:vAlign w:val="center"/>
                </w:tcPr>
                <w:p w14:paraId="2E7188C7">
                  <w:pPr>
                    <w:adjustRightInd w:val="0"/>
                    <w:snapToGrid w:val="0"/>
                    <w:jc w:val="center"/>
                    <w:rPr>
                      <w:color w:val="auto"/>
                      <w:szCs w:val="21"/>
                    </w:rPr>
                  </w:pPr>
                  <w:r>
                    <w:rPr>
                      <w:color w:val="auto"/>
                      <w:szCs w:val="21"/>
                    </w:rPr>
                    <w:t>序号</w:t>
                  </w:r>
                </w:p>
              </w:tc>
              <w:tc>
                <w:tcPr>
                  <w:tcW w:w="2764" w:type="dxa"/>
                  <w:vAlign w:val="center"/>
                </w:tcPr>
                <w:p w14:paraId="16944F3D">
                  <w:pPr>
                    <w:adjustRightInd w:val="0"/>
                    <w:snapToGrid w:val="0"/>
                    <w:jc w:val="center"/>
                    <w:rPr>
                      <w:color w:val="auto"/>
                      <w:szCs w:val="21"/>
                    </w:rPr>
                  </w:pPr>
                  <w:r>
                    <w:rPr>
                      <w:color w:val="auto"/>
                      <w:szCs w:val="21"/>
                    </w:rPr>
                    <w:t>《牛栏江流域（昆明段）水环境保护规划》选址条件</w:t>
                  </w:r>
                </w:p>
              </w:tc>
              <w:tc>
                <w:tcPr>
                  <w:tcW w:w="3702" w:type="dxa"/>
                  <w:vAlign w:val="center"/>
                </w:tcPr>
                <w:p w14:paraId="671E7651">
                  <w:pPr>
                    <w:adjustRightInd w:val="0"/>
                    <w:snapToGrid w:val="0"/>
                    <w:jc w:val="center"/>
                    <w:rPr>
                      <w:color w:val="auto"/>
                      <w:szCs w:val="21"/>
                    </w:rPr>
                  </w:pPr>
                  <w:r>
                    <w:rPr>
                      <w:color w:val="auto"/>
                      <w:szCs w:val="21"/>
                    </w:rPr>
                    <w:t>本项目实际情况</w:t>
                  </w:r>
                </w:p>
              </w:tc>
              <w:tc>
                <w:tcPr>
                  <w:tcW w:w="772" w:type="dxa"/>
                  <w:vAlign w:val="center"/>
                </w:tcPr>
                <w:p w14:paraId="3C506873">
                  <w:pPr>
                    <w:adjustRightInd w:val="0"/>
                    <w:snapToGrid w:val="0"/>
                    <w:jc w:val="center"/>
                    <w:rPr>
                      <w:color w:val="auto"/>
                      <w:szCs w:val="21"/>
                    </w:rPr>
                  </w:pPr>
                  <w:r>
                    <w:rPr>
                      <w:color w:val="auto"/>
                      <w:szCs w:val="21"/>
                    </w:rPr>
                    <w:t>符合性</w:t>
                  </w:r>
                </w:p>
              </w:tc>
            </w:tr>
            <w:tr w14:paraId="0B9C2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527" w:type="dxa"/>
                  <w:vMerge w:val="restart"/>
                  <w:vAlign w:val="center"/>
                </w:tcPr>
                <w:p w14:paraId="3D9DA662">
                  <w:pPr>
                    <w:adjustRightInd w:val="0"/>
                    <w:snapToGrid w:val="0"/>
                    <w:jc w:val="center"/>
                    <w:rPr>
                      <w:color w:val="auto"/>
                      <w:szCs w:val="21"/>
                    </w:rPr>
                  </w:pPr>
                  <w:r>
                    <w:rPr>
                      <w:color w:val="auto"/>
                      <w:szCs w:val="21"/>
                    </w:rPr>
                    <w:t>1</w:t>
                  </w:r>
                </w:p>
              </w:tc>
              <w:tc>
                <w:tcPr>
                  <w:tcW w:w="2764" w:type="dxa"/>
                  <w:vAlign w:val="center"/>
                </w:tcPr>
                <w:p w14:paraId="2CAEE530">
                  <w:pPr>
                    <w:adjustRightInd w:val="0"/>
                    <w:snapToGrid w:val="0"/>
                    <w:jc w:val="center"/>
                    <w:rPr>
                      <w:color w:val="auto"/>
                      <w:szCs w:val="21"/>
                    </w:rPr>
                  </w:pPr>
                  <w:r>
                    <w:rPr>
                      <w:color w:val="auto"/>
                      <w:szCs w:val="21"/>
                    </w:rPr>
                    <w:t>加强对重点工业污染源的监督，确保牛栏江流域（昆明段）内重点企业污水稳定达标排放并实现“零排放”。</w:t>
                  </w:r>
                </w:p>
              </w:tc>
              <w:tc>
                <w:tcPr>
                  <w:tcW w:w="3702" w:type="dxa"/>
                  <w:vAlign w:val="center"/>
                </w:tcPr>
                <w:p w14:paraId="66C71E59">
                  <w:pPr>
                    <w:adjustRightInd w:val="0"/>
                    <w:snapToGrid w:val="0"/>
                    <w:jc w:val="center"/>
                    <w:rPr>
                      <w:color w:val="auto"/>
                      <w:szCs w:val="21"/>
                    </w:rPr>
                  </w:pPr>
                  <w:r>
                    <w:rPr>
                      <w:rFonts w:hint="eastAsia"/>
                      <w:color w:val="auto"/>
                      <w:szCs w:val="21"/>
                      <w:lang w:val="zh-CN" w:bidi="ar"/>
                    </w:rPr>
                    <w:t>项目</w:t>
                  </w:r>
                  <w:r>
                    <w:rPr>
                      <w:rFonts w:hint="eastAsia"/>
                      <w:color w:val="auto"/>
                      <w:szCs w:val="21"/>
                      <w:lang w:bidi="ar"/>
                    </w:rPr>
                    <w:t>无生产废水产生，生活污水经处理达标后，用于绿化及道路洒水降尘，不外排</w:t>
                  </w:r>
                  <w:r>
                    <w:rPr>
                      <w:rFonts w:hint="eastAsia"/>
                      <w:color w:val="auto"/>
                      <w:szCs w:val="21"/>
                    </w:rPr>
                    <w:t>。</w:t>
                  </w:r>
                </w:p>
              </w:tc>
              <w:tc>
                <w:tcPr>
                  <w:tcW w:w="772" w:type="dxa"/>
                  <w:vAlign w:val="center"/>
                </w:tcPr>
                <w:p w14:paraId="5974C3B6">
                  <w:pPr>
                    <w:adjustRightInd w:val="0"/>
                    <w:snapToGrid w:val="0"/>
                    <w:jc w:val="center"/>
                    <w:rPr>
                      <w:color w:val="auto"/>
                      <w:szCs w:val="21"/>
                    </w:rPr>
                  </w:pPr>
                  <w:r>
                    <w:rPr>
                      <w:color w:val="auto"/>
                      <w:szCs w:val="21"/>
                    </w:rPr>
                    <w:t>符合</w:t>
                  </w:r>
                </w:p>
              </w:tc>
            </w:tr>
            <w:tr w14:paraId="39B5E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7" w:hRule="atLeast"/>
                <w:jc w:val="center"/>
              </w:trPr>
              <w:tc>
                <w:tcPr>
                  <w:tcW w:w="527" w:type="dxa"/>
                  <w:vMerge w:val="continue"/>
                  <w:vAlign w:val="center"/>
                </w:tcPr>
                <w:p w14:paraId="278D7BCA">
                  <w:pPr>
                    <w:adjustRightInd w:val="0"/>
                    <w:snapToGrid w:val="0"/>
                    <w:jc w:val="center"/>
                    <w:rPr>
                      <w:color w:val="auto"/>
                      <w:szCs w:val="21"/>
                    </w:rPr>
                  </w:pPr>
                </w:p>
              </w:tc>
              <w:tc>
                <w:tcPr>
                  <w:tcW w:w="2764" w:type="dxa"/>
                  <w:vAlign w:val="center"/>
                </w:tcPr>
                <w:p w14:paraId="12CC95AE">
                  <w:pPr>
                    <w:adjustRightInd w:val="0"/>
                    <w:snapToGrid w:val="0"/>
                    <w:jc w:val="center"/>
                    <w:rPr>
                      <w:color w:val="auto"/>
                      <w:szCs w:val="21"/>
                    </w:rPr>
                  </w:pPr>
                  <w:r>
                    <w:rPr>
                      <w:color w:val="auto"/>
                      <w:szCs w:val="21"/>
                    </w:rPr>
                    <w:t>固体废弃物最大程度重复利用和安全处置，消除工业企业的环境安全隐患，确保环保设施的正常运行，杜绝工业企业偷排、漏排污染物的现象。</w:t>
                  </w:r>
                </w:p>
              </w:tc>
              <w:tc>
                <w:tcPr>
                  <w:tcW w:w="3702" w:type="dxa"/>
                  <w:vAlign w:val="center"/>
                </w:tcPr>
                <w:p w14:paraId="6BC41862">
                  <w:pPr>
                    <w:adjustRightInd w:val="0"/>
                    <w:snapToGrid w:val="0"/>
                    <w:jc w:val="center"/>
                    <w:rPr>
                      <w:color w:val="auto"/>
                      <w:szCs w:val="21"/>
                    </w:rPr>
                  </w:pPr>
                  <w:r>
                    <w:rPr>
                      <w:color w:val="auto"/>
                      <w:szCs w:val="21"/>
                    </w:rPr>
                    <w:t>项目不合格</w:t>
                  </w:r>
                  <w:r>
                    <w:rPr>
                      <w:rFonts w:hint="eastAsia"/>
                      <w:color w:val="auto"/>
                      <w:szCs w:val="21"/>
                    </w:rPr>
                    <w:t>产品</w:t>
                  </w:r>
                  <w:r>
                    <w:rPr>
                      <w:rFonts w:hint="eastAsia"/>
                      <w:bCs/>
                      <w:snapToGrid w:val="0"/>
                      <w:color w:val="auto"/>
                      <w:kern w:val="0"/>
                      <w:szCs w:val="21"/>
                    </w:rPr>
                    <w:t>、</w:t>
                  </w:r>
                  <w:r>
                    <w:rPr>
                      <w:color w:val="auto"/>
                      <w:szCs w:val="21"/>
                    </w:rPr>
                    <w:t>废包装材料收集暂存于</w:t>
                  </w:r>
                  <w:r>
                    <w:rPr>
                      <w:rFonts w:hint="eastAsia" w:cs="宋体"/>
                      <w:color w:val="auto"/>
                      <w:szCs w:val="21"/>
                    </w:rPr>
                    <w:t>一般固废暂存间</w:t>
                  </w:r>
                  <w:r>
                    <w:rPr>
                      <w:color w:val="auto"/>
                      <w:szCs w:val="21"/>
                    </w:rPr>
                    <w:t>，定期出售给废品收购商。化粪池及污水处理站污泥委托当地环卫部门清掏清运处置。生活垃圾集中收集于垃圾桶内，定期委托环卫部门清运处置。食堂泔水、隔油池废油脂清掏于带盖胶桶内，定期委托有资质单位清运处置。废活性炭、废UV灯管、废矿物油分类收集后暂存于危险废物暂存间内，定期委托有资质的单位清运处置。固废处置率为100%</w:t>
                  </w:r>
                  <w:r>
                    <w:rPr>
                      <w:rFonts w:hint="eastAsia"/>
                      <w:color w:val="auto"/>
                      <w:szCs w:val="21"/>
                    </w:rPr>
                    <w:t>。</w:t>
                  </w:r>
                </w:p>
              </w:tc>
              <w:tc>
                <w:tcPr>
                  <w:tcW w:w="772" w:type="dxa"/>
                  <w:vAlign w:val="center"/>
                </w:tcPr>
                <w:p w14:paraId="54E0C195">
                  <w:pPr>
                    <w:adjustRightInd w:val="0"/>
                    <w:snapToGrid w:val="0"/>
                    <w:jc w:val="center"/>
                    <w:rPr>
                      <w:color w:val="auto"/>
                      <w:szCs w:val="21"/>
                    </w:rPr>
                  </w:pPr>
                  <w:r>
                    <w:rPr>
                      <w:color w:val="auto"/>
                      <w:szCs w:val="21"/>
                    </w:rPr>
                    <w:t>符合</w:t>
                  </w:r>
                </w:p>
              </w:tc>
            </w:tr>
            <w:tr w14:paraId="1D393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527" w:type="dxa"/>
                  <w:vAlign w:val="center"/>
                </w:tcPr>
                <w:p w14:paraId="4845A3F2">
                  <w:pPr>
                    <w:adjustRightInd w:val="0"/>
                    <w:snapToGrid w:val="0"/>
                    <w:jc w:val="center"/>
                    <w:rPr>
                      <w:color w:val="auto"/>
                      <w:szCs w:val="21"/>
                    </w:rPr>
                  </w:pPr>
                  <w:r>
                    <w:rPr>
                      <w:color w:val="auto"/>
                      <w:szCs w:val="21"/>
                    </w:rPr>
                    <w:t>2</w:t>
                  </w:r>
                </w:p>
              </w:tc>
              <w:tc>
                <w:tcPr>
                  <w:tcW w:w="2764" w:type="dxa"/>
                  <w:vAlign w:val="center"/>
                </w:tcPr>
                <w:p w14:paraId="7386CCCD">
                  <w:pPr>
                    <w:adjustRightInd w:val="0"/>
                    <w:snapToGrid w:val="0"/>
                    <w:jc w:val="center"/>
                    <w:rPr>
                      <w:color w:val="auto"/>
                      <w:szCs w:val="21"/>
                    </w:rPr>
                  </w:pPr>
                  <w:r>
                    <w:rPr>
                      <w:color w:val="auto"/>
                      <w:szCs w:val="21"/>
                    </w:rPr>
                    <w:t>建设再生水回用系统，污染控制区内不得建设不符合国家产业政策的工业项目及高污染工业项目</w:t>
                  </w:r>
                  <w:r>
                    <w:rPr>
                      <w:rFonts w:hint="eastAsia"/>
                      <w:color w:val="auto"/>
                      <w:szCs w:val="21"/>
                    </w:rPr>
                    <w:t>。</w:t>
                  </w:r>
                </w:p>
              </w:tc>
              <w:tc>
                <w:tcPr>
                  <w:tcW w:w="3702" w:type="dxa"/>
                  <w:vAlign w:val="center"/>
                </w:tcPr>
                <w:p w14:paraId="026A7F7B">
                  <w:pPr>
                    <w:adjustRightInd w:val="0"/>
                    <w:snapToGrid w:val="0"/>
                    <w:jc w:val="center"/>
                    <w:rPr>
                      <w:color w:val="auto"/>
                      <w:szCs w:val="21"/>
                    </w:rPr>
                  </w:pPr>
                  <w:r>
                    <w:rPr>
                      <w:color w:val="auto"/>
                      <w:szCs w:val="21"/>
                    </w:rPr>
                    <w:t>项目不属于高污染工业项目，</w:t>
                  </w:r>
                  <w:r>
                    <w:rPr>
                      <w:rStyle w:val="37"/>
                      <w:color w:val="auto"/>
                      <w:sz w:val="21"/>
                      <w:szCs w:val="21"/>
                    </w:rPr>
                    <w:t>不属于限制类和淘汰类项目</w:t>
                  </w:r>
                  <w:r>
                    <w:rPr>
                      <w:color w:val="auto"/>
                      <w:szCs w:val="21"/>
                    </w:rPr>
                    <w:t>，符合国家产业政策</w:t>
                  </w:r>
                  <w:r>
                    <w:rPr>
                      <w:rFonts w:hint="eastAsia"/>
                      <w:color w:val="auto"/>
                      <w:szCs w:val="21"/>
                    </w:rPr>
                    <w:t>。</w:t>
                  </w:r>
                </w:p>
              </w:tc>
              <w:tc>
                <w:tcPr>
                  <w:tcW w:w="772" w:type="dxa"/>
                  <w:vAlign w:val="center"/>
                </w:tcPr>
                <w:p w14:paraId="5A38DF95">
                  <w:pPr>
                    <w:adjustRightInd w:val="0"/>
                    <w:snapToGrid w:val="0"/>
                    <w:jc w:val="center"/>
                    <w:rPr>
                      <w:color w:val="auto"/>
                      <w:szCs w:val="21"/>
                    </w:rPr>
                  </w:pPr>
                  <w:r>
                    <w:rPr>
                      <w:color w:val="auto"/>
                      <w:szCs w:val="21"/>
                    </w:rPr>
                    <w:t>符合</w:t>
                  </w:r>
                </w:p>
              </w:tc>
            </w:tr>
          </w:tbl>
          <w:p w14:paraId="522660C9">
            <w:pPr>
              <w:pStyle w:val="41"/>
              <w:rPr>
                <w:color w:val="auto"/>
              </w:rPr>
            </w:pPr>
            <w:r>
              <w:rPr>
                <w:color w:val="auto"/>
              </w:rPr>
              <w:t>综上所述，项目</w:t>
            </w:r>
            <w:r>
              <w:rPr>
                <w:rFonts w:hint="eastAsia"/>
                <w:color w:val="auto"/>
              </w:rPr>
              <w:t>与</w:t>
            </w:r>
            <w:r>
              <w:rPr>
                <w:color w:val="auto"/>
              </w:rPr>
              <w:t>《牛栏江（昆明段）水环境保护规划（2011~2030）》</w:t>
            </w:r>
            <w:r>
              <w:rPr>
                <w:rFonts w:hint="eastAsia"/>
                <w:color w:val="auto"/>
              </w:rPr>
              <w:t>相符</w:t>
            </w:r>
            <w:r>
              <w:rPr>
                <w:color w:val="auto"/>
              </w:rPr>
              <w:t>。</w:t>
            </w:r>
          </w:p>
          <w:p w14:paraId="30866207">
            <w:pPr>
              <w:autoSpaceDE w:val="0"/>
              <w:autoSpaceDN w:val="0"/>
              <w:adjustRightInd w:val="0"/>
              <w:snapToGrid w:val="0"/>
              <w:spacing w:line="360" w:lineRule="auto"/>
              <w:ind w:firstLine="482" w:firstLineChars="200"/>
              <w:jc w:val="left"/>
              <w:rPr>
                <w:color w:val="auto"/>
                <w:kern w:val="0"/>
                <w:sz w:val="24"/>
              </w:rPr>
            </w:pPr>
            <w:r>
              <w:rPr>
                <w:rFonts w:hint="eastAsia"/>
                <w:b/>
                <w:bCs/>
                <w:color w:val="auto"/>
                <w:kern w:val="0"/>
                <w:sz w:val="24"/>
              </w:rPr>
              <w:t>7、</w:t>
            </w:r>
            <w:r>
              <w:rPr>
                <w:b/>
                <w:bCs/>
                <w:color w:val="auto"/>
                <w:kern w:val="0"/>
                <w:sz w:val="24"/>
              </w:rPr>
              <w:t>与《牛栏江流域（寻甸段）水环境保护规划（20</w:t>
            </w:r>
            <w:r>
              <w:rPr>
                <w:rFonts w:hint="eastAsia"/>
                <w:b/>
                <w:bCs/>
                <w:color w:val="auto"/>
                <w:kern w:val="0"/>
                <w:sz w:val="24"/>
              </w:rPr>
              <w:t>09</w:t>
            </w:r>
            <w:r>
              <w:rPr>
                <w:b/>
                <w:bCs/>
                <w:color w:val="auto"/>
                <w:kern w:val="0"/>
                <w:sz w:val="24"/>
              </w:rPr>
              <w:t>~2030）》的相符性分析</w:t>
            </w:r>
          </w:p>
          <w:p w14:paraId="61D8065C">
            <w:pPr>
              <w:autoSpaceDE w:val="0"/>
              <w:autoSpaceDN w:val="0"/>
              <w:adjustRightInd w:val="0"/>
              <w:snapToGrid w:val="0"/>
              <w:spacing w:line="360" w:lineRule="auto"/>
              <w:ind w:firstLine="480" w:firstLineChars="200"/>
              <w:jc w:val="left"/>
              <w:rPr>
                <w:color w:val="auto"/>
                <w:kern w:val="0"/>
                <w:sz w:val="24"/>
              </w:rPr>
            </w:pPr>
            <w:r>
              <w:rPr>
                <w:color w:val="auto"/>
                <w:kern w:val="0"/>
                <w:sz w:val="24"/>
              </w:rPr>
              <w:t>根据《牛栏江流域（寻甸段）水环境保护规划》分区结果，牛栏江流域（寻甸段）共分为三个区进行保护，水源保护核心区、重点污染控制区、重点水源涵养区，各分区范围节点如下：</w:t>
            </w:r>
          </w:p>
          <w:p w14:paraId="51DE0B6B">
            <w:pPr>
              <w:autoSpaceDE w:val="0"/>
              <w:autoSpaceDN w:val="0"/>
              <w:adjustRightInd w:val="0"/>
              <w:snapToGrid w:val="0"/>
              <w:spacing w:line="360" w:lineRule="auto"/>
              <w:ind w:firstLine="480" w:firstLineChars="200"/>
              <w:jc w:val="left"/>
              <w:rPr>
                <w:color w:val="auto"/>
                <w:kern w:val="0"/>
                <w:sz w:val="24"/>
              </w:rPr>
            </w:pPr>
            <w:r>
              <w:rPr>
                <w:color w:val="auto"/>
                <w:kern w:val="0"/>
                <w:sz w:val="24"/>
              </w:rPr>
              <w:t>①水源保护核心区范围为牛栏江流域（寻甸段）干流1000m范围。水源保护核心区分为禁止建设区、限制建设区两个区，禁止建设区范围指干流河面水域及沿岸外延200m的区域，限制建设区范围指干流沿岸外200m—1000m之间的区域。</w:t>
            </w:r>
          </w:p>
          <w:p w14:paraId="1E1AE0B4">
            <w:pPr>
              <w:autoSpaceDE w:val="0"/>
              <w:autoSpaceDN w:val="0"/>
              <w:adjustRightInd w:val="0"/>
              <w:snapToGrid w:val="0"/>
              <w:spacing w:line="360" w:lineRule="auto"/>
              <w:ind w:firstLine="480" w:firstLineChars="200"/>
              <w:jc w:val="left"/>
              <w:rPr>
                <w:color w:val="auto"/>
                <w:kern w:val="0"/>
                <w:sz w:val="24"/>
              </w:rPr>
            </w:pPr>
            <w:r>
              <w:rPr>
                <w:color w:val="auto"/>
                <w:kern w:val="0"/>
                <w:sz w:val="24"/>
              </w:rPr>
              <w:t>②重点污染控制区范围指水体保护核心区外，主要入江支流水域外延3000m的区域和流域范围内的坝区，若区域范围超过一级山脊，按一级山脊线划定。</w:t>
            </w:r>
          </w:p>
          <w:p w14:paraId="0D9035E8">
            <w:pPr>
              <w:autoSpaceDE w:val="0"/>
              <w:autoSpaceDN w:val="0"/>
              <w:adjustRightInd w:val="0"/>
              <w:snapToGrid w:val="0"/>
              <w:spacing w:line="360" w:lineRule="auto"/>
              <w:ind w:firstLine="480" w:firstLineChars="200"/>
              <w:jc w:val="left"/>
              <w:rPr>
                <w:color w:val="auto"/>
                <w:kern w:val="0"/>
                <w:sz w:val="24"/>
              </w:rPr>
            </w:pPr>
            <w:r>
              <w:rPr>
                <w:color w:val="auto"/>
                <w:kern w:val="0"/>
                <w:sz w:val="24"/>
              </w:rPr>
              <w:t>③重点水源涵养区范围指流域范围内除水源保护核心区、重点污染控制区以外的区域。</w:t>
            </w:r>
          </w:p>
          <w:p w14:paraId="70FE2A26">
            <w:pPr>
              <w:autoSpaceDE w:val="0"/>
              <w:autoSpaceDN w:val="0"/>
              <w:adjustRightInd w:val="0"/>
              <w:snapToGrid w:val="0"/>
              <w:spacing w:line="360" w:lineRule="auto"/>
              <w:ind w:firstLine="480" w:firstLineChars="200"/>
              <w:jc w:val="left"/>
              <w:rPr>
                <w:color w:val="auto"/>
                <w:kern w:val="0"/>
                <w:sz w:val="24"/>
              </w:rPr>
            </w:pPr>
            <w:r>
              <w:rPr>
                <w:color w:val="auto"/>
                <w:kern w:val="0"/>
                <w:sz w:val="24"/>
              </w:rPr>
              <w:t>本项目位于寻甸特色产业园区</w:t>
            </w:r>
            <w:r>
              <w:rPr>
                <w:rFonts w:hint="eastAsia"/>
                <w:color w:val="auto"/>
                <w:kern w:val="0"/>
                <w:sz w:val="24"/>
              </w:rPr>
              <w:t>羊街</w:t>
            </w:r>
            <w:r>
              <w:rPr>
                <w:color w:val="auto"/>
                <w:kern w:val="0"/>
                <w:sz w:val="24"/>
              </w:rPr>
              <w:t>片区，属重点污染控制区。对照《牛栏江（寻甸段）水环境保护规划（2011~2030）》对重点污染控制区的水环境保护策略，项目符合性分析见</w:t>
            </w:r>
            <w:r>
              <w:rPr>
                <w:rFonts w:hint="eastAsia"/>
                <w:color w:val="auto"/>
                <w:kern w:val="0"/>
                <w:sz w:val="24"/>
              </w:rPr>
              <w:t>下表</w:t>
            </w:r>
            <w:r>
              <w:rPr>
                <w:color w:val="auto"/>
                <w:kern w:val="0"/>
                <w:sz w:val="24"/>
              </w:rPr>
              <w:t>。</w:t>
            </w:r>
          </w:p>
          <w:p w14:paraId="6F172111">
            <w:pPr>
              <w:autoSpaceDE w:val="0"/>
              <w:autoSpaceDN w:val="0"/>
              <w:adjustRightInd w:val="0"/>
              <w:snapToGrid w:val="0"/>
              <w:jc w:val="center"/>
              <w:rPr>
                <w:b/>
                <w:bCs/>
                <w:color w:val="auto"/>
                <w:kern w:val="0"/>
                <w:szCs w:val="21"/>
              </w:rPr>
            </w:pPr>
            <w:r>
              <w:rPr>
                <w:b/>
                <w:bCs/>
                <w:color w:val="auto"/>
                <w:kern w:val="0"/>
                <w:szCs w:val="21"/>
              </w:rPr>
              <w:t>表1-</w:t>
            </w:r>
            <w:r>
              <w:rPr>
                <w:rFonts w:hint="eastAsia"/>
                <w:b/>
                <w:bCs/>
                <w:color w:val="auto"/>
                <w:kern w:val="0"/>
                <w:szCs w:val="21"/>
              </w:rPr>
              <w:t>8</w:t>
            </w:r>
            <w:r>
              <w:rPr>
                <w:b/>
                <w:bCs/>
                <w:color w:val="auto"/>
                <w:kern w:val="0"/>
                <w:szCs w:val="21"/>
              </w:rPr>
              <w:t xml:space="preserve">  </w:t>
            </w:r>
            <w:r>
              <w:rPr>
                <w:rFonts w:hint="eastAsia"/>
                <w:b/>
                <w:bCs/>
                <w:color w:val="auto"/>
                <w:kern w:val="0"/>
                <w:szCs w:val="21"/>
              </w:rPr>
              <w:t>与牛栏江（寻甸段）水环境保护规划（2011~2030）</w:t>
            </w:r>
            <w:r>
              <w:rPr>
                <w:b/>
                <w:bCs/>
                <w:color w:val="auto"/>
                <w:kern w:val="0"/>
                <w:szCs w:val="21"/>
              </w:rPr>
              <w:t>对照分析表</w:t>
            </w:r>
          </w:p>
          <w:tbl>
            <w:tblPr>
              <w:tblStyle w:val="30"/>
              <w:tblW w:w="76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4033"/>
              <w:gridCol w:w="2560"/>
              <w:gridCol w:w="667"/>
            </w:tblGrid>
            <w:tr w14:paraId="764B8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405" w:type="dxa"/>
                  <w:vAlign w:val="center"/>
                </w:tcPr>
                <w:p w14:paraId="53C979CD">
                  <w:pPr>
                    <w:autoSpaceDE w:val="0"/>
                    <w:autoSpaceDN w:val="0"/>
                    <w:adjustRightInd w:val="0"/>
                    <w:snapToGrid w:val="0"/>
                    <w:jc w:val="center"/>
                    <w:rPr>
                      <w:color w:val="auto"/>
                      <w:kern w:val="0"/>
                      <w:szCs w:val="21"/>
                    </w:rPr>
                  </w:pPr>
                  <w:r>
                    <w:rPr>
                      <w:color w:val="auto"/>
                      <w:kern w:val="0"/>
                      <w:szCs w:val="21"/>
                    </w:rPr>
                    <w:t>序号</w:t>
                  </w:r>
                </w:p>
              </w:tc>
              <w:tc>
                <w:tcPr>
                  <w:tcW w:w="4033" w:type="dxa"/>
                  <w:vAlign w:val="center"/>
                </w:tcPr>
                <w:p w14:paraId="37FB9D05">
                  <w:pPr>
                    <w:autoSpaceDE w:val="0"/>
                    <w:autoSpaceDN w:val="0"/>
                    <w:adjustRightInd w:val="0"/>
                    <w:snapToGrid w:val="0"/>
                    <w:jc w:val="center"/>
                    <w:rPr>
                      <w:color w:val="auto"/>
                      <w:kern w:val="0"/>
                      <w:szCs w:val="21"/>
                    </w:rPr>
                  </w:pPr>
                  <w:r>
                    <w:rPr>
                      <w:color w:val="auto"/>
                      <w:kern w:val="0"/>
                      <w:szCs w:val="21"/>
                    </w:rPr>
                    <w:t>《牛栏江流域（寻甸段）水环境保护规划》重点污染控制区水环境保护策略</w:t>
                  </w:r>
                </w:p>
              </w:tc>
              <w:tc>
                <w:tcPr>
                  <w:tcW w:w="2560" w:type="dxa"/>
                  <w:vAlign w:val="center"/>
                </w:tcPr>
                <w:p w14:paraId="0ABF0EAF">
                  <w:pPr>
                    <w:autoSpaceDE w:val="0"/>
                    <w:autoSpaceDN w:val="0"/>
                    <w:adjustRightInd w:val="0"/>
                    <w:snapToGrid w:val="0"/>
                    <w:jc w:val="center"/>
                    <w:rPr>
                      <w:color w:val="auto"/>
                      <w:kern w:val="0"/>
                      <w:szCs w:val="21"/>
                    </w:rPr>
                  </w:pPr>
                  <w:r>
                    <w:rPr>
                      <w:color w:val="auto"/>
                      <w:kern w:val="0"/>
                      <w:szCs w:val="21"/>
                    </w:rPr>
                    <w:t>该项目情况</w:t>
                  </w:r>
                </w:p>
              </w:tc>
              <w:tc>
                <w:tcPr>
                  <w:tcW w:w="667" w:type="dxa"/>
                  <w:vAlign w:val="center"/>
                </w:tcPr>
                <w:p w14:paraId="6C442C22">
                  <w:pPr>
                    <w:autoSpaceDE w:val="0"/>
                    <w:autoSpaceDN w:val="0"/>
                    <w:adjustRightInd w:val="0"/>
                    <w:snapToGrid w:val="0"/>
                    <w:jc w:val="center"/>
                    <w:rPr>
                      <w:color w:val="auto"/>
                      <w:kern w:val="0"/>
                      <w:szCs w:val="21"/>
                    </w:rPr>
                  </w:pPr>
                  <w:r>
                    <w:rPr>
                      <w:color w:val="auto"/>
                      <w:kern w:val="0"/>
                      <w:szCs w:val="21"/>
                    </w:rPr>
                    <w:t>相符性</w:t>
                  </w:r>
                </w:p>
              </w:tc>
            </w:tr>
            <w:tr w14:paraId="784E1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05" w:type="dxa"/>
                  <w:vAlign w:val="center"/>
                </w:tcPr>
                <w:p w14:paraId="105805E8">
                  <w:pPr>
                    <w:autoSpaceDE w:val="0"/>
                    <w:autoSpaceDN w:val="0"/>
                    <w:adjustRightInd w:val="0"/>
                    <w:snapToGrid w:val="0"/>
                    <w:jc w:val="center"/>
                    <w:rPr>
                      <w:color w:val="auto"/>
                      <w:kern w:val="0"/>
                      <w:szCs w:val="21"/>
                    </w:rPr>
                  </w:pPr>
                  <w:r>
                    <w:rPr>
                      <w:color w:val="auto"/>
                      <w:kern w:val="0"/>
                      <w:szCs w:val="21"/>
                    </w:rPr>
                    <w:t>1</w:t>
                  </w:r>
                </w:p>
              </w:tc>
              <w:tc>
                <w:tcPr>
                  <w:tcW w:w="4033" w:type="dxa"/>
                  <w:vAlign w:val="center"/>
                </w:tcPr>
                <w:p w14:paraId="0EF0B6CC">
                  <w:pPr>
                    <w:autoSpaceDE w:val="0"/>
                    <w:autoSpaceDN w:val="0"/>
                    <w:adjustRightInd w:val="0"/>
                    <w:snapToGrid w:val="0"/>
                    <w:jc w:val="center"/>
                    <w:rPr>
                      <w:color w:val="auto"/>
                      <w:kern w:val="0"/>
                      <w:szCs w:val="21"/>
                    </w:rPr>
                  </w:pPr>
                  <w:r>
                    <w:rPr>
                      <w:color w:val="auto"/>
                      <w:kern w:val="0"/>
                      <w:szCs w:val="21"/>
                    </w:rPr>
                    <w:t>加强对重点工业污染源的监督，确保牛栏江流域（寻甸段）内重点企业污水稳定达标排放并实现“零排放”，固体废弃物最大程度重复利用和安全处置，消除工业企业的环境安全隐患，确保环保设施的正常运行，杜绝工业企业偷排、漏排污染物的现象。</w:t>
                  </w:r>
                </w:p>
              </w:tc>
              <w:tc>
                <w:tcPr>
                  <w:tcW w:w="2560" w:type="dxa"/>
                  <w:vAlign w:val="center"/>
                </w:tcPr>
                <w:p w14:paraId="4923B12D">
                  <w:pPr>
                    <w:autoSpaceDE w:val="0"/>
                    <w:autoSpaceDN w:val="0"/>
                    <w:adjustRightInd w:val="0"/>
                    <w:snapToGrid w:val="0"/>
                    <w:jc w:val="center"/>
                    <w:rPr>
                      <w:color w:val="auto"/>
                      <w:kern w:val="0"/>
                      <w:szCs w:val="21"/>
                    </w:rPr>
                  </w:pPr>
                  <w:r>
                    <w:rPr>
                      <w:color w:val="auto"/>
                      <w:kern w:val="0"/>
                      <w:szCs w:val="21"/>
                    </w:rPr>
                    <w:t>项目</w:t>
                  </w:r>
                  <w:r>
                    <w:rPr>
                      <w:rFonts w:hint="eastAsia"/>
                      <w:color w:val="auto"/>
                      <w:kern w:val="0"/>
                      <w:szCs w:val="21"/>
                    </w:rPr>
                    <w:t>生活污水经处理达《城市污水再生利用 城市杂用水水质》（GB/T18920-2020）中城市绿化、道路清扫、消防、建筑施工标准</w:t>
                  </w:r>
                  <w:r>
                    <w:rPr>
                      <w:rFonts w:hint="eastAsia"/>
                      <w:color w:val="auto"/>
                      <w:szCs w:val="21"/>
                    </w:rPr>
                    <w:t>后</w:t>
                  </w:r>
                  <w:r>
                    <w:rPr>
                      <w:color w:val="auto"/>
                      <w:szCs w:val="21"/>
                    </w:rPr>
                    <w:t>回用于</w:t>
                  </w:r>
                  <w:r>
                    <w:rPr>
                      <w:rFonts w:hint="eastAsia"/>
                      <w:color w:val="auto"/>
                      <w:szCs w:val="21"/>
                    </w:rPr>
                    <w:t>厂</w:t>
                  </w:r>
                  <w:r>
                    <w:rPr>
                      <w:color w:val="auto"/>
                      <w:szCs w:val="21"/>
                    </w:rPr>
                    <w:t>区绿化</w:t>
                  </w:r>
                  <w:r>
                    <w:rPr>
                      <w:rFonts w:hint="eastAsia"/>
                      <w:color w:val="auto"/>
                      <w:szCs w:val="21"/>
                    </w:rPr>
                    <w:t>和道路洒水降尘</w:t>
                  </w:r>
                  <w:r>
                    <w:rPr>
                      <w:color w:val="auto"/>
                      <w:kern w:val="0"/>
                      <w:szCs w:val="21"/>
                    </w:rPr>
                    <w:t>，不外排</w:t>
                  </w:r>
                  <w:r>
                    <w:rPr>
                      <w:rFonts w:hint="eastAsia"/>
                      <w:color w:val="auto"/>
                      <w:kern w:val="0"/>
                      <w:szCs w:val="21"/>
                    </w:rPr>
                    <w:t>；</w:t>
                  </w:r>
                  <w:r>
                    <w:rPr>
                      <w:rFonts w:hint="eastAsia"/>
                      <w:color w:val="auto"/>
                      <w:szCs w:val="21"/>
                      <w:lang w:val="zh-CN" w:bidi="ar"/>
                    </w:rPr>
                    <w:t>项目</w:t>
                  </w:r>
                  <w:r>
                    <w:rPr>
                      <w:rFonts w:hint="eastAsia"/>
                      <w:color w:val="auto"/>
                      <w:szCs w:val="21"/>
                      <w:lang w:bidi="ar"/>
                    </w:rPr>
                    <w:t>无</w:t>
                  </w:r>
                  <w:r>
                    <w:rPr>
                      <w:rFonts w:hint="eastAsia"/>
                      <w:color w:val="auto"/>
                      <w:szCs w:val="21"/>
                      <w:lang w:val="zh-CN" w:bidi="ar"/>
                    </w:rPr>
                    <w:t>生产</w:t>
                  </w:r>
                  <w:r>
                    <w:rPr>
                      <w:rFonts w:hint="eastAsia"/>
                      <w:color w:val="auto"/>
                      <w:szCs w:val="21"/>
                      <w:lang w:bidi="ar"/>
                    </w:rPr>
                    <w:t>废水</w:t>
                  </w:r>
                  <w:r>
                    <w:rPr>
                      <w:rFonts w:hint="eastAsia"/>
                      <w:color w:val="auto"/>
                      <w:kern w:val="0"/>
                      <w:szCs w:val="21"/>
                    </w:rPr>
                    <w:t>。</w:t>
                  </w:r>
                  <w:r>
                    <w:rPr>
                      <w:color w:val="auto"/>
                      <w:kern w:val="0"/>
                      <w:szCs w:val="21"/>
                    </w:rPr>
                    <w:t>能实现污水“零排放”固废处置率100%。</w:t>
                  </w:r>
                </w:p>
              </w:tc>
              <w:tc>
                <w:tcPr>
                  <w:tcW w:w="667" w:type="dxa"/>
                  <w:vAlign w:val="center"/>
                </w:tcPr>
                <w:p w14:paraId="3C830038">
                  <w:pPr>
                    <w:autoSpaceDE w:val="0"/>
                    <w:autoSpaceDN w:val="0"/>
                    <w:adjustRightInd w:val="0"/>
                    <w:snapToGrid w:val="0"/>
                    <w:jc w:val="center"/>
                    <w:rPr>
                      <w:color w:val="auto"/>
                      <w:kern w:val="0"/>
                      <w:szCs w:val="21"/>
                    </w:rPr>
                  </w:pPr>
                  <w:r>
                    <w:rPr>
                      <w:color w:val="auto"/>
                      <w:kern w:val="0"/>
                      <w:szCs w:val="21"/>
                    </w:rPr>
                    <w:t>符合</w:t>
                  </w:r>
                </w:p>
              </w:tc>
            </w:tr>
            <w:tr w14:paraId="72BC7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05" w:type="dxa"/>
                  <w:vAlign w:val="center"/>
                </w:tcPr>
                <w:p w14:paraId="11A1F6D5">
                  <w:pPr>
                    <w:autoSpaceDE w:val="0"/>
                    <w:autoSpaceDN w:val="0"/>
                    <w:adjustRightInd w:val="0"/>
                    <w:snapToGrid w:val="0"/>
                    <w:jc w:val="center"/>
                    <w:rPr>
                      <w:color w:val="auto"/>
                      <w:kern w:val="0"/>
                      <w:szCs w:val="21"/>
                    </w:rPr>
                  </w:pPr>
                  <w:r>
                    <w:rPr>
                      <w:color w:val="auto"/>
                      <w:kern w:val="0"/>
                      <w:szCs w:val="21"/>
                    </w:rPr>
                    <w:t>2</w:t>
                  </w:r>
                </w:p>
              </w:tc>
              <w:tc>
                <w:tcPr>
                  <w:tcW w:w="4033" w:type="dxa"/>
                  <w:vAlign w:val="center"/>
                </w:tcPr>
                <w:p w14:paraId="4F250745">
                  <w:pPr>
                    <w:autoSpaceDE w:val="0"/>
                    <w:autoSpaceDN w:val="0"/>
                    <w:adjustRightInd w:val="0"/>
                    <w:snapToGrid w:val="0"/>
                    <w:jc w:val="center"/>
                    <w:rPr>
                      <w:color w:val="auto"/>
                      <w:kern w:val="0"/>
                      <w:szCs w:val="21"/>
                    </w:rPr>
                  </w:pPr>
                  <w:r>
                    <w:rPr>
                      <w:color w:val="auto"/>
                      <w:kern w:val="0"/>
                      <w:szCs w:val="21"/>
                    </w:rPr>
                    <w:t>建设再生水回用系统，污染控制区内不得建设不符合国家产业政策的工业项目及高污染工业项目；新建工业项目废水不得排放有毒有害物质，改扩建项目不得新增 COD、TN、TP排放量；新建、改建、扩建工业项目应采用先进的生产工艺和污染防治技术，其清洁生产水平达到国家清洁生产标准中的国内先进水平。</w:t>
                  </w:r>
                </w:p>
              </w:tc>
              <w:tc>
                <w:tcPr>
                  <w:tcW w:w="2560" w:type="dxa"/>
                  <w:vAlign w:val="center"/>
                </w:tcPr>
                <w:p w14:paraId="77845CFE">
                  <w:pPr>
                    <w:autoSpaceDE w:val="0"/>
                    <w:autoSpaceDN w:val="0"/>
                    <w:adjustRightInd w:val="0"/>
                    <w:snapToGrid w:val="0"/>
                    <w:jc w:val="center"/>
                    <w:rPr>
                      <w:color w:val="auto"/>
                      <w:kern w:val="0"/>
                      <w:szCs w:val="21"/>
                    </w:rPr>
                  </w:pPr>
                  <w:r>
                    <w:rPr>
                      <w:color w:val="auto"/>
                      <w:kern w:val="0"/>
                      <w:szCs w:val="21"/>
                    </w:rPr>
                    <w:t>项目不属于高污染工业项目，项目废水</w:t>
                  </w:r>
                  <w:r>
                    <w:rPr>
                      <w:rFonts w:hint="eastAsia"/>
                      <w:color w:val="auto"/>
                      <w:kern w:val="0"/>
                      <w:szCs w:val="21"/>
                    </w:rPr>
                    <w:t>不</w:t>
                  </w:r>
                  <w:r>
                    <w:rPr>
                      <w:color w:val="auto"/>
                      <w:kern w:val="0"/>
                      <w:szCs w:val="21"/>
                    </w:rPr>
                    <w:t>外排，不会排放有毒有害物质。</w:t>
                  </w:r>
                </w:p>
              </w:tc>
              <w:tc>
                <w:tcPr>
                  <w:tcW w:w="667" w:type="dxa"/>
                  <w:vAlign w:val="center"/>
                </w:tcPr>
                <w:p w14:paraId="462E255B">
                  <w:pPr>
                    <w:autoSpaceDE w:val="0"/>
                    <w:autoSpaceDN w:val="0"/>
                    <w:adjustRightInd w:val="0"/>
                    <w:snapToGrid w:val="0"/>
                    <w:jc w:val="center"/>
                    <w:rPr>
                      <w:color w:val="auto"/>
                      <w:kern w:val="0"/>
                      <w:szCs w:val="21"/>
                    </w:rPr>
                  </w:pPr>
                  <w:r>
                    <w:rPr>
                      <w:color w:val="auto"/>
                      <w:kern w:val="0"/>
                      <w:szCs w:val="21"/>
                    </w:rPr>
                    <w:t>符合</w:t>
                  </w:r>
                </w:p>
              </w:tc>
            </w:tr>
          </w:tbl>
          <w:p w14:paraId="13021C32">
            <w:pPr>
              <w:adjustRightInd w:val="0"/>
              <w:snapToGrid w:val="0"/>
              <w:spacing w:line="360" w:lineRule="auto"/>
              <w:ind w:firstLine="480" w:firstLineChars="200"/>
              <w:rPr>
                <w:color w:val="auto"/>
                <w:kern w:val="0"/>
                <w:sz w:val="24"/>
                <w:szCs w:val="20"/>
              </w:rPr>
            </w:pPr>
            <w:r>
              <w:rPr>
                <w:rFonts w:hint="eastAsia" w:ascii="宋体" w:hAnsi="宋体" w:cs="宋体"/>
                <w:color w:val="auto"/>
                <w:sz w:val="24"/>
              </w:rPr>
              <w:t>由上表分析可知，</w:t>
            </w:r>
            <w:r>
              <w:rPr>
                <w:color w:val="auto"/>
                <w:kern w:val="0"/>
                <w:sz w:val="24"/>
                <w:szCs w:val="20"/>
              </w:rPr>
              <w:t>项目符合《牛栏江流域（寻甸段）水环境保护规划》对重点污染控制区的相关要求。</w:t>
            </w:r>
          </w:p>
          <w:p w14:paraId="41ED35E5">
            <w:pPr>
              <w:pStyle w:val="38"/>
              <w:ind w:left="0" w:right="0"/>
              <w:jc w:val="both"/>
              <w:rPr>
                <w:b/>
                <w:bCs/>
                <w:color w:val="auto"/>
                <w:sz w:val="24"/>
              </w:rPr>
            </w:pPr>
            <w:r>
              <w:rPr>
                <w:rFonts w:hint="eastAsia"/>
                <w:b/>
                <w:bCs/>
                <w:color w:val="auto"/>
                <w:sz w:val="24"/>
              </w:rPr>
              <w:t>8、与《关于印发&lt;长江经济带发展负面清单指南（试行，2022年版）&gt;的通知》的符合性分析</w:t>
            </w:r>
          </w:p>
          <w:p w14:paraId="4557B9E8">
            <w:pPr>
              <w:pStyle w:val="38"/>
              <w:ind w:left="0" w:right="0"/>
              <w:jc w:val="both"/>
              <w:rPr>
                <w:color w:val="auto"/>
                <w:sz w:val="24"/>
              </w:rPr>
            </w:pPr>
            <w:r>
              <w:rPr>
                <w:rFonts w:hint="eastAsia"/>
                <w:color w:val="auto"/>
                <w:sz w:val="24"/>
              </w:rPr>
              <w:t>2022年1月19日，推动长江经济带发展领导小组办公室发布了《关于印发&lt;长江经济带发展负面清单指南（试行，2022年版）&gt;的通知》（长江办[2022]7号）。项目与《长江经济带发展负面清单指南（试行，2022年版）》的符合性分析见下表。</w:t>
            </w:r>
          </w:p>
          <w:p w14:paraId="493316C1">
            <w:pPr>
              <w:autoSpaceDE w:val="0"/>
              <w:autoSpaceDN w:val="0"/>
              <w:adjustRightInd w:val="0"/>
              <w:snapToGrid w:val="0"/>
              <w:jc w:val="center"/>
              <w:rPr>
                <w:b/>
                <w:bCs/>
                <w:color w:val="auto"/>
                <w:kern w:val="0"/>
                <w:szCs w:val="21"/>
              </w:rPr>
            </w:pPr>
            <w:r>
              <w:rPr>
                <w:b/>
                <w:bCs/>
                <w:color w:val="auto"/>
                <w:kern w:val="0"/>
                <w:szCs w:val="21"/>
              </w:rPr>
              <w:t>表1-</w:t>
            </w:r>
            <w:r>
              <w:rPr>
                <w:rFonts w:hint="eastAsia"/>
                <w:b/>
                <w:bCs/>
                <w:color w:val="auto"/>
                <w:kern w:val="0"/>
                <w:szCs w:val="21"/>
              </w:rPr>
              <w:t>9</w:t>
            </w:r>
            <w:r>
              <w:rPr>
                <w:b/>
                <w:bCs/>
                <w:color w:val="auto"/>
                <w:kern w:val="0"/>
                <w:szCs w:val="21"/>
              </w:rPr>
              <w:t xml:space="preserve">  </w:t>
            </w:r>
            <w:r>
              <w:rPr>
                <w:rFonts w:hint="eastAsia"/>
                <w:b/>
                <w:bCs/>
                <w:color w:val="auto"/>
                <w:kern w:val="0"/>
                <w:szCs w:val="21"/>
              </w:rPr>
              <w:t>与《长江经济带发展负面清单指南（试行，2022年版）》</w:t>
            </w:r>
            <w:r>
              <w:rPr>
                <w:b/>
                <w:bCs/>
                <w:color w:val="auto"/>
                <w:kern w:val="0"/>
                <w:szCs w:val="21"/>
              </w:rPr>
              <w:t>对照分析表</w:t>
            </w:r>
          </w:p>
          <w:tbl>
            <w:tblPr>
              <w:tblStyle w:val="30"/>
              <w:tblW w:w="76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
              <w:gridCol w:w="4112"/>
              <w:gridCol w:w="2399"/>
              <w:gridCol w:w="667"/>
            </w:tblGrid>
            <w:tr w14:paraId="27EFB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487" w:type="dxa"/>
                  <w:vAlign w:val="center"/>
                </w:tcPr>
                <w:p w14:paraId="6F6959DF">
                  <w:pPr>
                    <w:autoSpaceDE w:val="0"/>
                    <w:autoSpaceDN w:val="0"/>
                    <w:adjustRightInd w:val="0"/>
                    <w:snapToGrid w:val="0"/>
                    <w:jc w:val="center"/>
                    <w:rPr>
                      <w:color w:val="auto"/>
                      <w:kern w:val="0"/>
                      <w:szCs w:val="21"/>
                    </w:rPr>
                  </w:pPr>
                  <w:r>
                    <w:rPr>
                      <w:color w:val="auto"/>
                      <w:kern w:val="0"/>
                      <w:szCs w:val="21"/>
                    </w:rPr>
                    <w:t>序号</w:t>
                  </w:r>
                </w:p>
              </w:tc>
              <w:tc>
                <w:tcPr>
                  <w:tcW w:w="4112" w:type="dxa"/>
                  <w:vAlign w:val="center"/>
                </w:tcPr>
                <w:p w14:paraId="612F312C">
                  <w:pPr>
                    <w:autoSpaceDE w:val="0"/>
                    <w:autoSpaceDN w:val="0"/>
                    <w:adjustRightInd w:val="0"/>
                    <w:snapToGrid w:val="0"/>
                    <w:jc w:val="center"/>
                    <w:rPr>
                      <w:color w:val="auto"/>
                      <w:kern w:val="0"/>
                      <w:szCs w:val="21"/>
                    </w:rPr>
                  </w:pPr>
                  <w:r>
                    <w:rPr>
                      <w:color w:val="auto"/>
                      <w:kern w:val="0"/>
                      <w:szCs w:val="21"/>
                    </w:rPr>
                    <w:t>《长江经济带发展负面清单指南（试行，2022年版）》</w:t>
                  </w:r>
                </w:p>
              </w:tc>
              <w:tc>
                <w:tcPr>
                  <w:tcW w:w="2399" w:type="dxa"/>
                  <w:vAlign w:val="center"/>
                </w:tcPr>
                <w:p w14:paraId="770C9E26">
                  <w:pPr>
                    <w:autoSpaceDE w:val="0"/>
                    <w:autoSpaceDN w:val="0"/>
                    <w:adjustRightInd w:val="0"/>
                    <w:snapToGrid w:val="0"/>
                    <w:jc w:val="center"/>
                    <w:rPr>
                      <w:color w:val="auto"/>
                      <w:kern w:val="0"/>
                      <w:szCs w:val="21"/>
                    </w:rPr>
                  </w:pPr>
                  <w:r>
                    <w:rPr>
                      <w:color w:val="auto"/>
                      <w:kern w:val="0"/>
                      <w:szCs w:val="21"/>
                    </w:rPr>
                    <w:t>该项目情况</w:t>
                  </w:r>
                </w:p>
              </w:tc>
              <w:tc>
                <w:tcPr>
                  <w:tcW w:w="667" w:type="dxa"/>
                  <w:vAlign w:val="center"/>
                </w:tcPr>
                <w:p w14:paraId="3A3870E8">
                  <w:pPr>
                    <w:autoSpaceDE w:val="0"/>
                    <w:autoSpaceDN w:val="0"/>
                    <w:adjustRightInd w:val="0"/>
                    <w:snapToGrid w:val="0"/>
                    <w:jc w:val="center"/>
                    <w:rPr>
                      <w:color w:val="auto"/>
                      <w:kern w:val="0"/>
                      <w:szCs w:val="21"/>
                    </w:rPr>
                  </w:pPr>
                  <w:r>
                    <w:rPr>
                      <w:color w:val="auto"/>
                      <w:kern w:val="0"/>
                      <w:szCs w:val="21"/>
                    </w:rPr>
                    <w:t>相符性</w:t>
                  </w:r>
                </w:p>
              </w:tc>
            </w:tr>
            <w:tr w14:paraId="4B17B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87" w:type="dxa"/>
                  <w:vAlign w:val="center"/>
                </w:tcPr>
                <w:p w14:paraId="3184FCD9">
                  <w:pPr>
                    <w:autoSpaceDE w:val="0"/>
                    <w:autoSpaceDN w:val="0"/>
                    <w:adjustRightInd w:val="0"/>
                    <w:snapToGrid w:val="0"/>
                    <w:jc w:val="center"/>
                    <w:rPr>
                      <w:color w:val="auto"/>
                      <w:kern w:val="0"/>
                      <w:szCs w:val="21"/>
                    </w:rPr>
                  </w:pPr>
                  <w:r>
                    <w:rPr>
                      <w:color w:val="auto"/>
                      <w:kern w:val="0"/>
                      <w:szCs w:val="21"/>
                    </w:rPr>
                    <w:t>1</w:t>
                  </w:r>
                </w:p>
              </w:tc>
              <w:tc>
                <w:tcPr>
                  <w:tcW w:w="4112" w:type="dxa"/>
                  <w:vAlign w:val="center"/>
                </w:tcPr>
                <w:p w14:paraId="5430037E">
                  <w:pPr>
                    <w:autoSpaceDE w:val="0"/>
                    <w:autoSpaceDN w:val="0"/>
                    <w:adjustRightInd w:val="0"/>
                    <w:snapToGrid w:val="0"/>
                    <w:jc w:val="center"/>
                    <w:rPr>
                      <w:color w:val="auto"/>
                      <w:kern w:val="0"/>
                      <w:szCs w:val="21"/>
                    </w:rPr>
                  </w:pPr>
                  <w:r>
                    <w:rPr>
                      <w:color w:val="auto"/>
                      <w:kern w:val="0"/>
                      <w:szCs w:val="21"/>
                    </w:rPr>
                    <w:t>禁止建设不符合全国和省级港口布局规划以及港口总体规划的码头项目，禁止建设不符合《长江</w:t>
                  </w:r>
                  <w:r>
                    <w:rPr>
                      <w:rFonts w:hint="eastAsia"/>
                      <w:color w:val="auto"/>
                      <w:kern w:val="0"/>
                      <w:szCs w:val="21"/>
                      <w:lang w:eastAsia="zh-CN"/>
                    </w:rPr>
                    <w:t>干线</w:t>
                  </w:r>
                  <w:r>
                    <w:rPr>
                      <w:color w:val="auto"/>
                      <w:kern w:val="0"/>
                      <w:szCs w:val="21"/>
                    </w:rPr>
                    <w:t>过江通道布局规划》的过长江通道项目。</w:t>
                  </w:r>
                </w:p>
              </w:tc>
              <w:tc>
                <w:tcPr>
                  <w:tcW w:w="2399" w:type="dxa"/>
                  <w:vAlign w:val="center"/>
                </w:tcPr>
                <w:p w14:paraId="28B108D7">
                  <w:pPr>
                    <w:autoSpaceDE w:val="0"/>
                    <w:autoSpaceDN w:val="0"/>
                    <w:adjustRightInd w:val="0"/>
                    <w:snapToGrid w:val="0"/>
                    <w:jc w:val="center"/>
                    <w:rPr>
                      <w:color w:val="auto"/>
                      <w:kern w:val="0"/>
                      <w:szCs w:val="21"/>
                    </w:rPr>
                  </w:pPr>
                  <w:r>
                    <w:rPr>
                      <w:rFonts w:hint="eastAsia"/>
                      <w:color w:val="auto"/>
                      <w:kern w:val="0"/>
                      <w:szCs w:val="21"/>
                    </w:rPr>
                    <w:t>本项目不属于</w:t>
                  </w:r>
                  <w:r>
                    <w:rPr>
                      <w:color w:val="auto"/>
                      <w:kern w:val="0"/>
                      <w:szCs w:val="21"/>
                    </w:rPr>
                    <w:t>码头项目</w:t>
                  </w:r>
                  <w:r>
                    <w:rPr>
                      <w:rFonts w:hint="eastAsia"/>
                      <w:color w:val="auto"/>
                      <w:kern w:val="0"/>
                      <w:szCs w:val="21"/>
                    </w:rPr>
                    <w:t>及</w:t>
                  </w:r>
                  <w:r>
                    <w:rPr>
                      <w:color w:val="auto"/>
                      <w:kern w:val="0"/>
                      <w:szCs w:val="21"/>
                    </w:rPr>
                    <w:t>过长江通道项目</w:t>
                  </w:r>
                  <w:r>
                    <w:rPr>
                      <w:rFonts w:hint="eastAsia"/>
                      <w:color w:val="auto"/>
                      <w:kern w:val="0"/>
                      <w:szCs w:val="21"/>
                    </w:rPr>
                    <w:t>。</w:t>
                  </w:r>
                </w:p>
              </w:tc>
              <w:tc>
                <w:tcPr>
                  <w:tcW w:w="667" w:type="dxa"/>
                  <w:vAlign w:val="center"/>
                </w:tcPr>
                <w:p w14:paraId="01AF300E">
                  <w:pPr>
                    <w:autoSpaceDE w:val="0"/>
                    <w:autoSpaceDN w:val="0"/>
                    <w:adjustRightInd w:val="0"/>
                    <w:snapToGrid w:val="0"/>
                    <w:jc w:val="center"/>
                    <w:rPr>
                      <w:color w:val="auto"/>
                      <w:kern w:val="0"/>
                      <w:szCs w:val="21"/>
                    </w:rPr>
                  </w:pPr>
                  <w:r>
                    <w:rPr>
                      <w:color w:val="auto"/>
                      <w:kern w:val="0"/>
                      <w:szCs w:val="21"/>
                    </w:rPr>
                    <w:t>符合</w:t>
                  </w:r>
                </w:p>
              </w:tc>
            </w:tr>
            <w:tr w14:paraId="754E2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87" w:type="dxa"/>
                  <w:vAlign w:val="center"/>
                </w:tcPr>
                <w:p w14:paraId="21D4A58F">
                  <w:pPr>
                    <w:autoSpaceDE w:val="0"/>
                    <w:autoSpaceDN w:val="0"/>
                    <w:adjustRightInd w:val="0"/>
                    <w:snapToGrid w:val="0"/>
                    <w:jc w:val="center"/>
                    <w:rPr>
                      <w:color w:val="auto"/>
                      <w:kern w:val="0"/>
                      <w:szCs w:val="21"/>
                    </w:rPr>
                  </w:pPr>
                  <w:r>
                    <w:rPr>
                      <w:color w:val="auto"/>
                      <w:kern w:val="0"/>
                      <w:szCs w:val="21"/>
                    </w:rPr>
                    <w:t>2</w:t>
                  </w:r>
                </w:p>
              </w:tc>
              <w:tc>
                <w:tcPr>
                  <w:tcW w:w="4112" w:type="dxa"/>
                  <w:vAlign w:val="center"/>
                </w:tcPr>
                <w:p w14:paraId="2BFBBB24">
                  <w:pPr>
                    <w:autoSpaceDE w:val="0"/>
                    <w:autoSpaceDN w:val="0"/>
                    <w:adjustRightInd w:val="0"/>
                    <w:snapToGrid w:val="0"/>
                    <w:jc w:val="center"/>
                    <w:rPr>
                      <w:color w:val="auto"/>
                      <w:kern w:val="0"/>
                      <w:szCs w:val="21"/>
                    </w:rPr>
                  </w:pPr>
                  <w:r>
                    <w:rPr>
                      <w:color w:val="auto"/>
                      <w:kern w:val="0"/>
                      <w:szCs w:val="21"/>
                    </w:rPr>
                    <w:t>禁止在自然保护区核心区、缓冲区的岸线和河段范围内投资建设旅游和生产经营项目。禁止在风景名胜区核心景区的岸线和河段范围内投资建设与风景名胜资源保护无关的项目。</w:t>
                  </w:r>
                </w:p>
              </w:tc>
              <w:tc>
                <w:tcPr>
                  <w:tcW w:w="2399" w:type="dxa"/>
                  <w:vAlign w:val="center"/>
                </w:tcPr>
                <w:p w14:paraId="5AD49503">
                  <w:pPr>
                    <w:autoSpaceDE w:val="0"/>
                    <w:autoSpaceDN w:val="0"/>
                    <w:adjustRightInd w:val="0"/>
                    <w:snapToGrid w:val="0"/>
                    <w:jc w:val="center"/>
                    <w:rPr>
                      <w:color w:val="auto"/>
                      <w:kern w:val="0"/>
                      <w:szCs w:val="21"/>
                    </w:rPr>
                  </w:pPr>
                  <w:r>
                    <w:rPr>
                      <w:color w:val="auto"/>
                      <w:kern w:val="0"/>
                      <w:szCs w:val="21"/>
                    </w:rPr>
                    <w:t>项目不</w:t>
                  </w:r>
                  <w:r>
                    <w:rPr>
                      <w:rFonts w:hint="eastAsia"/>
                      <w:color w:val="auto"/>
                      <w:kern w:val="0"/>
                      <w:szCs w:val="21"/>
                    </w:rPr>
                    <w:t>涉及</w:t>
                  </w:r>
                  <w:r>
                    <w:rPr>
                      <w:color w:val="auto"/>
                      <w:kern w:val="0"/>
                      <w:szCs w:val="21"/>
                    </w:rPr>
                    <w:t>自然保护区</w:t>
                  </w:r>
                  <w:r>
                    <w:rPr>
                      <w:rFonts w:hint="eastAsia"/>
                      <w:color w:val="auto"/>
                      <w:kern w:val="0"/>
                      <w:szCs w:val="21"/>
                    </w:rPr>
                    <w:t>和风景名胜区</w:t>
                  </w:r>
                  <w:r>
                    <w:rPr>
                      <w:color w:val="auto"/>
                      <w:kern w:val="0"/>
                      <w:szCs w:val="21"/>
                    </w:rPr>
                    <w:t>。</w:t>
                  </w:r>
                </w:p>
              </w:tc>
              <w:tc>
                <w:tcPr>
                  <w:tcW w:w="667" w:type="dxa"/>
                  <w:vAlign w:val="center"/>
                </w:tcPr>
                <w:p w14:paraId="0D3CB293">
                  <w:pPr>
                    <w:autoSpaceDE w:val="0"/>
                    <w:autoSpaceDN w:val="0"/>
                    <w:adjustRightInd w:val="0"/>
                    <w:snapToGrid w:val="0"/>
                    <w:jc w:val="center"/>
                    <w:rPr>
                      <w:color w:val="auto"/>
                      <w:kern w:val="0"/>
                      <w:szCs w:val="21"/>
                    </w:rPr>
                  </w:pPr>
                  <w:r>
                    <w:rPr>
                      <w:color w:val="auto"/>
                      <w:kern w:val="0"/>
                      <w:szCs w:val="21"/>
                    </w:rPr>
                    <w:t>符合</w:t>
                  </w:r>
                </w:p>
              </w:tc>
            </w:tr>
            <w:tr w14:paraId="400C2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87" w:type="dxa"/>
                  <w:vAlign w:val="center"/>
                </w:tcPr>
                <w:p w14:paraId="1005951A">
                  <w:pPr>
                    <w:autoSpaceDE w:val="0"/>
                    <w:autoSpaceDN w:val="0"/>
                    <w:adjustRightInd w:val="0"/>
                    <w:snapToGrid w:val="0"/>
                    <w:jc w:val="center"/>
                    <w:rPr>
                      <w:color w:val="auto"/>
                      <w:kern w:val="0"/>
                      <w:szCs w:val="21"/>
                    </w:rPr>
                  </w:pPr>
                  <w:r>
                    <w:rPr>
                      <w:rFonts w:hint="eastAsia"/>
                      <w:color w:val="auto"/>
                      <w:kern w:val="0"/>
                      <w:szCs w:val="21"/>
                    </w:rPr>
                    <w:t>3</w:t>
                  </w:r>
                </w:p>
              </w:tc>
              <w:tc>
                <w:tcPr>
                  <w:tcW w:w="4112" w:type="dxa"/>
                  <w:vAlign w:val="center"/>
                </w:tcPr>
                <w:p w14:paraId="1B2442A6">
                  <w:pPr>
                    <w:autoSpaceDE w:val="0"/>
                    <w:autoSpaceDN w:val="0"/>
                    <w:adjustRightInd w:val="0"/>
                    <w:snapToGrid w:val="0"/>
                    <w:jc w:val="center"/>
                    <w:rPr>
                      <w:color w:val="auto"/>
                      <w:kern w:val="0"/>
                      <w:szCs w:val="21"/>
                    </w:rPr>
                  </w:pPr>
                  <w:r>
                    <w:rPr>
                      <w:color w:val="auto"/>
                      <w:kern w:val="0"/>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399" w:type="dxa"/>
                  <w:vAlign w:val="center"/>
                </w:tcPr>
                <w:p w14:paraId="6C913109">
                  <w:pPr>
                    <w:autoSpaceDE w:val="0"/>
                    <w:autoSpaceDN w:val="0"/>
                    <w:adjustRightInd w:val="0"/>
                    <w:snapToGrid w:val="0"/>
                    <w:jc w:val="center"/>
                    <w:rPr>
                      <w:color w:val="auto"/>
                      <w:kern w:val="0"/>
                      <w:szCs w:val="21"/>
                    </w:rPr>
                  </w:pPr>
                  <w:r>
                    <w:rPr>
                      <w:rFonts w:hint="eastAsia"/>
                      <w:color w:val="auto"/>
                      <w:kern w:val="0"/>
                      <w:szCs w:val="21"/>
                    </w:rPr>
                    <w:t>本项目不涉及</w:t>
                  </w:r>
                  <w:r>
                    <w:rPr>
                      <w:color w:val="auto"/>
                      <w:kern w:val="0"/>
                      <w:szCs w:val="21"/>
                    </w:rPr>
                    <w:t>饮用水水源</w:t>
                  </w:r>
                  <w:r>
                    <w:rPr>
                      <w:rFonts w:hint="eastAsia"/>
                      <w:color w:val="auto"/>
                      <w:kern w:val="0"/>
                      <w:szCs w:val="21"/>
                    </w:rPr>
                    <w:t>保护区。</w:t>
                  </w:r>
                </w:p>
              </w:tc>
              <w:tc>
                <w:tcPr>
                  <w:tcW w:w="667" w:type="dxa"/>
                  <w:vAlign w:val="center"/>
                </w:tcPr>
                <w:p w14:paraId="0FCF8338">
                  <w:pPr>
                    <w:autoSpaceDE w:val="0"/>
                    <w:autoSpaceDN w:val="0"/>
                    <w:adjustRightInd w:val="0"/>
                    <w:snapToGrid w:val="0"/>
                    <w:jc w:val="center"/>
                    <w:rPr>
                      <w:color w:val="auto"/>
                      <w:kern w:val="0"/>
                      <w:szCs w:val="21"/>
                    </w:rPr>
                  </w:pPr>
                  <w:r>
                    <w:rPr>
                      <w:color w:val="auto"/>
                      <w:kern w:val="0"/>
                      <w:szCs w:val="21"/>
                    </w:rPr>
                    <w:t>符合</w:t>
                  </w:r>
                </w:p>
              </w:tc>
            </w:tr>
            <w:tr w14:paraId="7BE71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87" w:type="dxa"/>
                  <w:vAlign w:val="center"/>
                </w:tcPr>
                <w:p w14:paraId="1545F59D">
                  <w:pPr>
                    <w:autoSpaceDE w:val="0"/>
                    <w:autoSpaceDN w:val="0"/>
                    <w:adjustRightInd w:val="0"/>
                    <w:snapToGrid w:val="0"/>
                    <w:jc w:val="center"/>
                    <w:rPr>
                      <w:color w:val="auto"/>
                      <w:kern w:val="0"/>
                      <w:szCs w:val="21"/>
                    </w:rPr>
                  </w:pPr>
                  <w:r>
                    <w:rPr>
                      <w:rFonts w:hint="eastAsia"/>
                      <w:color w:val="auto"/>
                      <w:kern w:val="0"/>
                      <w:szCs w:val="21"/>
                    </w:rPr>
                    <w:t>4</w:t>
                  </w:r>
                </w:p>
              </w:tc>
              <w:tc>
                <w:tcPr>
                  <w:tcW w:w="4112" w:type="dxa"/>
                  <w:vAlign w:val="center"/>
                </w:tcPr>
                <w:p w14:paraId="33E82CD7">
                  <w:pPr>
                    <w:autoSpaceDE w:val="0"/>
                    <w:autoSpaceDN w:val="0"/>
                    <w:adjustRightInd w:val="0"/>
                    <w:snapToGrid w:val="0"/>
                    <w:jc w:val="center"/>
                    <w:rPr>
                      <w:color w:val="auto"/>
                      <w:kern w:val="0"/>
                      <w:szCs w:val="21"/>
                    </w:rPr>
                  </w:pPr>
                  <w:r>
                    <w:rPr>
                      <w:color w:val="auto"/>
                      <w:kern w:val="0"/>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399" w:type="dxa"/>
                  <w:vAlign w:val="center"/>
                </w:tcPr>
                <w:p w14:paraId="63E76A73">
                  <w:pPr>
                    <w:autoSpaceDE w:val="0"/>
                    <w:autoSpaceDN w:val="0"/>
                    <w:adjustRightInd w:val="0"/>
                    <w:snapToGrid w:val="0"/>
                    <w:jc w:val="center"/>
                    <w:rPr>
                      <w:color w:val="auto"/>
                      <w:kern w:val="0"/>
                      <w:szCs w:val="21"/>
                    </w:rPr>
                  </w:pPr>
                  <w:r>
                    <w:rPr>
                      <w:rFonts w:hint="eastAsia"/>
                      <w:color w:val="auto"/>
                      <w:kern w:val="0"/>
                      <w:szCs w:val="21"/>
                    </w:rPr>
                    <w:t>本项目不涉及</w:t>
                  </w:r>
                  <w:r>
                    <w:rPr>
                      <w:color w:val="auto"/>
                      <w:kern w:val="0"/>
                      <w:szCs w:val="21"/>
                    </w:rPr>
                    <w:t>水产种质资源保护区</w:t>
                  </w:r>
                  <w:r>
                    <w:rPr>
                      <w:rFonts w:hint="eastAsia"/>
                      <w:color w:val="auto"/>
                      <w:kern w:val="0"/>
                      <w:szCs w:val="21"/>
                    </w:rPr>
                    <w:t>和</w:t>
                  </w:r>
                  <w:r>
                    <w:rPr>
                      <w:color w:val="auto"/>
                      <w:kern w:val="0"/>
                      <w:szCs w:val="21"/>
                    </w:rPr>
                    <w:t>国家湿地公园</w:t>
                  </w:r>
                  <w:r>
                    <w:rPr>
                      <w:rFonts w:hint="eastAsia"/>
                      <w:color w:val="auto"/>
                      <w:kern w:val="0"/>
                      <w:szCs w:val="21"/>
                    </w:rPr>
                    <w:t>。</w:t>
                  </w:r>
                </w:p>
              </w:tc>
              <w:tc>
                <w:tcPr>
                  <w:tcW w:w="667" w:type="dxa"/>
                  <w:vAlign w:val="center"/>
                </w:tcPr>
                <w:p w14:paraId="7498C538">
                  <w:pPr>
                    <w:autoSpaceDE w:val="0"/>
                    <w:autoSpaceDN w:val="0"/>
                    <w:adjustRightInd w:val="0"/>
                    <w:snapToGrid w:val="0"/>
                    <w:jc w:val="center"/>
                    <w:rPr>
                      <w:color w:val="auto"/>
                      <w:kern w:val="0"/>
                      <w:szCs w:val="21"/>
                    </w:rPr>
                  </w:pPr>
                  <w:r>
                    <w:rPr>
                      <w:color w:val="auto"/>
                      <w:kern w:val="0"/>
                      <w:szCs w:val="21"/>
                    </w:rPr>
                    <w:t>符合</w:t>
                  </w:r>
                </w:p>
              </w:tc>
            </w:tr>
            <w:tr w14:paraId="48DA0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87" w:type="dxa"/>
                  <w:vAlign w:val="center"/>
                </w:tcPr>
                <w:p w14:paraId="4D51CEE8">
                  <w:pPr>
                    <w:autoSpaceDE w:val="0"/>
                    <w:autoSpaceDN w:val="0"/>
                    <w:adjustRightInd w:val="0"/>
                    <w:snapToGrid w:val="0"/>
                    <w:jc w:val="center"/>
                    <w:rPr>
                      <w:color w:val="auto"/>
                      <w:kern w:val="0"/>
                      <w:szCs w:val="21"/>
                    </w:rPr>
                  </w:pPr>
                  <w:r>
                    <w:rPr>
                      <w:rFonts w:hint="eastAsia"/>
                      <w:color w:val="auto"/>
                      <w:kern w:val="0"/>
                      <w:szCs w:val="21"/>
                    </w:rPr>
                    <w:t>5</w:t>
                  </w:r>
                </w:p>
              </w:tc>
              <w:tc>
                <w:tcPr>
                  <w:tcW w:w="4112" w:type="dxa"/>
                  <w:vAlign w:val="center"/>
                </w:tcPr>
                <w:p w14:paraId="240AFFFD">
                  <w:pPr>
                    <w:autoSpaceDE w:val="0"/>
                    <w:autoSpaceDN w:val="0"/>
                    <w:adjustRightInd w:val="0"/>
                    <w:snapToGrid w:val="0"/>
                    <w:jc w:val="center"/>
                    <w:rPr>
                      <w:color w:val="auto"/>
                      <w:kern w:val="0"/>
                      <w:szCs w:val="21"/>
                    </w:rPr>
                  </w:pPr>
                  <w:r>
                    <w:rPr>
                      <w:color w:val="auto"/>
                      <w:kern w:val="0"/>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399" w:type="dxa"/>
                  <w:vAlign w:val="center"/>
                </w:tcPr>
                <w:p w14:paraId="1D585A73">
                  <w:pPr>
                    <w:autoSpaceDE w:val="0"/>
                    <w:autoSpaceDN w:val="0"/>
                    <w:adjustRightInd w:val="0"/>
                    <w:snapToGrid w:val="0"/>
                    <w:jc w:val="center"/>
                    <w:rPr>
                      <w:color w:val="auto"/>
                      <w:kern w:val="0"/>
                      <w:szCs w:val="21"/>
                    </w:rPr>
                  </w:pPr>
                  <w:r>
                    <w:rPr>
                      <w:rFonts w:hint="eastAsia"/>
                      <w:color w:val="auto"/>
                      <w:kern w:val="0"/>
                      <w:szCs w:val="21"/>
                    </w:rPr>
                    <w:t>本项目位于寻甸特色产业园区羊街片区，不涉及</w:t>
                  </w:r>
                  <w:r>
                    <w:rPr>
                      <w:color w:val="auto"/>
                      <w:kern w:val="0"/>
                      <w:szCs w:val="21"/>
                    </w:rPr>
                    <w:t>违法利用、占用长江流域河湖岸线</w:t>
                  </w:r>
                  <w:r>
                    <w:rPr>
                      <w:rFonts w:hint="eastAsia"/>
                      <w:color w:val="auto"/>
                      <w:kern w:val="0"/>
                      <w:szCs w:val="21"/>
                    </w:rPr>
                    <w:t>行为。</w:t>
                  </w:r>
                </w:p>
              </w:tc>
              <w:tc>
                <w:tcPr>
                  <w:tcW w:w="667" w:type="dxa"/>
                  <w:vAlign w:val="center"/>
                </w:tcPr>
                <w:p w14:paraId="3AEBABA2">
                  <w:pPr>
                    <w:autoSpaceDE w:val="0"/>
                    <w:autoSpaceDN w:val="0"/>
                    <w:adjustRightInd w:val="0"/>
                    <w:snapToGrid w:val="0"/>
                    <w:jc w:val="center"/>
                    <w:rPr>
                      <w:color w:val="auto"/>
                      <w:kern w:val="0"/>
                      <w:szCs w:val="21"/>
                    </w:rPr>
                  </w:pPr>
                  <w:r>
                    <w:rPr>
                      <w:color w:val="auto"/>
                      <w:kern w:val="0"/>
                      <w:szCs w:val="21"/>
                    </w:rPr>
                    <w:t>符合</w:t>
                  </w:r>
                </w:p>
              </w:tc>
            </w:tr>
            <w:tr w14:paraId="13C44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87" w:type="dxa"/>
                  <w:vAlign w:val="center"/>
                </w:tcPr>
                <w:p w14:paraId="73D04DB6">
                  <w:pPr>
                    <w:autoSpaceDE w:val="0"/>
                    <w:autoSpaceDN w:val="0"/>
                    <w:adjustRightInd w:val="0"/>
                    <w:snapToGrid w:val="0"/>
                    <w:jc w:val="center"/>
                    <w:rPr>
                      <w:color w:val="auto"/>
                      <w:kern w:val="0"/>
                      <w:szCs w:val="21"/>
                    </w:rPr>
                  </w:pPr>
                  <w:r>
                    <w:rPr>
                      <w:rFonts w:hint="eastAsia"/>
                      <w:color w:val="auto"/>
                      <w:kern w:val="0"/>
                      <w:szCs w:val="21"/>
                    </w:rPr>
                    <w:t>6</w:t>
                  </w:r>
                </w:p>
              </w:tc>
              <w:tc>
                <w:tcPr>
                  <w:tcW w:w="4112" w:type="dxa"/>
                  <w:vAlign w:val="center"/>
                </w:tcPr>
                <w:p w14:paraId="16699E47">
                  <w:pPr>
                    <w:autoSpaceDE w:val="0"/>
                    <w:autoSpaceDN w:val="0"/>
                    <w:adjustRightInd w:val="0"/>
                    <w:snapToGrid w:val="0"/>
                    <w:jc w:val="center"/>
                    <w:rPr>
                      <w:color w:val="auto"/>
                      <w:kern w:val="0"/>
                      <w:szCs w:val="21"/>
                    </w:rPr>
                  </w:pPr>
                  <w:r>
                    <w:rPr>
                      <w:color w:val="auto"/>
                      <w:kern w:val="0"/>
                      <w:szCs w:val="21"/>
                    </w:rPr>
                    <w:t>禁止未经许可在长江干支流及湖泊新设、改设或扩大排污</w:t>
                  </w:r>
                  <w:r>
                    <w:rPr>
                      <w:rFonts w:hint="eastAsia"/>
                      <w:color w:val="auto"/>
                      <w:kern w:val="0"/>
                      <w:szCs w:val="21"/>
                    </w:rPr>
                    <w:t>口。</w:t>
                  </w:r>
                </w:p>
              </w:tc>
              <w:tc>
                <w:tcPr>
                  <w:tcW w:w="2399" w:type="dxa"/>
                  <w:vAlign w:val="center"/>
                </w:tcPr>
                <w:p w14:paraId="37119289">
                  <w:pPr>
                    <w:autoSpaceDE w:val="0"/>
                    <w:autoSpaceDN w:val="0"/>
                    <w:adjustRightInd w:val="0"/>
                    <w:snapToGrid w:val="0"/>
                    <w:jc w:val="center"/>
                    <w:rPr>
                      <w:color w:val="auto"/>
                      <w:kern w:val="0"/>
                      <w:szCs w:val="21"/>
                    </w:rPr>
                  </w:pPr>
                  <w:r>
                    <w:rPr>
                      <w:rFonts w:hint="eastAsia"/>
                      <w:color w:val="auto"/>
                      <w:kern w:val="0"/>
                      <w:szCs w:val="21"/>
                    </w:rPr>
                    <w:t>项目不涉及</w:t>
                  </w:r>
                  <w:r>
                    <w:rPr>
                      <w:color w:val="auto"/>
                      <w:kern w:val="0"/>
                      <w:szCs w:val="21"/>
                    </w:rPr>
                    <w:t>在长江干支流及湖泊新设、改设或扩大排污</w:t>
                  </w:r>
                  <w:r>
                    <w:rPr>
                      <w:rFonts w:hint="eastAsia"/>
                      <w:color w:val="auto"/>
                      <w:kern w:val="0"/>
                      <w:szCs w:val="21"/>
                    </w:rPr>
                    <w:t>口。</w:t>
                  </w:r>
                </w:p>
              </w:tc>
              <w:tc>
                <w:tcPr>
                  <w:tcW w:w="667" w:type="dxa"/>
                  <w:vAlign w:val="center"/>
                </w:tcPr>
                <w:p w14:paraId="1B7F1D11">
                  <w:pPr>
                    <w:autoSpaceDE w:val="0"/>
                    <w:autoSpaceDN w:val="0"/>
                    <w:adjustRightInd w:val="0"/>
                    <w:snapToGrid w:val="0"/>
                    <w:jc w:val="center"/>
                    <w:rPr>
                      <w:color w:val="auto"/>
                      <w:kern w:val="0"/>
                      <w:szCs w:val="21"/>
                    </w:rPr>
                  </w:pPr>
                  <w:r>
                    <w:rPr>
                      <w:color w:val="auto"/>
                      <w:kern w:val="0"/>
                      <w:szCs w:val="21"/>
                    </w:rPr>
                    <w:t>符合</w:t>
                  </w:r>
                </w:p>
              </w:tc>
            </w:tr>
            <w:tr w14:paraId="0B155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87" w:type="dxa"/>
                  <w:vAlign w:val="center"/>
                </w:tcPr>
                <w:p w14:paraId="2936A4F3">
                  <w:pPr>
                    <w:autoSpaceDE w:val="0"/>
                    <w:autoSpaceDN w:val="0"/>
                    <w:adjustRightInd w:val="0"/>
                    <w:snapToGrid w:val="0"/>
                    <w:jc w:val="center"/>
                    <w:rPr>
                      <w:color w:val="auto"/>
                      <w:kern w:val="0"/>
                      <w:szCs w:val="21"/>
                    </w:rPr>
                  </w:pPr>
                  <w:r>
                    <w:rPr>
                      <w:rFonts w:hint="eastAsia"/>
                      <w:color w:val="auto"/>
                      <w:kern w:val="0"/>
                      <w:szCs w:val="21"/>
                    </w:rPr>
                    <w:t>7</w:t>
                  </w:r>
                </w:p>
              </w:tc>
              <w:tc>
                <w:tcPr>
                  <w:tcW w:w="4112" w:type="dxa"/>
                  <w:vAlign w:val="center"/>
                </w:tcPr>
                <w:p w14:paraId="0A8F5838">
                  <w:pPr>
                    <w:autoSpaceDE w:val="0"/>
                    <w:autoSpaceDN w:val="0"/>
                    <w:adjustRightInd w:val="0"/>
                    <w:snapToGrid w:val="0"/>
                    <w:jc w:val="center"/>
                    <w:rPr>
                      <w:color w:val="auto"/>
                      <w:kern w:val="0"/>
                      <w:szCs w:val="21"/>
                    </w:rPr>
                  </w:pPr>
                  <w:r>
                    <w:rPr>
                      <w:color w:val="auto"/>
                      <w:kern w:val="0"/>
                      <w:szCs w:val="21"/>
                    </w:rPr>
                    <w:t>禁止在“一江一口两湖七河”和332个水生生物保护区开展生产性捕捞。</w:t>
                  </w:r>
                </w:p>
              </w:tc>
              <w:tc>
                <w:tcPr>
                  <w:tcW w:w="2399" w:type="dxa"/>
                  <w:vAlign w:val="center"/>
                </w:tcPr>
                <w:p w14:paraId="0352207A">
                  <w:pPr>
                    <w:autoSpaceDE w:val="0"/>
                    <w:autoSpaceDN w:val="0"/>
                    <w:adjustRightInd w:val="0"/>
                    <w:snapToGrid w:val="0"/>
                    <w:jc w:val="center"/>
                    <w:rPr>
                      <w:color w:val="auto"/>
                      <w:kern w:val="0"/>
                      <w:szCs w:val="21"/>
                    </w:rPr>
                  </w:pPr>
                  <w:r>
                    <w:rPr>
                      <w:rFonts w:hint="eastAsia"/>
                      <w:color w:val="auto"/>
                      <w:kern w:val="0"/>
                      <w:szCs w:val="21"/>
                    </w:rPr>
                    <w:t>项目不涉及在</w:t>
                  </w:r>
                  <w:r>
                    <w:rPr>
                      <w:color w:val="auto"/>
                      <w:kern w:val="0"/>
                      <w:szCs w:val="21"/>
                    </w:rPr>
                    <w:t>“一江一口两湖七河”和332个水生生物保护区开展生产性捕捞</w:t>
                  </w:r>
                  <w:r>
                    <w:rPr>
                      <w:rFonts w:hint="eastAsia"/>
                      <w:color w:val="auto"/>
                      <w:kern w:val="0"/>
                      <w:szCs w:val="21"/>
                    </w:rPr>
                    <w:t>的行为。</w:t>
                  </w:r>
                </w:p>
              </w:tc>
              <w:tc>
                <w:tcPr>
                  <w:tcW w:w="667" w:type="dxa"/>
                  <w:vAlign w:val="center"/>
                </w:tcPr>
                <w:p w14:paraId="78E5EC32">
                  <w:pPr>
                    <w:autoSpaceDE w:val="0"/>
                    <w:autoSpaceDN w:val="0"/>
                    <w:adjustRightInd w:val="0"/>
                    <w:snapToGrid w:val="0"/>
                    <w:jc w:val="center"/>
                    <w:rPr>
                      <w:color w:val="auto"/>
                      <w:kern w:val="0"/>
                      <w:szCs w:val="21"/>
                    </w:rPr>
                  </w:pPr>
                  <w:r>
                    <w:rPr>
                      <w:color w:val="auto"/>
                      <w:kern w:val="0"/>
                      <w:szCs w:val="21"/>
                    </w:rPr>
                    <w:t>符合</w:t>
                  </w:r>
                </w:p>
              </w:tc>
            </w:tr>
            <w:tr w14:paraId="25FAE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87" w:type="dxa"/>
                  <w:vAlign w:val="center"/>
                </w:tcPr>
                <w:p w14:paraId="5F78F0DA">
                  <w:pPr>
                    <w:autoSpaceDE w:val="0"/>
                    <w:autoSpaceDN w:val="0"/>
                    <w:adjustRightInd w:val="0"/>
                    <w:snapToGrid w:val="0"/>
                    <w:jc w:val="center"/>
                    <w:rPr>
                      <w:color w:val="auto"/>
                      <w:kern w:val="0"/>
                      <w:szCs w:val="21"/>
                    </w:rPr>
                  </w:pPr>
                  <w:r>
                    <w:rPr>
                      <w:rFonts w:hint="eastAsia"/>
                      <w:color w:val="auto"/>
                      <w:kern w:val="0"/>
                      <w:szCs w:val="21"/>
                    </w:rPr>
                    <w:t>8</w:t>
                  </w:r>
                </w:p>
              </w:tc>
              <w:tc>
                <w:tcPr>
                  <w:tcW w:w="4112" w:type="dxa"/>
                  <w:vAlign w:val="center"/>
                </w:tcPr>
                <w:p w14:paraId="63D0FFDF">
                  <w:pPr>
                    <w:autoSpaceDE w:val="0"/>
                    <w:autoSpaceDN w:val="0"/>
                    <w:adjustRightInd w:val="0"/>
                    <w:snapToGrid w:val="0"/>
                    <w:jc w:val="center"/>
                    <w:rPr>
                      <w:color w:val="auto"/>
                      <w:kern w:val="0"/>
                      <w:szCs w:val="21"/>
                    </w:rPr>
                  </w:pPr>
                  <w:r>
                    <w:rPr>
                      <w:color w:val="auto"/>
                      <w:kern w:val="0"/>
                      <w:szCs w:val="21"/>
                    </w:rPr>
                    <w:t>禁止在长江</w:t>
                  </w:r>
                  <w:r>
                    <w:rPr>
                      <w:rFonts w:hint="eastAsia"/>
                      <w:color w:val="auto"/>
                      <w:kern w:val="0"/>
                      <w:szCs w:val="21"/>
                    </w:rPr>
                    <w:t>干</w:t>
                  </w:r>
                  <w:r>
                    <w:rPr>
                      <w:color w:val="auto"/>
                      <w:kern w:val="0"/>
                      <w:szCs w:val="21"/>
                    </w:rPr>
                    <w:t>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399" w:type="dxa"/>
                  <w:vAlign w:val="center"/>
                </w:tcPr>
                <w:p w14:paraId="383FDFA1">
                  <w:pPr>
                    <w:autoSpaceDE w:val="0"/>
                    <w:autoSpaceDN w:val="0"/>
                    <w:adjustRightInd w:val="0"/>
                    <w:snapToGrid w:val="0"/>
                    <w:jc w:val="center"/>
                    <w:rPr>
                      <w:color w:val="auto"/>
                      <w:kern w:val="0"/>
                      <w:szCs w:val="21"/>
                    </w:rPr>
                  </w:pPr>
                  <w:r>
                    <w:rPr>
                      <w:rFonts w:hint="eastAsia"/>
                      <w:color w:val="auto"/>
                      <w:kern w:val="0"/>
                      <w:szCs w:val="21"/>
                    </w:rPr>
                    <w:t>项目不属于</w:t>
                  </w:r>
                  <w:r>
                    <w:rPr>
                      <w:color w:val="auto"/>
                      <w:kern w:val="0"/>
                      <w:szCs w:val="21"/>
                    </w:rPr>
                    <w:t>化工园区和化工项目</w:t>
                  </w:r>
                  <w:r>
                    <w:rPr>
                      <w:rFonts w:hint="eastAsia"/>
                      <w:color w:val="auto"/>
                      <w:kern w:val="0"/>
                      <w:szCs w:val="21"/>
                    </w:rPr>
                    <w:t>，不属于</w:t>
                  </w:r>
                  <w:r>
                    <w:rPr>
                      <w:color w:val="auto"/>
                      <w:kern w:val="0"/>
                      <w:szCs w:val="21"/>
                    </w:rPr>
                    <w:t>尾矿库、冶炼渣库和磷石膏库</w:t>
                  </w:r>
                  <w:r>
                    <w:rPr>
                      <w:rFonts w:hint="eastAsia"/>
                      <w:color w:val="auto"/>
                      <w:kern w:val="0"/>
                      <w:szCs w:val="21"/>
                    </w:rPr>
                    <w:t>。</w:t>
                  </w:r>
                </w:p>
              </w:tc>
              <w:tc>
                <w:tcPr>
                  <w:tcW w:w="667" w:type="dxa"/>
                  <w:vAlign w:val="center"/>
                </w:tcPr>
                <w:p w14:paraId="40A67640">
                  <w:pPr>
                    <w:autoSpaceDE w:val="0"/>
                    <w:autoSpaceDN w:val="0"/>
                    <w:adjustRightInd w:val="0"/>
                    <w:snapToGrid w:val="0"/>
                    <w:jc w:val="center"/>
                    <w:rPr>
                      <w:color w:val="auto"/>
                      <w:kern w:val="0"/>
                      <w:szCs w:val="21"/>
                    </w:rPr>
                  </w:pPr>
                  <w:r>
                    <w:rPr>
                      <w:color w:val="auto"/>
                      <w:kern w:val="0"/>
                      <w:szCs w:val="21"/>
                    </w:rPr>
                    <w:t>符合</w:t>
                  </w:r>
                </w:p>
              </w:tc>
            </w:tr>
            <w:tr w14:paraId="55C01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87" w:type="dxa"/>
                  <w:vAlign w:val="center"/>
                </w:tcPr>
                <w:p w14:paraId="1716AF28">
                  <w:pPr>
                    <w:autoSpaceDE w:val="0"/>
                    <w:autoSpaceDN w:val="0"/>
                    <w:adjustRightInd w:val="0"/>
                    <w:snapToGrid w:val="0"/>
                    <w:jc w:val="center"/>
                    <w:rPr>
                      <w:color w:val="auto"/>
                      <w:kern w:val="0"/>
                      <w:szCs w:val="21"/>
                    </w:rPr>
                  </w:pPr>
                  <w:r>
                    <w:rPr>
                      <w:rFonts w:hint="eastAsia"/>
                      <w:color w:val="auto"/>
                      <w:kern w:val="0"/>
                      <w:szCs w:val="21"/>
                    </w:rPr>
                    <w:t>9</w:t>
                  </w:r>
                </w:p>
              </w:tc>
              <w:tc>
                <w:tcPr>
                  <w:tcW w:w="4112" w:type="dxa"/>
                  <w:vAlign w:val="center"/>
                </w:tcPr>
                <w:p w14:paraId="1AA04CBB">
                  <w:pPr>
                    <w:autoSpaceDE w:val="0"/>
                    <w:autoSpaceDN w:val="0"/>
                    <w:adjustRightInd w:val="0"/>
                    <w:snapToGrid w:val="0"/>
                    <w:jc w:val="center"/>
                    <w:rPr>
                      <w:color w:val="auto"/>
                      <w:kern w:val="0"/>
                      <w:szCs w:val="21"/>
                    </w:rPr>
                  </w:pPr>
                  <w:r>
                    <w:rPr>
                      <w:color w:val="auto"/>
                      <w:kern w:val="0"/>
                      <w:szCs w:val="21"/>
                    </w:rPr>
                    <w:t>禁止在合规园区外新建、扩建钢铁、石化、化工、焦化、建材、有色、制浆造纸等高污染项目。</w:t>
                  </w:r>
                </w:p>
              </w:tc>
              <w:tc>
                <w:tcPr>
                  <w:tcW w:w="2399" w:type="dxa"/>
                  <w:vAlign w:val="center"/>
                </w:tcPr>
                <w:p w14:paraId="501C5FF1">
                  <w:pPr>
                    <w:autoSpaceDE w:val="0"/>
                    <w:autoSpaceDN w:val="0"/>
                    <w:adjustRightInd w:val="0"/>
                    <w:snapToGrid w:val="0"/>
                    <w:jc w:val="center"/>
                    <w:rPr>
                      <w:color w:val="auto"/>
                      <w:kern w:val="0"/>
                      <w:szCs w:val="21"/>
                    </w:rPr>
                  </w:pPr>
                  <w:r>
                    <w:rPr>
                      <w:rFonts w:hint="eastAsia"/>
                      <w:color w:val="auto"/>
                      <w:kern w:val="0"/>
                      <w:szCs w:val="21"/>
                    </w:rPr>
                    <w:t>本项目位于寻甸特色产业园区羊街片区，位于</w:t>
                  </w:r>
                  <w:r>
                    <w:rPr>
                      <w:color w:val="auto"/>
                      <w:kern w:val="0"/>
                      <w:szCs w:val="21"/>
                    </w:rPr>
                    <w:t>合规园区</w:t>
                  </w:r>
                  <w:r>
                    <w:rPr>
                      <w:rFonts w:hint="eastAsia"/>
                      <w:color w:val="auto"/>
                      <w:kern w:val="0"/>
                      <w:szCs w:val="21"/>
                    </w:rPr>
                    <w:t>，且不属于</w:t>
                  </w:r>
                  <w:r>
                    <w:rPr>
                      <w:color w:val="auto"/>
                      <w:kern w:val="0"/>
                      <w:szCs w:val="21"/>
                    </w:rPr>
                    <w:t>钢铁、石化、化工、焦化、建材、有色、制浆造纸等高污染项目</w:t>
                  </w:r>
                  <w:r>
                    <w:rPr>
                      <w:rFonts w:hint="eastAsia"/>
                      <w:color w:val="auto"/>
                      <w:kern w:val="0"/>
                      <w:szCs w:val="21"/>
                    </w:rPr>
                    <w:t>。</w:t>
                  </w:r>
                </w:p>
              </w:tc>
              <w:tc>
                <w:tcPr>
                  <w:tcW w:w="667" w:type="dxa"/>
                  <w:vAlign w:val="center"/>
                </w:tcPr>
                <w:p w14:paraId="13ED6AAD">
                  <w:pPr>
                    <w:autoSpaceDE w:val="0"/>
                    <w:autoSpaceDN w:val="0"/>
                    <w:adjustRightInd w:val="0"/>
                    <w:snapToGrid w:val="0"/>
                    <w:jc w:val="center"/>
                    <w:rPr>
                      <w:color w:val="auto"/>
                      <w:kern w:val="0"/>
                      <w:szCs w:val="21"/>
                    </w:rPr>
                  </w:pPr>
                  <w:r>
                    <w:rPr>
                      <w:color w:val="auto"/>
                      <w:kern w:val="0"/>
                      <w:szCs w:val="21"/>
                    </w:rPr>
                    <w:t>符合</w:t>
                  </w:r>
                </w:p>
              </w:tc>
            </w:tr>
            <w:tr w14:paraId="1DA87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87" w:type="dxa"/>
                  <w:vAlign w:val="center"/>
                </w:tcPr>
                <w:p w14:paraId="2BBC790E">
                  <w:pPr>
                    <w:autoSpaceDE w:val="0"/>
                    <w:autoSpaceDN w:val="0"/>
                    <w:adjustRightInd w:val="0"/>
                    <w:snapToGrid w:val="0"/>
                    <w:jc w:val="center"/>
                    <w:rPr>
                      <w:color w:val="auto"/>
                      <w:kern w:val="0"/>
                      <w:szCs w:val="21"/>
                    </w:rPr>
                  </w:pPr>
                  <w:r>
                    <w:rPr>
                      <w:rFonts w:hint="eastAsia"/>
                      <w:color w:val="auto"/>
                      <w:kern w:val="0"/>
                      <w:szCs w:val="21"/>
                    </w:rPr>
                    <w:t>10</w:t>
                  </w:r>
                </w:p>
              </w:tc>
              <w:tc>
                <w:tcPr>
                  <w:tcW w:w="4112" w:type="dxa"/>
                  <w:vAlign w:val="center"/>
                </w:tcPr>
                <w:p w14:paraId="69998023">
                  <w:pPr>
                    <w:autoSpaceDE w:val="0"/>
                    <w:autoSpaceDN w:val="0"/>
                    <w:adjustRightInd w:val="0"/>
                    <w:snapToGrid w:val="0"/>
                    <w:jc w:val="center"/>
                    <w:rPr>
                      <w:color w:val="auto"/>
                      <w:kern w:val="0"/>
                      <w:szCs w:val="21"/>
                    </w:rPr>
                  </w:pPr>
                  <w:r>
                    <w:rPr>
                      <w:color w:val="auto"/>
                      <w:kern w:val="0"/>
                      <w:szCs w:val="21"/>
                    </w:rPr>
                    <w:t>禁止新建、扩建不符合国家石化、现代煤化工等产业布局规划的项目。</w:t>
                  </w:r>
                </w:p>
              </w:tc>
              <w:tc>
                <w:tcPr>
                  <w:tcW w:w="2399" w:type="dxa"/>
                  <w:vAlign w:val="center"/>
                </w:tcPr>
                <w:p w14:paraId="3934C88A">
                  <w:pPr>
                    <w:autoSpaceDE w:val="0"/>
                    <w:autoSpaceDN w:val="0"/>
                    <w:adjustRightInd w:val="0"/>
                    <w:snapToGrid w:val="0"/>
                    <w:jc w:val="center"/>
                    <w:rPr>
                      <w:color w:val="auto"/>
                      <w:kern w:val="0"/>
                      <w:szCs w:val="21"/>
                    </w:rPr>
                  </w:pPr>
                  <w:r>
                    <w:rPr>
                      <w:rFonts w:hint="eastAsia"/>
                      <w:color w:val="auto"/>
                      <w:kern w:val="0"/>
                      <w:szCs w:val="21"/>
                    </w:rPr>
                    <w:t>项目不属于</w:t>
                  </w:r>
                  <w:r>
                    <w:rPr>
                      <w:color w:val="auto"/>
                      <w:kern w:val="0"/>
                      <w:szCs w:val="21"/>
                    </w:rPr>
                    <w:t>石化、现代煤化工</w:t>
                  </w:r>
                  <w:r>
                    <w:rPr>
                      <w:rFonts w:hint="eastAsia"/>
                      <w:color w:val="auto"/>
                      <w:kern w:val="0"/>
                      <w:szCs w:val="21"/>
                    </w:rPr>
                    <w:t>项目。</w:t>
                  </w:r>
                </w:p>
              </w:tc>
              <w:tc>
                <w:tcPr>
                  <w:tcW w:w="667" w:type="dxa"/>
                  <w:vAlign w:val="center"/>
                </w:tcPr>
                <w:p w14:paraId="4117E6C3">
                  <w:pPr>
                    <w:autoSpaceDE w:val="0"/>
                    <w:autoSpaceDN w:val="0"/>
                    <w:adjustRightInd w:val="0"/>
                    <w:snapToGrid w:val="0"/>
                    <w:jc w:val="center"/>
                    <w:rPr>
                      <w:color w:val="auto"/>
                      <w:kern w:val="0"/>
                      <w:szCs w:val="21"/>
                    </w:rPr>
                  </w:pPr>
                  <w:r>
                    <w:rPr>
                      <w:color w:val="auto"/>
                      <w:kern w:val="0"/>
                      <w:szCs w:val="21"/>
                    </w:rPr>
                    <w:t>符合</w:t>
                  </w:r>
                </w:p>
              </w:tc>
            </w:tr>
            <w:tr w14:paraId="01C45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87" w:type="dxa"/>
                  <w:vAlign w:val="center"/>
                </w:tcPr>
                <w:p w14:paraId="5F0164F6">
                  <w:pPr>
                    <w:autoSpaceDE w:val="0"/>
                    <w:autoSpaceDN w:val="0"/>
                    <w:adjustRightInd w:val="0"/>
                    <w:snapToGrid w:val="0"/>
                    <w:jc w:val="center"/>
                    <w:rPr>
                      <w:color w:val="auto"/>
                      <w:kern w:val="0"/>
                      <w:szCs w:val="21"/>
                    </w:rPr>
                  </w:pPr>
                  <w:r>
                    <w:rPr>
                      <w:rFonts w:hint="eastAsia"/>
                      <w:color w:val="auto"/>
                      <w:kern w:val="0"/>
                      <w:szCs w:val="21"/>
                    </w:rPr>
                    <w:t>11</w:t>
                  </w:r>
                </w:p>
              </w:tc>
              <w:tc>
                <w:tcPr>
                  <w:tcW w:w="4112" w:type="dxa"/>
                  <w:vAlign w:val="center"/>
                </w:tcPr>
                <w:p w14:paraId="471DEF76">
                  <w:pPr>
                    <w:autoSpaceDE w:val="0"/>
                    <w:autoSpaceDN w:val="0"/>
                    <w:adjustRightInd w:val="0"/>
                    <w:snapToGrid w:val="0"/>
                    <w:jc w:val="center"/>
                    <w:rPr>
                      <w:color w:val="auto"/>
                      <w:kern w:val="0"/>
                      <w:szCs w:val="21"/>
                    </w:rPr>
                  </w:pPr>
                  <w:r>
                    <w:rPr>
                      <w:color w:val="auto"/>
                      <w:kern w:val="0"/>
                      <w:szCs w:val="21"/>
                    </w:rPr>
                    <w:t>禁止新建、扩建法律法规和相关政策明令禁止的落后产能项目。禁止新建、扩建不符合国家产能置换要求的严重过剩产能行业的项目。禁止新建、扩建不符合要求的高耗能高排放项目。</w:t>
                  </w:r>
                </w:p>
              </w:tc>
              <w:tc>
                <w:tcPr>
                  <w:tcW w:w="2399" w:type="dxa"/>
                  <w:vAlign w:val="center"/>
                </w:tcPr>
                <w:p w14:paraId="1A1006B4">
                  <w:pPr>
                    <w:autoSpaceDE w:val="0"/>
                    <w:autoSpaceDN w:val="0"/>
                    <w:adjustRightInd w:val="0"/>
                    <w:snapToGrid w:val="0"/>
                    <w:jc w:val="center"/>
                    <w:rPr>
                      <w:color w:val="auto"/>
                      <w:kern w:val="0"/>
                      <w:szCs w:val="21"/>
                    </w:rPr>
                  </w:pPr>
                  <w:r>
                    <w:rPr>
                      <w:rFonts w:hint="eastAsia"/>
                      <w:color w:val="auto"/>
                      <w:kern w:val="0"/>
                      <w:szCs w:val="21"/>
                    </w:rPr>
                    <w:t>本项目不属于</w:t>
                  </w:r>
                  <w:r>
                    <w:rPr>
                      <w:color w:val="auto"/>
                      <w:kern w:val="0"/>
                      <w:szCs w:val="21"/>
                    </w:rPr>
                    <w:t>法律法规和相关政策明令禁止的落后产能项目</w:t>
                  </w:r>
                  <w:r>
                    <w:rPr>
                      <w:rFonts w:hint="eastAsia"/>
                      <w:color w:val="auto"/>
                      <w:kern w:val="0"/>
                      <w:szCs w:val="21"/>
                    </w:rPr>
                    <w:t>，不属于</w:t>
                  </w:r>
                  <w:r>
                    <w:rPr>
                      <w:color w:val="auto"/>
                      <w:kern w:val="0"/>
                      <w:szCs w:val="21"/>
                    </w:rPr>
                    <w:t>严重过剩产能行业的项目</w:t>
                  </w:r>
                  <w:r>
                    <w:rPr>
                      <w:rFonts w:hint="eastAsia"/>
                      <w:color w:val="auto"/>
                      <w:kern w:val="0"/>
                      <w:szCs w:val="21"/>
                    </w:rPr>
                    <w:t>，不属于</w:t>
                  </w:r>
                  <w:r>
                    <w:rPr>
                      <w:color w:val="auto"/>
                      <w:kern w:val="0"/>
                      <w:szCs w:val="21"/>
                    </w:rPr>
                    <w:t>高耗能高排放项目</w:t>
                  </w:r>
                  <w:r>
                    <w:rPr>
                      <w:rFonts w:hint="eastAsia"/>
                      <w:color w:val="auto"/>
                      <w:kern w:val="0"/>
                      <w:szCs w:val="21"/>
                    </w:rPr>
                    <w:t>。</w:t>
                  </w:r>
                </w:p>
              </w:tc>
              <w:tc>
                <w:tcPr>
                  <w:tcW w:w="667" w:type="dxa"/>
                  <w:vAlign w:val="center"/>
                </w:tcPr>
                <w:p w14:paraId="10569758">
                  <w:pPr>
                    <w:autoSpaceDE w:val="0"/>
                    <w:autoSpaceDN w:val="0"/>
                    <w:adjustRightInd w:val="0"/>
                    <w:snapToGrid w:val="0"/>
                    <w:jc w:val="center"/>
                    <w:rPr>
                      <w:color w:val="auto"/>
                      <w:kern w:val="0"/>
                      <w:szCs w:val="21"/>
                    </w:rPr>
                  </w:pPr>
                  <w:r>
                    <w:rPr>
                      <w:color w:val="auto"/>
                      <w:kern w:val="0"/>
                      <w:szCs w:val="21"/>
                    </w:rPr>
                    <w:t>符合</w:t>
                  </w:r>
                </w:p>
              </w:tc>
            </w:tr>
            <w:tr w14:paraId="1B6F9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87" w:type="dxa"/>
                  <w:vAlign w:val="center"/>
                </w:tcPr>
                <w:p w14:paraId="5C8FD1AE">
                  <w:pPr>
                    <w:autoSpaceDE w:val="0"/>
                    <w:autoSpaceDN w:val="0"/>
                    <w:adjustRightInd w:val="0"/>
                    <w:snapToGrid w:val="0"/>
                    <w:jc w:val="center"/>
                    <w:rPr>
                      <w:color w:val="auto"/>
                      <w:kern w:val="0"/>
                      <w:szCs w:val="21"/>
                    </w:rPr>
                  </w:pPr>
                  <w:r>
                    <w:rPr>
                      <w:rFonts w:hint="eastAsia"/>
                      <w:color w:val="auto"/>
                      <w:kern w:val="0"/>
                      <w:szCs w:val="21"/>
                    </w:rPr>
                    <w:t>12</w:t>
                  </w:r>
                </w:p>
              </w:tc>
              <w:tc>
                <w:tcPr>
                  <w:tcW w:w="4112" w:type="dxa"/>
                  <w:vAlign w:val="center"/>
                </w:tcPr>
                <w:p w14:paraId="6EBF2FD1">
                  <w:pPr>
                    <w:autoSpaceDE w:val="0"/>
                    <w:autoSpaceDN w:val="0"/>
                    <w:adjustRightInd w:val="0"/>
                    <w:snapToGrid w:val="0"/>
                    <w:jc w:val="center"/>
                    <w:rPr>
                      <w:color w:val="auto"/>
                      <w:kern w:val="0"/>
                      <w:szCs w:val="21"/>
                    </w:rPr>
                  </w:pPr>
                  <w:r>
                    <w:rPr>
                      <w:color w:val="auto"/>
                      <w:kern w:val="0"/>
                      <w:szCs w:val="21"/>
                    </w:rPr>
                    <w:t>法律法规及相关政策文件有更加严格规定的从其规定。</w:t>
                  </w:r>
                </w:p>
              </w:tc>
              <w:tc>
                <w:tcPr>
                  <w:tcW w:w="2399" w:type="dxa"/>
                  <w:vAlign w:val="center"/>
                </w:tcPr>
                <w:p w14:paraId="5A9D37B9">
                  <w:pPr>
                    <w:autoSpaceDE w:val="0"/>
                    <w:autoSpaceDN w:val="0"/>
                    <w:adjustRightInd w:val="0"/>
                    <w:snapToGrid w:val="0"/>
                    <w:jc w:val="center"/>
                    <w:rPr>
                      <w:color w:val="auto"/>
                      <w:kern w:val="0"/>
                      <w:szCs w:val="21"/>
                    </w:rPr>
                  </w:pPr>
                  <w:r>
                    <w:rPr>
                      <w:rFonts w:hint="eastAsia"/>
                      <w:color w:val="auto"/>
                      <w:kern w:val="0"/>
                      <w:szCs w:val="21"/>
                    </w:rPr>
                    <w:t>不涉及。</w:t>
                  </w:r>
                </w:p>
              </w:tc>
              <w:tc>
                <w:tcPr>
                  <w:tcW w:w="667" w:type="dxa"/>
                  <w:vAlign w:val="center"/>
                </w:tcPr>
                <w:p w14:paraId="13B496B9">
                  <w:pPr>
                    <w:autoSpaceDE w:val="0"/>
                    <w:autoSpaceDN w:val="0"/>
                    <w:adjustRightInd w:val="0"/>
                    <w:snapToGrid w:val="0"/>
                    <w:jc w:val="center"/>
                    <w:rPr>
                      <w:color w:val="auto"/>
                      <w:kern w:val="0"/>
                      <w:szCs w:val="21"/>
                    </w:rPr>
                  </w:pPr>
                  <w:r>
                    <w:rPr>
                      <w:color w:val="auto"/>
                      <w:kern w:val="0"/>
                      <w:szCs w:val="21"/>
                    </w:rPr>
                    <w:t>符合</w:t>
                  </w:r>
                </w:p>
              </w:tc>
            </w:tr>
          </w:tbl>
          <w:p w14:paraId="5CF7B196">
            <w:pPr>
              <w:pStyle w:val="38"/>
              <w:ind w:left="0" w:right="0"/>
              <w:jc w:val="both"/>
              <w:rPr>
                <w:color w:val="auto"/>
                <w:sz w:val="24"/>
              </w:rPr>
            </w:pPr>
            <w:r>
              <w:rPr>
                <w:rFonts w:hint="eastAsia"/>
                <w:color w:val="auto"/>
                <w:sz w:val="24"/>
              </w:rPr>
              <w:t>综上，本项目建设不违反《长江经济带发展负面清单指南（试行，2022年版）》。</w:t>
            </w:r>
          </w:p>
          <w:p w14:paraId="62F97408">
            <w:pPr>
              <w:rPr>
                <w:color w:val="auto"/>
              </w:rPr>
            </w:pPr>
            <w:r>
              <w:rPr>
                <w:rFonts w:hint="eastAsia"/>
                <w:b/>
                <w:bCs/>
                <w:color w:val="auto"/>
                <w:sz w:val="24"/>
              </w:rPr>
              <w:t>9、与《云南省长江经济带发展负面清单指南实施细则（试行，2022年版）》的符合性分析</w:t>
            </w:r>
          </w:p>
          <w:p w14:paraId="76A39C13">
            <w:pPr>
              <w:spacing w:line="360" w:lineRule="auto"/>
              <w:ind w:firstLine="480" w:firstLineChars="200"/>
              <w:rPr>
                <w:color w:val="auto"/>
                <w:sz w:val="24"/>
              </w:rPr>
            </w:pPr>
            <w:r>
              <w:rPr>
                <w:color w:val="auto"/>
                <w:sz w:val="24"/>
              </w:rPr>
              <w:t>项目与《云南省长江经济带发展负面清单指南实施细则（试行，2022年版）》对比分析情况见下表。</w:t>
            </w:r>
          </w:p>
          <w:p w14:paraId="19C08841">
            <w:pPr>
              <w:autoSpaceDE w:val="0"/>
              <w:autoSpaceDN w:val="0"/>
              <w:adjustRightInd w:val="0"/>
              <w:snapToGrid w:val="0"/>
              <w:jc w:val="center"/>
              <w:rPr>
                <w:b/>
                <w:bCs/>
                <w:color w:val="auto"/>
                <w:kern w:val="0"/>
                <w:szCs w:val="21"/>
              </w:rPr>
            </w:pPr>
            <w:r>
              <w:rPr>
                <w:b/>
                <w:bCs/>
                <w:color w:val="auto"/>
                <w:kern w:val="0"/>
                <w:szCs w:val="21"/>
              </w:rPr>
              <w:t>表</w:t>
            </w:r>
            <w:r>
              <w:rPr>
                <w:rFonts w:hint="eastAsia"/>
                <w:b/>
                <w:bCs/>
                <w:color w:val="auto"/>
                <w:kern w:val="0"/>
                <w:szCs w:val="21"/>
              </w:rPr>
              <w:t>1-10</w:t>
            </w:r>
            <w:r>
              <w:rPr>
                <w:b/>
                <w:bCs/>
                <w:color w:val="auto"/>
                <w:kern w:val="0"/>
                <w:szCs w:val="21"/>
              </w:rPr>
              <w:t xml:space="preserve">  与《云南省长江经济带发展负面清单指南实施细则（试行，2022年版）》相符性分析</w:t>
            </w:r>
          </w:p>
          <w:tbl>
            <w:tblPr>
              <w:tblStyle w:val="30"/>
              <w:tblW w:w="7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4126"/>
              <w:gridCol w:w="2588"/>
              <w:gridCol w:w="532"/>
            </w:tblGrid>
            <w:tr w14:paraId="79633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14:paraId="6BF8373F">
                  <w:pPr>
                    <w:pStyle w:val="13"/>
                    <w:adjustRightInd w:val="0"/>
                    <w:snapToGrid w:val="0"/>
                    <w:jc w:val="center"/>
                    <w:rPr>
                      <w:rFonts w:ascii="Times New Roman" w:hAnsi="Times New Roman"/>
                      <w:b/>
                      <w:bCs/>
                      <w:color w:val="auto"/>
                    </w:rPr>
                  </w:pPr>
                  <w:r>
                    <w:rPr>
                      <w:rFonts w:hint="eastAsia" w:ascii="Times New Roman" w:hAnsi="Times New Roman"/>
                      <w:b/>
                      <w:bCs/>
                      <w:color w:val="auto"/>
                    </w:rPr>
                    <w:t>序号</w:t>
                  </w:r>
                </w:p>
              </w:tc>
              <w:tc>
                <w:tcPr>
                  <w:tcW w:w="4126" w:type="dxa"/>
                  <w:vAlign w:val="center"/>
                </w:tcPr>
                <w:p w14:paraId="5D4CB808">
                  <w:pPr>
                    <w:pStyle w:val="13"/>
                    <w:adjustRightInd w:val="0"/>
                    <w:snapToGrid w:val="0"/>
                    <w:jc w:val="center"/>
                    <w:rPr>
                      <w:rFonts w:ascii="Times New Roman" w:hAnsi="Times New Roman"/>
                      <w:b/>
                      <w:bCs/>
                      <w:color w:val="auto"/>
                    </w:rPr>
                  </w:pPr>
                  <w:r>
                    <w:rPr>
                      <w:rFonts w:ascii="Times New Roman" w:hAnsi="Times New Roman"/>
                      <w:b/>
                      <w:bCs/>
                      <w:color w:val="auto"/>
                    </w:rPr>
                    <w:t>相关规定</w:t>
                  </w:r>
                </w:p>
              </w:tc>
              <w:tc>
                <w:tcPr>
                  <w:tcW w:w="2588" w:type="dxa"/>
                  <w:vAlign w:val="center"/>
                </w:tcPr>
                <w:p w14:paraId="4F780091">
                  <w:pPr>
                    <w:pStyle w:val="13"/>
                    <w:adjustRightInd w:val="0"/>
                    <w:snapToGrid w:val="0"/>
                    <w:jc w:val="center"/>
                    <w:rPr>
                      <w:rFonts w:ascii="Times New Roman" w:hAnsi="Times New Roman"/>
                      <w:b/>
                      <w:bCs/>
                      <w:color w:val="auto"/>
                    </w:rPr>
                  </w:pPr>
                  <w:r>
                    <w:rPr>
                      <w:rFonts w:ascii="Times New Roman" w:hAnsi="Times New Roman"/>
                      <w:b/>
                      <w:bCs/>
                      <w:color w:val="auto"/>
                    </w:rPr>
                    <w:t>项目情况</w:t>
                  </w:r>
                </w:p>
              </w:tc>
              <w:tc>
                <w:tcPr>
                  <w:tcW w:w="532" w:type="dxa"/>
                  <w:vAlign w:val="center"/>
                </w:tcPr>
                <w:p w14:paraId="1C02F25B">
                  <w:pPr>
                    <w:pStyle w:val="13"/>
                    <w:adjustRightInd w:val="0"/>
                    <w:snapToGrid w:val="0"/>
                    <w:jc w:val="center"/>
                    <w:rPr>
                      <w:rFonts w:ascii="Times New Roman" w:hAnsi="Times New Roman"/>
                      <w:b/>
                      <w:bCs/>
                      <w:color w:val="auto"/>
                    </w:rPr>
                  </w:pPr>
                  <w:r>
                    <w:rPr>
                      <w:rFonts w:ascii="Times New Roman" w:hAnsi="Times New Roman"/>
                      <w:b/>
                      <w:bCs/>
                      <w:color w:val="auto"/>
                    </w:rPr>
                    <w:t>符合性</w:t>
                  </w:r>
                </w:p>
              </w:tc>
            </w:tr>
            <w:tr w14:paraId="092F2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5" w:hRule="atLeast"/>
              </w:trPr>
              <w:tc>
                <w:tcPr>
                  <w:tcW w:w="516" w:type="dxa"/>
                  <w:vAlign w:val="center"/>
                </w:tcPr>
                <w:p w14:paraId="2F627711">
                  <w:pPr>
                    <w:widowControl/>
                    <w:adjustRightInd w:val="0"/>
                    <w:snapToGrid w:val="0"/>
                    <w:jc w:val="center"/>
                    <w:rPr>
                      <w:color w:val="auto"/>
                      <w:szCs w:val="21"/>
                    </w:rPr>
                  </w:pPr>
                  <w:r>
                    <w:rPr>
                      <w:rFonts w:hint="eastAsia"/>
                      <w:color w:val="auto"/>
                      <w:szCs w:val="21"/>
                    </w:rPr>
                    <w:t>1</w:t>
                  </w:r>
                </w:p>
              </w:tc>
              <w:tc>
                <w:tcPr>
                  <w:tcW w:w="4126" w:type="dxa"/>
                  <w:vAlign w:val="center"/>
                </w:tcPr>
                <w:p w14:paraId="11C66B70">
                  <w:pPr>
                    <w:pStyle w:val="9"/>
                    <w:spacing w:before="128" w:line="261" w:lineRule="auto"/>
                    <w:ind w:right="161"/>
                    <w:rPr>
                      <w:color w:val="auto"/>
                      <w:sz w:val="21"/>
                      <w:szCs w:val="21"/>
                    </w:rPr>
                  </w:pPr>
                  <w:r>
                    <w:rPr>
                      <w:color w:val="auto"/>
                      <w:sz w:val="21"/>
                      <w:szCs w:val="21"/>
                    </w:rPr>
                    <w:t>禁止新建、改建和扩建不符合《全国内河航道与港 口布局规划》等全国港口规划和《昭通市港口码头岸线规划（金沙江段2019年</w:t>
                  </w:r>
                  <w:r>
                    <w:rPr>
                      <w:rFonts w:hint="eastAsia"/>
                      <w:color w:val="auto"/>
                      <w:sz w:val="21"/>
                      <w:szCs w:val="21"/>
                    </w:rPr>
                    <w:t>-</w:t>
                  </w:r>
                  <w:r>
                    <w:rPr>
                      <w:color w:val="auto"/>
                      <w:sz w:val="21"/>
                      <w:szCs w:val="21"/>
                    </w:rPr>
                    <w:t>2035年）》、《景洪港总体规划（2019</w:t>
                  </w:r>
                  <w:r>
                    <w:rPr>
                      <w:rFonts w:hint="eastAsia"/>
                      <w:color w:val="auto"/>
                      <w:sz w:val="21"/>
                      <w:szCs w:val="21"/>
                    </w:rPr>
                    <w:t>-</w:t>
                  </w:r>
                  <w:r>
                    <w:rPr>
                      <w:color w:val="auto"/>
                      <w:sz w:val="21"/>
                      <w:szCs w:val="21"/>
                    </w:rPr>
                    <w:t>2035年）》等州（市）级以上港口布局规划以及港口总体规划的码头项目。</w:t>
                  </w:r>
                </w:p>
              </w:tc>
              <w:tc>
                <w:tcPr>
                  <w:tcW w:w="2588" w:type="dxa"/>
                  <w:vAlign w:val="center"/>
                </w:tcPr>
                <w:p w14:paraId="62F2F7BF">
                  <w:pPr>
                    <w:widowControl/>
                    <w:adjustRightInd w:val="0"/>
                    <w:snapToGrid w:val="0"/>
                    <w:rPr>
                      <w:color w:val="auto"/>
                      <w:kern w:val="0"/>
                      <w:szCs w:val="21"/>
                    </w:rPr>
                  </w:pPr>
                  <w:r>
                    <w:rPr>
                      <w:rFonts w:hint="eastAsia"/>
                      <w:color w:val="auto"/>
                      <w:kern w:val="0"/>
                      <w:szCs w:val="21"/>
                    </w:rPr>
                    <w:t>该项目为纸制品制造生产项目，不属于码头项目。</w:t>
                  </w:r>
                </w:p>
              </w:tc>
              <w:tc>
                <w:tcPr>
                  <w:tcW w:w="532" w:type="dxa"/>
                  <w:vAlign w:val="center"/>
                </w:tcPr>
                <w:p w14:paraId="18990413">
                  <w:pPr>
                    <w:autoSpaceDE w:val="0"/>
                    <w:autoSpaceDN w:val="0"/>
                    <w:adjustRightInd w:val="0"/>
                    <w:snapToGrid w:val="0"/>
                    <w:jc w:val="center"/>
                    <w:rPr>
                      <w:color w:val="auto"/>
                      <w:kern w:val="0"/>
                      <w:szCs w:val="21"/>
                    </w:rPr>
                  </w:pPr>
                  <w:r>
                    <w:rPr>
                      <w:color w:val="auto"/>
                      <w:kern w:val="0"/>
                      <w:szCs w:val="21"/>
                    </w:rPr>
                    <w:t>符合</w:t>
                  </w:r>
                </w:p>
              </w:tc>
            </w:tr>
            <w:tr w14:paraId="5D296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trPr>
              <w:tc>
                <w:tcPr>
                  <w:tcW w:w="516" w:type="dxa"/>
                  <w:vAlign w:val="center"/>
                </w:tcPr>
                <w:p w14:paraId="3BB1E60F">
                  <w:pPr>
                    <w:pStyle w:val="13"/>
                    <w:widowControl/>
                    <w:adjustRightInd w:val="0"/>
                    <w:snapToGrid w:val="0"/>
                    <w:jc w:val="center"/>
                    <w:rPr>
                      <w:rFonts w:ascii="Times New Roman" w:hAnsi="Times New Roman"/>
                      <w:color w:val="auto"/>
                    </w:rPr>
                  </w:pPr>
                  <w:r>
                    <w:rPr>
                      <w:rFonts w:hint="eastAsia" w:ascii="Times New Roman" w:hAnsi="Times New Roman"/>
                      <w:color w:val="auto"/>
                    </w:rPr>
                    <w:t>2</w:t>
                  </w:r>
                </w:p>
              </w:tc>
              <w:tc>
                <w:tcPr>
                  <w:tcW w:w="4126" w:type="dxa"/>
                  <w:vAlign w:val="center"/>
                </w:tcPr>
                <w:p w14:paraId="62685E20">
                  <w:pPr>
                    <w:autoSpaceDE w:val="0"/>
                    <w:autoSpaceDN w:val="0"/>
                    <w:adjustRightInd w:val="0"/>
                    <w:snapToGrid w:val="0"/>
                    <w:jc w:val="center"/>
                    <w:rPr>
                      <w:color w:val="auto"/>
                      <w:kern w:val="0"/>
                      <w:szCs w:val="21"/>
                    </w:rPr>
                  </w:pPr>
                  <w:r>
                    <w:rPr>
                      <w:color w:val="auto"/>
                      <w:kern w:val="0"/>
                      <w:szCs w:val="21"/>
                    </w:rPr>
                    <w:t>禁止在自然保护区核心区、缓冲区的岸线和河段范围内投资建设旅游和生产经营项目。禁止建设与自然保护区保护方向不一致的旅游项目。禁止在自然保护区内进行开矿、采石垮沙等活动。禁止在自然保护区的核心区和缓冲区内建设任何生产设施，禁止在自然保护区的实验区内建设污染环境、破坏资源或者景观的生产设施。</w:t>
                  </w:r>
                </w:p>
              </w:tc>
              <w:tc>
                <w:tcPr>
                  <w:tcW w:w="2588" w:type="dxa"/>
                  <w:vAlign w:val="center"/>
                </w:tcPr>
                <w:p w14:paraId="7076667D">
                  <w:pPr>
                    <w:autoSpaceDE w:val="0"/>
                    <w:autoSpaceDN w:val="0"/>
                    <w:adjustRightInd w:val="0"/>
                    <w:snapToGrid w:val="0"/>
                    <w:jc w:val="center"/>
                    <w:rPr>
                      <w:color w:val="auto"/>
                      <w:kern w:val="0"/>
                      <w:szCs w:val="21"/>
                    </w:rPr>
                  </w:pPr>
                  <w:r>
                    <w:rPr>
                      <w:rFonts w:hint="eastAsia"/>
                      <w:color w:val="auto"/>
                      <w:kern w:val="0"/>
                      <w:szCs w:val="21"/>
                    </w:rPr>
                    <w:t>项目租用已建厂房进行建设，不新增占地，不涉及</w:t>
                  </w:r>
                  <w:r>
                    <w:rPr>
                      <w:color w:val="auto"/>
                      <w:kern w:val="0"/>
                      <w:szCs w:val="21"/>
                    </w:rPr>
                    <w:t>自然保护区核心区、缓冲区的岸线和河段范围</w:t>
                  </w:r>
                  <w:r>
                    <w:rPr>
                      <w:rFonts w:hint="eastAsia"/>
                      <w:color w:val="auto"/>
                      <w:kern w:val="0"/>
                      <w:szCs w:val="21"/>
                    </w:rPr>
                    <w:t>；不涉及自然保护区</w:t>
                  </w:r>
                  <w:r>
                    <w:rPr>
                      <w:rFonts w:hint="eastAsia"/>
                      <w:color w:val="auto"/>
                      <w:kern w:val="0"/>
                      <w:szCs w:val="21"/>
                      <w:lang w:eastAsia="zh-CN"/>
                    </w:rPr>
                    <w:t>的</w:t>
                  </w:r>
                  <w:r>
                    <w:rPr>
                      <w:rFonts w:hint="eastAsia"/>
                      <w:color w:val="auto"/>
                      <w:kern w:val="0"/>
                      <w:szCs w:val="21"/>
                    </w:rPr>
                    <w:t>试验区；该项目为纸制品生产项目，不涉及旅游和生产经营、开矿、采石</w:t>
                  </w:r>
                  <w:r>
                    <w:rPr>
                      <w:rFonts w:hint="eastAsia"/>
                      <w:color w:val="auto"/>
                      <w:kern w:val="0"/>
                      <w:szCs w:val="21"/>
                      <w:lang w:eastAsia="zh-CN"/>
                    </w:rPr>
                    <w:t>挖沙</w:t>
                  </w:r>
                  <w:r>
                    <w:rPr>
                      <w:rFonts w:hint="eastAsia"/>
                      <w:color w:val="auto"/>
                      <w:kern w:val="0"/>
                      <w:szCs w:val="21"/>
                    </w:rPr>
                    <w:t>等活动。</w:t>
                  </w:r>
                </w:p>
              </w:tc>
              <w:tc>
                <w:tcPr>
                  <w:tcW w:w="532" w:type="dxa"/>
                  <w:vAlign w:val="center"/>
                </w:tcPr>
                <w:p w14:paraId="1F43BB11">
                  <w:pPr>
                    <w:autoSpaceDE w:val="0"/>
                    <w:autoSpaceDN w:val="0"/>
                    <w:adjustRightInd w:val="0"/>
                    <w:snapToGrid w:val="0"/>
                    <w:jc w:val="center"/>
                    <w:rPr>
                      <w:color w:val="auto"/>
                      <w:kern w:val="0"/>
                      <w:szCs w:val="21"/>
                    </w:rPr>
                  </w:pPr>
                  <w:r>
                    <w:rPr>
                      <w:rFonts w:hint="eastAsia"/>
                      <w:color w:val="auto"/>
                      <w:kern w:val="0"/>
                      <w:szCs w:val="21"/>
                    </w:rPr>
                    <w:t>符合</w:t>
                  </w:r>
                </w:p>
              </w:tc>
            </w:tr>
            <w:tr w14:paraId="6A3E3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16" w:type="dxa"/>
                  <w:vAlign w:val="center"/>
                </w:tcPr>
                <w:p w14:paraId="054B593B">
                  <w:pPr>
                    <w:pStyle w:val="13"/>
                    <w:widowControl/>
                    <w:adjustRightInd w:val="0"/>
                    <w:snapToGrid w:val="0"/>
                    <w:jc w:val="center"/>
                    <w:rPr>
                      <w:rFonts w:ascii="Times New Roman" w:hAnsi="Times New Roman"/>
                      <w:color w:val="auto"/>
                    </w:rPr>
                  </w:pPr>
                  <w:r>
                    <w:rPr>
                      <w:rFonts w:hint="eastAsia" w:ascii="Times New Roman" w:hAnsi="Times New Roman"/>
                      <w:color w:val="auto"/>
                    </w:rPr>
                    <w:t>3</w:t>
                  </w:r>
                </w:p>
              </w:tc>
              <w:tc>
                <w:tcPr>
                  <w:tcW w:w="4126" w:type="dxa"/>
                  <w:vAlign w:val="center"/>
                </w:tcPr>
                <w:p w14:paraId="3769581D">
                  <w:pPr>
                    <w:autoSpaceDE w:val="0"/>
                    <w:autoSpaceDN w:val="0"/>
                    <w:adjustRightInd w:val="0"/>
                    <w:snapToGrid w:val="0"/>
                    <w:jc w:val="center"/>
                    <w:rPr>
                      <w:color w:val="auto"/>
                      <w:kern w:val="0"/>
                      <w:szCs w:val="21"/>
                    </w:rPr>
                  </w:pPr>
                  <w:r>
                    <w:rPr>
                      <w:color w:val="auto"/>
                      <w:kern w:val="0"/>
                      <w:szCs w:val="21"/>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2588" w:type="dxa"/>
                  <w:vAlign w:val="center"/>
                </w:tcPr>
                <w:p w14:paraId="3162B987">
                  <w:pPr>
                    <w:autoSpaceDE w:val="0"/>
                    <w:autoSpaceDN w:val="0"/>
                    <w:adjustRightInd w:val="0"/>
                    <w:snapToGrid w:val="0"/>
                    <w:jc w:val="center"/>
                    <w:rPr>
                      <w:color w:val="auto"/>
                      <w:kern w:val="0"/>
                      <w:szCs w:val="21"/>
                    </w:rPr>
                  </w:pPr>
                  <w:r>
                    <w:rPr>
                      <w:rFonts w:hint="eastAsia"/>
                      <w:color w:val="auto"/>
                      <w:kern w:val="0"/>
                      <w:szCs w:val="21"/>
                    </w:rPr>
                    <w:t>项目租用已建厂房进行建设，不新增占地，不涉及</w:t>
                  </w:r>
                  <w:r>
                    <w:rPr>
                      <w:color w:val="auto"/>
                      <w:kern w:val="0"/>
                      <w:szCs w:val="21"/>
                    </w:rPr>
                    <w:t>自然保护区核心区、缓冲区的岸线和河段范围</w:t>
                  </w:r>
                  <w:r>
                    <w:rPr>
                      <w:rFonts w:hint="eastAsia"/>
                      <w:color w:val="auto"/>
                      <w:kern w:val="0"/>
                      <w:szCs w:val="21"/>
                    </w:rPr>
                    <w:t>；该项目为塑料制品生产项目，不涉及开山</w:t>
                  </w:r>
                  <w:r>
                    <w:rPr>
                      <w:color w:val="auto"/>
                      <w:kern w:val="0"/>
                      <w:szCs w:val="21"/>
                    </w:rPr>
                    <w:t>、采石、开矿、开荒、修坟立碑</w:t>
                  </w:r>
                  <w:bookmarkStart w:id="44" w:name="_GoBack"/>
                  <w:bookmarkEnd w:id="44"/>
                  <w:r>
                    <w:rPr>
                      <w:color w:val="auto"/>
                      <w:kern w:val="0"/>
                      <w:szCs w:val="21"/>
                    </w:rPr>
                    <w:t>以及修建储存爆炸性、易燃性、放射性、毒害性腐蚀性物品的设施</w:t>
                  </w:r>
                  <w:r>
                    <w:rPr>
                      <w:rFonts w:hint="eastAsia"/>
                      <w:color w:val="auto"/>
                      <w:kern w:val="0"/>
                      <w:szCs w:val="21"/>
                    </w:rPr>
                    <w:t>；也不涉及</w:t>
                  </w:r>
                  <w:r>
                    <w:rPr>
                      <w:color w:val="auto"/>
                      <w:kern w:val="0"/>
                      <w:szCs w:val="21"/>
                    </w:rPr>
                    <w:t>建设宾馆、会所、培训中心、疗养院</w:t>
                  </w:r>
                  <w:r>
                    <w:rPr>
                      <w:rFonts w:hint="eastAsia"/>
                      <w:color w:val="auto"/>
                      <w:kern w:val="0"/>
                      <w:szCs w:val="21"/>
                    </w:rPr>
                    <w:t>等活动。</w:t>
                  </w:r>
                </w:p>
              </w:tc>
              <w:tc>
                <w:tcPr>
                  <w:tcW w:w="532" w:type="dxa"/>
                  <w:vAlign w:val="center"/>
                </w:tcPr>
                <w:p w14:paraId="643C090C">
                  <w:pPr>
                    <w:autoSpaceDE w:val="0"/>
                    <w:autoSpaceDN w:val="0"/>
                    <w:adjustRightInd w:val="0"/>
                    <w:snapToGrid w:val="0"/>
                    <w:jc w:val="center"/>
                    <w:rPr>
                      <w:color w:val="auto"/>
                      <w:kern w:val="0"/>
                      <w:szCs w:val="21"/>
                    </w:rPr>
                  </w:pPr>
                  <w:r>
                    <w:rPr>
                      <w:rFonts w:hint="eastAsia"/>
                      <w:color w:val="auto"/>
                      <w:kern w:val="0"/>
                      <w:szCs w:val="21"/>
                    </w:rPr>
                    <w:t>符合</w:t>
                  </w:r>
                </w:p>
              </w:tc>
            </w:tr>
            <w:tr w14:paraId="78696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16" w:type="dxa"/>
                  <w:vAlign w:val="center"/>
                </w:tcPr>
                <w:p w14:paraId="6AE3F5C3">
                  <w:pPr>
                    <w:pStyle w:val="13"/>
                    <w:widowControl/>
                    <w:adjustRightInd w:val="0"/>
                    <w:snapToGrid w:val="0"/>
                    <w:jc w:val="center"/>
                    <w:rPr>
                      <w:rFonts w:ascii="Times New Roman" w:hAnsi="Times New Roman"/>
                      <w:color w:val="auto"/>
                    </w:rPr>
                  </w:pPr>
                  <w:r>
                    <w:rPr>
                      <w:rFonts w:hint="eastAsia" w:ascii="Times New Roman" w:hAnsi="Times New Roman"/>
                      <w:color w:val="auto"/>
                    </w:rPr>
                    <w:t>4</w:t>
                  </w:r>
                </w:p>
              </w:tc>
              <w:tc>
                <w:tcPr>
                  <w:tcW w:w="4126" w:type="dxa"/>
                  <w:vAlign w:val="center"/>
                </w:tcPr>
                <w:p w14:paraId="3C318519">
                  <w:pPr>
                    <w:autoSpaceDE w:val="0"/>
                    <w:autoSpaceDN w:val="0"/>
                    <w:adjustRightInd w:val="0"/>
                    <w:snapToGrid w:val="0"/>
                    <w:jc w:val="center"/>
                    <w:rPr>
                      <w:color w:val="auto"/>
                      <w:kern w:val="0"/>
                      <w:szCs w:val="21"/>
                    </w:rPr>
                  </w:pPr>
                  <w:r>
                    <w:rPr>
                      <w:rFonts w:hint="eastAsia"/>
                      <w:color w:val="auto"/>
                      <w:kern w:val="0"/>
                      <w:szCs w:val="21"/>
                    </w:rP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2588" w:type="dxa"/>
                  <w:vAlign w:val="center"/>
                </w:tcPr>
                <w:p w14:paraId="46414DA5">
                  <w:pPr>
                    <w:autoSpaceDE w:val="0"/>
                    <w:autoSpaceDN w:val="0"/>
                    <w:adjustRightInd w:val="0"/>
                    <w:snapToGrid w:val="0"/>
                    <w:jc w:val="center"/>
                    <w:rPr>
                      <w:color w:val="auto"/>
                      <w:kern w:val="0"/>
                      <w:szCs w:val="21"/>
                    </w:rPr>
                  </w:pPr>
                  <w:r>
                    <w:rPr>
                      <w:rFonts w:hint="eastAsia"/>
                      <w:color w:val="auto"/>
                      <w:kern w:val="0"/>
                      <w:szCs w:val="21"/>
                    </w:rPr>
                    <w:t>项目不新增占地，不涉及饮用水水源一级保护区的岸线和河段范围；不涉及饮用水水源二级保护区的岸线和河段范围；该项目为纸制品生产项目，不涉及供水设施、网箱养殖、畜禽养殖、旅游等活动。</w:t>
                  </w:r>
                </w:p>
              </w:tc>
              <w:tc>
                <w:tcPr>
                  <w:tcW w:w="532" w:type="dxa"/>
                  <w:vAlign w:val="center"/>
                </w:tcPr>
                <w:p w14:paraId="3A510365">
                  <w:pPr>
                    <w:autoSpaceDE w:val="0"/>
                    <w:autoSpaceDN w:val="0"/>
                    <w:adjustRightInd w:val="0"/>
                    <w:snapToGrid w:val="0"/>
                    <w:jc w:val="center"/>
                    <w:rPr>
                      <w:color w:val="auto"/>
                      <w:kern w:val="0"/>
                      <w:szCs w:val="21"/>
                    </w:rPr>
                  </w:pPr>
                  <w:r>
                    <w:rPr>
                      <w:rFonts w:hint="eastAsia"/>
                      <w:color w:val="auto"/>
                      <w:kern w:val="0"/>
                      <w:szCs w:val="21"/>
                    </w:rPr>
                    <w:t>符合</w:t>
                  </w:r>
                </w:p>
              </w:tc>
            </w:tr>
            <w:tr w14:paraId="1C233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16" w:type="dxa"/>
                  <w:vAlign w:val="center"/>
                </w:tcPr>
                <w:p w14:paraId="44B8FED9">
                  <w:pPr>
                    <w:pStyle w:val="13"/>
                    <w:widowControl/>
                    <w:adjustRightInd w:val="0"/>
                    <w:snapToGrid w:val="0"/>
                    <w:jc w:val="center"/>
                    <w:rPr>
                      <w:rFonts w:ascii="Times New Roman" w:hAnsi="Times New Roman"/>
                      <w:color w:val="auto"/>
                    </w:rPr>
                  </w:pPr>
                  <w:r>
                    <w:rPr>
                      <w:rFonts w:hint="eastAsia" w:ascii="Times New Roman" w:hAnsi="Times New Roman"/>
                      <w:color w:val="auto"/>
                    </w:rPr>
                    <w:t>5</w:t>
                  </w:r>
                </w:p>
              </w:tc>
              <w:tc>
                <w:tcPr>
                  <w:tcW w:w="4126" w:type="dxa"/>
                  <w:vAlign w:val="center"/>
                </w:tcPr>
                <w:p w14:paraId="2E7449D3">
                  <w:pPr>
                    <w:autoSpaceDE w:val="0"/>
                    <w:autoSpaceDN w:val="0"/>
                    <w:adjustRightInd w:val="0"/>
                    <w:snapToGrid w:val="0"/>
                    <w:jc w:val="center"/>
                    <w:rPr>
                      <w:color w:val="auto"/>
                      <w:kern w:val="0"/>
                      <w:szCs w:val="21"/>
                    </w:rPr>
                  </w:pPr>
                  <w:r>
                    <w:rPr>
                      <w:rFonts w:hint="eastAsia"/>
                      <w:color w:val="auto"/>
                      <w:kern w:val="0"/>
                      <w:szCs w:val="21"/>
                    </w:rPr>
                    <w:t>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2588" w:type="dxa"/>
                  <w:vAlign w:val="center"/>
                </w:tcPr>
                <w:p w14:paraId="6911A3B0">
                  <w:pPr>
                    <w:autoSpaceDE w:val="0"/>
                    <w:autoSpaceDN w:val="0"/>
                    <w:adjustRightInd w:val="0"/>
                    <w:snapToGrid w:val="0"/>
                    <w:jc w:val="center"/>
                    <w:rPr>
                      <w:color w:val="auto"/>
                      <w:kern w:val="0"/>
                      <w:szCs w:val="21"/>
                    </w:rPr>
                  </w:pPr>
                  <w:r>
                    <w:rPr>
                      <w:rFonts w:hint="eastAsia"/>
                      <w:color w:val="auto"/>
                      <w:kern w:val="0"/>
                      <w:szCs w:val="21"/>
                    </w:rPr>
                    <w:t>项目不新增占地，不涉及水产种质资源保护区的岸线和河段范围；不涉及国家湿地公园；该项目为纸制品生产项目，不涉及围湖造田、围湖造地、围填海、挖沙、采矿、建设度假区、高尔夫球场等活动。</w:t>
                  </w:r>
                </w:p>
              </w:tc>
              <w:tc>
                <w:tcPr>
                  <w:tcW w:w="532" w:type="dxa"/>
                  <w:vAlign w:val="center"/>
                </w:tcPr>
                <w:p w14:paraId="3F23A45E">
                  <w:pPr>
                    <w:autoSpaceDE w:val="0"/>
                    <w:autoSpaceDN w:val="0"/>
                    <w:adjustRightInd w:val="0"/>
                    <w:snapToGrid w:val="0"/>
                    <w:jc w:val="center"/>
                    <w:rPr>
                      <w:color w:val="auto"/>
                      <w:kern w:val="0"/>
                      <w:szCs w:val="21"/>
                    </w:rPr>
                  </w:pPr>
                  <w:r>
                    <w:rPr>
                      <w:rFonts w:hint="eastAsia"/>
                      <w:color w:val="auto"/>
                      <w:kern w:val="0"/>
                      <w:szCs w:val="21"/>
                    </w:rPr>
                    <w:t>符合</w:t>
                  </w:r>
                </w:p>
              </w:tc>
            </w:tr>
            <w:tr w14:paraId="340FC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16" w:type="dxa"/>
                  <w:vAlign w:val="center"/>
                </w:tcPr>
                <w:p w14:paraId="6D56F891">
                  <w:pPr>
                    <w:pStyle w:val="13"/>
                    <w:widowControl/>
                    <w:adjustRightInd w:val="0"/>
                    <w:snapToGrid w:val="0"/>
                    <w:jc w:val="center"/>
                    <w:rPr>
                      <w:rFonts w:ascii="Times New Roman" w:hAnsi="Times New Roman"/>
                      <w:color w:val="auto"/>
                    </w:rPr>
                  </w:pPr>
                  <w:r>
                    <w:rPr>
                      <w:rFonts w:hint="eastAsia" w:ascii="Times New Roman" w:hAnsi="Times New Roman"/>
                      <w:color w:val="auto"/>
                    </w:rPr>
                    <w:t>6</w:t>
                  </w:r>
                </w:p>
              </w:tc>
              <w:tc>
                <w:tcPr>
                  <w:tcW w:w="4126" w:type="dxa"/>
                  <w:vAlign w:val="center"/>
                </w:tcPr>
                <w:p w14:paraId="26014F19">
                  <w:pPr>
                    <w:autoSpaceDE w:val="0"/>
                    <w:autoSpaceDN w:val="0"/>
                    <w:adjustRightInd w:val="0"/>
                    <w:snapToGrid w:val="0"/>
                    <w:jc w:val="center"/>
                    <w:rPr>
                      <w:color w:val="auto"/>
                      <w:kern w:val="0"/>
                      <w:szCs w:val="21"/>
                    </w:rPr>
                  </w:pPr>
                  <w:r>
                    <w:rPr>
                      <w:rFonts w:hint="eastAsia"/>
                      <w:color w:val="auto"/>
                      <w:kern w:val="0"/>
                      <w:szCs w:val="21"/>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2588" w:type="dxa"/>
                  <w:vAlign w:val="center"/>
                </w:tcPr>
                <w:p w14:paraId="25535812">
                  <w:pPr>
                    <w:autoSpaceDE w:val="0"/>
                    <w:autoSpaceDN w:val="0"/>
                    <w:adjustRightInd w:val="0"/>
                    <w:snapToGrid w:val="0"/>
                    <w:jc w:val="center"/>
                    <w:rPr>
                      <w:color w:val="auto"/>
                      <w:kern w:val="0"/>
                      <w:szCs w:val="21"/>
                    </w:rPr>
                  </w:pPr>
                  <w:r>
                    <w:rPr>
                      <w:rFonts w:hint="eastAsia"/>
                      <w:color w:val="auto"/>
                      <w:kern w:val="0"/>
                      <w:szCs w:val="21"/>
                    </w:rPr>
                    <w:t>项目不新增占地，不涉及长江流域河湖岸线，不在金沙江岸线保护区和保留区内；不在金沙江干流、九大高原湖泊保护区、保留区内；该项目为纸制品生产项目，不涉及不利于水资源及自然生态保护的活动。</w:t>
                  </w:r>
                </w:p>
              </w:tc>
              <w:tc>
                <w:tcPr>
                  <w:tcW w:w="532" w:type="dxa"/>
                  <w:vAlign w:val="center"/>
                </w:tcPr>
                <w:p w14:paraId="7C6B3EDA">
                  <w:pPr>
                    <w:autoSpaceDE w:val="0"/>
                    <w:autoSpaceDN w:val="0"/>
                    <w:adjustRightInd w:val="0"/>
                    <w:snapToGrid w:val="0"/>
                    <w:jc w:val="center"/>
                    <w:rPr>
                      <w:color w:val="auto"/>
                      <w:kern w:val="0"/>
                      <w:szCs w:val="21"/>
                    </w:rPr>
                  </w:pPr>
                  <w:r>
                    <w:rPr>
                      <w:rFonts w:hint="eastAsia"/>
                      <w:color w:val="auto"/>
                      <w:kern w:val="0"/>
                      <w:szCs w:val="21"/>
                    </w:rPr>
                    <w:t>符合</w:t>
                  </w:r>
                </w:p>
              </w:tc>
            </w:tr>
            <w:tr w14:paraId="5098F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16" w:type="dxa"/>
                  <w:vAlign w:val="center"/>
                </w:tcPr>
                <w:p w14:paraId="7DD2F84B">
                  <w:pPr>
                    <w:pStyle w:val="13"/>
                    <w:widowControl/>
                    <w:adjustRightInd w:val="0"/>
                    <w:snapToGrid w:val="0"/>
                    <w:jc w:val="center"/>
                    <w:rPr>
                      <w:rFonts w:ascii="Times New Roman" w:hAnsi="Times New Roman"/>
                      <w:color w:val="auto"/>
                    </w:rPr>
                  </w:pPr>
                  <w:r>
                    <w:rPr>
                      <w:rFonts w:hint="eastAsia" w:ascii="Times New Roman" w:hAnsi="Times New Roman"/>
                      <w:color w:val="auto"/>
                    </w:rPr>
                    <w:t>7</w:t>
                  </w:r>
                </w:p>
              </w:tc>
              <w:tc>
                <w:tcPr>
                  <w:tcW w:w="4126" w:type="dxa"/>
                  <w:vAlign w:val="center"/>
                </w:tcPr>
                <w:p w14:paraId="1162F606">
                  <w:pPr>
                    <w:autoSpaceDE w:val="0"/>
                    <w:autoSpaceDN w:val="0"/>
                    <w:adjustRightInd w:val="0"/>
                    <w:snapToGrid w:val="0"/>
                    <w:jc w:val="center"/>
                    <w:rPr>
                      <w:color w:val="auto"/>
                      <w:kern w:val="0"/>
                      <w:szCs w:val="21"/>
                    </w:rPr>
                  </w:pPr>
                  <w:r>
                    <w:rPr>
                      <w:rFonts w:hint="eastAsia"/>
                      <w:color w:val="auto"/>
                      <w:kern w:val="0"/>
                      <w:szCs w:val="21"/>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2588" w:type="dxa"/>
                  <w:vAlign w:val="center"/>
                </w:tcPr>
                <w:p w14:paraId="5E261D32">
                  <w:pPr>
                    <w:autoSpaceDE w:val="0"/>
                    <w:autoSpaceDN w:val="0"/>
                    <w:adjustRightInd w:val="0"/>
                    <w:snapToGrid w:val="0"/>
                    <w:jc w:val="center"/>
                    <w:rPr>
                      <w:color w:val="auto"/>
                      <w:kern w:val="0"/>
                      <w:szCs w:val="21"/>
                    </w:rPr>
                  </w:pPr>
                  <w:r>
                    <w:rPr>
                      <w:rFonts w:hint="eastAsia"/>
                      <w:color w:val="auto"/>
                      <w:kern w:val="0"/>
                      <w:szCs w:val="21"/>
                    </w:rPr>
                    <w:t>该项目为纸制品生产项目，不涉及过江基础设施项目，项目未新设、改设或扩大排污口。</w:t>
                  </w:r>
                </w:p>
              </w:tc>
              <w:tc>
                <w:tcPr>
                  <w:tcW w:w="532" w:type="dxa"/>
                  <w:vAlign w:val="center"/>
                </w:tcPr>
                <w:p w14:paraId="0AFEBA83">
                  <w:pPr>
                    <w:autoSpaceDE w:val="0"/>
                    <w:autoSpaceDN w:val="0"/>
                    <w:adjustRightInd w:val="0"/>
                    <w:snapToGrid w:val="0"/>
                    <w:jc w:val="center"/>
                    <w:rPr>
                      <w:color w:val="auto"/>
                      <w:kern w:val="0"/>
                      <w:szCs w:val="21"/>
                    </w:rPr>
                  </w:pPr>
                  <w:r>
                    <w:rPr>
                      <w:rFonts w:hint="eastAsia"/>
                      <w:color w:val="auto"/>
                      <w:kern w:val="0"/>
                      <w:szCs w:val="21"/>
                    </w:rPr>
                    <w:t>符合</w:t>
                  </w:r>
                </w:p>
              </w:tc>
            </w:tr>
            <w:tr w14:paraId="1C3B5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16" w:type="dxa"/>
                  <w:vAlign w:val="center"/>
                </w:tcPr>
                <w:p w14:paraId="2CBE330A">
                  <w:pPr>
                    <w:pStyle w:val="13"/>
                    <w:widowControl/>
                    <w:adjustRightInd w:val="0"/>
                    <w:snapToGrid w:val="0"/>
                    <w:jc w:val="center"/>
                    <w:rPr>
                      <w:rFonts w:ascii="Times New Roman" w:hAnsi="Times New Roman"/>
                      <w:color w:val="auto"/>
                    </w:rPr>
                  </w:pPr>
                  <w:r>
                    <w:rPr>
                      <w:rFonts w:hint="eastAsia" w:ascii="Times New Roman" w:hAnsi="Times New Roman"/>
                      <w:color w:val="auto"/>
                    </w:rPr>
                    <w:t>8</w:t>
                  </w:r>
                </w:p>
              </w:tc>
              <w:tc>
                <w:tcPr>
                  <w:tcW w:w="4126" w:type="dxa"/>
                  <w:vAlign w:val="center"/>
                </w:tcPr>
                <w:p w14:paraId="41C0E4C3">
                  <w:pPr>
                    <w:autoSpaceDE w:val="0"/>
                    <w:autoSpaceDN w:val="0"/>
                    <w:adjustRightInd w:val="0"/>
                    <w:snapToGrid w:val="0"/>
                    <w:jc w:val="center"/>
                    <w:rPr>
                      <w:color w:val="auto"/>
                      <w:kern w:val="0"/>
                      <w:szCs w:val="21"/>
                    </w:rPr>
                  </w:pPr>
                  <w:r>
                    <w:rPr>
                      <w:rFonts w:hint="eastAsia"/>
                      <w:color w:val="auto"/>
                      <w:kern w:val="0"/>
                      <w:szCs w:val="21"/>
                    </w:rPr>
                    <w:t>禁止在金沙江干流、长江一级支流、水生生物保护区和长江流域禁捕水域开展天然渔业资源生产性捕捞。</w:t>
                  </w:r>
                </w:p>
              </w:tc>
              <w:tc>
                <w:tcPr>
                  <w:tcW w:w="2588" w:type="dxa"/>
                  <w:vAlign w:val="center"/>
                </w:tcPr>
                <w:p w14:paraId="71DA1148">
                  <w:pPr>
                    <w:autoSpaceDE w:val="0"/>
                    <w:autoSpaceDN w:val="0"/>
                    <w:adjustRightInd w:val="0"/>
                    <w:snapToGrid w:val="0"/>
                    <w:jc w:val="center"/>
                    <w:rPr>
                      <w:color w:val="auto"/>
                      <w:kern w:val="0"/>
                      <w:szCs w:val="21"/>
                    </w:rPr>
                  </w:pPr>
                  <w:r>
                    <w:rPr>
                      <w:rFonts w:hint="eastAsia"/>
                      <w:color w:val="auto"/>
                      <w:kern w:val="0"/>
                      <w:szCs w:val="21"/>
                    </w:rPr>
                    <w:t>项目不涉及金沙江干流、长江一级支流、水生生物保护区和长江流域禁捕水域。</w:t>
                  </w:r>
                </w:p>
              </w:tc>
              <w:tc>
                <w:tcPr>
                  <w:tcW w:w="532" w:type="dxa"/>
                  <w:vAlign w:val="center"/>
                </w:tcPr>
                <w:p w14:paraId="621F3576">
                  <w:pPr>
                    <w:autoSpaceDE w:val="0"/>
                    <w:autoSpaceDN w:val="0"/>
                    <w:adjustRightInd w:val="0"/>
                    <w:snapToGrid w:val="0"/>
                    <w:jc w:val="center"/>
                    <w:rPr>
                      <w:color w:val="auto"/>
                      <w:kern w:val="0"/>
                      <w:szCs w:val="21"/>
                    </w:rPr>
                  </w:pPr>
                  <w:r>
                    <w:rPr>
                      <w:rFonts w:hint="eastAsia"/>
                      <w:color w:val="auto"/>
                      <w:kern w:val="0"/>
                      <w:szCs w:val="21"/>
                    </w:rPr>
                    <w:t>符合</w:t>
                  </w:r>
                </w:p>
              </w:tc>
            </w:tr>
            <w:tr w14:paraId="5255C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16" w:type="dxa"/>
                  <w:vAlign w:val="center"/>
                </w:tcPr>
                <w:p w14:paraId="10F5E8FE">
                  <w:pPr>
                    <w:pStyle w:val="13"/>
                    <w:widowControl/>
                    <w:adjustRightInd w:val="0"/>
                    <w:snapToGrid w:val="0"/>
                    <w:jc w:val="center"/>
                    <w:rPr>
                      <w:rFonts w:ascii="Times New Roman" w:hAnsi="Times New Roman"/>
                      <w:color w:val="auto"/>
                    </w:rPr>
                  </w:pPr>
                  <w:r>
                    <w:rPr>
                      <w:rFonts w:hint="eastAsia" w:ascii="Times New Roman" w:hAnsi="Times New Roman"/>
                      <w:color w:val="auto"/>
                    </w:rPr>
                    <w:t>9</w:t>
                  </w:r>
                </w:p>
              </w:tc>
              <w:tc>
                <w:tcPr>
                  <w:tcW w:w="4126" w:type="dxa"/>
                  <w:vAlign w:val="center"/>
                </w:tcPr>
                <w:p w14:paraId="27EFF668">
                  <w:pPr>
                    <w:autoSpaceDE w:val="0"/>
                    <w:autoSpaceDN w:val="0"/>
                    <w:adjustRightInd w:val="0"/>
                    <w:snapToGrid w:val="0"/>
                    <w:jc w:val="center"/>
                    <w:rPr>
                      <w:color w:val="auto"/>
                      <w:kern w:val="0"/>
                      <w:szCs w:val="21"/>
                    </w:rPr>
                  </w:pPr>
                  <w:r>
                    <w:rPr>
                      <w:rFonts w:hint="eastAsia"/>
                      <w:color w:val="auto"/>
                      <w:kern w:val="0"/>
                      <w:szCs w:val="21"/>
                    </w:rPr>
                    <w:t>禁止在金沙江干流，长江一级支流和九大高原湖泊岸线一公里范围内新建、扩建化工园区和化工项目。禁止在金沙江干流岸线三公里范围内和长江一级支流岸线一公里范围内新建、改建、扩建尾矿库、</w:t>
                  </w:r>
                  <w:r>
                    <w:rPr>
                      <w:rFonts w:hint="eastAsia"/>
                      <w:color w:val="auto"/>
                      <w:kern w:val="0"/>
                      <w:szCs w:val="21"/>
                      <w:lang w:eastAsia="zh-CN"/>
                    </w:rPr>
                    <w:t>冶炼</w:t>
                  </w:r>
                  <w:r>
                    <w:rPr>
                      <w:rFonts w:hint="eastAsia"/>
                      <w:color w:val="auto"/>
                      <w:kern w:val="0"/>
                      <w:szCs w:val="21"/>
                    </w:rPr>
                    <w:t>渣库和磷石膏库，以提升安全、生态环境保护水平为目的的改建除外。</w:t>
                  </w:r>
                </w:p>
              </w:tc>
              <w:tc>
                <w:tcPr>
                  <w:tcW w:w="2588" w:type="dxa"/>
                  <w:vAlign w:val="center"/>
                </w:tcPr>
                <w:p w14:paraId="194C0FAC">
                  <w:pPr>
                    <w:autoSpaceDE w:val="0"/>
                    <w:autoSpaceDN w:val="0"/>
                    <w:adjustRightInd w:val="0"/>
                    <w:snapToGrid w:val="0"/>
                    <w:jc w:val="center"/>
                    <w:rPr>
                      <w:color w:val="auto"/>
                      <w:kern w:val="0"/>
                      <w:szCs w:val="21"/>
                    </w:rPr>
                  </w:pPr>
                  <w:r>
                    <w:rPr>
                      <w:rFonts w:hint="eastAsia"/>
                      <w:color w:val="auto"/>
                      <w:kern w:val="0"/>
                      <w:szCs w:val="21"/>
                    </w:rPr>
                    <w:t>项目为纸制品生产项目，不属于化工、尾矿库、</w:t>
                  </w:r>
                  <w:r>
                    <w:rPr>
                      <w:rFonts w:hint="eastAsia"/>
                      <w:color w:val="auto"/>
                      <w:kern w:val="0"/>
                      <w:szCs w:val="21"/>
                      <w:lang w:eastAsia="zh-CN"/>
                    </w:rPr>
                    <w:t>冶炼</w:t>
                  </w:r>
                  <w:r>
                    <w:rPr>
                      <w:rFonts w:hint="eastAsia"/>
                      <w:color w:val="auto"/>
                      <w:kern w:val="0"/>
                      <w:szCs w:val="21"/>
                    </w:rPr>
                    <w:t>渣库和磷石膏库等项目。</w:t>
                  </w:r>
                </w:p>
              </w:tc>
              <w:tc>
                <w:tcPr>
                  <w:tcW w:w="532" w:type="dxa"/>
                  <w:vAlign w:val="center"/>
                </w:tcPr>
                <w:p w14:paraId="726F80AD">
                  <w:pPr>
                    <w:autoSpaceDE w:val="0"/>
                    <w:autoSpaceDN w:val="0"/>
                    <w:adjustRightInd w:val="0"/>
                    <w:snapToGrid w:val="0"/>
                    <w:jc w:val="center"/>
                    <w:rPr>
                      <w:color w:val="auto"/>
                      <w:kern w:val="0"/>
                      <w:szCs w:val="21"/>
                    </w:rPr>
                  </w:pPr>
                  <w:r>
                    <w:rPr>
                      <w:rFonts w:hint="eastAsia"/>
                      <w:color w:val="auto"/>
                      <w:kern w:val="0"/>
                      <w:szCs w:val="21"/>
                    </w:rPr>
                    <w:t>符合</w:t>
                  </w:r>
                </w:p>
              </w:tc>
            </w:tr>
            <w:tr w14:paraId="08CFF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16" w:type="dxa"/>
                  <w:vAlign w:val="center"/>
                </w:tcPr>
                <w:p w14:paraId="6F4086E9">
                  <w:pPr>
                    <w:pStyle w:val="13"/>
                    <w:widowControl/>
                    <w:adjustRightInd w:val="0"/>
                    <w:snapToGrid w:val="0"/>
                    <w:jc w:val="center"/>
                    <w:rPr>
                      <w:rFonts w:ascii="Times New Roman" w:hAnsi="Times New Roman"/>
                      <w:color w:val="auto"/>
                    </w:rPr>
                  </w:pPr>
                  <w:r>
                    <w:rPr>
                      <w:rFonts w:hint="eastAsia" w:ascii="Times New Roman" w:hAnsi="Times New Roman"/>
                      <w:color w:val="auto"/>
                    </w:rPr>
                    <w:t>10</w:t>
                  </w:r>
                </w:p>
              </w:tc>
              <w:tc>
                <w:tcPr>
                  <w:tcW w:w="4126" w:type="dxa"/>
                  <w:vAlign w:val="center"/>
                </w:tcPr>
                <w:p w14:paraId="676DBC32">
                  <w:pPr>
                    <w:pStyle w:val="4"/>
                    <w:adjustRightInd w:val="0"/>
                    <w:snapToGrid w:val="0"/>
                    <w:jc w:val="center"/>
                    <w:rPr>
                      <w:rFonts w:ascii="Times New Roman" w:hAnsi="Times New Roman"/>
                      <w:b w:val="0"/>
                      <w:bCs w:val="0"/>
                      <w:color w:val="auto"/>
                      <w:kern w:val="0"/>
                      <w:sz w:val="21"/>
                      <w:szCs w:val="21"/>
                    </w:rPr>
                  </w:pPr>
                  <w:r>
                    <w:rPr>
                      <w:rFonts w:hint="eastAsia" w:ascii="Times New Roman" w:hAnsi="Times New Roman"/>
                      <w:b w:val="0"/>
                      <w:bCs w:val="0"/>
                      <w:color w:val="auto"/>
                      <w:kern w:val="0"/>
                      <w:sz w:val="21"/>
                      <w:szCs w:val="21"/>
                    </w:rPr>
                    <w:t>禁止在合规园区外新建、扩建钢铁、石化、化工焦化、建材、有色、制浆造纸行业中的高污染项目。</w:t>
                  </w:r>
                </w:p>
              </w:tc>
              <w:tc>
                <w:tcPr>
                  <w:tcW w:w="2588" w:type="dxa"/>
                  <w:vAlign w:val="center"/>
                </w:tcPr>
                <w:p w14:paraId="483B1A7D">
                  <w:pPr>
                    <w:pStyle w:val="4"/>
                    <w:adjustRightInd w:val="0"/>
                    <w:snapToGrid w:val="0"/>
                    <w:jc w:val="left"/>
                    <w:rPr>
                      <w:rFonts w:ascii="Times New Roman" w:hAnsi="Times New Roman"/>
                      <w:b w:val="0"/>
                      <w:bCs w:val="0"/>
                      <w:color w:val="auto"/>
                      <w:kern w:val="0"/>
                      <w:sz w:val="21"/>
                      <w:szCs w:val="21"/>
                    </w:rPr>
                  </w:pPr>
                  <w:r>
                    <w:rPr>
                      <w:rFonts w:hint="eastAsia" w:ascii="Times New Roman" w:hAnsi="Times New Roman"/>
                      <w:b w:val="0"/>
                      <w:bCs w:val="0"/>
                      <w:color w:val="auto"/>
                      <w:kern w:val="0"/>
                      <w:sz w:val="21"/>
                      <w:szCs w:val="21"/>
                    </w:rPr>
                    <w:t>项目位于合规园区；项目属于纸制品生产项目，不属于钢铁、石化、化工焦化、建材、有色、制浆造纸行业中的高污染项目。</w:t>
                  </w:r>
                </w:p>
              </w:tc>
              <w:tc>
                <w:tcPr>
                  <w:tcW w:w="532" w:type="dxa"/>
                  <w:vAlign w:val="center"/>
                </w:tcPr>
                <w:p w14:paraId="0B3C23E1">
                  <w:pPr>
                    <w:autoSpaceDE w:val="0"/>
                    <w:autoSpaceDN w:val="0"/>
                    <w:adjustRightInd w:val="0"/>
                    <w:snapToGrid w:val="0"/>
                    <w:jc w:val="center"/>
                    <w:rPr>
                      <w:color w:val="auto"/>
                      <w:kern w:val="0"/>
                      <w:szCs w:val="21"/>
                    </w:rPr>
                  </w:pPr>
                  <w:r>
                    <w:rPr>
                      <w:rFonts w:hint="eastAsia"/>
                      <w:color w:val="auto"/>
                      <w:kern w:val="0"/>
                      <w:szCs w:val="21"/>
                    </w:rPr>
                    <w:t>符合</w:t>
                  </w:r>
                </w:p>
              </w:tc>
            </w:tr>
            <w:tr w14:paraId="57283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16" w:type="dxa"/>
                  <w:vAlign w:val="center"/>
                </w:tcPr>
                <w:p w14:paraId="6F31D14B">
                  <w:pPr>
                    <w:pStyle w:val="13"/>
                    <w:widowControl/>
                    <w:adjustRightInd w:val="0"/>
                    <w:snapToGrid w:val="0"/>
                    <w:jc w:val="center"/>
                    <w:rPr>
                      <w:rFonts w:ascii="Times New Roman" w:hAnsi="Times New Roman"/>
                      <w:color w:val="auto"/>
                    </w:rPr>
                  </w:pPr>
                  <w:r>
                    <w:rPr>
                      <w:rFonts w:hint="eastAsia" w:ascii="Times New Roman" w:hAnsi="Times New Roman"/>
                      <w:color w:val="auto"/>
                    </w:rPr>
                    <w:t>11</w:t>
                  </w:r>
                </w:p>
              </w:tc>
              <w:tc>
                <w:tcPr>
                  <w:tcW w:w="4126" w:type="dxa"/>
                  <w:vAlign w:val="center"/>
                </w:tcPr>
                <w:p w14:paraId="12AF8EC9">
                  <w:pPr>
                    <w:pStyle w:val="4"/>
                    <w:adjustRightInd w:val="0"/>
                    <w:snapToGrid w:val="0"/>
                    <w:jc w:val="center"/>
                    <w:rPr>
                      <w:rFonts w:ascii="Times New Roman" w:hAnsi="Times New Roman"/>
                      <w:b w:val="0"/>
                      <w:bCs w:val="0"/>
                      <w:color w:val="auto"/>
                      <w:kern w:val="0"/>
                      <w:sz w:val="21"/>
                      <w:szCs w:val="21"/>
                    </w:rPr>
                  </w:pPr>
                  <w:r>
                    <w:rPr>
                      <w:rFonts w:hint="eastAsia" w:ascii="Times New Roman" w:hAnsi="Times New Roman"/>
                      <w:b w:val="0"/>
                      <w:bCs w:val="0"/>
                      <w:color w:val="auto"/>
                      <w:kern w:val="0"/>
                      <w:sz w:val="21"/>
                      <w:szCs w:val="21"/>
                    </w:rPr>
                    <w:t>禁止新建、扩建不符合国家石化、现代煤化工等</w:t>
                  </w:r>
                </w:p>
                <w:p w14:paraId="0C956FEA">
                  <w:pPr>
                    <w:pStyle w:val="4"/>
                    <w:adjustRightInd w:val="0"/>
                    <w:snapToGrid w:val="0"/>
                    <w:jc w:val="center"/>
                    <w:rPr>
                      <w:rFonts w:ascii="Times New Roman" w:hAnsi="Times New Roman"/>
                      <w:b w:val="0"/>
                      <w:bCs w:val="0"/>
                      <w:color w:val="auto"/>
                      <w:kern w:val="0"/>
                      <w:sz w:val="21"/>
                      <w:szCs w:val="21"/>
                    </w:rPr>
                  </w:pPr>
                  <w:r>
                    <w:rPr>
                      <w:rFonts w:hint="eastAsia" w:ascii="Times New Roman" w:hAnsi="Times New Roman"/>
                      <w:b w:val="0"/>
                      <w:bCs w:val="0"/>
                      <w:color w:val="auto"/>
                      <w:kern w:val="0"/>
                      <w:sz w:val="21"/>
                      <w:szCs w:val="21"/>
                    </w:rPr>
                    <w:t>产业布局规划的项目。禁止列入《云南省城镇人口密集区危险化学品生产企业搬迁改造名单》的搬迁改造企业在原址新建、扩建危险化学品生产项目。</w:t>
                  </w:r>
                </w:p>
              </w:tc>
              <w:tc>
                <w:tcPr>
                  <w:tcW w:w="2588" w:type="dxa"/>
                  <w:vAlign w:val="center"/>
                </w:tcPr>
                <w:p w14:paraId="490CA90F">
                  <w:pPr>
                    <w:pStyle w:val="4"/>
                    <w:adjustRightInd w:val="0"/>
                    <w:snapToGrid w:val="0"/>
                    <w:jc w:val="left"/>
                    <w:rPr>
                      <w:rFonts w:ascii="Times New Roman" w:hAnsi="Times New Roman"/>
                      <w:b w:val="0"/>
                      <w:bCs w:val="0"/>
                      <w:color w:val="auto"/>
                      <w:kern w:val="0"/>
                      <w:sz w:val="21"/>
                      <w:szCs w:val="21"/>
                    </w:rPr>
                  </w:pPr>
                  <w:r>
                    <w:rPr>
                      <w:rFonts w:hint="eastAsia" w:ascii="Times New Roman" w:hAnsi="Times New Roman"/>
                      <w:b w:val="0"/>
                      <w:bCs w:val="0"/>
                      <w:color w:val="auto"/>
                      <w:kern w:val="0"/>
                      <w:sz w:val="21"/>
                      <w:szCs w:val="21"/>
                    </w:rPr>
                    <w:t>项目属于纸制品生产项目，不属于石化、煤化工以及危险化学品生产项目。</w:t>
                  </w:r>
                </w:p>
              </w:tc>
              <w:tc>
                <w:tcPr>
                  <w:tcW w:w="532" w:type="dxa"/>
                  <w:vAlign w:val="center"/>
                </w:tcPr>
                <w:p w14:paraId="38878BB2">
                  <w:pPr>
                    <w:autoSpaceDE w:val="0"/>
                    <w:autoSpaceDN w:val="0"/>
                    <w:adjustRightInd w:val="0"/>
                    <w:snapToGrid w:val="0"/>
                    <w:jc w:val="center"/>
                    <w:rPr>
                      <w:color w:val="auto"/>
                      <w:kern w:val="0"/>
                      <w:szCs w:val="21"/>
                    </w:rPr>
                  </w:pPr>
                  <w:r>
                    <w:rPr>
                      <w:rFonts w:hint="eastAsia"/>
                      <w:color w:val="auto"/>
                      <w:kern w:val="0"/>
                      <w:szCs w:val="21"/>
                    </w:rPr>
                    <w:t>符合</w:t>
                  </w:r>
                </w:p>
              </w:tc>
            </w:tr>
            <w:tr w14:paraId="56BFC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16" w:type="dxa"/>
                  <w:vAlign w:val="center"/>
                </w:tcPr>
                <w:p w14:paraId="1C6B92E3">
                  <w:pPr>
                    <w:pStyle w:val="13"/>
                    <w:widowControl/>
                    <w:adjustRightInd w:val="0"/>
                    <w:snapToGrid w:val="0"/>
                    <w:jc w:val="center"/>
                    <w:rPr>
                      <w:rFonts w:ascii="Times New Roman" w:hAnsi="Times New Roman"/>
                      <w:color w:val="auto"/>
                    </w:rPr>
                  </w:pPr>
                  <w:r>
                    <w:rPr>
                      <w:rFonts w:hint="eastAsia" w:ascii="Times New Roman" w:hAnsi="Times New Roman"/>
                      <w:color w:val="auto"/>
                    </w:rPr>
                    <w:t>12</w:t>
                  </w:r>
                </w:p>
              </w:tc>
              <w:tc>
                <w:tcPr>
                  <w:tcW w:w="4126" w:type="dxa"/>
                  <w:vAlign w:val="center"/>
                </w:tcPr>
                <w:p w14:paraId="712BADDA">
                  <w:pPr>
                    <w:pStyle w:val="4"/>
                    <w:adjustRightInd w:val="0"/>
                    <w:snapToGrid w:val="0"/>
                    <w:jc w:val="center"/>
                    <w:rPr>
                      <w:rFonts w:ascii="Times New Roman" w:hAnsi="Times New Roman"/>
                      <w:b w:val="0"/>
                      <w:bCs w:val="0"/>
                      <w:color w:val="auto"/>
                      <w:kern w:val="0"/>
                      <w:sz w:val="21"/>
                      <w:szCs w:val="21"/>
                    </w:rPr>
                  </w:pPr>
                  <w:r>
                    <w:rPr>
                      <w:rFonts w:hint="eastAsia" w:ascii="Times New Roman" w:hAnsi="Times New Roman"/>
                      <w:b w:val="0"/>
                      <w:bCs w:val="0"/>
                      <w:color w:val="auto"/>
                      <w:kern w:val="0"/>
                      <w:sz w:val="21"/>
                      <w:szCs w:val="21"/>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电石、焦炭、磷、烧碱、纯碱、聚氯乙烯等行业新增产能。</w:t>
                  </w:r>
                </w:p>
              </w:tc>
              <w:tc>
                <w:tcPr>
                  <w:tcW w:w="2588" w:type="dxa"/>
                  <w:vAlign w:val="center"/>
                </w:tcPr>
                <w:p w14:paraId="67B8BFB0">
                  <w:pPr>
                    <w:pStyle w:val="4"/>
                    <w:adjustRightInd w:val="0"/>
                    <w:snapToGrid w:val="0"/>
                    <w:jc w:val="left"/>
                    <w:rPr>
                      <w:rFonts w:ascii="Times New Roman" w:hAnsi="Times New Roman"/>
                      <w:b w:val="0"/>
                      <w:bCs w:val="0"/>
                      <w:color w:val="auto"/>
                      <w:kern w:val="0"/>
                      <w:sz w:val="21"/>
                      <w:szCs w:val="21"/>
                    </w:rPr>
                  </w:pPr>
                  <w:r>
                    <w:rPr>
                      <w:rFonts w:hint="eastAsia" w:ascii="Times New Roman" w:hAnsi="Times New Roman"/>
                      <w:b w:val="0"/>
                      <w:bCs w:val="0"/>
                      <w:color w:val="auto"/>
                      <w:kern w:val="0"/>
                      <w:sz w:val="21"/>
                      <w:szCs w:val="21"/>
                    </w:rPr>
                    <w:t>项目属于纸制品生产项目，符合国家产业政策要求，项目能耗、环保、质量、安全均达标，符合国家产能置换要求；不属于过剩产能行业，不属于农药、尿素、磷、电石、焦炭、磷、烧碱、纯碱、聚氯乙烯等行业。</w:t>
                  </w:r>
                </w:p>
              </w:tc>
              <w:tc>
                <w:tcPr>
                  <w:tcW w:w="532" w:type="dxa"/>
                  <w:vAlign w:val="center"/>
                </w:tcPr>
                <w:p w14:paraId="747CF326">
                  <w:pPr>
                    <w:autoSpaceDE w:val="0"/>
                    <w:autoSpaceDN w:val="0"/>
                    <w:adjustRightInd w:val="0"/>
                    <w:snapToGrid w:val="0"/>
                    <w:jc w:val="center"/>
                    <w:rPr>
                      <w:color w:val="auto"/>
                      <w:kern w:val="0"/>
                      <w:szCs w:val="21"/>
                    </w:rPr>
                  </w:pPr>
                  <w:r>
                    <w:rPr>
                      <w:rFonts w:hint="eastAsia"/>
                      <w:color w:val="auto"/>
                      <w:kern w:val="0"/>
                      <w:szCs w:val="21"/>
                    </w:rPr>
                    <w:t>符合</w:t>
                  </w:r>
                </w:p>
              </w:tc>
            </w:tr>
          </w:tbl>
          <w:p w14:paraId="6C888B6D">
            <w:pPr>
              <w:pStyle w:val="38"/>
              <w:ind w:left="0" w:right="0"/>
              <w:jc w:val="both"/>
              <w:rPr>
                <w:color w:val="auto"/>
                <w:sz w:val="24"/>
                <w:highlight w:val="yellow"/>
              </w:rPr>
            </w:pPr>
            <w:r>
              <w:rPr>
                <w:rFonts w:hint="eastAsia"/>
                <w:color w:val="auto"/>
                <w:sz w:val="24"/>
              </w:rPr>
              <w:t>综上，本项目建设与《云南省长江经济带发展负面清单指南实施细则（试行，2022年版）》相符。</w:t>
            </w:r>
          </w:p>
          <w:p w14:paraId="0A195946">
            <w:pPr>
              <w:adjustRightInd w:val="0"/>
              <w:snapToGrid w:val="0"/>
              <w:spacing w:line="360" w:lineRule="auto"/>
              <w:ind w:firstLine="482" w:firstLineChars="200"/>
              <w:rPr>
                <w:b/>
                <w:bCs/>
                <w:color w:val="auto"/>
                <w:sz w:val="24"/>
              </w:rPr>
            </w:pPr>
            <w:r>
              <w:rPr>
                <w:rFonts w:hint="eastAsia"/>
                <w:b/>
                <w:bCs/>
                <w:color w:val="auto"/>
                <w:sz w:val="24"/>
              </w:rPr>
              <w:t>10、与《中华人民共和国长江保护法》相符性分析</w:t>
            </w:r>
          </w:p>
          <w:p w14:paraId="416CA6E6">
            <w:pPr>
              <w:snapToGrid w:val="0"/>
              <w:spacing w:line="360" w:lineRule="auto"/>
              <w:ind w:firstLine="480" w:firstLineChars="200"/>
              <w:rPr>
                <w:color w:val="auto"/>
                <w:sz w:val="24"/>
              </w:rPr>
            </w:pPr>
            <w:r>
              <w:rPr>
                <w:color w:val="auto"/>
                <w:sz w:val="24"/>
              </w:rPr>
              <w:t>2020年12月26日第十三届全国人民代表大会常务委员会第二十四次会议通过</w:t>
            </w:r>
            <w:r>
              <w:rPr>
                <w:rFonts w:hint="eastAsia"/>
                <w:color w:val="auto"/>
                <w:sz w:val="24"/>
              </w:rPr>
              <w:t>《中华人民共和国长江保护法》。</w:t>
            </w:r>
          </w:p>
          <w:p w14:paraId="55B327A8">
            <w:pPr>
              <w:autoSpaceDN w:val="0"/>
              <w:adjustRightInd w:val="0"/>
              <w:snapToGrid w:val="0"/>
              <w:spacing w:line="360" w:lineRule="auto"/>
              <w:ind w:firstLine="480" w:firstLineChars="200"/>
              <w:rPr>
                <w:color w:val="auto"/>
                <w:sz w:val="24"/>
              </w:rPr>
            </w:pPr>
            <w:r>
              <w:rPr>
                <w:rFonts w:hint="eastAsia"/>
                <w:color w:val="auto"/>
                <w:sz w:val="24"/>
              </w:rPr>
              <w:t>本项目为其他纸制品制造</w:t>
            </w:r>
            <w:r>
              <w:rPr>
                <w:color w:val="auto"/>
                <w:sz w:val="24"/>
              </w:rPr>
              <w:t>项目，</w:t>
            </w:r>
            <w:r>
              <w:rPr>
                <w:rFonts w:hint="eastAsia"/>
                <w:color w:val="auto"/>
                <w:sz w:val="24"/>
              </w:rPr>
              <w:t>不属于</w:t>
            </w:r>
            <w:r>
              <w:rPr>
                <w:color w:val="auto"/>
                <w:sz w:val="24"/>
              </w:rPr>
              <w:t>《</w:t>
            </w:r>
            <w:r>
              <w:rPr>
                <w:rFonts w:hint="eastAsia"/>
                <w:color w:val="auto"/>
                <w:sz w:val="24"/>
              </w:rPr>
              <w:t>中华人民共和国长江保护法</w:t>
            </w:r>
            <w:r>
              <w:rPr>
                <w:color w:val="auto"/>
                <w:sz w:val="24"/>
              </w:rPr>
              <w:t>》中</w:t>
            </w:r>
            <w:r>
              <w:rPr>
                <w:rFonts w:hint="eastAsia"/>
                <w:color w:val="auto"/>
                <w:sz w:val="24"/>
              </w:rPr>
              <w:t>禁止建设的行业，不</w:t>
            </w:r>
            <w:r>
              <w:rPr>
                <w:color w:val="auto"/>
                <w:sz w:val="24"/>
              </w:rPr>
              <w:t>违反生态环境准入清单的规定进行生产建设活动</w:t>
            </w:r>
            <w:r>
              <w:rPr>
                <w:rFonts w:hint="eastAsia"/>
                <w:color w:val="auto"/>
                <w:sz w:val="24"/>
              </w:rPr>
              <w:t>，</w:t>
            </w:r>
            <w:r>
              <w:rPr>
                <w:color w:val="auto"/>
                <w:sz w:val="24"/>
              </w:rPr>
              <w:t>符合国家产业政策</w:t>
            </w:r>
            <w:r>
              <w:rPr>
                <w:rFonts w:hint="eastAsia"/>
                <w:color w:val="auto"/>
                <w:sz w:val="24"/>
              </w:rPr>
              <w:t>。项目</w:t>
            </w:r>
            <w:r>
              <w:rPr>
                <w:color w:val="auto"/>
                <w:sz w:val="24"/>
              </w:rPr>
              <w:t>选址不涉及自然保护区、饮用水源保护区、水产种质资源保护区、生态红线、基本农田等环境敏感区域，满足《</w:t>
            </w:r>
            <w:r>
              <w:rPr>
                <w:rFonts w:hint="eastAsia"/>
                <w:color w:val="auto"/>
                <w:sz w:val="24"/>
              </w:rPr>
              <w:t>中华人民共和国长江保护法</w:t>
            </w:r>
            <w:r>
              <w:rPr>
                <w:color w:val="auto"/>
                <w:sz w:val="24"/>
              </w:rPr>
              <w:t>》中的要求。</w:t>
            </w:r>
          </w:p>
          <w:p w14:paraId="605F8EF5">
            <w:pPr>
              <w:adjustRightInd w:val="0"/>
              <w:snapToGrid w:val="0"/>
              <w:spacing w:line="360" w:lineRule="auto"/>
              <w:ind w:firstLine="482" w:firstLineChars="200"/>
              <w:rPr>
                <w:b/>
                <w:bCs/>
                <w:color w:val="auto"/>
                <w:sz w:val="24"/>
              </w:rPr>
            </w:pPr>
            <w:r>
              <w:rPr>
                <w:rFonts w:hint="eastAsia"/>
                <w:b/>
                <w:bCs/>
                <w:color w:val="auto"/>
                <w:sz w:val="24"/>
              </w:rPr>
              <w:t>11、</w:t>
            </w:r>
            <w:r>
              <w:rPr>
                <w:b/>
                <w:bCs/>
                <w:color w:val="auto"/>
                <w:sz w:val="24"/>
              </w:rPr>
              <w:t>与《重点行业挥发性有机物综合治理方案》符合性分析</w:t>
            </w:r>
          </w:p>
          <w:p w14:paraId="4E6E1140">
            <w:pPr>
              <w:adjustRightInd w:val="0"/>
              <w:snapToGrid w:val="0"/>
              <w:spacing w:line="360" w:lineRule="auto"/>
              <w:ind w:firstLine="480" w:firstLineChars="200"/>
              <w:rPr>
                <w:color w:val="auto"/>
                <w:sz w:val="24"/>
              </w:rPr>
            </w:pPr>
            <w:r>
              <w:rPr>
                <w:color w:val="auto"/>
                <w:sz w:val="24"/>
              </w:rPr>
              <w:t>为贯彻落实《中共中央国务院关于全面加强生态环境保护坚决打好污染防治攻坚战的意见》《国务院关于印发打赢蓝天保卫战三年行动计划的通知》有关要求，深入实施《“十三五”挥发性有机物污染防治工作方案》，加强对各地工作指导，提高挥发性有机物（</w:t>
            </w:r>
            <w:r>
              <w:rPr>
                <w:rFonts w:hint="eastAsia"/>
                <w:color w:val="auto"/>
                <w:sz w:val="24"/>
              </w:rPr>
              <w:t>VOCs（以非甲烷总烃计）</w:t>
            </w:r>
            <w:r>
              <w:rPr>
                <w:color w:val="auto"/>
                <w:sz w:val="24"/>
              </w:rPr>
              <w:t>）治理的科学性、针对性和有效性，协同控制温室气体排放。</w:t>
            </w:r>
          </w:p>
          <w:p w14:paraId="0D0E3A0A">
            <w:pPr>
              <w:adjustRightInd w:val="0"/>
              <w:snapToGrid w:val="0"/>
              <w:spacing w:line="360" w:lineRule="auto"/>
              <w:ind w:firstLine="422" w:firstLineChars="200"/>
              <w:rPr>
                <w:color w:val="auto"/>
                <w:sz w:val="24"/>
              </w:rPr>
            </w:pPr>
            <w:r>
              <w:rPr>
                <w:b/>
                <w:color w:val="auto"/>
                <w:szCs w:val="21"/>
              </w:rPr>
              <w:t>表1-</w:t>
            </w:r>
            <w:r>
              <w:rPr>
                <w:rFonts w:hint="eastAsia"/>
                <w:b/>
                <w:color w:val="auto"/>
                <w:szCs w:val="21"/>
              </w:rPr>
              <w:t>11 项目与《重点行业挥发性有机物综合治理方案》符合性分析情况表</w:t>
            </w:r>
          </w:p>
          <w:tbl>
            <w:tblPr>
              <w:tblStyle w:val="30"/>
              <w:tblW w:w="7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4322"/>
              <w:gridCol w:w="2392"/>
              <w:gridCol w:w="532"/>
            </w:tblGrid>
            <w:tr w14:paraId="04A63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14:paraId="74B7EE33">
                  <w:pPr>
                    <w:pStyle w:val="13"/>
                    <w:adjustRightInd w:val="0"/>
                    <w:snapToGrid w:val="0"/>
                    <w:jc w:val="center"/>
                    <w:rPr>
                      <w:rFonts w:ascii="Times New Roman" w:hAnsi="Times New Roman"/>
                      <w:b/>
                      <w:bCs/>
                      <w:color w:val="auto"/>
                    </w:rPr>
                  </w:pPr>
                  <w:r>
                    <w:rPr>
                      <w:rFonts w:hint="eastAsia" w:ascii="Times New Roman" w:hAnsi="Times New Roman"/>
                      <w:b/>
                      <w:bCs/>
                      <w:color w:val="auto"/>
                    </w:rPr>
                    <w:t>序号</w:t>
                  </w:r>
                </w:p>
              </w:tc>
              <w:tc>
                <w:tcPr>
                  <w:tcW w:w="4322" w:type="dxa"/>
                  <w:vAlign w:val="center"/>
                </w:tcPr>
                <w:p w14:paraId="578F1C81">
                  <w:pPr>
                    <w:pStyle w:val="13"/>
                    <w:adjustRightInd w:val="0"/>
                    <w:snapToGrid w:val="0"/>
                    <w:jc w:val="center"/>
                    <w:rPr>
                      <w:rFonts w:ascii="Times New Roman" w:hAnsi="Times New Roman"/>
                      <w:b/>
                      <w:bCs/>
                      <w:color w:val="auto"/>
                    </w:rPr>
                  </w:pPr>
                  <w:r>
                    <w:rPr>
                      <w:rFonts w:ascii="Times New Roman" w:hAnsi="Times New Roman"/>
                      <w:b/>
                      <w:bCs/>
                      <w:color w:val="auto"/>
                    </w:rPr>
                    <w:t>相关规定</w:t>
                  </w:r>
                </w:p>
              </w:tc>
              <w:tc>
                <w:tcPr>
                  <w:tcW w:w="2392" w:type="dxa"/>
                  <w:vAlign w:val="center"/>
                </w:tcPr>
                <w:p w14:paraId="481EE4E4">
                  <w:pPr>
                    <w:pStyle w:val="13"/>
                    <w:adjustRightInd w:val="0"/>
                    <w:snapToGrid w:val="0"/>
                    <w:jc w:val="center"/>
                    <w:rPr>
                      <w:rFonts w:ascii="Times New Roman" w:hAnsi="Times New Roman"/>
                      <w:b/>
                      <w:bCs/>
                      <w:color w:val="auto"/>
                    </w:rPr>
                  </w:pPr>
                  <w:r>
                    <w:rPr>
                      <w:rFonts w:ascii="Times New Roman" w:hAnsi="Times New Roman"/>
                      <w:b/>
                      <w:bCs/>
                      <w:color w:val="auto"/>
                    </w:rPr>
                    <w:t>项目情况</w:t>
                  </w:r>
                </w:p>
              </w:tc>
              <w:tc>
                <w:tcPr>
                  <w:tcW w:w="532" w:type="dxa"/>
                  <w:vAlign w:val="center"/>
                </w:tcPr>
                <w:p w14:paraId="40F18785">
                  <w:pPr>
                    <w:pStyle w:val="13"/>
                    <w:adjustRightInd w:val="0"/>
                    <w:snapToGrid w:val="0"/>
                    <w:jc w:val="center"/>
                    <w:rPr>
                      <w:rFonts w:ascii="Times New Roman" w:hAnsi="Times New Roman"/>
                      <w:b/>
                      <w:bCs/>
                      <w:color w:val="auto"/>
                    </w:rPr>
                  </w:pPr>
                  <w:r>
                    <w:rPr>
                      <w:rFonts w:ascii="Times New Roman" w:hAnsi="Times New Roman"/>
                      <w:b/>
                      <w:bCs/>
                      <w:color w:val="auto"/>
                    </w:rPr>
                    <w:t>符合性</w:t>
                  </w:r>
                </w:p>
              </w:tc>
            </w:tr>
            <w:tr w14:paraId="16273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5" w:hRule="atLeast"/>
              </w:trPr>
              <w:tc>
                <w:tcPr>
                  <w:tcW w:w="516" w:type="dxa"/>
                  <w:vAlign w:val="center"/>
                </w:tcPr>
                <w:p w14:paraId="79CE76FC">
                  <w:pPr>
                    <w:widowControl/>
                    <w:adjustRightInd w:val="0"/>
                    <w:snapToGrid w:val="0"/>
                    <w:jc w:val="center"/>
                    <w:rPr>
                      <w:color w:val="auto"/>
                      <w:szCs w:val="21"/>
                    </w:rPr>
                  </w:pPr>
                  <w:r>
                    <w:rPr>
                      <w:rFonts w:hint="eastAsia"/>
                      <w:color w:val="auto"/>
                      <w:szCs w:val="21"/>
                    </w:rPr>
                    <w:t>1</w:t>
                  </w:r>
                </w:p>
              </w:tc>
              <w:tc>
                <w:tcPr>
                  <w:tcW w:w="4322" w:type="dxa"/>
                  <w:vAlign w:val="center"/>
                </w:tcPr>
                <w:p w14:paraId="68E397BE">
                  <w:pPr>
                    <w:pStyle w:val="9"/>
                    <w:spacing w:before="128" w:line="261" w:lineRule="auto"/>
                    <w:ind w:right="161"/>
                    <w:rPr>
                      <w:color w:val="auto"/>
                      <w:sz w:val="21"/>
                      <w:szCs w:val="21"/>
                    </w:rPr>
                  </w:pPr>
                  <w:r>
                    <w:rPr>
                      <w:color w:val="auto"/>
                      <w:sz w:val="21"/>
                      <w:szCs w:val="21"/>
                    </w:rPr>
                    <w:t>大力推进源头替代。企业应大力推广使用低</w:t>
                  </w:r>
                  <w:r>
                    <w:rPr>
                      <w:rFonts w:hint="eastAsia"/>
                      <w:color w:val="auto"/>
                      <w:sz w:val="21"/>
                      <w:szCs w:val="21"/>
                    </w:rPr>
                    <w:t>VOCs（以非甲烷总烃计）</w:t>
                  </w:r>
                  <w:r>
                    <w:rPr>
                      <w:color w:val="auto"/>
                      <w:sz w:val="21"/>
                      <w:szCs w:val="21"/>
                    </w:rPr>
                    <w:t>含量木器涂料、车辆涂料、机械设备涂料、集装箱涂料以及建筑物和构筑物防护涂料等，在技术成熟的行业，推广使用低</w:t>
                  </w:r>
                  <w:r>
                    <w:rPr>
                      <w:rFonts w:hint="eastAsia"/>
                      <w:color w:val="auto"/>
                      <w:sz w:val="21"/>
                      <w:szCs w:val="21"/>
                    </w:rPr>
                    <w:t>VOCs（以非甲烷总烃计）</w:t>
                  </w:r>
                  <w:r>
                    <w:rPr>
                      <w:color w:val="auto"/>
                      <w:sz w:val="21"/>
                      <w:szCs w:val="21"/>
                    </w:rPr>
                    <w:t>含量油墨和胶粘剂，重点区域到2020年年底前基本完成。鼓励加快低</w:t>
                  </w:r>
                  <w:r>
                    <w:rPr>
                      <w:rFonts w:hint="eastAsia"/>
                      <w:color w:val="auto"/>
                      <w:sz w:val="21"/>
                      <w:szCs w:val="21"/>
                    </w:rPr>
                    <w:t>VOCs（以非甲烷总烃计）</w:t>
                  </w:r>
                  <w:r>
                    <w:rPr>
                      <w:color w:val="auto"/>
                      <w:sz w:val="21"/>
                      <w:szCs w:val="21"/>
                    </w:rPr>
                    <w:t>含量涂料、油墨、胶粘剂等研发和生产。</w:t>
                  </w:r>
                </w:p>
              </w:tc>
              <w:tc>
                <w:tcPr>
                  <w:tcW w:w="2392" w:type="dxa"/>
                  <w:vAlign w:val="center"/>
                </w:tcPr>
                <w:p w14:paraId="5B86119F">
                  <w:pPr>
                    <w:widowControl/>
                    <w:adjustRightInd w:val="0"/>
                    <w:snapToGrid w:val="0"/>
                    <w:rPr>
                      <w:color w:val="auto"/>
                      <w:kern w:val="0"/>
                      <w:szCs w:val="21"/>
                    </w:rPr>
                  </w:pPr>
                  <w:r>
                    <w:rPr>
                      <w:rFonts w:hint="eastAsia"/>
                      <w:color w:val="auto"/>
                      <w:szCs w:val="21"/>
                    </w:rPr>
                    <w:t>项目生产原料主要为三聚氰胺甲醛树脂，满足《木材工业胶粘剂用脲醛、酚醛、三聚氰胺甲醛树脂》（GB/T 14732-2017）要求；</w:t>
                  </w:r>
                </w:p>
              </w:tc>
              <w:tc>
                <w:tcPr>
                  <w:tcW w:w="532" w:type="dxa"/>
                  <w:vAlign w:val="center"/>
                </w:tcPr>
                <w:p w14:paraId="26EED8F0">
                  <w:pPr>
                    <w:autoSpaceDE w:val="0"/>
                    <w:autoSpaceDN w:val="0"/>
                    <w:adjustRightInd w:val="0"/>
                    <w:snapToGrid w:val="0"/>
                    <w:jc w:val="center"/>
                    <w:rPr>
                      <w:color w:val="auto"/>
                      <w:kern w:val="0"/>
                      <w:szCs w:val="21"/>
                    </w:rPr>
                  </w:pPr>
                  <w:r>
                    <w:rPr>
                      <w:color w:val="auto"/>
                      <w:kern w:val="0"/>
                      <w:szCs w:val="21"/>
                    </w:rPr>
                    <w:t>符合</w:t>
                  </w:r>
                </w:p>
              </w:tc>
            </w:tr>
            <w:tr w14:paraId="7126A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516" w:type="dxa"/>
                  <w:vAlign w:val="center"/>
                </w:tcPr>
                <w:p w14:paraId="4903652E">
                  <w:pPr>
                    <w:pStyle w:val="13"/>
                    <w:widowControl/>
                    <w:adjustRightInd w:val="0"/>
                    <w:snapToGrid w:val="0"/>
                    <w:jc w:val="center"/>
                    <w:rPr>
                      <w:rFonts w:ascii="Times New Roman" w:hAnsi="Times New Roman"/>
                      <w:color w:val="auto"/>
                    </w:rPr>
                  </w:pPr>
                  <w:r>
                    <w:rPr>
                      <w:rFonts w:hint="eastAsia" w:ascii="Times New Roman" w:hAnsi="Times New Roman"/>
                      <w:color w:val="auto"/>
                    </w:rPr>
                    <w:t>2</w:t>
                  </w:r>
                </w:p>
              </w:tc>
              <w:tc>
                <w:tcPr>
                  <w:tcW w:w="4322" w:type="dxa"/>
                  <w:vAlign w:val="center"/>
                </w:tcPr>
                <w:p w14:paraId="2C3633BE">
                  <w:pPr>
                    <w:autoSpaceDE w:val="0"/>
                    <w:autoSpaceDN w:val="0"/>
                    <w:adjustRightInd w:val="0"/>
                    <w:snapToGrid w:val="0"/>
                    <w:jc w:val="center"/>
                    <w:rPr>
                      <w:color w:val="auto"/>
                      <w:kern w:val="0"/>
                      <w:szCs w:val="21"/>
                    </w:rPr>
                  </w:pPr>
                  <w:r>
                    <w:rPr>
                      <w:color w:val="auto"/>
                      <w:kern w:val="0"/>
                      <w:szCs w:val="21"/>
                    </w:rPr>
                    <w:t>全面加强无组织排放控制。重点对含</w:t>
                  </w:r>
                  <w:r>
                    <w:rPr>
                      <w:rFonts w:hint="eastAsia"/>
                      <w:color w:val="auto"/>
                      <w:kern w:val="0"/>
                      <w:szCs w:val="21"/>
                    </w:rPr>
                    <w:t>VOCs（以非甲烷总烃计）</w:t>
                  </w:r>
                  <w:r>
                    <w:rPr>
                      <w:color w:val="auto"/>
                      <w:kern w:val="0"/>
                      <w:szCs w:val="21"/>
                    </w:rPr>
                    <w:t>物料（包括含</w:t>
                  </w:r>
                  <w:r>
                    <w:rPr>
                      <w:rFonts w:hint="eastAsia"/>
                      <w:color w:val="auto"/>
                      <w:kern w:val="0"/>
                      <w:szCs w:val="21"/>
                    </w:rPr>
                    <w:t>VOCs（以非甲烷总烃计）</w:t>
                  </w:r>
                  <w:r>
                    <w:rPr>
                      <w:color w:val="auto"/>
                      <w:kern w:val="0"/>
                      <w:szCs w:val="21"/>
                    </w:rPr>
                    <w:t>原辅材料、含</w:t>
                  </w:r>
                  <w:r>
                    <w:rPr>
                      <w:rFonts w:hint="eastAsia"/>
                      <w:color w:val="auto"/>
                      <w:kern w:val="0"/>
                      <w:szCs w:val="21"/>
                    </w:rPr>
                    <w:t>VOCs（以非甲烷总烃计）</w:t>
                  </w:r>
                  <w:r>
                    <w:rPr>
                      <w:color w:val="auto"/>
                      <w:kern w:val="0"/>
                      <w:szCs w:val="21"/>
                    </w:rPr>
                    <w:t>产品、含</w:t>
                  </w:r>
                  <w:r>
                    <w:rPr>
                      <w:rFonts w:hint="eastAsia"/>
                      <w:color w:val="auto"/>
                      <w:kern w:val="0"/>
                      <w:szCs w:val="21"/>
                    </w:rPr>
                    <w:t>VOCs（以非甲烷总烃计）</w:t>
                  </w:r>
                  <w:r>
                    <w:rPr>
                      <w:color w:val="auto"/>
                      <w:kern w:val="0"/>
                      <w:szCs w:val="21"/>
                    </w:rPr>
                    <w:t>废料以及有机聚合物材料等）储存、转移和输送、设备与管线组件泄漏、敞开液面逸散以及工艺过程等五类排放源实施管控，通过采取设备与场所密闭、工艺改进、废气有效收集等措施，削减</w:t>
                  </w:r>
                  <w:r>
                    <w:rPr>
                      <w:rFonts w:hint="eastAsia"/>
                      <w:color w:val="auto"/>
                      <w:kern w:val="0"/>
                      <w:szCs w:val="21"/>
                    </w:rPr>
                    <w:t>VOCs（以非甲烷总烃计）</w:t>
                  </w:r>
                  <w:r>
                    <w:rPr>
                      <w:color w:val="auto"/>
                      <w:kern w:val="0"/>
                      <w:szCs w:val="21"/>
                    </w:rPr>
                    <w:t>无组织排放</w:t>
                  </w:r>
                  <w:r>
                    <w:rPr>
                      <w:rFonts w:hint="eastAsia"/>
                      <w:color w:val="auto"/>
                      <w:kern w:val="0"/>
                      <w:szCs w:val="21"/>
                    </w:rPr>
                    <w:t>。</w:t>
                  </w:r>
                </w:p>
              </w:tc>
              <w:tc>
                <w:tcPr>
                  <w:tcW w:w="2392" w:type="dxa"/>
                  <w:vAlign w:val="center"/>
                </w:tcPr>
                <w:p w14:paraId="52D0DA57">
                  <w:pPr>
                    <w:autoSpaceDE w:val="0"/>
                    <w:autoSpaceDN w:val="0"/>
                    <w:adjustRightInd w:val="0"/>
                    <w:snapToGrid w:val="0"/>
                    <w:jc w:val="center"/>
                    <w:rPr>
                      <w:color w:val="auto"/>
                      <w:kern w:val="0"/>
                      <w:szCs w:val="21"/>
                    </w:rPr>
                  </w:pPr>
                  <w:r>
                    <w:rPr>
                      <w:rFonts w:hint="eastAsia"/>
                      <w:color w:val="auto"/>
                      <w:kern w:val="0"/>
                      <w:szCs w:val="21"/>
                    </w:rPr>
                    <w:t>项目外购胶水均封存于密封桶中，通过密封接口管道注入密封调胶罐中，调胶完成后通过密闭管道注入密闭储胶罐中储存，调胶过程中产生的VOCs（以非甲烷总烃计）、甲醛和调配好的胶水通过密闭管道注入卧式浸渍烘干一体化设备浸渍工段，浸渍工段上方设置负压集气罩，对VOCs（以非甲烷总烃计）、甲醛收集效率为90%，经过“UV光解+三级活性炭吸附装置”处理后通过15m高排气筒排放，烘干过程在密闭空间进行，产生的VOCs（以非甲烷总烃计）、甲醛全部通过排气管道收集至“UV光解+三级活性炭吸附装置”处理后通过15m高排气筒排放；有效减少了无组织VOCs（以非甲烷总烃计）排放。</w:t>
                  </w:r>
                </w:p>
              </w:tc>
              <w:tc>
                <w:tcPr>
                  <w:tcW w:w="532" w:type="dxa"/>
                  <w:vAlign w:val="center"/>
                </w:tcPr>
                <w:p w14:paraId="25042149">
                  <w:pPr>
                    <w:autoSpaceDE w:val="0"/>
                    <w:autoSpaceDN w:val="0"/>
                    <w:adjustRightInd w:val="0"/>
                    <w:snapToGrid w:val="0"/>
                    <w:jc w:val="center"/>
                    <w:rPr>
                      <w:color w:val="auto"/>
                      <w:kern w:val="0"/>
                      <w:szCs w:val="21"/>
                    </w:rPr>
                  </w:pPr>
                  <w:r>
                    <w:rPr>
                      <w:rFonts w:hint="eastAsia"/>
                      <w:color w:val="auto"/>
                      <w:kern w:val="0"/>
                      <w:szCs w:val="21"/>
                    </w:rPr>
                    <w:t>符合</w:t>
                  </w:r>
                </w:p>
              </w:tc>
            </w:tr>
            <w:tr w14:paraId="09A39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16" w:type="dxa"/>
                  <w:vAlign w:val="center"/>
                </w:tcPr>
                <w:p w14:paraId="573AD1D8">
                  <w:pPr>
                    <w:pStyle w:val="13"/>
                    <w:widowControl/>
                    <w:adjustRightInd w:val="0"/>
                    <w:snapToGrid w:val="0"/>
                    <w:jc w:val="center"/>
                    <w:rPr>
                      <w:rFonts w:ascii="Times New Roman" w:hAnsi="Times New Roman"/>
                      <w:color w:val="auto"/>
                    </w:rPr>
                  </w:pPr>
                  <w:r>
                    <w:rPr>
                      <w:rFonts w:hint="eastAsia" w:ascii="Times New Roman" w:hAnsi="Times New Roman"/>
                      <w:color w:val="auto"/>
                    </w:rPr>
                    <w:t>3</w:t>
                  </w:r>
                </w:p>
              </w:tc>
              <w:tc>
                <w:tcPr>
                  <w:tcW w:w="4322" w:type="dxa"/>
                  <w:vAlign w:val="center"/>
                </w:tcPr>
                <w:p w14:paraId="078F12EE">
                  <w:pPr>
                    <w:autoSpaceDE w:val="0"/>
                    <w:autoSpaceDN w:val="0"/>
                    <w:adjustRightInd w:val="0"/>
                    <w:snapToGrid w:val="0"/>
                    <w:jc w:val="center"/>
                    <w:rPr>
                      <w:color w:val="auto"/>
                      <w:kern w:val="0"/>
                      <w:szCs w:val="21"/>
                    </w:rPr>
                  </w:pPr>
                  <w:r>
                    <w:rPr>
                      <w:color w:val="auto"/>
                      <w:kern w:val="0"/>
                      <w:szCs w:val="21"/>
                    </w:rPr>
                    <w:t>推进建设适宜高效的治污设施。企业新建治污设施或对现有治污设施实施改造，应依据排放废气的浓度、组分、风量，温度、湿度、压力，以及生产工况等，合理选择治理技术。</w:t>
                  </w:r>
                </w:p>
              </w:tc>
              <w:tc>
                <w:tcPr>
                  <w:tcW w:w="2392" w:type="dxa"/>
                  <w:vAlign w:val="center"/>
                </w:tcPr>
                <w:p w14:paraId="4369B079">
                  <w:pPr>
                    <w:autoSpaceDE w:val="0"/>
                    <w:autoSpaceDN w:val="0"/>
                    <w:adjustRightInd w:val="0"/>
                    <w:snapToGrid w:val="0"/>
                    <w:jc w:val="center"/>
                    <w:rPr>
                      <w:color w:val="auto"/>
                      <w:kern w:val="0"/>
                      <w:szCs w:val="21"/>
                    </w:rPr>
                  </w:pPr>
                  <w:r>
                    <w:rPr>
                      <w:rFonts w:hint="eastAsia"/>
                      <w:color w:val="auto"/>
                      <w:kern w:val="0"/>
                      <w:szCs w:val="21"/>
                    </w:rPr>
                    <w:t>项目调胶、烘干过程中产生的甲醛和VOCs（以非甲烷总烃计）通过“UV光解+三级活性炭吸附净化装置”处理达标后，由15m高的排气筒排放，排放浓度、排放速率均满足限制要求。</w:t>
                  </w:r>
                </w:p>
              </w:tc>
              <w:tc>
                <w:tcPr>
                  <w:tcW w:w="532" w:type="dxa"/>
                  <w:vAlign w:val="center"/>
                </w:tcPr>
                <w:p w14:paraId="4A748667">
                  <w:pPr>
                    <w:autoSpaceDE w:val="0"/>
                    <w:autoSpaceDN w:val="0"/>
                    <w:adjustRightInd w:val="0"/>
                    <w:snapToGrid w:val="0"/>
                    <w:jc w:val="center"/>
                    <w:rPr>
                      <w:color w:val="auto"/>
                      <w:kern w:val="0"/>
                      <w:szCs w:val="21"/>
                    </w:rPr>
                  </w:pPr>
                  <w:r>
                    <w:rPr>
                      <w:rFonts w:hint="eastAsia"/>
                      <w:color w:val="auto"/>
                      <w:kern w:val="0"/>
                      <w:szCs w:val="21"/>
                    </w:rPr>
                    <w:t>符合</w:t>
                  </w:r>
                </w:p>
              </w:tc>
            </w:tr>
            <w:tr w14:paraId="1E97F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16" w:type="dxa"/>
                  <w:vAlign w:val="center"/>
                </w:tcPr>
                <w:p w14:paraId="3494B3D8">
                  <w:pPr>
                    <w:pStyle w:val="13"/>
                    <w:widowControl/>
                    <w:adjustRightInd w:val="0"/>
                    <w:snapToGrid w:val="0"/>
                    <w:jc w:val="center"/>
                    <w:rPr>
                      <w:rFonts w:ascii="Times New Roman" w:hAnsi="Times New Roman"/>
                      <w:color w:val="auto"/>
                    </w:rPr>
                  </w:pPr>
                  <w:r>
                    <w:rPr>
                      <w:rFonts w:hint="eastAsia" w:ascii="Times New Roman" w:hAnsi="Times New Roman"/>
                      <w:color w:val="auto"/>
                    </w:rPr>
                    <w:t>4</w:t>
                  </w:r>
                </w:p>
              </w:tc>
              <w:tc>
                <w:tcPr>
                  <w:tcW w:w="4322" w:type="dxa"/>
                  <w:vAlign w:val="center"/>
                </w:tcPr>
                <w:p w14:paraId="1364DF4C">
                  <w:pPr>
                    <w:autoSpaceDE w:val="0"/>
                    <w:autoSpaceDN w:val="0"/>
                    <w:adjustRightInd w:val="0"/>
                    <w:snapToGrid w:val="0"/>
                    <w:jc w:val="center"/>
                    <w:rPr>
                      <w:color w:val="auto"/>
                      <w:kern w:val="0"/>
                      <w:szCs w:val="21"/>
                    </w:rPr>
                  </w:pPr>
                  <w:r>
                    <w:rPr>
                      <w:color w:val="auto"/>
                      <w:kern w:val="0"/>
                      <w:szCs w:val="21"/>
                    </w:rPr>
                    <w:t>深入实施精细化管控。各地应围绕当地环境空气质量改善需求，根据O</w:t>
                  </w:r>
                  <w:r>
                    <w:rPr>
                      <w:color w:val="auto"/>
                      <w:kern w:val="0"/>
                      <w:szCs w:val="21"/>
                      <w:vertAlign w:val="subscript"/>
                    </w:rPr>
                    <w:t>3</w:t>
                  </w:r>
                  <w:r>
                    <w:rPr>
                      <w:color w:val="auto"/>
                      <w:kern w:val="0"/>
                      <w:szCs w:val="21"/>
                    </w:rPr>
                    <w:t>、PM2.5来源解析，结合行业污染排放特征和</w:t>
                  </w:r>
                  <w:r>
                    <w:rPr>
                      <w:rFonts w:hint="eastAsia"/>
                      <w:color w:val="auto"/>
                      <w:kern w:val="0"/>
                      <w:szCs w:val="21"/>
                    </w:rPr>
                    <w:t>VOCs（以非甲烷总烃计）</w:t>
                  </w:r>
                  <w:r>
                    <w:rPr>
                      <w:color w:val="auto"/>
                      <w:kern w:val="0"/>
                      <w:szCs w:val="21"/>
                    </w:rPr>
                    <w:t>物质光化学反应活性等，确定本地区</w:t>
                  </w:r>
                  <w:r>
                    <w:rPr>
                      <w:rFonts w:hint="eastAsia"/>
                      <w:color w:val="auto"/>
                      <w:kern w:val="0"/>
                      <w:szCs w:val="21"/>
                    </w:rPr>
                    <w:t>VOCs（以非甲烷总烃计）</w:t>
                  </w:r>
                  <w:r>
                    <w:rPr>
                      <w:color w:val="auto"/>
                      <w:kern w:val="0"/>
                      <w:szCs w:val="21"/>
                    </w:rPr>
                    <w:t>控制的重点行业和重点污染物，兼顾恶臭污染物和有毒有害物质控制等，提出有效管控方案，提高</w:t>
                  </w:r>
                  <w:r>
                    <w:rPr>
                      <w:rFonts w:hint="eastAsia"/>
                      <w:color w:val="auto"/>
                      <w:kern w:val="0"/>
                      <w:szCs w:val="21"/>
                    </w:rPr>
                    <w:t>VOCs（以非甲烷总烃计）</w:t>
                  </w:r>
                  <w:r>
                    <w:rPr>
                      <w:color w:val="auto"/>
                      <w:kern w:val="0"/>
                      <w:szCs w:val="21"/>
                    </w:rPr>
                    <w:t>治理的精准性、针对性和有效性。</w:t>
                  </w:r>
                </w:p>
              </w:tc>
              <w:tc>
                <w:tcPr>
                  <w:tcW w:w="2392" w:type="dxa"/>
                  <w:vAlign w:val="center"/>
                </w:tcPr>
                <w:p w14:paraId="72BB00A3">
                  <w:pPr>
                    <w:autoSpaceDE w:val="0"/>
                    <w:autoSpaceDN w:val="0"/>
                    <w:adjustRightInd w:val="0"/>
                    <w:snapToGrid w:val="0"/>
                    <w:jc w:val="center"/>
                    <w:rPr>
                      <w:color w:val="auto"/>
                      <w:kern w:val="0"/>
                      <w:szCs w:val="21"/>
                    </w:rPr>
                  </w:pPr>
                  <w:r>
                    <w:rPr>
                      <w:rFonts w:hint="eastAsia"/>
                      <w:color w:val="auto"/>
                      <w:kern w:val="0"/>
                      <w:szCs w:val="21"/>
                    </w:rPr>
                    <w:t>项目特征污染物为甲醛和VOCs（以非甲烷总烃计），经“UV光解+三级活性炭吸附净化装置”处理后对大气环境影响不大，项目将进一步深入管控，</w:t>
                  </w:r>
                  <w:r>
                    <w:rPr>
                      <w:color w:val="auto"/>
                      <w:kern w:val="0"/>
                      <w:szCs w:val="21"/>
                    </w:rPr>
                    <w:t>提高</w:t>
                  </w:r>
                  <w:r>
                    <w:rPr>
                      <w:rFonts w:hint="eastAsia"/>
                      <w:color w:val="auto"/>
                      <w:kern w:val="0"/>
                      <w:szCs w:val="21"/>
                    </w:rPr>
                    <w:t>VOCs（以非甲烷总烃计）和甲醛</w:t>
                  </w:r>
                  <w:r>
                    <w:rPr>
                      <w:color w:val="auto"/>
                      <w:kern w:val="0"/>
                      <w:szCs w:val="21"/>
                    </w:rPr>
                    <w:t>治理的精准性、针对性和有效性。</w:t>
                  </w:r>
                </w:p>
              </w:tc>
              <w:tc>
                <w:tcPr>
                  <w:tcW w:w="532" w:type="dxa"/>
                  <w:vAlign w:val="center"/>
                </w:tcPr>
                <w:p w14:paraId="4C82D0DB">
                  <w:pPr>
                    <w:autoSpaceDE w:val="0"/>
                    <w:autoSpaceDN w:val="0"/>
                    <w:adjustRightInd w:val="0"/>
                    <w:snapToGrid w:val="0"/>
                    <w:jc w:val="center"/>
                    <w:rPr>
                      <w:color w:val="auto"/>
                      <w:kern w:val="0"/>
                      <w:szCs w:val="21"/>
                    </w:rPr>
                  </w:pPr>
                  <w:r>
                    <w:rPr>
                      <w:rFonts w:hint="eastAsia"/>
                      <w:color w:val="auto"/>
                      <w:kern w:val="0"/>
                      <w:szCs w:val="21"/>
                    </w:rPr>
                    <w:t>符合</w:t>
                  </w:r>
                </w:p>
              </w:tc>
            </w:tr>
          </w:tbl>
          <w:p w14:paraId="324EEDE3">
            <w:pPr>
              <w:adjustRightInd w:val="0"/>
              <w:snapToGrid w:val="0"/>
              <w:spacing w:line="360" w:lineRule="auto"/>
              <w:ind w:firstLine="480" w:firstLineChars="200"/>
              <w:rPr>
                <w:color w:val="auto"/>
                <w:sz w:val="24"/>
              </w:rPr>
            </w:pPr>
            <w:r>
              <w:rPr>
                <w:rFonts w:hint="eastAsia"/>
                <w:color w:val="auto"/>
                <w:sz w:val="24"/>
              </w:rPr>
              <w:t>综上，项目</w:t>
            </w:r>
            <w:r>
              <w:rPr>
                <w:color w:val="auto"/>
                <w:sz w:val="24"/>
              </w:rPr>
              <w:t>符合《重点行业挥发性有机物综合治理方案》的相关技术要求。</w:t>
            </w:r>
          </w:p>
          <w:p w14:paraId="4909FA78">
            <w:pPr>
              <w:adjustRightInd w:val="0"/>
              <w:snapToGrid w:val="0"/>
              <w:spacing w:line="360" w:lineRule="auto"/>
              <w:ind w:firstLine="482" w:firstLineChars="200"/>
              <w:rPr>
                <w:b/>
                <w:bCs/>
                <w:color w:val="auto"/>
                <w:sz w:val="24"/>
              </w:rPr>
            </w:pPr>
            <w:r>
              <w:rPr>
                <w:rFonts w:hint="eastAsia"/>
                <w:b/>
                <w:bCs/>
                <w:color w:val="auto"/>
                <w:sz w:val="24"/>
              </w:rPr>
              <w:t>12、与《挥发性有机物无组织排放控制标准》（GB37822-2019）的符合性分析</w:t>
            </w:r>
          </w:p>
          <w:p w14:paraId="3E896A4C">
            <w:pPr>
              <w:adjustRightInd w:val="0"/>
              <w:snapToGrid w:val="0"/>
              <w:spacing w:line="360" w:lineRule="auto"/>
              <w:ind w:firstLine="480" w:firstLineChars="200"/>
              <w:rPr>
                <w:color w:val="auto"/>
                <w:sz w:val="24"/>
              </w:rPr>
            </w:pPr>
            <w:r>
              <w:rPr>
                <w:rFonts w:hint="eastAsia"/>
                <w:color w:val="auto"/>
                <w:sz w:val="24"/>
              </w:rPr>
              <w:t>项目与《挥发性有机物无组织排放控制标准》（GB37822-2019）的符合性分析见下表。</w:t>
            </w:r>
          </w:p>
          <w:p w14:paraId="297266CA">
            <w:pPr>
              <w:jc w:val="center"/>
              <w:rPr>
                <w:b/>
                <w:color w:val="auto"/>
                <w:szCs w:val="21"/>
              </w:rPr>
            </w:pPr>
            <w:r>
              <w:rPr>
                <w:b/>
                <w:color w:val="auto"/>
                <w:szCs w:val="21"/>
              </w:rPr>
              <w:t>表1-</w:t>
            </w:r>
            <w:r>
              <w:rPr>
                <w:rFonts w:hint="eastAsia"/>
                <w:b/>
                <w:color w:val="auto"/>
                <w:szCs w:val="21"/>
              </w:rPr>
              <w:t xml:space="preserve">12 </w:t>
            </w:r>
            <w:r>
              <w:rPr>
                <w:b/>
                <w:color w:val="auto"/>
                <w:szCs w:val="21"/>
              </w:rPr>
              <w:t xml:space="preserve"> 项目与《挥发性有机物无组织排放控制标准》的相符性分析</w:t>
            </w:r>
          </w:p>
          <w:tbl>
            <w:tblPr>
              <w:tblStyle w:val="30"/>
              <w:tblW w:w="7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1109"/>
              <w:gridCol w:w="3146"/>
              <w:gridCol w:w="2132"/>
              <w:gridCol w:w="426"/>
            </w:tblGrid>
            <w:tr w14:paraId="6B701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07" w:type="dxa"/>
                  <w:gridSpan w:val="3"/>
                  <w:vAlign w:val="center"/>
                </w:tcPr>
                <w:p w14:paraId="4116DA39">
                  <w:pPr>
                    <w:pStyle w:val="28"/>
                    <w:widowControl w:val="0"/>
                    <w:adjustRightInd w:val="0"/>
                    <w:snapToGrid w:val="0"/>
                    <w:spacing w:before="0" w:beforeAutospacing="0" w:after="0" w:afterAutospacing="0"/>
                    <w:jc w:val="center"/>
                    <w:rPr>
                      <w:rFonts w:ascii="Times New Roman" w:hAnsi="Times New Roman"/>
                      <w:b/>
                      <w:color w:val="auto"/>
                      <w:sz w:val="21"/>
                      <w:szCs w:val="21"/>
                      <w:lang w:bidi="ar"/>
                    </w:rPr>
                  </w:pPr>
                  <w:r>
                    <w:rPr>
                      <w:rFonts w:ascii="Times New Roman" w:hAnsi="Times New Roman"/>
                      <w:b/>
                      <w:color w:val="auto"/>
                      <w:sz w:val="21"/>
                      <w:szCs w:val="21"/>
                      <w:lang w:bidi="ar"/>
                    </w:rPr>
                    <w:t>《挥发性有机物无组织排放控制标准》</w:t>
                  </w:r>
                </w:p>
              </w:tc>
              <w:tc>
                <w:tcPr>
                  <w:tcW w:w="2132" w:type="dxa"/>
                  <w:vAlign w:val="center"/>
                </w:tcPr>
                <w:p w14:paraId="2CAD59C8">
                  <w:pPr>
                    <w:adjustRightInd w:val="0"/>
                    <w:snapToGrid w:val="0"/>
                    <w:jc w:val="center"/>
                    <w:rPr>
                      <w:b/>
                      <w:color w:val="auto"/>
                      <w:szCs w:val="21"/>
                    </w:rPr>
                  </w:pPr>
                  <w:r>
                    <w:rPr>
                      <w:b/>
                      <w:color w:val="auto"/>
                      <w:szCs w:val="21"/>
                    </w:rPr>
                    <w:t>本项目</w:t>
                  </w:r>
                </w:p>
              </w:tc>
              <w:tc>
                <w:tcPr>
                  <w:tcW w:w="426" w:type="dxa"/>
                  <w:vAlign w:val="center"/>
                </w:tcPr>
                <w:p w14:paraId="05E6ADD0">
                  <w:pPr>
                    <w:adjustRightInd w:val="0"/>
                    <w:snapToGrid w:val="0"/>
                    <w:jc w:val="center"/>
                    <w:rPr>
                      <w:b/>
                      <w:color w:val="auto"/>
                      <w:szCs w:val="21"/>
                    </w:rPr>
                  </w:pPr>
                  <w:r>
                    <w:rPr>
                      <w:b/>
                      <w:color w:val="auto"/>
                      <w:szCs w:val="21"/>
                    </w:rPr>
                    <w:t>相符性</w:t>
                  </w:r>
                </w:p>
              </w:tc>
            </w:tr>
            <w:tr w14:paraId="09461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952" w:type="dxa"/>
                  <w:vMerge w:val="restart"/>
                  <w:vAlign w:val="center"/>
                </w:tcPr>
                <w:p w14:paraId="6E1D165C">
                  <w:pPr>
                    <w:pStyle w:val="28"/>
                    <w:adjustRightInd w:val="0"/>
                    <w:snapToGrid w:val="0"/>
                    <w:jc w:val="center"/>
                    <w:rPr>
                      <w:rFonts w:ascii="Times New Roman" w:hAnsi="Times New Roman"/>
                      <w:color w:val="auto"/>
                      <w:sz w:val="21"/>
                      <w:szCs w:val="21"/>
                      <w:lang w:bidi="ar"/>
                    </w:rPr>
                  </w:pPr>
                  <w:r>
                    <w:rPr>
                      <w:rFonts w:ascii="Times New Roman" w:hAnsi="Times New Roman"/>
                      <w:color w:val="auto"/>
                      <w:sz w:val="21"/>
                      <w:szCs w:val="21"/>
                      <w:lang w:bidi="ar"/>
                    </w:rPr>
                    <w:t>7工艺过程</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无组织排放控制要求</w:t>
                  </w:r>
                </w:p>
              </w:tc>
              <w:tc>
                <w:tcPr>
                  <w:tcW w:w="1109" w:type="dxa"/>
                  <w:vMerge w:val="restart"/>
                  <w:vAlign w:val="center"/>
                </w:tcPr>
                <w:p w14:paraId="5D4A40C4">
                  <w:pPr>
                    <w:pStyle w:val="28"/>
                    <w:adjustRightInd w:val="0"/>
                    <w:snapToGrid w:val="0"/>
                    <w:spacing w:before="0" w:beforeAutospacing="0" w:after="0" w:afterAutospacing="0"/>
                    <w:jc w:val="center"/>
                    <w:rPr>
                      <w:rFonts w:ascii="Times New Roman" w:hAnsi="Times New Roman"/>
                      <w:color w:val="auto"/>
                      <w:sz w:val="21"/>
                      <w:szCs w:val="21"/>
                      <w:lang w:bidi="ar"/>
                    </w:rPr>
                  </w:pPr>
                  <w:r>
                    <w:rPr>
                      <w:rFonts w:ascii="Times New Roman" w:hAnsi="Times New Roman"/>
                      <w:color w:val="auto"/>
                      <w:sz w:val="21"/>
                      <w:szCs w:val="21"/>
                      <w:lang w:bidi="ar"/>
                    </w:rPr>
                    <w:t>7.1涉</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物料的化工生产过程</w:t>
                  </w:r>
                </w:p>
              </w:tc>
              <w:tc>
                <w:tcPr>
                  <w:tcW w:w="3146" w:type="dxa"/>
                  <w:vAlign w:val="center"/>
                </w:tcPr>
                <w:p w14:paraId="5422F554">
                  <w:pPr>
                    <w:pStyle w:val="28"/>
                    <w:adjustRightInd w:val="0"/>
                    <w:snapToGrid w:val="0"/>
                    <w:spacing w:before="0" w:beforeAutospacing="0" w:after="0" w:afterAutospacing="0"/>
                    <w:jc w:val="center"/>
                    <w:rPr>
                      <w:rFonts w:ascii="Times New Roman" w:hAnsi="Times New Roman"/>
                      <w:color w:val="auto"/>
                      <w:sz w:val="21"/>
                      <w:szCs w:val="21"/>
                      <w:lang w:bidi="ar"/>
                    </w:rPr>
                  </w:pPr>
                  <w:r>
                    <w:rPr>
                      <w:rFonts w:ascii="Times New Roman" w:hAnsi="Times New Roman"/>
                      <w:color w:val="auto"/>
                      <w:sz w:val="21"/>
                      <w:szCs w:val="21"/>
                      <w:lang w:bidi="ar"/>
                    </w:rPr>
                    <w:t>7.1.1物料投加和卸放：</w:t>
                  </w:r>
                </w:p>
                <w:p w14:paraId="09D9B643">
                  <w:pPr>
                    <w:pStyle w:val="28"/>
                    <w:adjustRightInd w:val="0"/>
                    <w:snapToGrid w:val="0"/>
                    <w:spacing w:before="0" w:beforeAutospacing="0" w:after="0" w:afterAutospacing="0"/>
                    <w:jc w:val="center"/>
                    <w:rPr>
                      <w:rFonts w:ascii="Times New Roman" w:hAnsi="Times New Roman"/>
                      <w:color w:val="auto"/>
                      <w:sz w:val="21"/>
                      <w:szCs w:val="21"/>
                      <w:lang w:bidi="ar"/>
                    </w:rPr>
                  </w:pPr>
                  <w:r>
                    <w:rPr>
                      <w:rFonts w:ascii="Times New Roman" w:hAnsi="Times New Roman"/>
                      <w:color w:val="auto"/>
                      <w:sz w:val="21"/>
                      <w:szCs w:val="21"/>
                      <w:lang w:bidi="ar"/>
                    </w:rPr>
                    <w:t>a）液态</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物料应采用密闭管道输送方式或采用高位槽（罐）、桶泵等给料方式密闭投加。无法密闭投加的，应在密闭空间内操作，或进行局部气体收集，废气应排至</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废气收集处理系统。</w:t>
                  </w:r>
                </w:p>
                <w:p w14:paraId="039BE68D">
                  <w:pPr>
                    <w:pStyle w:val="28"/>
                    <w:adjustRightInd w:val="0"/>
                    <w:snapToGrid w:val="0"/>
                    <w:spacing w:before="0" w:beforeAutospacing="0" w:after="0" w:afterAutospacing="0"/>
                    <w:jc w:val="center"/>
                    <w:rPr>
                      <w:rFonts w:ascii="Times New Roman" w:hAnsi="Times New Roman"/>
                      <w:color w:val="auto"/>
                      <w:sz w:val="21"/>
                      <w:szCs w:val="21"/>
                      <w:lang w:bidi="ar"/>
                    </w:rPr>
                  </w:pPr>
                  <w:r>
                    <w:rPr>
                      <w:rFonts w:ascii="Times New Roman" w:hAnsi="Times New Roman"/>
                      <w:color w:val="auto"/>
                      <w:sz w:val="21"/>
                      <w:szCs w:val="21"/>
                      <w:lang w:bidi="ar"/>
                    </w:rPr>
                    <w:t>b）粉状、粒状</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物料应采用气力输送方式或采用密闭固体投料器等给料方式密闭投加。无法密闭投加的，应在密闭空间内操作，或进行局部气体收集，废气应排至除尘设施、</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废气收集处理系统。</w:t>
                  </w:r>
                </w:p>
                <w:p w14:paraId="18A3524B">
                  <w:pPr>
                    <w:pStyle w:val="28"/>
                    <w:adjustRightInd w:val="0"/>
                    <w:snapToGrid w:val="0"/>
                    <w:spacing w:before="0" w:beforeAutospacing="0" w:after="0" w:afterAutospacing="0"/>
                    <w:jc w:val="center"/>
                    <w:rPr>
                      <w:rFonts w:ascii="Times New Roman" w:hAnsi="Times New Roman"/>
                      <w:color w:val="auto"/>
                      <w:sz w:val="21"/>
                      <w:szCs w:val="21"/>
                      <w:lang w:bidi="ar"/>
                    </w:rPr>
                  </w:pPr>
                  <w:r>
                    <w:rPr>
                      <w:rFonts w:ascii="Times New Roman" w:hAnsi="Times New Roman"/>
                      <w:color w:val="auto"/>
                      <w:sz w:val="21"/>
                      <w:szCs w:val="21"/>
                      <w:lang w:bidi="ar"/>
                    </w:rPr>
                    <w:t>c）</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物料卸（出、放）料过程应密闭，卸料废气应排至</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废气收集处理系统；无法密闭的，应采取局部气体收集措施，废气应排至</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废气收集处理系统。</w:t>
                  </w:r>
                </w:p>
              </w:tc>
              <w:tc>
                <w:tcPr>
                  <w:tcW w:w="2132" w:type="dxa"/>
                  <w:vAlign w:val="center"/>
                </w:tcPr>
                <w:p w14:paraId="6B835CDA">
                  <w:pPr>
                    <w:adjustRightInd w:val="0"/>
                    <w:snapToGrid w:val="0"/>
                    <w:jc w:val="center"/>
                    <w:rPr>
                      <w:color w:val="auto"/>
                      <w:szCs w:val="21"/>
                      <w:lang w:bidi="ar"/>
                    </w:rPr>
                  </w:pPr>
                  <w:r>
                    <w:rPr>
                      <w:rFonts w:hint="eastAsia"/>
                      <w:color w:val="auto"/>
                      <w:szCs w:val="21"/>
                      <w:lang w:bidi="ar"/>
                    </w:rPr>
                    <w:t>a）项目VOCs（以非甲烷总烃计）</w:t>
                  </w:r>
                  <w:r>
                    <w:rPr>
                      <w:color w:val="auto"/>
                      <w:szCs w:val="21"/>
                      <w:lang w:bidi="ar"/>
                    </w:rPr>
                    <w:t>物料</w:t>
                  </w:r>
                  <w:r>
                    <w:rPr>
                      <w:rFonts w:hint="eastAsia"/>
                      <w:color w:val="auto"/>
                      <w:szCs w:val="21"/>
                      <w:lang w:bidi="ar"/>
                    </w:rPr>
                    <w:t>投放过程在密闭空间内进行。</w:t>
                  </w:r>
                </w:p>
                <w:p w14:paraId="33D80926">
                  <w:pPr>
                    <w:adjustRightInd w:val="0"/>
                    <w:snapToGrid w:val="0"/>
                    <w:jc w:val="center"/>
                    <w:rPr>
                      <w:color w:val="auto"/>
                      <w:szCs w:val="21"/>
                      <w:lang w:bidi="ar"/>
                    </w:rPr>
                  </w:pPr>
                  <w:r>
                    <w:rPr>
                      <w:color w:val="auto"/>
                      <w:szCs w:val="21"/>
                      <w:lang w:bidi="ar"/>
                    </w:rPr>
                    <w:t>b）项目不使用粉状、粒状</w:t>
                  </w:r>
                  <w:r>
                    <w:rPr>
                      <w:rFonts w:hint="eastAsia"/>
                      <w:color w:val="auto"/>
                      <w:szCs w:val="21"/>
                      <w:lang w:bidi="ar"/>
                    </w:rPr>
                    <w:t>VOCs（以非甲烷总烃计）</w:t>
                  </w:r>
                  <w:r>
                    <w:rPr>
                      <w:color w:val="auto"/>
                      <w:szCs w:val="21"/>
                      <w:lang w:bidi="ar"/>
                    </w:rPr>
                    <w:t>物料。</w:t>
                  </w:r>
                </w:p>
                <w:p w14:paraId="18CE77F8">
                  <w:pPr>
                    <w:adjustRightInd w:val="0"/>
                    <w:snapToGrid w:val="0"/>
                    <w:jc w:val="center"/>
                    <w:rPr>
                      <w:color w:val="auto"/>
                      <w:szCs w:val="21"/>
                      <w:lang w:bidi="ar"/>
                    </w:rPr>
                  </w:pPr>
                  <w:r>
                    <w:rPr>
                      <w:color w:val="auto"/>
                      <w:szCs w:val="21"/>
                      <w:lang w:bidi="ar"/>
                    </w:rPr>
                    <w:t>c）项目</w:t>
                  </w:r>
                  <w:r>
                    <w:rPr>
                      <w:rFonts w:hint="eastAsia"/>
                      <w:color w:val="auto"/>
                      <w:szCs w:val="21"/>
                      <w:lang w:bidi="ar"/>
                    </w:rPr>
                    <w:t>VOCs（以非甲烷总烃计）</w:t>
                  </w:r>
                  <w:r>
                    <w:rPr>
                      <w:color w:val="auto"/>
                      <w:szCs w:val="21"/>
                      <w:lang w:bidi="ar"/>
                    </w:rPr>
                    <w:t>废气经集气罩局部收集至“UV光解+三级活性炭吸附净化装</w:t>
                  </w:r>
                  <w:r>
                    <w:rPr>
                      <w:color w:val="auto"/>
                      <w:kern w:val="0"/>
                      <w:szCs w:val="21"/>
                      <w:lang w:bidi="ar"/>
                    </w:rPr>
                    <w:t>置”处理达标后，由1根</w:t>
                  </w:r>
                  <w:r>
                    <w:rPr>
                      <w:rFonts w:hint="eastAsia"/>
                      <w:color w:val="auto"/>
                      <w:kern w:val="0"/>
                      <w:szCs w:val="21"/>
                      <w:lang w:bidi="ar"/>
                    </w:rPr>
                    <w:t>15</w:t>
                  </w:r>
                  <w:r>
                    <w:rPr>
                      <w:color w:val="auto"/>
                      <w:kern w:val="0"/>
                      <w:szCs w:val="21"/>
                      <w:lang w:bidi="ar"/>
                    </w:rPr>
                    <w:t>m高排气筒</w:t>
                  </w:r>
                  <w:r>
                    <w:rPr>
                      <w:rFonts w:hint="eastAsia"/>
                      <w:color w:val="auto"/>
                      <w:kern w:val="0"/>
                      <w:szCs w:val="21"/>
                      <w:lang w:bidi="ar"/>
                    </w:rPr>
                    <w:t>（DA001）</w:t>
                  </w:r>
                  <w:r>
                    <w:rPr>
                      <w:color w:val="auto"/>
                      <w:kern w:val="0"/>
                      <w:szCs w:val="21"/>
                      <w:lang w:bidi="ar"/>
                    </w:rPr>
                    <w:t>排放。</w:t>
                  </w:r>
                </w:p>
              </w:tc>
              <w:tc>
                <w:tcPr>
                  <w:tcW w:w="426" w:type="dxa"/>
                  <w:vAlign w:val="center"/>
                </w:tcPr>
                <w:p w14:paraId="09F47BF4">
                  <w:pPr>
                    <w:pStyle w:val="28"/>
                    <w:widowControl w:val="0"/>
                    <w:adjustRightInd w:val="0"/>
                    <w:snapToGrid w:val="0"/>
                    <w:spacing w:before="0" w:beforeAutospacing="0" w:after="0" w:afterAutospacing="0"/>
                    <w:jc w:val="center"/>
                    <w:rPr>
                      <w:rFonts w:ascii="Times New Roman" w:hAnsi="Times New Roman"/>
                      <w:color w:val="auto"/>
                      <w:sz w:val="21"/>
                      <w:szCs w:val="21"/>
                      <w:lang w:bidi="ar"/>
                    </w:rPr>
                  </w:pPr>
                  <w:r>
                    <w:rPr>
                      <w:rFonts w:ascii="Times New Roman" w:hAnsi="Times New Roman"/>
                      <w:color w:val="auto"/>
                      <w:sz w:val="21"/>
                      <w:szCs w:val="21"/>
                      <w:lang w:bidi="ar"/>
                    </w:rPr>
                    <w:t>相符</w:t>
                  </w:r>
                </w:p>
              </w:tc>
            </w:tr>
            <w:tr w14:paraId="69A15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952" w:type="dxa"/>
                  <w:vMerge w:val="continue"/>
                  <w:vAlign w:val="center"/>
                </w:tcPr>
                <w:p w14:paraId="472749C1">
                  <w:pPr>
                    <w:pStyle w:val="28"/>
                    <w:adjustRightInd w:val="0"/>
                    <w:snapToGrid w:val="0"/>
                    <w:jc w:val="center"/>
                    <w:rPr>
                      <w:rFonts w:ascii="Times New Roman" w:hAnsi="Times New Roman"/>
                      <w:color w:val="auto"/>
                      <w:sz w:val="21"/>
                      <w:szCs w:val="21"/>
                    </w:rPr>
                  </w:pPr>
                </w:p>
              </w:tc>
              <w:tc>
                <w:tcPr>
                  <w:tcW w:w="1109" w:type="dxa"/>
                  <w:vMerge w:val="continue"/>
                  <w:vAlign w:val="center"/>
                </w:tcPr>
                <w:p w14:paraId="3E1DA1C1">
                  <w:pPr>
                    <w:pStyle w:val="28"/>
                    <w:adjustRightInd w:val="0"/>
                    <w:snapToGrid w:val="0"/>
                    <w:jc w:val="center"/>
                    <w:rPr>
                      <w:rFonts w:ascii="Times New Roman" w:hAnsi="Times New Roman"/>
                      <w:color w:val="auto"/>
                      <w:sz w:val="21"/>
                      <w:szCs w:val="21"/>
                    </w:rPr>
                  </w:pPr>
                </w:p>
              </w:tc>
              <w:tc>
                <w:tcPr>
                  <w:tcW w:w="3146" w:type="dxa"/>
                  <w:vAlign w:val="center"/>
                </w:tcPr>
                <w:p w14:paraId="0A3CB65C">
                  <w:pPr>
                    <w:pStyle w:val="28"/>
                    <w:adjustRightInd w:val="0"/>
                    <w:snapToGrid w:val="0"/>
                    <w:spacing w:before="0" w:beforeAutospacing="0" w:after="0" w:afterAutospacing="0"/>
                    <w:jc w:val="center"/>
                    <w:rPr>
                      <w:rFonts w:ascii="Times New Roman" w:hAnsi="Times New Roman"/>
                      <w:color w:val="auto"/>
                      <w:sz w:val="21"/>
                      <w:szCs w:val="21"/>
                      <w:lang w:bidi="ar"/>
                    </w:rPr>
                  </w:pPr>
                  <w:r>
                    <w:rPr>
                      <w:rFonts w:ascii="Times New Roman" w:hAnsi="Times New Roman"/>
                      <w:color w:val="auto"/>
                      <w:sz w:val="21"/>
                      <w:szCs w:val="21"/>
                      <w:lang w:bidi="ar"/>
                    </w:rPr>
                    <w:t>7.1.2化学反应：</w:t>
                  </w:r>
                </w:p>
                <w:p w14:paraId="69276B49">
                  <w:pPr>
                    <w:pStyle w:val="28"/>
                    <w:adjustRightInd w:val="0"/>
                    <w:snapToGrid w:val="0"/>
                    <w:spacing w:before="0" w:beforeAutospacing="0" w:after="0" w:afterAutospacing="0"/>
                    <w:jc w:val="center"/>
                    <w:rPr>
                      <w:rFonts w:ascii="Times New Roman" w:hAnsi="Times New Roman"/>
                      <w:color w:val="auto"/>
                      <w:sz w:val="21"/>
                      <w:szCs w:val="21"/>
                      <w:lang w:bidi="ar"/>
                    </w:rPr>
                  </w:pPr>
                  <w:r>
                    <w:rPr>
                      <w:rFonts w:ascii="Times New Roman" w:hAnsi="Times New Roman"/>
                      <w:color w:val="auto"/>
                      <w:sz w:val="21"/>
                      <w:szCs w:val="21"/>
                      <w:lang w:bidi="ar"/>
                    </w:rPr>
                    <w:t>a）反应设备进料置换废气、挥发排气、反应尾气等应排至</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废气收集处理系统。</w:t>
                  </w:r>
                </w:p>
                <w:p w14:paraId="1562EBC8">
                  <w:pPr>
                    <w:pStyle w:val="28"/>
                    <w:adjustRightInd w:val="0"/>
                    <w:snapToGrid w:val="0"/>
                    <w:spacing w:before="0" w:beforeAutospacing="0" w:after="0" w:afterAutospacing="0"/>
                    <w:jc w:val="center"/>
                    <w:rPr>
                      <w:rFonts w:ascii="Times New Roman" w:hAnsi="Times New Roman"/>
                      <w:color w:val="auto"/>
                      <w:sz w:val="21"/>
                      <w:szCs w:val="21"/>
                      <w:lang w:bidi="ar"/>
                    </w:rPr>
                  </w:pPr>
                  <w:r>
                    <w:rPr>
                      <w:rFonts w:ascii="Times New Roman" w:hAnsi="Times New Roman"/>
                      <w:color w:val="auto"/>
                      <w:sz w:val="21"/>
                      <w:szCs w:val="21"/>
                      <w:lang w:bidi="ar"/>
                    </w:rPr>
                    <w:t>b）在反应期间，反应设备的进料口、出料口、检修口、搅拌口、观察孔等开口（孔）在不操作应保持密闭。</w:t>
                  </w:r>
                </w:p>
              </w:tc>
              <w:tc>
                <w:tcPr>
                  <w:tcW w:w="2132" w:type="dxa"/>
                  <w:vAlign w:val="center"/>
                </w:tcPr>
                <w:p w14:paraId="68CE8DB2">
                  <w:pPr>
                    <w:pStyle w:val="28"/>
                    <w:adjustRightInd w:val="0"/>
                    <w:snapToGrid w:val="0"/>
                    <w:jc w:val="center"/>
                    <w:rPr>
                      <w:rFonts w:ascii="Times New Roman" w:hAnsi="Times New Roman"/>
                      <w:color w:val="auto"/>
                      <w:sz w:val="21"/>
                      <w:szCs w:val="21"/>
                      <w:lang w:bidi="ar"/>
                    </w:rPr>
                  </w:pPr>
                  <w:r>
                    <w:rPr>
                      <w:rFonts w:ascii="Times New Roman" w:hAnsi="Times New Roman"/>
                      <w:color w:val="auto"/>
                      <w:sz w:val="21"/>
                      <w:szCs w:val="21"/>
                      <w:lang w:bidi="ar"/>
                    </w:rPr>
                    <w:t>项目不涉及化学反应过程。</w:t>
                  </w:r>
                </w:p>
              </w:tc>
              <w:tc>
                <w:tcPr>
                  <w:tcW w:w="426" w:type="dxa"/>
                  <w:vAlign w:val="center"/>
                </w:tcPr>
                <w:p w14:paraId="061B27F6">
                  <w:pPr>
                    <w:pStyle w:val="28"/>
                    <w:adjustRightInd w:val="0"/>
                    <w:snapToGrid w:val="0"/>
                    <w:jc w:val="center"/>
                    <w:rPr>
                      <w:rFonts w:ascii="Times New Roman" w:hAnsi="Times New Roman"/>
                      <w:color w:val="auto"/>
                      <w:sz w:val="21"/>
                      <w:szCs w:val="21"/>
                      <w:lang w:bidi="ar"/>
                    </w:rPr>
                  </w:pPr>
                  <w:r>
                    <w:rPr>
                      <w:rFonts w:ascii="Times New Roman" w:hAnsi="Times New Roman"/>
                      <w:color w:val="auto"/>
                      <w:sz w:val="21"/>
                      <w:szCs w:val="21"/>
                      <w:lang w:bidi="ar"/>
                    </w:rPr>
                    <w:t>相符</w:t>
                  </w:r>
                </w:p>
              </w:tc>
            </w:tr>
            <w:tr w14:paraId="5CA36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952" w:type="dxa"/>
                  <w:vMerge w:val="continue"/>
                  <w:vAlign w:val="center"/>
                </w:tcPr>
                <w:p w14:paraId="025362DA">
                  <w:pPr>
                    <w:pStyle w:val="28"/>
                    <w:adjustRightInd w:val="0"/>
                    <w:snapToGrid w:val="0"/>
                    <w:jc w:val="center"/>
                    <w:rPr>
                      <w:rFonts w:ascii="Times New Roman" w:hAnsi="Times New Roman"/>
                      <w:color w:val="auto"/>
                      <w:sz w:val="21"/>
                      <w:szCs w:val="21"/>
                    </w:rPr>
                  </w:pPr>
                </w:p>
              </w:tc>
              <w:tc>
                <w:tcPr>
                  <w:tcW w:w="1109" w:type="dxa"/>
                  <w:vMerge w:val="continue"/>
                  <w:vAlign w:val="center"/>
                </w:tcPr>
                <w:p w14:paraId="25858DEC">
                  <w:pPr>
                    <w:pStyle w:val="28"/>
                    <w:adjustRightInd w:val="0"/>
                    <w:snapToGrid w:val="0"/>
                    <w:jc w:val="center"/>
                    <w:rPr>
                      <w:rFonts w:ascii="Times New Roman" w:hAnsi="Times New Roman"/>
                      <w:color w:val="auto"/>
                      <w:sz w:val="21"/>
                      <w:szCs w:val="21"/>
                    </w:rPr>
                  </w:pPr>
                </w:p>
              </w:tc>
              <w:tc>
                <w:tcPr>
                  <w:tcW w:w="3146" w:type="dxa"/>
                  <w:vAlign w:val="center"/>
                </w:tcPr>
                <w:p w14:paraId="0B1263E9">
                  <w:pPr>
                    <w:pStyle w:val="28"/>
                    <w:adjustRightInd w:val="0"/>
                    <w:snapToGrid w:val="0"/>
                    <w:spacing w:before="0" w:beforeAutospacing="0" w:after="0" w:afterAutospacing="0"/>
                    <w:jc w:val="center"/>
                    <w:rPr>
                      <w:rFonts w:ascii="Times New Roman" w:hAnsi="Times New Roman"/>
                      <w:color w:val="auto"/>
                      <w:sz w:val="21"/>
                      <w:szCs w:val="21"/>
                      <w:lang w:bidi="ar"/>
                    </w:rPr>
                  </w:pPr>
                  <w:r>
                    <w:rPr>
                      <w:rFonts w:ascii="Times New Roman" w:hAnsi="Times New Roman"/>
                      <w:color w:val="auto"/>
                      <w:sz w:val="21"/>
                      <w:szCs w:val="21"/>
                      <w:lang w:bidi="ar"/>
                    </w:rPr>
                    <w:t>7.1.3分离精制：</w:t>
                  </w:r>
                </w:p>
                <w:p w14:paraId="5A3E56CA">
                  <w:pPr>
                    <w:pStyle w:val="28"/>
                    <w:adjustRightInd w:val="0"/>
                    <w:snapToGrid w:val="0"/>
                    <w:spacing w:before="0" w:beforeAutospacing="0" w:after="0" w:afterAutospacing="0"/>
                    <w:jc w:val="center"/>
                    <w:rPr>
                      <w:rFonts w:ascii="Times New Roman" w:hAnsi="Times New Roman"/>
                      <w:color w:val="auto"/>
                      <w:sz w:val="21"/>
                      <w:szCs w:val="21"/>
                      <w:lang w:bidi="ar"/>
                    </w:rPr>
                  </w:pPr>
                  <w:r>
                    <w:rPr>
                      <w:rFonts w:ascii="Times New Roman" w:hAnsi="Times New Roman"/>
                      <w:color w:val="auto"/>
                      <w:sz w:val="21"/>
                      <w:szCs w:val="21"/>
                      <w:lang w:bidi="ar"/>
                    </w:rPr>
                    <w:t>a）离心、过滤单元操作应采用密闭式离心机、压滤机等设备，离心、过滤废气应排至</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废气收集处理系统。未采用密闭设备的，应在密闭空间内操作，或进行局部气体收集，废气应排至</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废气收集处理系统。</w:t>
                  </w:r>
                </w:p>
                <w:p w14:paraId="540C96C0">
                  <w:pPr>
                    <w:pStyle w:val="28"/>
                    <w:adjustRightInd w:val="0"/>
                    <w:snapToGrid w:val="0"/>
                    <w:spacing w:before="0" w:beforeAutospacing="0" w:after="0" w:afterAutospacing="0"/>
                    <w:jc w:val="center"/>
                    <w:rPr>
                      <w:rFonts w:ascii="Times New Roman" w:hAnsi="Times New Roman"/>
                      <w:color w:val="auto"/>
                      <w:sz w:val="21"/>
                      <w:szCs w:val="21"/>
                      <w:lang w:bidi="ar"/>
                    </w:rPr>
                  </w:pPr>
                  <w:r>
                    <w:rPr>
                      <w:rFonts w:ascii="Times New Roman" w:hAnsi="Times New Roman"/>
                      <w:color w:val="auto"/>
                      <w:sz w:val="21"/>
                      <w:szCs w:val="21"/>
                      <w:lang w:bidi="ar"/>
                    </w:rPr>
                    <w:t>b）干燥单元操作应采用密闭干燥设备，干燥废气应排至</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废气收集处理系统。未采用密闭设备的，应在密闭空间内操作，或进行局部气体收集，废气应排至</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废气收集处理系统。</w:t>
                  </w:r>
                </w:p>
                <w:p w14:paraId="12534F24">
                  <w:pPr>
                    <w:pStyle w:val="28"/>
                    <w:adjustRightInd w:val="0"/>
                    <w:snapToGrid w:val="0"/>
                    <w:spacing w:before="0" w:beforeAutospacing="0" w:after="0" w:afterAutospacing="0"/>
                    <w:jc w:val="center"/>
                    <w:rPr>
                      <w:rFonts w:ascii="Times New Roman" w:hAnsi="Times New Roman"/>
                      <w:color w:val="auto"/>
                      <w:sz w:val="21"/>
                      <w:szCs w:val="21"/>
                      <w:lang w:bidi="ar"/>
                    </w:rPr>
                  </w:pPr>
                  <w:r>
                    <w:rPr>
                      <w:rFonts w:ascii="Times New Roman" w:hAnsi="Times New Roman"/>
                      <w:color w:val="auto"/>
                      <w:sz w:val="21"/>
                      <w:szCs w:val="21"/>
                      <w:lang w:bidi="ar"/>
                    </w:rPr>
                    <w:t>c）吸收、洗涤、蒸馏/精馏、萃取、结晶等单元操作排放的废气，冷凝单元操作排放的不凝尾气，吸附单元操作的脱附尾气等应排至</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废气收集处理系统。</w:t>
                  </w:r>
                </w:p>
                <w:p w14:paraId="4E3C197C">
                  <w:pPr>
                    <w:pStyle w:val="28"/>
                    <w:adjustRightInd w:val="0"/>
                    <w:snapToGrid w:val="0"/>
                    <w:spacing w:before="0" w:beforeAutospacing="0" w:after="0" w:afterAutospacing="0"/>
                    <w:jc w:val="center"/>
                    <w:rPr>
                      <w:rFonts w:ascii="Times New Roman" w:hAnsi="Times New Roman"/>
                      <w:color w:val="auto"/>
                      <w:sz w:val="21"/>
                      <w:szCs w:val="21"/>
                      <w:lang w:bidi="ar"/>
                    </w:rPr>
                  </w:pPr>
                  <w:r>
                    <w:rPr>
                      <w:rFonts w:ascii="Times New Roman" w:hAnsi="Times New Roman"/>
                      <w:color w:val="auto"/>
                      <w:sz w:val="21"/>
                      <w:szCs w:val="21"/>
                      <w:lang w:bidi="ar"/>
                    </w:rPr>
                    <w:t>d）分离精制后的</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母液应密闭收集，母液储槽（罐）产生的废气应排至</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废气收集处理系统。</w:t>
                  </w:r>
                </w:p>
              </w:tc>
              <w:tc>
                <w:tcPr>
                  <w:tcW w:w="2132" w:type="dxa"/>
                  <w:vAlign w:val="center"/>
                </w:tcPr>
                <w:p w14:paraId="1A501A21">
                  <w:pPr>
                    <w:pStyle w:val="28"/>
                    <w:adjustRightInd w:val="0"/>
                    <w:snapToGrid w:val="0"/>
                    <w:jc w:val="center"/>
                    <w:rPr>
                      <w:rFonts w:ascii="Times New Roman" w:hAnsi="Times New Roman"/>
                      <w:color w:val="auto"/>
                      <w:sz w:val="21"/>
                      <w:szCs w:val="21"/>
                      <w:lang w:bidi="ar"/>
                    </w:rPr>
                  </w:pPr>
                  <w:r>
                    <w:rPr>
                      <w:rFonts w:ascii="Times New Roman" w:hAnsi="Times New Roman"/>
                      <w:color w:val="auto"/>
                      <w:sz w:val="21"/>
                      <w:szCs w:val="21"/>
                      <w:lang w:bidi="ar"/>
                    </w:rPr>
                    <w:t>项目不涉及分离精制过程。</w:t>
                  </w:r>
                </w:p>
              </w:tc>
              <w:tc>
                <w:tcPr>
                  <w:tcW w:w="426" w:type="dxa"/>
                  <w:vAlign w:val="center"/>
                </w:tcPr>
                <w:p w14:paraId="20F01B8E">
                  <w:pPr>
                    <w:pStyle w:val="28"/>
                    <w:adjustRightInd w:val="0"/>
                    <w:snapToGrid w:val="0"/>
                    <w:jc w:val="center"/>
                    <w:rPr>
                      <w:rFonts w:ascii="Times New Roman" w:hAnsi="Times New Roman"/>
                      <w:color w:val="auto"/>
                      <w:sz w:val="21"/>
                      <w:szCs w:val="21"/>
                      <w:lang w:bidi="ar"/>
                    </w:rPr>
                  </w:pPr>
                  <w:r>
                    <w:rPr>
                      <w:rFonts w:ascii="Times New Roman" w:hAnsi="Times New Roman"/>
                      <w:color w:val="auto"/>
                      <w:sz w:val="21"/>
                      <w:szCs w:val="21"/>
                      <w:lang w:bidi="ar"/>
                    </w:rPr>
                    <w:t>相符</w:t>
                  </w:r>
                </w:p>
              </w:tc>
            </w:tr>
            <w:tr w14:paraId="49F53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952" w:type="dxa"/>
                  <w:vMerge w:val="continue"/>
                  <w:vAlign w:val="center"/>
                </w:tcPr>
                <w:p w14:paraId="49848DFB">
                  <w:pPr>
                    <w:pStyle w:val="28"/>
                    <w:adjustRightInd w:val="0"/>
                    <w:snapToGrid w:val="0"/>
                    <w:jc w:val="center"/>
                    <w:rPr>
                      <w:rFonts w:ascii="Times New Roman" w:hAnsi="Times New Roman"/>
                      <w:color w:val="auto"/>
                      <w:sz w:val="21"/>
                      <w:szCs w:val="21"/>
                    </w:rPr>
                  </w:pPr>
                </w:p>
              </w:tc>
              <w:tc>
                <w:tcPr>
                  <w:tcW w:w="1109" w:type="dxa"/>
                  <w:vMerge w:val="continue"/>
                  <w:vAlign w:val="center"/>
                </w:tcPr>
                <w:p w14:paraId="03124B63">
                  <w:pPr>
                    <w:pStyle w:val="28"/>
                    <w:adjustRightInd w:val="0"/>
                    <w:snapToGrid w:val="0"/>
                    <w:jc w:val="center"/>
                    <w:rPr>
                      <w:rFonts w:ascii="Times New Roman" w:hAnsi="Times New Roman"/>
                      <w:color w:val="auto"/>
                      <w:sz w:val="21"/>
                      <w:szCs w:val="21"/>
                    </w:rPr>
                  </w:pPr>
                </w:p>
              </w:tc>
              <w:tc>
                <w:tcPr>
                  <w:tcW w:w="3146" w:type="dxa"/>
                  <w:vAlign w:val="center"/>
                </w:tcPr>
                <w:p w14:paraId="5141DD29">
                  <w:pPr>
                    <w:pStyle w:val="28"/>
                    <w:adjustRightInd w:val="0"/>
                    <w:snapToGrid w:val="0"/>
                    <w:spacing w:before="0" w:beforeAutospacing="0" w:after="0" w:afterAutospacing="0"/>
                    <w:jc w:val="center"/>
                    <w:rPr>
                      <w:rFonts w:ascii="Times New Roman" w:hAnsi="Times New Roman"/>
                      <w:color w:val="auto"/>
                      <w:sz w:val="21"/>
                      <w:szCs w:val="21"/>
                      <w:lang w:bidi="ar"/>
                    </w:rPr>
                  </w:pPr>
                  <w:r>
                    <w:rPr>
                      <w:rFonts w:ascii="Times New Roman" w:hAnsi="Times New Roman"/>
                      <w:color w:val="auto"/>
                      <w:sz w:val="21"/>
                      <w:szCs w:val="21"/>
                      <w:lang w:bidi="ar"/>
                    </w:rPr>
                    <w:t>7.1.4真空系统：</w:t>
                  </w:r>
                </w:p>
                <w:p w14:paraId="5D1A6A82">
                  <w:pPr>
                    <w:pStyle w:val="28"/>
                    <w:adjustRightInd w:val="0"/>
                    <w:snapToGrid w:val="0"/>
                    <w:spacing w:before="0" w:beforeAutospacing="0" w:after="0" w:afterAutospacing="0"/>
                    <w:jc w:val="center"/>
                    <w:rPr>
                      <w:rFonts w:ascii="Times New Roman" w:hAnsi="Times New Roman"/>
                      <w:color w:val="auto"/>
                      <w:sz w:val="21"/>
                      <w:szCs w:val="21"/>
                      <w:lang w:bidi="ar"/>
                    </w:rPr>
                  </w:pPr>
                  <w:r>
                    <w:rPr>
                      <w:rFonts w:ascii="Times New Roman" w:hAnsi="Times New Roman"/>
                      <w:color w:val="auto"/>
                      <w:sz w:val="21"/>
                      <w:szCs w:val="21"/>
                      <w:lang w:bidi="ar"/>
                    </w:rPr>
                    <w:t>真空系统应采用干式真空泵，真空排气应排至</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废气收集处理系统。若使用液环（水环）真空泵、水（水蒸气）喷射真空泵等，工作介质的循环槽（罐）应密闭，真空排气、循环槽（罐）排气应排至</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废气收集处理系统。</w:t>
                  </w:r>
                </w:p>
              </w:tc>
              <w:tc>
                <w:tcPr>
                  <w:tcW w:w="2132" w:type="dxa"/>
                  <w:vAlign w:val="center"/>
                </w:tcPr>
                <w:p w14:paraId="17AE24A2">
                  <w:pPr>
                    <w:pStyle w:val="28"/>
                    <w:adjustRightInd w:val="0"/>
                    <w:snapToGrid w:val="0"/>
                    <w:jc w:val="center"/>
                    <w:rPr>
                      <w:rFonts w:ascii="Times New Roman" w:hAnsi="Times New Roman"/>
                      <w:color w:val="auto"/>
                      <w:sz w:val="21"/>
                      <w:szCs w:val="21"/>
                      <w:lang w:bidi="ar"/>
                    </w:rPr>
                  </w:pPr>
                  <w:r>
                    <w:rPr>
                      <w:rFonts w:ascii="Times New Roman" w:hAnsi="Times New Roman"/>
                      <w:color w:val="auto"/>
                      <w:sz w:val="21"/>
                      <w:szCs w:val="21"/>
                      <w:lang w:bidi="ar"/>
                    </w:rPr>
                    <w:t>项目不涉及真空系统。</w:t>
                  </w:r>
                </w:p>
              </w:tc>
              <w:tc>
                <w:tcPr>
                  <w:tcW w:w="426" w:type="dxa"/>
                  <w:vAlign w:val="center"/>
                </w:tcPr>
                <w:p w14:paraId="44DBE6D9">
                  <w:pPr>
                    <w:pStyle w:val="28"/>
                    <w:adjustRightInd w:val="0"/>
                    <w:snapToGrid w:val="0"/>
                    <w:jc w:val="center"/>
                    <w:rPr>
                      <w:rFonts w:ascii="Times New Roman" w:hAnsi="Times New Roman"/>
                      <w:color w:val="auto"/>
                      <w:sz w:val="21"/>
                      <w:szCs w:val="21"/>
                      <w:lang w:bidi="ar"/>
                    </w:rPr>
                  </w:pPr>
                  <w:r>
                    <w:rPr>
                      <w:rFonts w:ascii="Times New Roman" w:hAnsi="Times New Roman"/>
                      <w:color w:val="auto"/>
                      <w:sz w:val="21"/>
                      <w:szCs w:val="21"/>
                      <w:lang w:bidi="ar"/>
                    </w:rPr>
                    <w:t>相符</w:t>
                  </w:r>
                </w:p>
              </w:tc>
            </w:tr>
            <w:tr w14:paraId="3663A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952" w:type="dxa"/>
                  <w:vMerge w:val="continue"/>
                  <w:vAlign w:val="center"/>
                </w:tcPr>
                <w:p w14:paraId="79BEFC5B">
                  <w:pPr>
                    <w:pStyle w:val="28"/>
                    <w:adjustRightInd w:val="0"/>
                    <w:snapToGrid w:val="0"/>
                    <w:jc w:val="center"/>
                    <w:rPr>
                      <w:rFonts w:ascii="Times New Roman" w:hAnsi="Times New Roman"/>
                      <w:color w:val="auto"/>
                      <w:sz w:val="21"/>
                      <w:szCs w:val="21"/>
                    </w:rPr>
                  </w:pPr>
                </w:p>
              </w:tc>
              <w:tc>
                <w:tcPr>
                  <w:tcW w:w="1109" w:type="dxa"/>
                  <w:vMerge w:val="continue"/>
                  <w:vAlign w:val="center"/>
                </w:tcPr>
                <w:p w14:paraId="0F90002A">
                  <w:pPr>
                    <w:pStyle w:val="28"/>
                    <w:adjustRightInd w:val="0"/>
                    <w:snapToGrid w:val="0"/>
                    <w:jc w:val="center"/>
                    <w:rPr>
                      <w:rFonts w:ascii="Times New Roman" w:hAnsi="Times New Roman"/>
                      <w:color w:val="auto"/>
                      <w:sz w:val="21"/>
                      <w:szCs w:val="21"/>
                    </w:rPr>
                  </w:pPr>
                </w:p>
              </w:tc>
              <w:tc>
                <w:tcPr>
                  <w:tcW w:w="3146" w:type="dxa"/>
                  <w:vAlign w:val="center"/>
                </w:tcPr>
                <w:p w14:paraId="632B80F5">
                  <w:pPr>
                    <w:pStyle w:val="28"/>
                    <w:adjustRightInd w:val="0"/>
                    <w:snapToGrid w:val="0"/>
                    <w:spacing w:before="0" w:beforeAutospacing="0" w:after="0" w:afterAutospacing="0"/>
                    <w:jc w:val="center"/>
                    <w:rPr>
                      <w:rFonts w:ascii="Times New Roman" w:hAnsi="Times New Roman"/>
                      <w:color w:val="auto"/>
                      <w:sz w:val="21"/>
                      <w:szCs w:val="21"/>
                      <w:lang w:bidi="ar"/>
                    </w:rPr>
                  </w:pPr>
                  <w:r>
                    <w:rPr>
                      <w:rFonts w:ascii="Times New Roman" w:hAnsi="Times New Roman"/>
                      <w:color w:val="auto"/>
                      <w:sz w:val="21"/>
                      <w:szCs w:val="21"/>
                      <w:lang w:bidi="ar"/>
                    </w:rPr>
                    <w:t>7.1.5配料加工和含</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产品的包装：</w:t>
                  </w:r>
                </w:p>
                <w:p w14:paraId="2FE5FA45">
                  <w:pPr>
                    <w:pStyle w:val="28"/>
                    <w:adjustRightInd w:val="0"/>
                    <w:snapToGrid w:val="0"/>
                    <w:spacing w:before="0" w:beforeAutospacing="0" w:after="0" w:afterAutospacing="0"/>
                    <w:jc w:val="center"/>
                    <w:rPr>
                      <w:rFonts w:ascii="Times New Roman" w:hAnsi="Times New Roman"/>
                      <w:color w:val="auto"/>
                      <w:sz w:val="21"/>
                      <w:szCs w:val="21"/>
                      <w:lang w:bidi="ar"/>
                    </w:rPr>
                  </w:pP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物料混合、搅拌、研磨、造粒、切片、压块等配料加工过程，以及含</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产品的包装（灌装、分装）过程应采用密闭设备或在密闭空间内操作，废气应排至</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废气收集处理系统；无法密闭的，应采取局部气体收集措施，废气应排至</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废气收集处理系统。</w:t>
                  </w:r>
                </w:p>
              </w:tc>
              <w:tc>
                <w:tcPr>
                  <w:tcW w:w="2132" w:type="dxa"/>
                  <w:vAlign w:val="center"/>
                </w:tcPr>
                <w:p w14:paraId="2056F112">
                  <w:pPr>
                    <w:pStyle w:val="28"/>
                    <w:adjustRightInd w:val="0"/>
                    <w:snapToGrid w:val="0"/>
                    <w:jc w:val="center"/>
                    <w:rPr>
                      <w:rFonts w:ascii="Times New Roman" w:hAnsi="Times New Roman"/>
                      <w:color w:val="auto"/>
                      <w:sz w:val="21"/>
                      <w:szCs w:val="21"/>
                      <w:lang w:bidi="ar"/>
                    </w:rPr>
                  </w:pPr>
                  <w:r>
                    <w:rPr>
                      <w:rFonts w:ascii="Times New Roman" w:hAnsi="Times New Roman"/>
                      <w:color w:val="auto"/>
                      <w:sz w:val="21"/>
                      <w:szCs w:val="21"/>
                      <w:lang w:bidi="ar"/>
                    </w:rPr>
                    <w:t>项目</w:t>
                  </w:r>
                  <w:r>
                    <w:rPr>
                      <w:rFonts w:hint="eastAsia" w:ascii="Times New Roman" w:hAnsi="Times New Roman"/>
                      <w:color w:val="auto"/>
                      <w:sz w:val="21"/>
                      <w:szCs w:val="21"/>
                      <w:lang w:bidi="ar"/>
                    </w:rPr>
                    <w:t>VOCs（以非甲烷总烃计）和甲醛</w:t>
                  </w:r>
                  <w:r>
                    <w:rPr>
                      <w:rFonts w:ascii="Times New Roman" w:hAnsi="Times New Roman"/>
                      <w:color w:val="auto"/>
                      <w:sz w:val="21"/>
                      <w:szCs w:val="21"/>
                      <w:lang w:bidi="ar"/>
                    </w:rPr>
                    <w:t>废气经集气罩局部收集至“UV光解+三级活性炭吸附净化装置”处理达标后，由1根</w:t>
                  </w:r>
                  <w:r>
                    <w:rPr>
                      <w:rFonts w:hint="eastAsia" w:ascii="Times New Roman" w:hAnsi="Times New Roman"/>
                      <w:color w:val="auto"/>
                      <w:sz w:val="21"/>
                      <w:szCs w:val="21"/>
                      <w:lang w:bidi="ar"/>
                    </w:rPr>
                    <w:t>15</w:t>
                  </w:r>
                  <w:r>
                    <w:rPr>
                      <w:rFonts w:ascii="Times New Roman" w:hAnsi="Times New Roman"/>
                      <w:color w:val="auto"/>
                      <w:sz w:val="21"/>
                      <w:szCs w:val="21"/>
                      <w:lang w:bidi="ar"/>
                    </w:rPr>
                    <w:t>m高排气筒</w:t>
                  </w:r>
                  <w:r>
                    <w:rPr>
                      <w:rFonts w:hint="eastAsia" w:ascii="Times New Roman" w:hAnsi="Times New Roman"/>
                      <w:color w:val="auto"/>
                      <w:sz w:val="21"/>
                      <w:szCs w:val="21"/>
                      <w:lang w:bidi="ar"/>
                    </w:rPr>
                    <w:t>（DA001）</w:t>
                  </w:r>
                  <w:r>
                    <w:rPr>
                      <w:rFonts w:ascii="Times New Roman" w:hAnsi="Times New Roman"/>
                      <w:color w:val="auto"/>
                      <w:sz w:val="21"/>
                      <w:szCs w:val="21"/>
                      <w:lang w:bidi="ar"/>
                    </w:rPr>
                    <w:t>排放。</w:t>
                  </w:r>
                </w:p>
              </w:tc>
              <w:tc>
                <w:tcPr>
                  <w:tcW w:w="426" w:type="dxa"/>
                  <w:vAlign w:val="center"/>
                </w:tcPr>
                <w:p w14:paraId="49C1F5AF">
                  <w:pPr>
                    <w:pStyle w:val="28"/>
                    <w:adjustRightInd w:val="0"/>
                    <w:snapToGrid w:val="0"/>
                    <w:jc w:val="center"/>
                    <w:rPr>
                      <w:rFonts w:ascii="Times New Roman" w:hAnsi="Times New Roman"/>
                      <w:color w:val="auto"/>
                      <w:sz w:val="21"/>
                      <w:szCs w:val="21"/>
                      <w:lang w:bidi="ar"/>
                    </w:rPr>
                  </w:pPr>
                  <w:r>
                    <w:rPr>
                      <w:rFonts w:ascii="Times New Roman" w:hAnsi="Times New Roman"/>
                      <w:color w:val="auto"/>
                      <w:sz w:val="21"/>
                      <w:szCs w:val="21"/>
                      <w:lang w:bidi="ar"/>
                    </w:rPr>
                    <w:t>相符</w:t>
                  </w:r>
                </w:p>
              </w:tc>
            </w:tr>
            <w:tr w14:paraId="3F4C8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952" w:type="dxa"/>
                  <w:vMerge w:val="continue"/>
                  <w:vAlign w:val="center"/>
                </w:tcPr>
                <w:p w14:paraId="42DC91CF">
                  <w:pPr>
                    <w:pStyle w:val="28"/>
                    <w:adjustRightInd w:val="0"/>
                    <w:snapToGrid w:val="0"/>
                    <w:jc w:val="center"/>
                    <w:rPr>
                      <w:rFonts w:ascii="Times New Roman" w:hAnsi="Times New Roman"/>
                      <w:color w:val="auto"/>
                      <w:sz w:val="21"/>
                      <w:szCs w:val="21"/>
                    </w:rPr>
                  </w:pPr>
                </w:p>
              </w:tc>
              <w:tc>
                <w:tcPr>
                  <w:tcW w:w="1109" w:type="dxa"/>
                  <w:vMerge w:val="restart"/>
                  <w:vAlign w:val="center"/>
                </w:tcPr>
                <w:p w14:paraId="4169C9EF">
                  <w:pPr>
                    <w:pStyle w:val="28"/>
                    <w:adjustRightInd w:val="0"/>
                    <w:snapToGrid w:val="0"/>
                    <w:jc w:val="center"/>
                    <w:rPr>
                      <w:rFonts w:ascii="Times New Roman" w:hAnsi="Times New Roman"/>
                      <w:color w:val="auto"/>
                      <w:sz w:val="21"/>
                      <w:szCs w:val="21"/>
                    </w:rPr>
                  </w:pPr>
                  <w:r>
                    <w:rPr>
                      <w:rFonts w:ascii="Times New Roman" w:hAnsi="Times New Roman"/>
                      <w:color w:val="auto"/>
                      <w:sz w:val="21"/>
                      <w:szCs w:val="21"/>
                    </w:rPr>
                    <w:t>7.2含</w:t>
                  </w:r>
                  <w:r>
                    <w:rPr>
                      <w:rFonts w:hint="eastAsia" w:ascii="Times New Roman" w:hAnsi="Times New Roman"/>
                      <w:color w:val="auto"/>
                      <w:sz w:val="21"/>
                      <w:szCs w:val="21"/>
                    </w:rPr>
                    <w:t>VOCs（以非甲烷总烃计）</w:t>
                  </w:r>
                  <w:r>
                    <w:rPr>
                      <w:rFonts w:ascii="Times New Roman" w:hAnsi="Times New Roman"/>
                      <w:color w:val="auto"/>
                      <w:sz w:val="21"/>
                      <w:szCs w:val="21"/>
                    </w:rPr>
                    <w:t>产品的使用过程</w:t>
                  </w:r>
                </w:p>
              </w:tc>
              <w:tc>
                <w:tcPr>
                  <w:tcW w:w="3146" w:type="dxa"/>
                  <w:vAlign w:val="center"/>
                </w:tcPr>
                <w:p w14:paraId="5E4A2228">
                  <w:pPr>
                    <w:pStyle w:val="28"/>
                    <w:adjustRightInd w:val="0"/>
                    <w:snapToGrid w:val="0"/>
                    <w:spacing w:before="0" w:beforeAutospacing="0" w:after="0" w:afterAutospacing="0"/>
                    <w:jc w:val="center"/>
                    <w:rPr>
                      <w:rFonts w:ascii="Times New Roman" w:hAnsi="Times New Roman"/>
                      <w:color w:val="auto"/>
                      <w:sz w:val="21"/>
                      <w:szCs w:val="21"/>
                      <w:lang w:bidi="ar"/>
                    </w:rPr>
                  </w:pPr>
                  <w:r>
                    <w:rPr>
                      <w:rFonts w:ascii="Times New Roman" w:hAnsi="Times New Roman"/>
                      <w:color w:val="auto"/>
                      <w:sz w:val="21"/>
                      <w:szCs w:val="21"/>
                      <w:lang w:bidi="ar"/>
                    </w:rPr>
                    <w:t>7.2.1</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质量占比大于等于10%的含</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产品，其使用过程应采用密闭设备或在密闭空间内操作，废气应排至</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废气收集处理系统；无法密闭的，应采取局部气体收集措施，废气应排至</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废气收集处理系统。</w:t>
                  </w:r>
                </w:p>
              </w:tc>
              <w:tc>
                <w:tcPr>
                  <w:tcW w:w="2132" w:type="dxa"/>
                  <w:vAlign w:val="center"/>
                </w:tcPr>
                <w:p w14:paraId="6E71F38F">
                  <w:pPr>
                    <w:pStyle w:val="28"/>
                    <w:adjustRightInd w:val="0"/>
                    <w:snapToGrid w:val="0"/>
                    <w:jc w:val="center"/>
                    <w:rPr>
                      <w:rFonts w:ascii="Times New Roman" w:hAnsi="Times New Roman"/>
                      <w:color w:val="auto"/>
                      <w:sz w:val="21"/>
                      <w:szCs w:val="21"/>
                      <w:lang w:bidi="ar"/>
                    </w:rPr>
                  </w:pPr>
                  <w:r>
                    <w:rPr>
                      <w:rFonts w:ascii="Times New Roman" w:hAnsi="Times New Roman"/>
                      <w:color w:val="auto"/>
                      <w:sz w:val="21"/>
                      <w:szCs w:val="21"/>
                      <w:lang w:bidi="ar"/>
                    </w:rPr>
                    <w:t>项目</w:t>
                  </w:r>
                  <w:r>
                    <w:rPr>
                      <w:rFonts w:hint="eastAsia" w:ascii="Times New Roman" w:hAnsi="Times New Roman"/>
                      <w:color w:val="auto"/>
                      <w:sz w:val="21"/>
                      <w:szCs w:val="21"/>
                      <w:lang w:bidi="ar"/>
                    </w:rPr>
                    <w:t>VOCs（以非甲烷总烃计）和甲醛</w:t>
                  </w:r>
                  <w:r>
                    <w:rPr>
                      <w:rFonts w:ascii="Times New Roman" w:hAnsi="Times New Roman"/>
                      <w:color w:val="auto"/>
                      <w:sz w:val="21"/>
                      <w:szCs w:val="21"/>
                      <w:lang w:bidi="ar"/>
                    </w:rPr>
                    <w:t>废气经集气罩局部收集至“UV光解+三级活性炭吸附净化装置”处理达标后，由1根</w:t>
                  </w:r>
                  <w:r>
                    <w:rPr>
                      <w:rFonts w:hint="eastAsia" w:ascii="Times New Roman" w:hAnsi="Times New Roman"/>
                      <w:color w:val="auto"/>
                      <w:sz w:val="21"/>
                      <w:szCs w:val="21"/>
                      <w:lang w:bidi="ar"/>
                    </w:rPr>
                    <w:t>15</w:t>
                  </w:r>
                  <w:r>
                    <w:rPr>
                      <w:rFonts w:ascii="Times New Roman" w:hAnsi="Times New Roman"/>
                      <w:color w:val="auto"/>
                      <w:sz w:val="21"/>
                      <w:szCs w:val="21"/>
                      <w:lang w:bidi="ar"/>
                    </w:rPr>
                    <w:t>m高排气筒</w:t>
                  </w:r>
                  <w:r>
                    <w:rPr>
                      <w:rFonts w:hint="eastAsia" w:ascii="Times New Roman" w:hAnsi="Times New Roman"/>
                      <w:color w:val="auto"/>
                      <w:sz w:val="21"/>
                      <w:szCs w:val="21"/>
                      <w:lang w:bidi="ar"/>
                    </w:rPr>
                    <w:t>（DA001）</w:t>
                  </w:r>
                  <w:r>
                    <w:rPr>
                      <w:rFonts w:ascii="Times New Roman" w:hAnsi="Times New Roman"/>
                      <w:color w:val="auto"/>
                      <w:sz w:val="21"/>
                      <w:szCs w:val="21"/>
                      <w:lang w:bidi="ar"/>
                    </w:rPr>
                    <w:t>排放。</w:t>
                  </w:r>
                </w:p>
              </w:tc>
              <w:tc>
                <w:tcPr>
                  <w:tcW w:w="426" w:type="dxa"/>
                  <w:vAlign w:val="center"/>
                </w:tcPr>
                <w:p w14:paraId="04A4FFDA">
                  <w:pPr>
                    <w:pStyle w:val="28"/>
                    <w:adjustRightInd w:val="0"/>
                    <w:snapToGrid w:val="0"/>
                    <w:jc w:val="center"/>
                    <w:rPr>
                      <w:rFonts w:ascii="Times New Roman" w:hAnsi="Times New Roman"/>
                      <w:color w:val="auto"/>
                      <w:sz w:val="21"/>
                      <w:szCs w:val="21"/>
                      <w:lang w:bidi="ar"/>
                    </w:rPr>
                  </w:pPr>
                  <w:r>
                    <w:rPr>
                      <w:rFonts w:ascii="Times New Roman" w:hAnsi="Times New Roman"/>
                      <w:color w:val="auto"/>
                      <w:sz w:val="21"/>
                      <w:szCs w:val="21"/>
                      <w:lang w:bidi="ar"/>
                    </w:rPr>
                    <w:t>相符</w:t>
                  </w:r>
                </w:p>
              </w:tc>
            </w:tr>
            <w:tr w14:paraId="69E9F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952" w:type="dxa"/>
                  <w:vMerge w:val="continue"/>
                  <w:vAlign w:val="center"/>
                </w:tcPr>
                <w:p w14:paraId="0768BB2C">
                  <w:pPr>
                    <w:pStyle w:val="28"/>
                    <w:adjustRightInd w:val="0"/>
                    <w:snapToGrid w:val="0"/>
                    <w:jc w:val="center"/>
                    <w:rPr>
                      <w:rFonts w:ascii="Times New Roman" w:hAnsi="Times New Roman"/>
                      <w:color w:val="auto"/>
                      <w:sz w:val="21"/>
                      <w:szCs w:val="21"/>
                    </w:rPr>
                  </w:pPr>
                </w:p>
              </w:tc>
              <w:tc>
                <w:tcPr>
                  <w:tcW w:w="1109" w:type="dxa"/>
                  <w:vMerge w:val="continue"/>
                  <w:vAlign w:val="center"/>
                </w:tcPr>
                <w:p w14:paraId="0C8CCF1F">
                  <w:pPr>
                    <w:pStyle w:val="28"/>
                    <w:adjustRightInd w:val="0"/>
                    <w:snapToGrid w:val="0"/>
                    <w:jc w:val="center"/>
                    <w:rPr>
                      <w:rFonts w:ascii="Times New Roman" w:hAnsi="Times New Roman"/>
                      <w:color w:val="auto"/>
                      <w:sz w:val="21"/>
                      <w:szCs w:val="21"/>
                    </w:rPr>
                  </w:pPr>
                </w:p>
              </w:tc>
              <w:tc>
                <w:tcPr>
                  <w:tcW w:w="3146" w:type="dxa"/>
                  <w:vAlign w:val="center"/>
                </w:tcPr>
                <w:p w14:paraId="7B10E506">
                  <w:pPr>
                    <w:pStyle w:val="28"/>
                    <w:adjustRightInd w:val="0"/>
                    <w:snapToGrid w:val="0"/>
                    <w:spacing w:before="0" w:beforeAutospacing="0" w:after="0" w:afterAutospacing="0"/>
                    <w:jc w:val="center"/>
                    <w:rPr>
                      <w:rFonts w:ascii="Times New Roman" w:hAnsi="Times New Roman"/>
                      <w:color w:val="auto"/>
                      <w:sz w:val="21"/>
                      <w:szCs w:val="21"/>
                      <w:lang w:bidi="ar"/>
                    </w:rPr>
                  </w:pPr>
                  <w:r>
                    <w:rPr>
                      <w:rFonts w:ascii="Times New Roman" w:hAnsi="Times New Roman"/>
                      <w:color w:val="auto"/>
                      <w:sz w:val="21"/>
                      <w:szCs w:val="21"/>
                      <w:lang w:bidi="ar"/>
                    </w:rPr>
                    <w:t>7.2.2有机聚合物产品用于制品生产的过程，在混合/混炼、塑炼/塑化/熔化、加工成型（挤出、注射、压制、压延、发泡、纺丝等）等作业中应采用密闭设备或在密闭空间内操作，废气应排至</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废气收集处理系统；无法密闭的，应采取局部气体收集措施，废气应排至</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废气收集处理系统。</w:t>
                  </w:r>
                </w:p>
              </w:tc>
              <w:tc>
                <w:tcPr>
                  <w:tcW w:w="2132" w:type="dxa"/>
                  <w:vAlign w:val="center"/>
                </w:tcPr>
                <w:p w14:paraId="4ACB8CEB">
                  <w:pPr>
                    <w:pStyle w:val="28"/>
                    <w:adjustRightInd w:val="0"/>
                    <w:snapToGrid w:val="0"/>
                    <w:jc w:val="center"/>
                    <w:rPr>
                      <w:rFonts w:ascii="Times New Roman" w:hAnsi="Times New Roman"/>
                      <w:color w:val="auto"/>
                      <w:sz w:val="21"/>
                      <w:szCs w:val="21"/>
                      <w:lang w:bidi="ar"/>
                    </w:rPr>
                  </w:pPr>
                  <w:r>
                    <w:rPr>
                      <w:rFonts w:ascii="Times New Roman" w:hAnsi="Times New Roman"/>
                      <w:color w:val="auto"/>
                      <w:sz w:val="21"/>
                      <w:szCs w:val="21"/>
                      <w:lang w:bidi="ar"/>
                    </w:rPr>
                    <w:t>项目不涉及混合/混炼、塑炼/塑化/熔化、加工成型（挤出、注射、压制、压延、发泡、纺丝等）等作业。</w:t>
                  </w:r>
                </w:p>
              </w:tc>
              <w:tc>
                <w:tcPr>
                  <w:tcW w:w="426" w:type="dxa"/>
                  <w:vAlign w:val="center"/>
                </w:tcPr>
                <w:p w14:paraId="0BD3F289">
                  <w:pPr>
                    <w:pStyle w:val="28"/>
                    <w:adjustRightInd w:val="0"/>
                    <w:snapToGrid w:val="0"/>
                    <w:jc w:val="center"/>
                    <w:rPr>
                      <w:rFonts w:ascii="Times New Roman" w:hAnsi="Times New Roman"/>
                      <w:color w:val="auto"/>
                      <w:sz w:val="21"/>
                      <w:szCs w:val="21"/>
                      <w:lang w:bidi="ar"/>
                    </w:rPr>
                  </w:pPr>
                  <w:r>
                    <w:rPr>
                      <w:rFonts w:ascii="Times New Roman" w:hAnsi="Times New Roman"/>
                      <w:color w:val="auto"/>
                      <w:sz w:val="21"/>
                      <w:szCs w:val="21"/>
                      <w:lang w:bidi="ar"/>
                    </w:rPr>
                    <w:t>相符</w:t>
                  </w:r>
                </w:p>
              </w:tc>
            </w:tr>
            <w:tr w14:paraId="4F9BD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952" w:type="dxa"/>
                  <w:vMerge w:val="continue"/>
                  <w:vAlign w:val="center"/>
                </w:tcPr>
                <w:p w14:paraId="0E112D60">
                  <w:pPr>
                    <w:pStyle w:val="28"/>
                    <w:adjustRightInd w:val="0"/>
                    <w:snapToGrid w:val="0"/>
                    <w:jc w:val="center"/>
                    <w:rPr>
                      <w:rFonts w:ascii="Times New Roman" w:hAnsi="Times New Roman"/>
                      <w:color w:val="auto"/>
                      <w:sz w:val="21"/>
                      <w:szCs w:val="21"/>
                    </w:rPr>
                  </w:pPr>
                </w:p>
              </w:tc>
              <w:tc>
                <w:tcPr>
                  <w:tcW w:w="1109" w:type="dxa"/>
                  <w:vMerge w:val="restart"/>
                  <w:vAlign w:val="center"/>
                </w:tcPr>
                <w:p w14:paraId="41B95D47">
                  <w:pPr>
                    <w:pStyle w:val="28"/>
                    <w:adjustRightInd w:val="0"/>
                    <w:snapToGrid w:val="0"/>
                    <w:jc w:val="center"/>
                    <w:rPr>
                      <w:rFonts w:ascii="Times New Roman" w:hAnsi="Times New Roman"/>
                      <w:color w:val="auto"/>
                      <w:sz w:val="21"/>
                      <w:szCs w:val="21"/>
                    </w:rPr>
                  </w:pPr>
                  <w:r>
                    <w:rPr>
                      <w:rFonts w:ascii="Times New Roman" w:hAnsi="Times New Roman"/>
                      <w:color w:val="auto"/>
                      <w:sz w:val="21"/>
                      <w:szCs w:val="21"/>
                    </w:rPr>
                    <w:t>7.3其他要求</w:t>
                  </w:r>
                </w:p>
              </w:tc>
              <w:tc>
                <w:tcPr>
                  <w:tcW w:w="3146" w:type="dxa"/>
                  <w:vAlign w:val="center"/>
                </w:tcPr>
                <w:p w14:paraId="02AF009F">
                  <w:pPr>
                    <w:pStyle w:val="28"/>
                    <w:adjustRightInd w:val="0"/>
                    <w:snapToGrid w:val="0"/>
                    <w:jc w:val="center"/>
                    <w:rPr>
                      <w:rFonts w:ascii="Times New Roman" w:hAnsi="Times New Roman"/>
                      <w:color w:val="auto"/>
                      <w:sz w:val="21"/>
                      <w:szCs w:val="21"/>
                    </w:rPr>
                  </w:pPr>
                  <w:r>
                    <w:rPr>
                      <w:rFonts w:ascii="Times New Roman" w:hAnsi="Times New Roman"/>
                      <w:color w:val="auto"/>
                      <w:sz w:val="21"/>
                      <w:szCs w:val="21"/>
                    </w:rPr>
                    <w:t>7.3.1企业应建立台账，记录含</w:t>
                  </w:r>
                  <w:r>
                    <w:rPr>
                      <w:rFonts w:hint="eastAsia" w:ascii="Times New Roman" w:hAnsi="Times New Roman"/>
                      <w:color w:val="auto"/>
                      <w:sz w:val="21"/>
                      <w:szCs w:val="21"/>
                    </w:rPr>
                    <w:t>VOCs（以非甲烷总烃计）</w:t>
                  </w:r>
                  <w:r>
                    <w:rPr>
                      <w:rFonts w:ascii="Times New Roman" w:hAnsi="Times New Roman"/>
                      <w:color w:val="auto"/>
                      <w:sz w:val="21"/>
                      <w:szCs w:val="21"/>
                    </w:rPr>
                    <w:t>原辅材料和含</w:t>
                  </w:r>
                  <w:r>
                    <w:rPr>
                      <w:rFonts w:hint="eastAsia" w:ascii="Times New Roman" w:hAnsi="Times New Roman"/>
                      <w:color w:val="auto"/>
                      <w:sz w:val="21"/>
                      <w:szCs w:val="21"/>
                    </w:rPr>
                    <w:t>VOCs（以非甲烷总烃计）</w:t>
                  </w:r>
                  <w:r>
                    <w:rPr>
                      <w:rFonts w:ascii="Times New Roman" w:hAnsi="Times New Roman"/>
                      <w:color w:val="auto"/>
                      <w:sz w:val="21"/>
                      <w:szCs w:val="21"/>
                    </w:rPr>
                    <w:t>产品的名称、使用量、回收量、废弃量、去向以及</w:t>
                  </w:r>
                  <w:r>
                    <w:rPr>
                      <w:rFonts w:hint="eastAsia" w:ascii="Times New Roman" w:hAnsi="Times New Roman"/>
                      <w:color w:val="auto"/>
                      <w:sz w:val="21"/>
                      <w:szCs w:val="21"/>
                    </w:rPr>
                    <w:t>VOCs（以非甲烷总烃计）</w:t>
                  </w:r>
                  <w:r>
                    <w:rPr>
                      <w:rFonts w:ascii="Times New Roman" w:hAnsi="Times New Roman"/>
                      <w:color w:val="auto"/>
                      <w:sz w:val="21"/>
                      <w:szCs w:val="21"/>
                    </w:rPr>
                    <w:t>含量等信息。台账保存期限不少于3年。</w:t>
                  </w:r>
                </w:p>
              </w:tc>
              <w:tc>
                <w:tcPr>
                  <w:tcW w:w="2132" w:type="dxa"/>
                  <w:vAlign w:val="center"/>
                </w:tcPr>
                <w:p w14:paraId="4947A1A6">
                  <w:pPr>
                    <w:pStyle w:val="28"/>
                    <w:adjustRightInd w:val="0"/>
                    <w:snapToGrid w:val="0"/>
                    <w:jc w:val="center"/>
                    <w:rPr>
                      <w:rFonts w:ascii="Times New Roman" w:hAnsi="Times New Roman"/>
                      <w:color w:val="auto"/>
                      <w:sz w:val="21"/>
                      <w:szCs w:val="21"/>
                      <w:lang w:bidi="ar"/>
                    </w:rPr>
                  </w:pPr>
                  <w:r>
                    <w:rPr>
                      <w:rFonts w:ascii="Times New Roman" w:hAnsi="Times New Roman"/>
                      <w:color w:val="auto"/>
                      <w:sz w:val="21"/>
                      <w:szCs w:val="21"/>
                    </w:rPr>
                    <w:t>企业运营过程将建立台账，记录含</w:t>
                  </w:r>
                  <w:r>
                    <w:rPr>
                      <w:rFonts w:hint="eastAsia" w:ascii="Times New Roman" w:hAnsi="Times New Roman"/>
                      <w:color w:val="auto"/>
                      <w:sz w:val="21"/>
                      <w:szCs w:val="21"/>
                    </w:rPr>
                    <w:t>VOCs（以非甲烷总烃计）</w:t>
                  </w:r>
                  <w:r>
                    <w:rPr>
                      <w:rFonts w:ascii="Times New Roman" w:hAnsi="Times New Roman"/>
                      <w:color w:val="auto"/>
                      <w:sz w:val="21"/>
                      <w:szCs w:val="21"/>
                    </w:rPr>
                    <w:t>原辅材料和含</w:t>
                  </w:r>
                  <w:r>
                    <w:rPr>
                      <w:rFonts w:hint="eastAsia" w:ascii="Times New Roman" w:hAnsi="Times New Roman"/>
                      <w:color w:val="auto"/>
                      <w:sz w:val="21"/>
                      <w:szCs w:val="21"/>
                    </w:rPr>
                    <w:t>VOCs（以非甲烷总烃计）</w:t>
                  </w:r>
                  <w:r>
                    <w:rPr>
                      <w:rFonts w:ascii="Times New Roman" w:hAnsi="Times New Roman"/>
                      <w:color w:val="auto"/>
                      <w:sz w:val="21"/>
                      <w:szCs w:val="21"/>
                    </w:rPr>
                    <w:t>产品的名称、使用量、回收量、废弃量、去向以及</w:t>
                  </w:r>
                  <w:r>
                    <w:rPr>
                      <w:rFonts w:hint="eastAsia" w:ascii="Times New Roman" w:hAnsi="Times New Roman"/>
                      <w:color w:val="auto"/>
                      <w:sz w:val="21"/>
                      <w:szCs w:val="21"/>
                    </w:rPr>
                    <w:t>VOCs（以非甲烷总烃计）</w:t>
                  </w:r>
                  <w:r>
                    <w:rPr>
                      <w:rFonts w:ascii="Times New Roman" w:hAnsi="Times New Roman"/>
                      <w:color w:val="auto"/>
                      <w:sz w:val="21"/>
                      <w:szCs w:val="21"/>
                    </w:rPr>
                    <w:t>含量等信息。台账保存期限不少于3年。</w:t>
                  </w:r>
                </w:p>
              </w:tc>
              <w:tc>
                <w:tcPr>
                  <w:tcW w:w="426" w:type="dxa"/>
                  <w:vAlign w:val="center"/>
                </w:tcPr>
                <w:p w14:paraId="65B56BC0">
                  <w:pPr>
                    <w:pStyle w:val="28"/>
                    <w:adjustRightInd w:val="0"/>
                    <w:snapToGrid w:val="0"/>
                    <w:jc w:val="center"/>
                    <w:rPr>
                      <w:rFonts w:ascii="Times New Roman" w:hAnsi="Times New Roman"/>
                      <w:color w:val="auto"/>
                      <w:sz w:val="21"/>
                      <w:szCs w:val="21"/>
                      <w:lang w:bidi="ar"/>
                    </w:rPr>
                  </w:pPr>
                  <w:r>
                    <w:rPr>
                      <w:rFonts w:ascii="Times New Roman" w:hAnsi="Times New Roman"/>
                      <w:color w:val="auto"/>
                      <w:sz w:val="21"/>
                      <w:szCs w:val="21"/>
                      <w:lang w:bidi="ar"/>
                    </w:rPr>
                    <w:t>相符</w:t>
                  </w:r>
                </w:p>
              </w:tc>
            </w:tr>
            <w:tr w14:paraId="4C55B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952" w:type="dxa"/>
                  <w:vMerge w:val="continue"/>
                  <w:vAlign w:val="center"/>
                </w:tcPr>
                <w:p w14:paraId="560C3F30">
                  <w:pPr>
                    <w:pStyle w:val="28"/>
                    <w:adjustRightInd w:val="0"/>
                    <w:snapToGrid w:val="0"/>
                    <w:jc w:val="center"/>
                    <w:rPr>
                      <w:rFonts w:ascii="Times New Roman" w:hAnsi="Times New Roman"/>
                      <w:color w:val="auto"/>
                      <w:sz w:val="21"/>
                      <w:szCs w:val="21"/>
                    </w:rPr>
                  </w:pPr>
                </w:p>
              </w:tc>
              <w:tc>
                <w:tcPr>
                  <w:tcW w:w="1109" w:type="dxa"/>
                  <w:vMerge w:val="continue"/>
                  <w:vAlign w:val="center"/>
                </w:tcPr>
                <w:p w14:paraId="589738F1">
                  <w:pPr>
                    <w:pStyle w:val="28"/>
                    <w:adjustRightInd w:val="0"/>
                    <w:snapToGrid w:val="0"/>
                    <w:jc w:val="center"/>
                    <w:rPr>
                      <w:rFonts w:ascii="Times New Roman" w:hAnsi="Times New Roman"/>
                      <w:color w:val="auto"/>
                      <w:sz w:val="21"/>
                      <w:szCs w:val="21"/>
                    </w:rPr>
                  </w:pPr>
                </w:p>
              </w:tc>
              <w:tc>
                <w:tcPr>
                  <w:tcW w:w="3146" w:type="dxa"/>
                  <w:vAlign w:val="center"/>
                </w:tcPr>
                <w:p w14:paraId="771F5870">
                  <w:pPr>
                    <w:pStyle w:val="28"/>
                    <w:adjustRightInd w:val="0"/>
                    <w:snapToGrid w:val="0"/>
                    <w:jc w:val="center"/>
                    <w:rPr>
                      <w:rFonts w:ascii="Times New Roman" w:hAnsi="Times New Roman"/>
                      <w:color w:val="auto"/>
                      <w:sz w:val="21"/>
                      <w:szCs w:val="21"/>
                    </w:rPr>
                  </w:pPr>
                  <w:r>
                    <w:rPr>
                      <w:rFonts w:ascii="Times New Roman" w:hAnsi="Times New Roman"/>
                      <w:color w:val="auto"/>
                      <w:sz w:val="21"/>
                      <w:szCs w:val="21"/>
                    </w:rPr>
                    <w:t>7.3.2通风生产设备、操作工位、车间厂房等应在符合安全生产、职业卫生相关规定的前提下，根据行业作业规程与标准、工业建筑及洁净厂房通风设计规范等的要求，采用合理的通风量。</w:t>
                  </w:r>
                </w:p>
              </w:tc>
              <w:tc>
                <w:tcPr>
                  <w:tcW w:w="2132" w:type="dxa"/>
                  <w:vAlign w:val="center"/>
                </w:tcPr>
                <w:p w14:paraId="4F726B08">
                  <w:pPr>
                    <w:pStyle w:val="28"/>
                    <w:adjustRightInd w:val="0"/>
                    <w:snapToGrid w:val="0"/>
                    <w:jc w:val="center"/>
                    <w:rPr>
                      <w:rFonts w:ascii="Times New Roman" w:hAnsi="Times New Roman"/>
                      <w:color w:val="auto"/>
                      <w:sz w:val="21"/>
                      <w:szCs w:val="21"/>
                    </w:rPr>
                  </w:pPr>
                  <w:r>
                    <w:rPr>
                      <w:rFonts w:ascii="Times New Roman" w:hAnsi="Times New Roman"/>
                      <w:color w:val="auto"/>
                      <w:sz w:val="21"/>
                      <w:szCs w:val="21"/>
                    </w:rPr>
                    <w:t>项目通风生产设备、操作工位、车间厂房等符合安全生产、职业卫生相关规定，符合行业作业规程与标准、工业建筑及洁净厂房通风设计规范。</w:t>
                  </w:r>
                </w:p>
              </w:tc>
              <w:tc>
                <w:tcPr>
                  <w:tcW w:w="426" w:type="dxa"/>
                  <w:vAlign w:val="center"/>
                </w:tcPr>
                <w:p w14:paraId="68516139">
                  <w:pPr>
                    <w:pStyle w:val="28"/>
                    <w:adjustRightInd w:val="0"/>
                    <w:snapToGrid w:val="0"/>
                    <w:jc w:val="center"/>
                    <w:rPr>
                      <w:rFonts w:ascii="Times New Roman" w:hAnsi="Times New Roman"/>
                      <w:color w:val="auto"/>
                      <w:sz w:val="21"/>
                      <w:szCs w:val="21"/>
                      <w:lang w:bidi="ar"/>
                    </w:rPr>
                  </w:pPr>
                  <w:r>
                    <w:rPr>
                      <w:rFonts w:ascii="Times New Roman" w:hAnsi="Times New Roman"/>
                      <w:color w:val="auto"/>
                      <w:sz w:val="21"/>
                      <w:szCs w:val="21"/>
                      <w:lang w:bidi="ar"/>
                    </w:rPr>
                    <w:t>相符</w:t>
                  </w:r>
                </w:p>
              </w:tc>
            </w:tr>
            <w:tr w14:paraId="4F5D4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1" w:hRule="atLeast"/>
              </w:trPr>
              <w:tc>
                <w:tcPr>
                  <w:tcW w:w="952" w:type="dxa"/>
                  <w:vMerge w:val="continue"/>
                  <w:vAlign w:val="center"/>
                </w:tcPr>
                <w:p w14:paraId="6AF5B231">
                  <w:pPr>
                    <w:pStyle w:val="28"/>
                    <w:adjustRightInd w:val="0"/>
                    <w:snapToGrid w:val="0"/>
                    <w:jc w:val="center"/>
                    <w:rPr>
                      <w:rFonts w:ascii="Times New Roman" w:hAnsi="Times New Roman"/>
                      <w:color w:val="auto"/>
                      <w:sz w:val="21"/>
                      <w:szCs w:val="21"/>
                    </w:rPr>
                  </w:pPr>
                </w:p>
              </w:tc>
              <w:tc>
                <w:tcPr>
                  <w:tcW w:w="1109" w:type="dxa"/>
                  <w:vMerge w:val="continue"/>
                  <w:vAlign w:val="center"/>
                </w:tcPr>
                <w:p w14:paraId="14708788">
                  <w:pPr>
                    <w:pStyle w:val="28"/>
                    <w:adjustRightInd w:val="0"/>
                    <w:snapToGrid w:val="0"/>
                    <w:jc w:val="center"/>
                    <w:rPr>
                      <w:rFonts w:ascii="Times New Roman" w:hAnsi="Times New Roman"/>
                      <w:color w:val="auto"/>
                      <w:sz w:val="21"/>
                      <w:szCs w:val="21"/>
                    </w:rPr>
                  </w:pPr>
                </w:p>
              </w:tc>
              <w:tc>
                <w:tcPr>
                  <w:tcW w:w="3146" w:type="dxa"/>
                  <w:vAlign w:val="center"/>
                </w:tcPr>
                <w:p w14:paraId="06FBFFDF">
                  <w:pPr>
                    <w:pStyle w:val="28"/>
                    <w:adjustRightInd w:val="0"/>
                    <w:snapToGrid w:val="0"/>
                    <w:jc w:val="center"/>
                    <w:rPr>
                      <w:rFonts w:ascii="Times New Roman" w:hAnsi="Times New Roman"/>
                      <w:color w:val="auto"/>
                      <w:sz w:val="21"/>
                      <w:szCs w:val="21"/>
                    </w:rPr>
                  </w:pPr>
                  <w:r>
                    <w:rPr>
                      <w:rFonts w:ascii="Times New Roman" w:hAnsi="Times New Roman"/>
                      <w:color w:val="auto"/>
                      <w:sz w:val="21"/>
                      <w:szCs w:val="21"/>
                    </w:rPr>
                    <w:t>7.3.3载有</w:t>
                  </w:r>
                  <w:r>
                    <w:rPr>
                      <w:rFonts w:hint="eastAsia" w:ascii="Times New Roman" w:hAnsi="Times New Roman"/>
                      <w:color w:val="auto"/>
                      <w:sz w:val="21"/>
                      <w:szCs w:val="21"/>
                    </w:rPr>
                    <w:t>VOCs（以非甲烷总烃计）</w:t>
                  </w:r>
                  <w:r>
                    <w:rPr>
                      <w:rFonts w:ascii="Times New Roman" w:hAnsi="Times New Roman"/>
                      <w:color w:val="auto"/>
                      <w:sz w:val="21"/>
                      <w:szCs w:val="21"/>
                    </w:rPr>
                    <w:t>物料的设备及其管道在开停工（车）、检维修和清洗时，应在退料阶段将残存物料退净，并用密闭容器盛装，退料过程废气应排至</w:t>
                  </w:r>
                  <w:r>
                    <w:rPr>
                      <w:rFonts w:hint="eastAsia" w:ascii="Times New Roman" w:hAnsi="Times New Roman"/>
                      <w:color w:val="auto"/>
                      <w:sz w:val="21"/>
                      <w:szCs w:val="21"/>
                    </w:rPr>
                    <w:t>VOCs（以非甲烷总烃计）</w:t>
                  </w:r>
                  <w:r>
                    <w:rPr>
                      <w:rFonts w:ascii="Times New Roman" w:hAnsi="Times New Roman"/>
                      <w:color w:val="auto"/>
                      <w:sz w:val="21"/>
                      <w:szCs w:val="21"/>
                    </w:rPr>
                    <w:t>废气收集处理系统；清洗及吹扫过程排气应排至</w:t>
                  </w:r>
                  <w:r>
                    <w:rPr>
                      <w:rFonts w:hint="eastAsia" w:ascii="Times New Roman" w:hAnsi="Times New Roman"/>
                      <w:color w:val="auto"/>
                      <w:sz w:val="21"/>
                      <w:szCs w:val="21"/>
                    </w:rPr>
                    <w:t>VOCs（以非甲烷总烃计）</w:t>
                  </w:r>
                  <w:r>
                    <w:rPr>
                      <w:rFonts w:ascii="Times New Roman" w:hAnsi="Times New Roman"/>
                      <w:color w:val="auto"/>
                      <w:sz w:val="21"/>
                      <w:szCs w:val="21"/>
                    </w:rPr>
                    <w:t>废气收集处理系统。</w:t>
                  </w:r>
                </w:p>
              </w:tc>
              <w:tc>
                <w:tcPr>
                  <w:tcW w:w="2132" w:type="dxa"/>
                  <w:vAlign w:val="center"/>
                </w:tcPr>
                <w:p w14:paraId="10280807">
                  <w:pPr>
                    <w:pStyle w:val="28"/>
                    <w:adjustRightInd w:val="0"/>
                    <w:snapToGrid w:val="0"/>
                    <w:jc w:val="center"/>
                    <w:rPr>
                      <w:rFonts w:ascii="Times New Roman" w:hAnsi="Times New Roman"/>
                      <w:color w:val="auto"/>
                      <w:sz w:val="21"/>
                      <w:szCs w:val="21"/>
                    </w:rPr>
                  </w:pPr>
                  <w:r>
                    <w:rPr>
                      <w:rFonts w:ascii="Times New Roman" w:hAnsi="Times New Roman"/>
                      <w:color w:val="auto"/>
                      <w:sz w:val="21"/>
                      <w:szCs w:val="21"/>
                    </w:rPr>
                    <w:t>项目载有</w:t>
                  </w:r>
                  <w:r>
                    <w:rPr>
                      <w:rFonts w:hint="eastAsia" w:ascii="Times New Roman" w:hAnsi="Times New Roman"/>
                      <w:color w:val="auto"/>
                      <w:sz w:val="21"/>
                      <w:szCs w:val="21"/>
                    </w:rPr>
                    <w:t>VOCs（以非甲烷总烃计）</w:t>
                  </w:r>
                  <w:r>
                    <w:rPr>
                      <w:rFonts w:ascii="Times New Roman" w:hAnsi="Times New Roman"/>
                      <w:color w:val="auto"/>
                      <w:sz w:val="21"/>
                      <w:szCs w:val="21"/>
                    </w:rPr>
                    <w:t>物料的管道</w:t>
                  </w:r>
                  <w:r>
                    <w:rPr>
                      <w:rFonts w:hint="eastAsia" w:ascii="Times New Roman" w:hAnsi="Times New Roman"/>
                      <w:color w:val="auto"/>
                      <w:sz w:val="21"/>
                      <w:szCs w:val="21"/>
                    </w:rPr>
                    <w:t>为密闭状态，环评要求设备进行检维修和清洗时，需将管道内残存物料退净，废气全部收集至</w:t>
                  </w:r>
                  <w:r>
                    <w:rPr>
                      <w:rFonts w:ascii="Times New Roman" w:hAnsi="Times New Roman"/>
                      <w:color w:val="auto"/>
                      <w:sz w:val="21"/>
                      <w:szCs w:val="21"/>
                      <w:lang w:bidi="ar"/>
                    </w:rPr>
                    <w:t>“UV光解+三级活性炭吸附净化装置”</w:t>
                  </w:r>
                  <w:r>
                    <w:rPr>
                      <w:rFonts w:hint="eastAsia" w:ascii="Times New Roman" w:hAnsi="Times New Roman"/>
                      <w:color w:val="auto"/>
                      <w:sz w:val="21"/>
                      <w:szCs w:val="21"/>
                      <w:lang w:bidi="ar"/>
                    </w:rPr>
                    <w:t>进行处理</w:t>
                  </w:r>
                  <w:r>
                    <w:rPr>
                      <w:rFonts w:ascii="Times New Roman" w:hAnsi="Times New Roman"/>
                      <w:color w:val="auto"/>
                      <w:sz w:val="21"/>
                      <w:szCs w:val="21"/>
                    </w:rPr>
                    <w:t>。</w:t>
                  </w:r>
                </w:p>
              </w:tc>
              <w:tc>
                <w:tcPr>
                  <w:tcW w:w="426" w:type="dxa"/>
                  <w:vAlign w:val="center"/>
                </w:tcPr>
                <w:p w14:paraId="585CD559">
                  <w:pPr>
                    <w:pStyle w:val="28"/>
                    <w:adjustRightInd w:val="0"/>
                    <w:snapToGrid w:val="0"/>
                    <w:jc w:val="center"/>
                    <w:rPr>
                      <w:rFonts w:ascii="Times New Roman" w:hAnsi="Times New Roman"/>
                      <w:color w:val="auto"/>
                      <w:sz w:val="21"/>
                      <w:szCs w:val="21"/>
                      <w:lang w:bidi="ar"/>
                    </w:rPr>
                  </w:pPr>
                  <w:r>
                    <w:rPr>
                      <w:rFonts w:ascii="Times New Roman" w:hAnsi="Times New Roman"/>
                      <w:color w:val="auto"/>
                      <w:sz w:val="21"/>
                      <w:szCs w:val="21"/>
                      <w:lang w:bidi="ar"/>
                    </w:rPr>
                    <w:t>相符</w:t>
                  </w:r>
                </w:p>
              </w:tc>
            </w:tr>
            <w:tr w14:paraId="2BBC4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952" w:type="dxa"/>
                  <w:vMerge w:val="continue"/>
                  <w:vAlign w:val="center"/>
                </w:tcPr>
                <w:p w14:paraId="32730682">
                  <w:pPr>
                    <w:pStyle w:val="28"/>
                    <w:adjustRightInd w:val="0"/>
                    <w:snapToGrid w:val="0"/>
                    <w:jc w:val="center"/>
                    <w:rPr>
                      <w:rFonts w:ascii="Times New Roman" w:hAnsi="Times New Roman"/>
                      <w:color w:val="auto"/>
                      <w:sz w:val="21"/>
                      <w:szCs w:val="21"/>
                    </w:rPr>
                  </w:pPr>
                </w:p>
              </w:tc>
              <w:tc>
                <w:tcPr>
                  <w:tcW w:w="1109" w:type="dxa"/>
                  <w:vMerge w:val="continue"/>
                  <w:vAlign w:val="center"/>
                </w:tcPr>
                <w:p w14:paraId="4DA933A3">
                  <w:pPr>
                    <w:pStyle w:val="28"/>
                    <w:adjustRightInd w:val="0"/>
                    <w:snapToGrid w:val="0"/>
                    <w:jc w:val="center"/>
                    <w:rPr>
                      <w:rFonts w:ascii="Times New Roman" w:hAnsi="Times New Roman"/>
                      <w:color w:val="auto"/>
                      <w:sz w:val="21"/>
                      <w:szCs w:val="21"/>
                    </w:rPr>
                  </w:pPr>
                </w:p>
              </w:tc>
              <w:tc>
                <w:tcPr>
                  <w:tcW w:w="3146" w:type="dxa"/>
                  <w:vAlign w:val="center"/>
                </w:tcPr>
                <w:p w14:paraId="120540F0">
                  <w:pPr>
                    <w:pStyle w:val="28"/>
                    <w:adjustRightInd w:val="0"/>
                    <w:snapToGrid w:val="0"/>
                    <w:jc w:val="center"/>
                    <w:rPr>
                      <w:rFonts w:ascii="Times New Roman" w:hAnsi="Times New Roman"/>
                      <w:color w:val="auto"/>
                      <w:sz w:val="21"/>
                      <w:szCs w:val="21"/>
                    </w:rPr>
                  </w:pPr>
                  <w:r>
                    <w:rPr>
                      <w:rFonts w:ascii="Times New Roman" w:hAnsi="Times New Roman"/>
                      <w:color w:val="auto"/>
                      <w:sz w:val="21"/>
                      <w:szCs w:val="21"/>
                    </w:rPr>
                    <w:t>7.3.4工艺过程产生的含</w:t>
                  </w:r>
                  <w:r>
                    <w:rPr>
                      <w:rFonts w:hint="eastAsia" w:ascii="Times New Roman" w:hAnsi="Times New Roman"/>
                      <w:color w:val="auto"/>
                      <w:sz w:val="21"/>
                      <w:szCs w:val="21"/>
                    </w:rPr>
                    <w:t>VOCs（以非甲烷总烃计）</w:t>
                  </w:r>
                  <w:r>
                    <w:rPr>
                      <w:rFonts w:ascii="Times New Roman" w:hAnsi="Times New Roman"/>
                      <w:color w:val="auto"/>
                      <w:sz w:val="21"/>
                      <w:szCs w:val="21"/>
                    </w:rPr>
                    <w:t>废料（渣、液）应按照第5章、第6章的要求进行储存、转移和输送。盛装过</w:t>
                  </w:r>
                  <w:r>
                    <w:rPr>
                      <w:rFonts w:hint="eastAsia" w:ascii="Times New Roman" w:hAnsi="Times New Roman"/>
                      <w:color w:val="auto"/>
                      <w:sz w:val="21"/>
                      <w:szCs w:val="21"/>
                    </w:rPr>
                    <w:t>VOCs（以非甲烷总烃计）</w:t>
                  </w:r>
                  <w:r>
                    <w:rPr>
                      <w:rFonts w:ascii="Times New Roman" w:hAnsi="Times New Roman"/>
                      <w:color w:val="auto"/>
                      <w:sz w:val="21"/>
                      <w:szCs w:val="21"/>
                    </w:rPr>
                    <w:t>物料的废包装容器应加盖密闭。</w:t>
                  </w:r>
                </w:p>
              </w:tc>
              <w:tc>
                <w:tcPr>
                  <w:tcW w:w="2132" w:type="dxa"/>
                  <w:vAlign w:val="center"/>
                </w:tcPr>
                <w:p w14:paraId="39D0B088">
                  <w:pPr>
                    <w:pStyle w:val="28"/>
                    <w:adjustRightInd w:val="0"/>
                    <w:snapToGrid w:val="0"/>
                    <w:jc w:val="center"/>
                    <w:rPr>
                      <w:rFonts w:ascii="Times New Roman" w:hAnsi="Times New Roman"/>
                      <w:color w:val="auto"/>
                      <w:sz w:val="21"/>
                      <w:szCs w:val="21"/>
                    </w:rPr>
                  </w:pPr>
                  <w:r>
                    <w:rPr>
                      <w:rFonts w:ascii="Times New Roman" w:hAnsi="Times New Roman"/>
                      <w:color w:val="auto"/>
                      <w:sz w:val="21"/>
                      <w:szCs w:val="21"/>
                    </w:rPr>
                    <w:t>项目盛装过</w:t>
                  </w:r>
                  <w:r>
                    <w:rPr>
                      <w:rFonts w:hint="eastAsia" w:ascii="Times New Roman" w:hAnsi="Times New Roman"/>
                      <w:color w:val="auto"/>
                      <w:sz w:val="21"/>
                      <w:szCs w:val="21"/>
                    </w:rPr>
                    <w:t>VOCs（以非甲烷总烃计）</w:t>
                  </w:r>
                  <w:r>
                    <w:rPr>
                      <w:rFonts w:ascii="Times New Roman" w:hAnsi="Times New Roman"/>
                      <w:color w:val="auto"/>
                      <w:sz w:val="21"/>
                      <w:szCs w:val="21"/>
                    </w:rPr>
                    <w:t>物料的废包装容器</w:t>
                  </w:r>
                  <w:r>
                    <w:rPr>
                      <w:rFonts w:hint="eastAsia" w:ascii="Times New Roman" w:hAnsi="Times New Roman"/>
                      <w:color w:val="auto"/>
                      <w:sz w:val="21"/>
                      <w:szCs w:val="21"/>
                    </w:rPr>
                    <w:t>为废胶水桶，加盖密闭后统一收集于危废暂存间，委托有资质的单位清运处置</w:t>
                  </w:r>
                  <w:r>
                    <w:rPr>
                      <w:rFonts w:ascii="Times New Roman" w:hAnsi="Times New Roman"/>
                      <w:color w:val="auto"/>
                      <w:sz w:val="21"/>
                      <w:szCs w:val="21"/>
                    </w:rPr>
                    <w:t>。</w:t>
                  </w:r>
                </w:p>
              </w:tc>
              <w:tc>
                <w:tcPr>
                  <w:tcW w:w="426" w:type="dxa"/>
                  <w:vAlign w:val="center"/>
                </w:tcPr>
                <w:p w14:paraId="52185979">
                  <w:pPr>
                    <w:pStyle w:val="28"/>
                    <w:adjustRightInd w:val="0"/>
                    <w:snapToGrid w:val="0"/>
                    <w:jc w:val="center"/>
                    <w:rPr>
                      <w:rFonts w:ascii="Times New Roman" w:hAnsi="Times New Roman"/>
                      <w:color w:val="auto"/>
                      <w:sz w:val="21"/>
                      <w:szCs w:val="21"/>
                      <w:lang w:bidi="ar"/>
                    </w:rPr>
                  </w:pPr>
                  <w:r>
                    <w:rPr>
                      <w:rFonts w:ascii="Times New Roman" w:hAnsi="Times New Roman"/>
                      <w:color w:val="auto"/>
                      <w:sz w:val="21"/>
                      <w:szCs w:val="21"/>
                      <w:lang w:bidi="ar"/>
                    </w:rPr>
                    <w:t>相符</w:t>
                  </w:r>
                </w:p>
              </w:tc>
            </w:tr>
            <w:tr w14:paraId="79E98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952" w:type="dxa"/>
                  <w:vMerge w:val="restart"/>
                  <w:vAlign w:val="center"/>
                </w:tcPr>
                <w:p w14:paraId="1BD5E41F">
                  <w:pPr>
                    <w:pStyle w:val="28"/>
                    <w:adjustRightInd w:val="0"/>
                    <w:snapToGrid w:val="0"/>
                    <w:jc w:val="center"/>
                    <w:rPr>
                      <w:rFonts w:ascii="Times New Roman" w:hAnsi="Times New Roman"/>
                      <w:color w:val="auto"/>
                      <w:sz w:val="21"/>
                      <w:szCs w:val="21"/>
                    </w:rPr>
                  </w:pPr>
                  <w:r>
                    <w:rPr>
                      <w:rFonts w:ascii="Times New Roman" w:hAnsi="Times New Roman"/>
                      <w:color w:val="auto"/>
                      <w:sz w:val="21"/>
                      <w:szCs w:val="21"/>
                    </w:rPr>
                    <w:t>10</w:t>
                  </w:r>
                  <w:r>
                    <w:rPr>
                      <w:rFonts w:hint="eastAsia" w:ascii="Times New Roman" w:hAnsi="Times New Roman"/>
                      <w:color w:val="auto"/>
                      <w:sz w:val="21"/>
                      <w:szCs w:val="21"/>
                    </w:rPr>
                    <w:t>VOCs（以非甲烷总烃计）</w:t>
                  </w:r>
                  <w:r>
                    <w:rPr>
                      <w:rFonts w:ascii="Times New Roman" w:hAnsi="Times New Roman"/>
                      <w:color w:val="auto"/>
                      <w:sz w:val="21"/>
                      <w:szCs w:val="21"/>
                    </w:rPr>
                    <w:t>无组织排放废气收集处理系统要求</w:t>
                  </w:r>
                </w:p>
              </w:tc>
              <w:tc>
                <w:tcPr>
                  <w:tcW w:w="1109" w:type="dxa"/>
                  <w:vMerge w:val="restart"/>
                  <w:vAlign w:val="center"/>
                </w:tcPr>
                <w:p w14:paraId="562D51AA">
                  <w:pPr>
                    <w:pStyle w:val="28"/>
                    <w:adjustRightInd w:val="0"/>
                    <w:snapToGrid w:val="0"/>
                    <w:jc w:val="center"/>
                    <w:rPr>
                      <w:rFonts w:ascii="Times New Roman" w:hAnsi="Times New Roman"/>
                      <w:color w:val="auto"/>
                      <w:sz w:val="21"/>
                      <w:szCs w:val="21"/>
                    </w:rPr>
                  </w:pPr>
                  <w:r>
                    <w:rPr>
                      <w:rFonts w:ascii="Times New Roman" w:hAnsi="Times New Roman"/>
                      <w:color w:val="auto"/>
                      <w:sz w:val="21"/>
                      <w:szCs w:val="21"/>
                    </w:rPr>
                    <w:t>10.1基本要求</w:t>
                  </w:r>
                </w:p>
              </w:tc>
              <w:tc>
                <w:tcPr>
                  <w:tcW w:w="3146" w:type="dxa"/>
                  <w:vAlign w:val="center"/>
                </w:tcPr>
                <w:p w14:paraId="75DD4EB2">
                  <w:pPr>
                    <w:pStyle w:val="28"/>
                    <w:adjustRightInd w:val="0"/>
                    <w:snapToGrid w:val="0"/>
                    <w:jc w:val="center"/>
                    <w:rPr>
                      <w:rFonts w:ascii="Times New Roman" w:hAnsi="Times New Roman"/>
                      <w:color w:val="auto"/>
                      <w:sz w:val="21"/>
                      <w:szCs w:val="21"/>
                    </w:rPr>
                  </w:pPr>
                  <w:r>
                    <w:rPr>
                      <w:rFonts w:ascii="Times New Roman" w:hAnsi="Times New Roman"/>
                      <w:color w:val="auto"/>
                      <w:sz w:val="21"/>
                      <w:szCs w:val="21"/>
                    </w:rPr>
                    <w:t>10.1.1针对</w:t>
                  </w:r>
                  <w:r>
                    <w:rPr>
                      <w:rFonts w:hint="eastAsia" w:ascii="Times New Roman" w:hAnsi="Times New Roman"/>
                      <w:color w:val="auto"/>
                      <w:sz w:val="21"/>
                      <w:szCs w:val="21"/>
                    </w:rPr>
                    <w:t>VOCs（以非甲烷总烃计）</w:t>
                  </w:r>
                  <w:r>
                    <w:rPr>
                      <w:rFonts w:ascii="Times New Roman" w:hAnsi="Times New Roman"/>
                      <w:color w:val="auto"/>
                      <w:sz w:val="21"/>
                      <w:szCs w:val="21"/>
                    </w:rPr>
                    <w:t>无组织排放设置的废气收集处理系统应满足本章要求。</w:t>
                  </w:r>
                </w:p>
              </w:tc>
              <w:tc>
                <w:tcPr>
                  <w:tcW w:w="2132" w:type="dxa"/>
                  <w:vAlign w:val="center"/>
                </w:tcPr>
                <w:p w14:paraId="5D3C729F">
                  <w:pPr>
                    <w:pStyle w:val="28"/>
                    <w:adjustRightInd w:val="0"/>
                    <w:snapToGrid w:val="0"/>
                    <w:jc w:val="center"/>
                    <w:rPr>
                      <w:rFonts w:ascii="Times New Roman" w:hAnsi="Times New Roman"/>
                      <w:color w:val="auto"/>
                      <w:sz w:val="21"/>
                      <w:szCs w:val="21"/>
                    </w:rPr>
                  </w:pPr>
                  <w:r>
                    <w:rPr>
                      <w:rFonts w:ascii="Times New Roman" w:hAnsi="Times New Roman"/>
                      <w:color w:val="auto"/>
                      <w:sz w:val="21"/>
                      <w:szCs w:val="21"/>
                    </w:rPr>
                    <w:t>项目涉及</w:t>
                  </w:r>
                  <w:r>
                    <w:rPr>
                      <w:rFonts w:hint="eastAsia" w:ascii="Times New Roman" w:hAnsi="Times New Roman"/>
                      <w:color w:val="auto"/>
                      <w:sz w:val="21"/>
                      <w:szCs w:val="21"/>
                    </w:rPr>
                    <w:t>VOCs（以非甲烷总烃计）</w:t>
                  </w:r>
                  <w:r>
                    <w:rPr>
                      <w:rFonts w:ascii="Times New Roman" w:hAnsi="Times New Roman"/>
                      <w:color w:val="auto"/>
                      <w:sz w:val="21"/>
                      <w:szCs w:val="21"/>
                    </w:rPr>
                    <w:t>无组织排放。</w:t>
                  </w:r>
                </w:p>
              </w:tc>
              <w:tc>
                <w:tcPr>
                  <w:tcW w:w="426" w:type="dxa"/>
                  <w:vAlign w:val="center"/>
                </w:tcPr>
                <w:p w14:paraId="5E798CD5">
                  <w:pPr>
                    <w:pStyle w:val="28"/>
                    <w:adjustRightInd w:val="0"/>
                    <w:snapToGrid w:val="0"/>
                    <w:jc w:val="center"/>
                    <w:rPr>
                      <w:rFonts w:ascii="Times New Roman" w:hAnsi="Times New Roman"/>
                      <w:color w:val="auto"/>
                      <w:sz w:val="21"/>
                      <w:szCs w:val="21"/>
                      <w:lang w:bidi="ar"/>
                    </w:rPr>
                  </w:pPr>
                  <w:r>
                    <w:rPr>
                      <w:rFonts w:ascii="Times New Roman" w:hAnsi="Times New Roman"/>
                      <w:color w:val="auto"/>
                      <w:sz w:val="21"/>
                      <w:szCs w:val="21"/>
                      <w:lang w:bidi="ar"/>
                    </w:rPr>
                    <w:t>相符</w:t>
                  </w:r>
                </w:p>
              </w:tc>
            </w:tr>
            <w:tr w14:paraId="25AB3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952" w:type="dxa"/>
                  <w:vMerge w:val="continue"/>
                  <w:vAlign w:val="center"/>
                </w:tcPr>
                <w:p w14:paraId="64B59A0E">
                  <w:pPr>
                    <w:pStyle w:val="28"/>
                    <w:adjustRightInd w:val="0"/>
                    <w:snapToGrid w:val="0"/>
                    <w:jc w:val="center"/>
                    <w:rPr>
                      <w:rFonts w:ascii="Times New Roman" w:hAnsi="Times New Roman"/>
                      <w:color w:val="auto"/>
                      <w:sz w:val="21"/>
                      <w:szCs w:val="21"/>
                    </w:rPr>
                  </w:pPr>
                </w:p>
              </w:tc>
              <w:tc>
                <w:tcPr>
                  <w:tcW w:w="1109" w:type="dxa"/>
                  <w:vMerge w:val="continue"/>
                  <w:vAlign w:val="center"/>
                </w:tcPr>
                <w:p w14:paraId="7F2CB9C5">
                  <w:pPr>
                    <w:pStyle w:val="28"/>
                    <w:adjustRightInd w:val="0"/>
                    <w:snapToGrid w:val="0"/>
                    <w:jc w:val="center"/>
                    <w:rPr>
                      <w:rFonts w:ascii="Times New Roman" w:hAnsi="Times New Roman"/>
                      <w:color w:val="auto"/>
                      <w:sz w:val="21"/>
                      <w:szCs w:val="21"/>
                    </w:rPr>
                  </w:pPr>
                </w:p>
              </w:tc>
              <w:tc>
                <w:tcPr>
                  <w:tcW w:w="3146" w:type="dxa"/>
                  <w:vAlign w:val="center"/>
                </w:tcPr>
                <w:p w14:paraId="3871818D">
                  <w:pPr>
                    <w:pStyle w:val="28"/>
                    <w:adjustRightInd w:val="0"/>
                    <w:snapToGrid w:val="0"/>
                    <w:jc w:val="center"/>
                    <w:rPr>
                      <w:rFonts w:ascii="Times New Roman" w:hAnsi="Times New Roman"/>
                      <w:color w:val="auto"/>
                      <w:sz w:val="21"/>
                      <w:szCs w:val="21"/>
                    </w:rPr>
                  </w:pPr>
                  <w:r>
                    <w:rPr>
                      <w:rFonts w:ascii="Times New Roman" w:hAnsi="Times New Roman"/>
                      <w:color w:val="auto"/>
                      <w:sz w:val="21"/>
                      <w:szCs w:val="21"/>
                    </w:rPr>
                    <w:t>10.1.2</w:t>
                  </w:r>
                  <w:r>
                    <w:rPr>
                      <w:rFonts w:hint="eastAsia" w:ascii="Times New Roman" w:hAnsi="Times New Roman"/>
                      <w:color w:val="auto"/>
                      <w:sz w:val="21"/>
                      <w:szCs w:val="21"/>
                    </w:rPr>
                    <w:t>VOCs（以非甲烷总烃计）</w:t>
                  </w:r>
                  <w:r>
                    <w:rPr>
                      <w:rFonts w:ascii="Times New Roman" w:hAnsi="Times New Roman"/>
                      <w:color w:val="auto"/>
                      <w:sz w:val="21"/>
                      <w:szCs w:val="21"/>
                    </w:rPr>
                    <w:t>废气收集处理系统应与生产工艺设备同步运行。</w:t>
                  </w:r>
                  <w:r>
                    <w:rPr>
                      <w:rFonts w:hint="eastAsia" w:ascii="Times New Roman" w:hAnsi="Times New Roman"/>
                      <w:color w:val="auto"/>
                      <w:sz w:val="21"/>
                      <w:szCs w:val="21"/>
                    </w:rPr>
                    <w:t>VOCs（以非甲烷总烃计）</w:t>
                  </w:r>
                  <w:r>
                    <w:rPr>
                      <w:rFonts w:ascii="Times New Roman" w:hAnsi="Times New Roman"/>
                      <w:color w:val="auto"/>
                      <w:sz w:val="21"/>
                      <w:szCs w:val="21"/>
                    </w:rPr>
                    <w:t>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2132" w:type="dxa"/>
                  <w:vAlign w:val="center"/>
                </w:tcPr>
                <w:p w14:paraId="5F1E4053">
                  <w:pPr>
                    <w:pStyle w:val="28"/>
                    <w:adjustRightInd w:val="0"/>
                    <w:snapToGrid w:val="0"/>
                    <w:jc w:val="center"/>
                    <w:rPr>
                      <w:rFonts w:ascii="Times New Roman" w:hAnsi="Times New Roman"/>
                      <w:color w:val="auto"/>
                      <w:sz w:val="21"/>
                      <w:szCs w:val="21"/>
                    </w:rPr>
                  </w:pPr>
                  <w:r>
                    <w:rPr>
                      <w:rFonts w:ascii="Times New Roman" w:hAnsi="Times New Roman"/>
                      <w:color w:val="auto"/>
                      <w:sz w:val="21"/>
                      <w:szCs w:val="21"/>
                    </w:rPr>
                    <w:t>项目</w:t>
                  </w:r>
                  <w:r>
                    <w:rPr>
                      <w:rFonts w:hint="eastAsia" w:ascii="Times New Roman" w:hAnsi="Times New Roman"/>
                      <w:color w:val="auto"/>
                      <w:sz w:val="21"/>
                      <w:szCs w:val="21"/>
                    </w:rPr>
                    <w:t>VOCs（以非甲烷总烃计）</w:t>
                  </w:r>
                  <w:r>
                    <w:rPr>
                      <w:rFonts w:ascii="Times New Roman" w:hAnsi="Times New Roman"/>
                      <w:color w:val="auto"/>
                      <w:sz w:val="21"/>
                      <w:szCs w:val="21"/>
                    </w:rPr>
                    <w:t>废气收集处理系统与生产工艺设备同步运行。</w:t>
                  </w:r>
                  <w:r>
                    <w:rPr>
                      <w:rFonts w:hint="eastAsia" w:ascii="Times New Roman" w:hAnsi="Times New Roman"/>
                      <w:color w:val="auto"/>
                      <w:sz w:val="21"/>
                      <w:szCs w:val="21"/>
                    </w:rPr>
                    <w:t>VOCs（以非甲烷总烃计）</w:t>
                  </w:r>
                  <w:r>
                    <w:rPr>
                      <w:rFonts w:ascii="Times New Roman" w:hAnsi="Times New Roman"/>
                      <w:color w:val="auto"/>
                      <w:sz w:val="21"/>
                      <w:szCs w:val="21"/>
                    </w:rPr>
                    <w:t>废气收集处理系统发生故障或检修时，对应的生产工艺设备将停止运行，待检修完毕后同步投入使用。</w:t>
                  </w:r>
                </w:p>
              </w:tc>
              <w:tc>
                <w:tcPr>
                  <w:tcW w:w="426" w:type="dxa"/>
                  <w:vAlign w:val="center"/>
                </w:tcPr>
                <w:p w14:paraId="6742F7A6">
                  <w:pPr>
                    <w:pStyle w:val="28"/>
                    <w:adjustRightInd w:val="0"/>
                    <w:snapToGrid w:val="0"/>
                    <w:jc w:val="center"/>
                    <w:rPr>
                      <w:rFonts w:ascii="Times New Roman" w:hAnsi="Times New Roman"/>
                      <w:color w:val="auto"/>
                      <w:sz w:val="21"/>
                      <w:szCs w:val="21"/>
                      <w:lang w:bidi="ar"/>
                    </w:rPr>
                  </w:pPr>
                  <w:r>
                    <w:rPr>
                      <w:rFonts w:ascii="Times New Roman" w:hAnsi="Times New Roman"/>
                      <w:color w:val="auto"/>
                      <w:sz w:val="21"/>
                      <w:szCs w:val="21"/>
                      <w:lang w:bidi="ar"/>
                    </w:rPr>
                    <w:t>相符</w:t>
                  </w:r>
                </w:p>
              </w:tc>
            </w:tr>
            <w:tr w14:paraId="0B081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952" w:type="dxa"/>
                  <w:vMerge w:val="continue"/>
                  <w:vAlign w:val="center"/>
                </w:tcPr>
                <w:p w14:paraId="5EF99B8F">
                  <w:pPr>
                    <w:pStyle w:val="28"/>
                    <w:adjustRightInd w:val="0"/>
                    <w:snapToGrid w:val="0"/>
                    <w:jc w:val="center"/>
                    <w:rPr>
                      <w:rFonts w:ascii="Times New Roman" w:hAnsi="Times New Roman"/>
                      <w:color w:val="auto"/>
                      <w:sz w:val="21"/>
                      <w:szCs w:val="21"/>
                    </w:rPr>
                  </w:pPr>
                </w:p>
              </w:tc>
              <w:tc>
                <w:tcPr>
                  <w:tcW w:w="1109" w:type="dxa"/>
                  <w:vMerge w:val="restart"/>
                  <w:vAlign w:val="center"/>
                </w:tcPr>
                <w:p w14:paraId="37A9ACA4">
                  <w:pPr>
                    <w:pStyle w:val="28"/>
                    <w:adjustRightInd w:val="0"/>
                    <w:snapToGrid w:val="0"/>
                    <w:jc w:val="center"/>
                    <w:rPr>
                      <w:rFonts w:ascii="Times New Roman" w:hAnsi="Times New Roman"/>
                      <w:color w:val="auto"/>
                      <w:sz w:val="21"/>
                      <w:szCs w:val="21"/>
                    </w:rPr>
                  </w:pPr>
                  <w:r>
                    <w:rPr>
                      <w:rFonts w:ascii="Times New Roman" w:hAnsi="Times New Roman"/>
                      <w:color w:val="auto"/>
                      <w:sz w:val="21"/>
                      <w:szCs w:val="21"/>
                    </w:rPr>
                    <w:t>10.2废气收集系统要求</w:t>
                  </w:r>
                </w:p>
              </w:tc>
              <w:tc>
                <w:tcPr>
                  <w:tcW w:w="3146" w:type="dxa"/>
                  <w:vAlign w:val="center"/>
                </w:tcPr>
                <w:p w14:paraId="2B9A5BB1">
                  <w:pPr>
                    <w:pStyle w:val="28"/>
                    <w:adjustRightInd w:val="0"/>
                    <w:snapToGrid w:val="0"/>
                    <w:jc w:val="center"/>
                    <w:rPr>
                      <w:rFonts w:ascii="Times New Roman" w:hAnsi="Times New Roman"/>
                      <w:color w:val="auto"/>
                      <w:sz w:val="21"/>
                      <w:szCs w:val="21"/>
                    </w:rPr>
                  </w:pPr>
                  <w:r>
                    <w:rPr>
                      <w:rFonts w:ascii="Times New Roman" w:hAnsi="Times New Roman"/>
                      <w:color w:val="auto"/>
                      <w:sz w:val="21"/>
                      <w:szCs w:val="21"/>
                    </w:rPr>
                    <w:t>10.2.1企业应考虑生产工艺、操作方式、废气性质、处理方法等因素，对</w:t>
                  </w:r>
                  <w:r>
                    <w:rPr>
                      <w:rFonts w:hint="eastAsia" w:ascii="Times New Roman" w:hAnsi="Times New Roman"/>
                      <w:color w:val="auto"/>
                      <w:sz w:val="21"/>
                      <w:szCs w:val="21"/>
                    </w:rPr>
                    <w:t>VOCs（以非甲烷总烃计）</w:t>
                  </w:r>
                  <w:r>
                    <w:rPr>
                      <w:rFonts w:ascii="Times New Roman" w:hAnsi="Times New Roman"/>
                      <w:color w:val="auto"/>
                      <w:sz w:val="21"/>
                      <w:szCs w:val="21"/>
                    </w:rPr>
                    <w:t>废气进行分类收集。</w:t>
                  </w:r>
                </w:p>
              </w:tc>
              <w:tc>
                <w:tcPr>
                  <w:tcW w:w="2132" w:type="dxa"/>
                  <w:shd w:val="clear" w:color="auto" w:fill="auto"/>
                  <w:vAlign w:val="center"/>
                </w:tcPr>
                <w:p w14:paraId="553FD183">
                  <w:pPr>
                    <w:pStyle w:val="28"/>
                    <w:adjustRightInd w:val="0"/>
                    <w:snapToGrid w:val="0"/>
                    <w:jc w:val="center"/>
                    <w:rPr>
                      <w:rFonts w:ascii="Times New Roman" w:hAnsi="Times New Roman"/>
                      <w:color w:val="auto"/>
                      <w:sz w:val="21"/>
                      <w:szCs w:val="21"/>
                    </w:rPr>
                  </w:pPr>
                  <w:r>
                    <w:rPr>
                      <w:rFonts w:ascii="Times New Roman" w:hAnsi="Times New Roman"/>
                      <w:color w:val="auto"/>
                      <w:sz w:val="21"/>
                      <w:szCs w:val="21"/>
                    </w:rPr>
                    <w:t>项目产生的有机废气主要为甲醛及</w:t>
                  </w:r>
                  <w:r>
                    <w:rPr>
                      <w:rFonts w:hint="eastAsia" w:ascii="Times New Roman" w:hAnsi="Times New Roman"/>
                      <w:color w:val="auto"/>
                      <w:sz w:val="21"/>
                      <w:szCs w:val="21"/>
                    </w:rPr>
                    <w:t>VOCs（以非甲烷总烃计）</w:t>
                  </w:r>
                  <w:r>
                    <w:rPr>
                      <w:rFonts w:ascii="Times New Roman" w:hAnsi="Times New Roman"/>
                      <w:color w:val="auto"/>
                      <w:sz w:val="21"/>
                      <w:szCs w:val="21"/>
                    </w:rPr>
                    <w:t>，经</w:t>
                  </w:r>
                  <w:r>
                    <w:rPr>
                      <w:rFonts w:ascii="Times New Roman" w:hAnsi="Times New Roman"/>
                      <w:color w:val="auto"/>
                      <w:sz w:val="21"/>
                      <w:szCs w:val="21"/>
                      <w:lang w:bidi="ar"/>
                    </w:rPr>
                    <w:t>集气罩收集至“UV光解+三级活性炭吸附净化装置”处理达标后，由1根</w:t>
                  </w:r>
                  <w:r>
                    <w:rPr>
                      <w:rFonts w:hint="eastAsia" w:ascii="Times New Roman" w:hAnsi="Times New Roman"/>
                      <w:color w:val="auto"/>
                      <w:sz w:val="21"/>
                      <w:szCs w:val="21"/>
                      <w:lang w:bidi="ar"/>
                    </w:rPr>
                    <w:t>15</w:t>
                  </w:r>
                  <w:r>
                    <w:rPr>
                      <w:rFonts w:ascii="Times New Roman" w:hAnsi="Times New Roman"/>
                      <w:color w:val="auto"/>
                      <w:sz w:val="21"/>
                      <w:szCs w:val="21"/>
                      <w:lang w:bidi="ar"/>
                    </w:rPr>
                    <w:t>m高排气筒</w:t>
                  </w:r>
                  <w:r>
                    <w:rPr>
                      <w:rFonts w:hint="eastAsia" w:ascii="Times New Roman" w:hAnsi="Times New Roman"/>
                      <w:color w:val="auto"/>
                      <w:sz w:val="21"/>
                      <w:szCs w:val="21"/>
                      <w:lang w:bidi="ar"/>
                    </w:rPr>
                    <w:t>（DA001）</w:t>
                  </w:r>
                  <w:r>
                    <w:rPr>
                      <w:rFonts w:ascii="Times New Roman" w:hAnsi="Times New Roman"/>
                      <w:color w:val="auto"/>
                      <w:sz w:val="21"/>
                      <w:szCs w:val="21"/>
                      <w:lang w:bidi="ar"/>
                    </w:rPr>
                    <w:t>排放。</w:t>
                  </w:r>
                </w:p>
              </w:tc>
              <w:tc>
                <w:tcPr>
                  <w:tcW w:w="426" w:type="dxa"/>
                  <w:vAlign w:val="center"/>
                </w:tcPr>
                <w:p w14:paraId="1262BE72">
                  <w:pPr>
                    <w:pStyle w:val="28"/>
                    <w:adjustRightInd w:val="0"/>
                    <w:snapToGrid w:val="0"/>
                    <w:jc w:val="center"/>
                    <w:rPr>
                      <w:rFonts w:ascii="Times New Roman" w:hAnsi="Times New Roman"/>
                      <w:color w:val="auto"/>
                      <w:sz w:val="21"/>
                      <w:szCs w:val="21"/>
                      <w:lang w:bidi="ar"/>
                    </w:rPr>
                  </w:pPr>
                  <w:r>
                    <w:rPr>
                      <w:rFonts w:ascii="Times New Roman" w:hAnsi="Times New Roman"/>
                      <w:color w:val="auto"/>
                      <w:sz w:val="21"/>
                      <w:szCs w:val="21"/>
                      <w:lang w:bidi="ar"/>
                    </w:rPr>
                    <w:t>相符</w:t>
                  </w:r>
                </w:p>
              </w:tc>
            </w:tr>
            <w:tr w14:paraId="58B3A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952" w:type="dxa"/>
                  <w:vMerge w:val="continue"/>
                  <w:vAlign w:val="center"/>
                </w:tcPr>
                <w:p w14:paraId="342D69D8">
                  <w:pPr>
                    <w:pStyle w:val="28"/>
                    <w:adjustRightInd w:val="0"/>
                    <w:snapToGrid w:val="0"/>
                    <w:jc w:val="center"/>
                    <w:rPr>
                      <w:rFonts w:ascii="Times New Roman" w:hAnsi="Times New Roman"/>
                      <w:color w:val="auto"/>
                      <w:sz w:val="21"/>
                      <w:szCs w:val="21"/>
                    </w:rPr>
                  </w:pPr>
                </w:p>
              </w:tc>
              <w:tc>
                <w:tcPr>
                  <w:tcW w:w="1109" w:type="dxa"/>
                  <w:vMerge w:val="continue"/>
                  <w:vAlign w:val="center"/>
                </w:tcPr>
                <w:p w14:paraId="3A2C47CC">
                  <w:pPr>
                    <w:pStyle w:val="28"/>
                    <w:adjustRightInd w:val="0"/>
                    <w:snapToGrid w:val="0"/>
                    <w:jc w:val="center"/>
                    <w:rPr>
                      <w:rFonts w:ascii="Times New Roman" w:hAnsi="Times New Roman"/>
                      <w:color w:val="auto"/>
                      <w:sz w:val="21"/>
                      <w:szCs w:val="21"/>
                    </w:rPr>
                  </w:pPr>
                </w:p>
              </w:tc>
              <w:tc>
                <w:tcPr>
                  <w:tcW w:w="3146" w:type="dxa"/>
                  <w:vAlign w:val="center"/>
                </w:tcPr>
                <w:p w14:paraId="23224F74">
                  <w:pPr>
                    <w:pStyle w:val="28"/>
                    <w:adjustRightInd w:val="0"/>
                    <w:snapToGrid w:val="0"/>
                    <w:jc w:val="center"/>
                    <w:rPr>
                      <w:rFonts w:ascii="Times New Roman" w:hAnsi="Times New Roman"/>
                      <w:color w:val="auto"/>
                      <w:sz w:val="21"/>
                      <w:szCs w:val="21"/>
                    </w:rPr>
                  </w:pPr>
                  <w:r>
                    <w:rPr>
                      <w:rFonts w:ascii="Times New Roman" w:hAnsi="Times New Roman"/>
                      <w:color w:val="auto"/>
                      <w:sz w:val="21"/>
                      <w:szCs w:val="21"/>
                    </w:rPr>
                    <w:t>10.2.2废气收集系统排风罩（集气罩）的设置应符合GB/T16758的规定。采用外部排风罩的，应按GB/T16758、AQ/T4274—2016规定的方法测量控制风速，测量点应选取在距排风罩开口面最远处的</w:t>
                  </w:r>
                  <w:r>
                    <w:rPr>
                      <w:rFonts w:hint="eastAsia" w:ascii="Times New Roman" w:hAnsi="Times New Roman"/>
                      <w:color w:val="auto"/>
                      <w:sz w:val="21"/>
                      <w:szCs w:val="21"/>
                    </w:rPr>
                    <w:t>VOCs（以非甲烷总烃计）</w:t>
                  </w:r>
                  <w:r>
                    <w:rPr>
                      <w:rFonts w:ascii="Times New Roman" w:hAnsi="Times New Roman"/>
                      <w:color w:val="auto"/>
                      <w:sz w:val="21"/>
                      <w:szCs w:val="21"/>
                    </w:rPr>
                    <w:t>无组织排放位置，控制风速不应低于0.3m/s（行业相关规范有具体规定的，按相关规定执行）。</w:t>
                  </w:r>
                </w:p>
              </w:tc>
              <w:tc>
                <w:tcPr>
                  <w:tcW w:w="2132" w:type="dxa"/>
                  <w:vAlign w:val="center"/>
                </w:tcPr>
                <w:p w14:paraId="31B545EA">
                  <w:pPr>
                    <w:pStyle w:val="28"/>
                    <w:adjustRightInd w:val="0"/>
                    <w:snapToGrid w:val="0"/>
                    <w:jc w:val="center"/>
                    <w:rPr>
                      <w:rFonts w:ascii="Times New Roman" w:hAnsi="Times New Roman"/>
                      <w:color w:val="auto"/>
                      <w:sz w:val="21"/>
                      <w:szCs w:val="21"/>
                    </w:rPr>
                  </w:pPr>
                  <w:r>
                    <w:rPr>
                      <w:rFonts w:ascii="Times New Roman" w:hAnsi="Times New Roman"/>
                      <w:color w:val="auto"/>
                      <w:sz w:val="21"/>
                      <w:szCs w:val="21"/>
                    </w:rPr>
                    <w:t>项目集气罩的设置符合GB/T16758的规定，配套风机总风量为</w:t>
                  </w:r>
                  <w:r>
                    <w:rPr>
                      <w:rFonts w:hint="eastAsia" w:ascii="Times New Roman" w:hAnsi="Times New Roman"/>
                      <w:color w:val="auto"/>
                      <w:sz w:val="21"/>
                      <w:szCs w:val="21"/>
                    </w:rPr>
                    <w:t>20320</w:t>
                  </w:r>
                  <w:r>
                    <w:rPr>
                      <w:rFonts w:ascii="Times New Roman" w:hAnsi="Times New Roman"/>
                      <w:color w:val="auto"/>
                      <w:sz w:val="21"/>
                      <w:szCs w:val="21"/>
                    </w:rPr>
                    <w:t>m</w:t>
                  </w:r>
                  <w:r>
                    <w:rPr>
                      <w:rFonts w:ascii="Times New Roman" w:hAnsi="Times New Roman"/>
                      <w:color w:val="auto"/>
                      <w:sz w:val="21"/>
                      <w:szCs w:val="21"/>
                      <w:vertAlign w:val="superscript"/>
                    </w:rPr>
                    <w:t>3</w:t>
                  </w:r>
                  <w:r>
                    <w:rPr>
                      <w:rFonts w:ascii="Times New Roman" w:hAnsi="Times New Roman"/>
                      <w:color w:val="auto"/>
                      <w:sz w:val="21"/>
                      <w:szCs w:val="21"/>
                    </w:rPr>
                    <w:t>/h，集气罩投影面积约为15.5m</w:t>
                  </w:r>
                  <w:r>
                    <w:rPr>
                      <w:rFonts w:ascii="Times New Roman" w:hAnsi="Times New Roman"/>
                      <w:color w:val="auto"/>
                      <w:sz w:val="21"/>
                      <w:szCs w:val="21"/>
                      <w:vertAlign w:val="superscript"/>
                    </w:rPr>
                    <w:t>2</w:t>
                  </w:r>
                  <w:r>
                    <w:rPr>
                      <w:rFonts w:ascii="Times New Roman" w:hAnsi="Times New Roman"/>
                      <w:color w:val="auto"/>
                      <w:sz w:val="21"/>
                      <w:szCs w:val="21"/>
                    </w:rPr>
                    <w:t>，可保证集气罩风速不低于0.3m/s。</w:t>
                  </w:r>
                </w:p>
              </w:tc>
              <w:tc>
                <w:tcPr>
                  <w:tcW w:w="426" w:type="dxa"/>
                  <w:vAlign w:val="center"/>
                </w:tcPr>
                <w:p w14:paraId="313DDEBF">
                  <w:pPr>
                    <w:pStyle w:val="28"/>
                    <w:adjustRightInd w:val="0"/>
                    <w:snapToGrid w:val="0"/>
                    <w:jc w:val="center"/>
                    <w:rPr>
                      <w:rFonts w:ascii="Times New Roman" w:hAnsi="Times New Roman"/>
                      <w:color w:val="auto"/>
                      <w:sz w:val="21"/>
                      <w:szCs w:val="21"/>
                      <w:lang w:bidi="ar"/>
                    </w:rPr>
                  </w:pPr>
                  <w:r>
                    <w:rPr>
                      <w:rFonts w:ascii="Times New Roman" w:hAnsi="Times New Roman"/>
                      <w:color w:val="auto"/>
                      <w:sz w:val="21"/>
                      <w:szCs w:val="21"/>
                      <w:lang w:bidi="ar"/>
                    </w:rPr>
                    <w:t>相符</w:t>
                  </w:r>
                </w:p>
              </w:tc>
            </w:tr>
            <w:tr w14:paraId="53550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952" w:type="dxa"/>
                  <w:vMerge w:val="continue"/>
                  <w:vAlign w:val="center"/>
                </w:tcPr>
                <w:p w14:paraId="7CE7BAF7">
                  <w:pPr>
                    <w:pStyle w:val="28"/>
                    <w:adjustRightInd w:val="0"/>
                    <w:snapToGrid w:val="0"/>
                    <w:jc w:val="center"/>
                    <w:rPr>
                      <w:rFonts w:ascii="Times New Roman" w:hAnsi="Times New Roman"/>
                      <w:color w:val="auto"/>
                      <w:sz w:val="21"/>
                      <w:szCs w:val="21"/>
                    </w:rPr>
                  </w:pPr>
                </w:p>
              </w:tc>
              <w:tc>
                <w:tcPr>
                  <w:tcW w:w="1109" w:type="dxa"/>
                  <w:vMerge w:val="continue"/>
                  <w:vAlign w:val="center"/>
                </w:tcPr>
                <w:p w14:paraId="627C34D5">
                  <w:pPr>
                    <w:pStyle w:val="28"/>
                    <w:adjustRightInd w:val="0"/>
                    <w:snapToGrid w:val="0"/>
                    <w:jc w:val="center"/>
                    <w:rPr>
                      <w:rFonts w:ascii="Times New Roman" w:hAnsi="Times New Roman"/>
                      <w:color w:val="auto"/>
                      <w:sz w:val="21"/>
                      <w:szCs w:val="21"/>
                    </w:rPr>
                  </w:pPr>
                </w:p>
              </w:tc>
              <w:tc>
                <w:tcPr>
                  <w:tcW w:w="3146" w:type="dxa"/>
                  <w:vAlign w:val="center"/>
                </w:tcPr>
                <w:p w14:paraId="2EBDDECD">
                  <w:pPr>
                    <w:pStyle w:val="28"/>
                    <w:adjustRightInd w:val="0"/>
                    <w:snapToGrid w:val="0"/>
                    <w:jc w:val="center"/>
                    <w:rPr>
                      <w:rFonts w:ascii="Times New Roman" w:hAnsi="Times New Roman"/>
                      <w:color w:val="auto"/>
                      <w:sz w:val="21"/>
                      <w:szCs w:val="21"/>
                    </w:rPr>
                  </w:pPr>
                  <w:r>
                    <w:rPr>
                      <w:rFonts w:ascii="Times New Roman" w:hAnsi="Times New Roman"/>
                      <w:color w:val="auto"/>
                      <w:sz w:val="21"/>
                      <w:szCs w:val="21"/>
                    </w:rPr>
                    <w:t>10.2.3废气收集系统的输送管道应密闭。废气收集系统应在负压下运行，若处于正压状态，应对输送管道组件的密封点进行泄漏检测，泄漏检测值不应超过500mmol/mol，亦不应有感官可察觉泄漏。泄漏检测频次、修复与记录的要求按照第8章规定执行。</w:t>
                  </w:r>
                </w:p>
              </w:tc>
              <w:tc>
                <w:tcPr>
                  <w:tcW w:w="2132" w:type="dxa"/>
                  <w:vAlign w:val="center"/>
                </w:tcPr>
                <w:p w14:paraId="4A787AC6">
                  <w:pPr>
                    <w:pStyle w:val="28"/>
                    <w:adjustRightInd w:val="0"/>
                    <w:snapToGrid w:val="0"/>
                    <w:jc w:val="center"/>
                    <w:rPr>
                      <w:rFonts w:ascii="Times New Roman" w:hAnsi="Times New Roman"/>
                      <w:color w:val="auto"/>
                      <w:sz w:val="21"/>
                      <w:szCs w:val="21"/>
                    </w:rPr>
                  </w:pPr>
                  <w:r>
                    <w:rPr>
                      <w:rFonts w:ascii="Times New Roman" w:hAnsi="Times New Roman"/>
                      <w:color w:val="auto"/>
                      <w:sz w:val="21"/>
                      <w:szCs w:val="21"/>
                    </w:rPr>
                    <w:t>项目废气收集系统的输送管道为密闭式，废气收集系统在负压下运行。</w:t>
                  </w:r>
                </w:p>
              </w:tc>
              <w:tc>
                <w:tcPr>
                  <w:tcW w:w="426" w:type="dxa"/>
                  <w:vAlign w:val="center"/>
                </w:tcPr>
                <w:p w14:paraId="6C86C2FF">
                  <w:pPr>
                    <w:pStyle w:val="28"/>
                    <w:adjustRightInd w:val="0"/>
                    <w:snapToGrid w:val="0"/>
                    <w:jc w:val="center"/>
                    <w:rPr>
                      <w:rFonts w:ascii="Times New Roman" w:hAnsi="Times New Roman"/>
                      <w:color w:val="auto"/>
                      <w:sz w:val="21"/>
                      <w:szCs w:val="21"/>
                      <w:lang w:bidi="ar"/>
                    </w:rPr>
                  </w:pPr>
                  <w:r>
                    <w:rPr>
                      <w:rFonts w:ascii="Times New Roman" w:hAnsi="Times New Roman"/>
                      <w:color w:val="auto"/>
                      <w:sz w:val="21"/>
                      <w:szCs w:val="21"/>
                      <w:lang w:bidi="ar"/>
                    </w:rPr>
                    <w:t>相符</w:t>
                  </w:r>
                </w:p>
              </w:tc>
            </w:tr>
            <w:tr w14:paraId="47822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952" w:type="dxa"/>
                  <w:vMerge w:val="continue"/>
                  <w:vAlign w:val="center"/>
                </w:tcPr>
                <w:p w14:paraId="4E5DF766">
                  <w:pPr>
                    <w:pStyle w:val="28"/>
                    <w:adjustRightInd w:val="0"/>
                    <w:snapToGrid w:val="0"/>
                    <w:jc w:val="center"/>
                    <w:rPr>
                      <w:rFonts w:ascii="Times New Roman" w:hAnsi="Times New Roman"/>
                      <w:color w:val="auto"/>
                      <w:sz w:val="21"/>
                      <w:szCs w:val="21"/>
                    </w:rPr>
                  </w:pPr>
                </w:p>
              </w:tc>
              <w:tc>
                <w:tcPr>
                  <w:tcW w:w="1109" w:type="dxa"/>
                  <w:vMerge w:val="restart"/>
                  <w:vAlign w:val="center"/>
                </w:tcPr>
                <w:p w14:paraId="6FB2D878">
                  <w:pPr>
                    <w:pStyle w:val="28"/>
                    <w:adjustRightInd w:val="0"/>
                    <w:snapToGrid w:val="0"/>
                    <w:jc w:val="center"/>
                    <w:rPr>
                      <w:rFonts w:ascii="Times New Roman" w:hAnsi="Times New Roman"/>
                      <w:color w:val="auto"/>
                      <w:sz w:val="21"/>
                      <w:szCs w:val="21"/>
                    </w:rPr>
                  </w:pPr>
                  <w:r>
                    <w:rPr>
                      <w:rFonts w:ascii="Times New Roman" w:hAnsi="Times New Roman"/>
                      <w:color w:val="auto"/>
                      <w:sz w:val="21"/>
                      <w:szCs w:val="21"/>
                    </w:rPr>
                    <w:t>10.3</w:t>
                  </w:r>
                  <w:r>
                    <w:rPr>
                      <w:rFonts w:hint="eastAsia" w:ascii="Times New Roman" w:hAnsi="Times New Roman"/>
                      <w:color w:val="auto"/>
                      <w:sz w:val="21"/>
                      <w:szCs w:val="21"/>
                    </w:rPr>
                    <w:t>VOCs（以非甲烷总烃计）</w:t>
                  </w:r>
                  <w:r>
                    <w:rPr>
                      <w:rFonts w:ascii="Times New Roman" w:hAnsi="Times New Roman"/>
                      <w:color w:val="auto"/>
                      <w:sz w:val="21"/>
                      <w:szCs w:val="21"/>
                    </w:rPr>
                    <w:t>排放控制要求</w:t>
                  </w:r>
                </w:p>
              </w:tc>
              <w:tc>
                <w:tcPr>
                  <w:tcW w:w="3146" w:type="dxa"/>
                  <w:vAlign w:val="center"/>
                </w:tcPr>
                <w:p w14:paraId="26AF9EC5">
                  <w:pPr>
                    <w:pStyle w:val="28"/>
                    <w:adjustRightInd w:val="0"/>
                    <w:snapToGrid w:val="0"/>
                    <w:jc w:val="center"/>
                    <w:rPr>
                      <w:rFonts w:ascii="Times New Roman" w:hAnsi="Times New Roman"/>
                      <w:color w:val="auto"/>
                      <w:sz w:val="21"/>
                      <w:szCs w:val="21"/>
                    </w:rPr>
                  </w:pPr>
                  <w:r>
                    <w:rPr>
                      <w:rFonts w:ascii="Times New Roman" w:hAnsi="Times New Roman"/>
                      <w:color w:val="auto"/>
                      <w:sz w:val="21"/>
                      <w:szCs w:val="21"/>
                    </w:rPr>
                    <w:t>10.3.1</w:t>
                  </w:r>
                  <w:r>
                    <w:rPr>
                      <w:rFonts w:hint="eastAsia" w:ascii="Times New Roman" w:hAnsi="Times New Roman"/>
                      <w:color w:val="auto"/>
                      <w:sz w:val="21"/>
                      <w:szCs w:val="21"/>
                    </w:rPr>
                    <w:t>VOCs（以非甲烷总烃计）</w:t>
                  </w:r>
                  <w:r>
                    <w:rPr>
                      <w:rFonts w:ascii="Times New Roman" w:hAnsi="Times New Roman"/>
                      <w:color w:val="auto"/>
                      <w:sz w:val="21"/>
                      <w:szCs w:val="21"/>
                    </w:rPr>
                    <w:t>废气收集处理系统污染物排放应符合GB16297或相关行业排放标准的规定。</w:t>
                  </w:r>
                </w:p>
              </w:tc>
              <w:tc>
                <w:tcPr>
                  <w:tcW w:w="2132" w:type="dxa"/>
                  <w:vAlign w:val="center"/>
                </w:tcPr>
                <w:p w14:paraId="38AED77D">
                  <w:pPr>
                    <w:pStyle w:val="28"/>
                    <w:adjustRightInd w:val="0"/>
                    <w:snapToGrid w:val="0"/>
                    <w:jc w:val="center"/>
                    <w:rPr>
                      <w:rFonts w:ascii="Times New Roman" w:hAnsi="Times New Roman"/>
                      <w:color w:val="auto"/>
                      <w:sz w:val="21"/>
                      <w:szCs w:val="21"/>
                    </w:rPr>
                  </w:pPr>
                  <w:r>
                    <w:rPr>
                      <w:rFonts w:ascii="Times New Roman" w:hAnsi="Times New Roman"/>
                      <w:color w:val="auto"/>
                      <w:sz w:val="21"/>
                      <w:szCs w:val="21"/>
                    </w:rPr>
                    <w:t>项目有无组织排放的甲醛、</w:t>
                  </w:r>
                  <w:r>
                    <w:rPr>
                      <w:rFonts w:hint="eastAsia" w:ascii="Times New Roman" w:hAnsi="Times New Roman"/>
                      <w:color w:val="auto"/>
                      <w:sz w:val="21"/>
                      <w:szCs w:val="21"/>
                    </w:rPr>
                    <w:t>VOCs（以非甲烷总烃计）</w:t>
                  </w:r>
                  <w:r>
                    <w:rPr>
                      <w:rFonts w:ascii="Times New Roman" w:hAnsi="Times New Roman"/>
                      <w:color w:val="auto"/>
                      <w:sz w:val="21"/>
                      <w:szCs w:val="21"/>
                    </w:rPr>
                    <w:t>满足</w:t>
                  </w:r>
                  <w:r>
                    <w:rPr>
                      <w:rFonts w:ascii="Times New Roman" w:hAnsi="Times New Roman"/>
                      <w:color w:val="auto"/>
                      <w:sz w:val="21"/>
                      <w:szCs w:val="21"/>
                      <w:lang w:val="zh-CN"/>
                    </w:rPr>
                    <w:t>《大气污染物综合排放标准》（GB16297-1996）表2</w:t>
                  </w:r>
                  <w:r>
                    <w:rPr>
                      <w:rFonts w:hint="eastAsia" w:ascii="Times New Roman" w:hAnsi="Times New Roman"/>
                      <w:color w:val="auto"/>
                      <w:sz w:val="21"/>
                      <w:szCs w:val="21"/>
                      <w:lang w:val="zh-CN"/>
                    </w:rPr>
                    <w:t>中</w:t>
                  </w:r>
                  <w:r>
                    <w:rPr>
                      <w:rFonts w:ascii="Times New Roman" w:hAnsi="Times New Roman"/>
                      <w:color w:val="auto"/>
                      <w:sz w:val="21"/>
                      <w:szCs w:val="21"/>
                    </w:rPr>
                    <w:t>无组织排放监控浓度限值。</w:t>
                  </w:r>
                </w:p>
              </w:tc>
              <w:tc>
                <w:tcPr>
                  <w:tcW w:w="426" w:type="dxa"/>
                  <w:vAlign w:val="center"/>
                </w:tcPr>
                <w:p w14:paraId="16C84201">
                  <w:pPr>
                    <w:pStyle w:val="28"/>
                    <w:adjustRightInd w:val="0"/>
                    <w:snapToGrid w:val="0"/>
                    <w:jc w:val="center"/>
                    <w:rPr>
                      <w:rFonts w:ascii="Times New Roman" w:hAnsi="Times New Roman"/>
                      <w:color w:val="auto"/>
                      <w:sz w:val="21"/>
                      <w:szCs w:val="21"/>
                      <w:lang w:bidi="ar"/>
                    </w:rPr>
                  </w:pPr>
                  <w:r>
                    <w:rPr>
                      <w:rFonts w:ascii="Times New Roman" w:hAnsi="Times New Roman"/>
                      <w:color w:val="auto"/>
                      <w:sz w:val="21"/>
                      <w:szCs w:val="21"/>
                      <w:lang w:bidi="ar"/>
                    </w:rPr>
                    <w:t>相符</w:t>
                  </w:r>
                </w:p>
              </w:tc>
            </w:tr>
            <w:tr w14:paraId="553B2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952" w:type="dxa"/>
                  <w:vMerge w:val="continue"/>
                  <w:vAlign w:val="center"/>
                </w:tcPr>
                <w:p w14:paraId="5108ADFB">
                  <w:pPr>
                    <w:pStyle w:val="28"/>
                    <w:adjustRightInd w:val="0"/>
                    <w:snapToGrid w:val="0"/>
                    <w:jc w:val="center"/>
                    <w:rPr>
                      <w:rFonts w:ascii="Times New Roman" w:hAnsi="Times New Roman"/>
                      <w:color w:val="auto"/>
                      <w:sz w:val="21"/>
                      <w:szCs w:val="21"/>
                    </w:rPr>
                  </w:pPr>
                </w:p>
              </w:tc>
              <w:tc>
                <w:tcPr>
                  <w:tcW w:w="1109" w:type="dxa"/>
                  <w:vMerge w:val="continue"/>
                  <w:vAlign w:val="center"/>
                </w:tcPr>
                <w:p w14:paraId="3B70551C">
                  <w:pPr>
                    <w:pStyle w:val="28"/>
                    <w:adjustRightInd w:val="0"/>
                    <w:snapToGrid w:val="0"/>
                    <w:jc w:val="center"/>
                    <w:rPr>
                      <w:rFonts w:ascii="Times New Roman" w:hAnsi="Times New Roman"/>
                      <w:color w:val="auto"/>
                      <w:sz w:val="21"/>
                      <w:szCs w:val="21"/>
                    </w:rPr>
                  </w:pPr>
                </w:p>
              </w:tc>
              <w:tc>
                <w:tcPr>
                  <w:tcW w:w="3146" w:type="dxa"/>
                  <w:vAlign w:val="center"/>
                </w:tcPr>
                <w:p w14:paraId="169020C9">
                  <w:pPr>
                    <w:pStyle w:val="28"/>
                    <w:adjustRightInd w:val="0"/>
                    <w:snapToGrid w:val="0"/>
                    <w:jc w:val="center"/>
                    <w:rPr>
                      <w:rFonts w:ascii="Times New Roman" w:hAnsi="Times New Roman"/>
                      <w:color w:val="auto"/>
                      <w:sz w:val="21"/>
                      <w:szCs w:val="21"/>
                    </w:rPr>
                  </w:pPr>
                  <w:r>
                    <w:rPr>
                      <w:rFonts w:ascii="Times New Roman" w:hAnsi="Times New Roman"/>
                      <w:color w:val="auto"/>
                      <w:sz w:val="21"/>
                      <w:szCs w:val="21"/>
                    </w:rPr>
                    <w:t>10.3.2收集的废气中NMHC初始排放速率≥3kg/h时，应配置</w:t>
                  </w:r>
                  <w:r>
                    <w:rPr>
                      <w:rFonts w:hint="eastAsia" w:ascii="Times New Roman" w:hAnsi="Times New Roman"/>
                      <w:color w:val="auto"/>
                      <w:sz w:val="21"/>
                      <w:szCs w:val="21"/>
                    </w:rPr>
                    <w:t>VOCs（以非甲烷总烃计）</w:t>
                  </w:r>
                  <w:r>
                    <w:rPr>
                      <w:rFonts w:ascii="Times New Roman" w:hAnsi="Times New Roman"/>
                      <w:color w:val="auto"/>
                      <w:sz w:val="21"/>
                      <w:szCs w:val="21"/>
                    </w:rPr>
                    <w:t>处理设施，处理效率不应低于80%；对于重点地区，收集的废气中NMHC初始排放速率≥2kg/h时，应配置</w:t>
                  </w:r>
                  <w:r>
                    <w:rPr>
                      <w:rFonts w:hint="eastAsia" w:ascii="Times New Roman" w:hAnsi="Times New Roman"/>
                      <w:color w:val="auto"/>
                      <w:sz w:val="21"/>
                      <w:szCs w:val="21"/>
                    </w:rPr>
                    <w:t>VOCs（以非甲烷总烃计）</w:t>
                  </w:r>
                  <w:r>
                    <w:rPr>
                      <w:rFonts w:ascii="Times New Roman" w:hAnsi="Times New Roman"/>
                      <w:color w:val="auto"/>
                      <w:sz w:val="21"/>
                      <w:szCs w:val="21"/>
                    </w:rPr>
                    <w:t>处理设施，处理效率不应低于80%；采用的原辅材料符合国家有关低</w:t>
                  </w:r>
                  <w:r>
                    <w:rPr>
                      <w:rFonts w:hint="eastAsia" w:ascii="Times New Roman" w:hAnsi="Times New Roman"/>
                      <w:color w:val="auto"/>
                      <w:sz w:val="21"/>
                      <w:szCs w:val="21"/>
                    </w:rPr>
                    <w:t>VOCs（以非甲烷总烃计）</w:t>
                  </w:r>
                  <w:r>
                    <w:rPr>
                      <w:rFonts w:ascii="Times New Roman" w:hAnsi="Times New Roman"/>
                      <w:color w:val="auto"/>
                      <w:sz w:val="21"/>
                      <w:szCs w:val="21"/>
                    </w:rPr>
                    <w:t>含量产品规定的除外。</w:t>
                  </w:r>
                </w:p>
              </w:tc>
              <w:tc>
                <w:tcPr>
                  <w:tcW w:w="2132" w:type="dxa"/>
                  <w:vAlign w:val="center"/>
                </w:tcPr>
                <w:p w14:paraId="2971B2BD">
                  <w:pPr>
                    <w:pStyle w:val="28"/>
                    <w:adjustRightInd w:val="0"/>
                    <w:snapToGrid w:val="0"/>
                    <w:jc w:val="center"/>
                    <w:rPr>
                      <w:rFonts w:ascii="Times New Roman" w:hAnsi="Times New Roman"/>
                      <w:color w:val="auto"/>
                      <w:sz w:val="21"/>
                      <w:szCs w:val="21"/>
                    </w:rPr>
                  </w:pPr>
                  <w:r>
                    <w:rPr>
                      <w:rFonts w:ascii="Times New Roman" w:hAnsi="Times New Roman"/>
                      <w:color w:val="auto"/>
                      <w:sz w:val="21"/>
                      <w:szCs w:val="21"/>
                    </w:rPr>
                    <w:t>项目收集</w:t>
                  </w:r>
                  <w:r>
                    <w:rPr>
                      <w:rFonts w:ascii="Times New Roman" w:hAnsi="Times New Roman"/>
                      <w:color w:val="auto"/>
                      <w:sz w:val="21"/>
                      <w:szCs w:val="21"/>
                      <w:lang w:bidi="ar"/>
                    </w:rPr>
                    <w:t>的废气中NMHC初始排放速率为0.</w:t>
                  </w:r>
                  <w:r>
                    <w:rPr>
                      <w:rFonts w:hint="eastAsia" w:ascii="Times New Roman" w:hAnsi="Times New Roman"/>
                      <w:color w:val="auto"/>
                      <w:sz w:val="21"/>
                      <w:szCs w:val="21"/>
                      <w:lang w:bidi="ar"/>
                    </w:rPr>
                    <w:t>252</w:t>
                  </w:r>
                  <w:r>
                    <w:rPr>
                      <w:rFonts w:ascii="Times New Roman" w:hAnsi="Times New Roman"/>
                      <w:color w:val="auto"/>
                      <w:sz w:val="21"/>
                      <w:szCs w:val="21"/>
                      <w:lang w:bidi="ar"/>
                    </w:rPr>
                    <w:t>kg/h，＜3kg/h，且项目采用的“UV光解+三级活性炭吸附净化装置”净化效率为80%。</w:t>
                  </w:r>
                </w:p>
              </w:tc>
              <w:tc>
                <w:tcPr>
                  <w:tcW w:w="426" w:type="dxa"/>
                  <w:vAlign w:val="center"/>
                </w:tcPr>
                <w:p w14:paraId="349379F5">
                  <w:pPr>
                    <w:pStyle w:val="28"/>
                    <w:adjustRightInd w:val="0"/>
                    <w:snapToGrid w:val="0"/>
                    <w:jc w:val="center"/>
                    <w:rPr>
                      <w:rFonts w:ascii="Times New Roman" w:hAnsi="Times New Roman"/>
                      <w:color w:val="auto"/>
                      <w:sz w:val="21"/>
                      <w:szCs w:val="21"/>
                      <w:lang w:bidi="ar"/>
                    </w:rPr>
                  </w:pPr>
                  <w:r>
                    <w:rPr>
                      <w:rFonts w:ascii="Times New Roman" w:hAnsi="Times New Roman"/>
                      <w:color w:val="auto"/>
                      <w:sz w:val="21"/>
                      <w:szCs w:val="21"/>
                      <w:lang w:bidi="ar"/>
                    </w:rPr>
                    <w:t>相符</w:t>
                  </w:r>
                </w:p>
              </w:tc>
            </w:tr>
            <w:tr w14:paraId="2DAE4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952" w:type="dxa"/>
                  <w:vMerge w:val="continue"/>
                  <w:vAlign w:val="center"/>
                </w:tcPr>
                <w:p w14:paraId="18F7189A">
                  <w:pPr>
                    <w:pStyle w:val="28"/>
                    <w:adjustRightInd w:val="0"/>
                    <w:snapToGrid w:val="0"/>
                    <w:jc w:val="center"/>
                    <w:rPr>
                      <w:rFonts w:ascii="Times New Roman" w:hAnsi="Times New Roman"/>
                      <w:color w:val="auto"/>
                      <w:sz w:val="21"/>
                      <w:szCs w:val="21"/>
                    </w:rPr>
                  </w:pPr>
                </w:p>
              </w:tc>
              <w:tc>
                <w:tcPr>
                  <w:tcW w:w="1109" w:type="dxa"/>
                  <w:vMerge w:val="continue"/>
                  <w:vAlign w:val="center"/>
                </w:tcPr>
                <w:p w14:paraId="0D32D471">
                  <w:pPr>
                    <w:pStyle w:val="28"/>
                    <w:adjustRightInd w:val="0"/>
                    <w:snapToGrid w:val="0"/>
                    <w:jc w:val="center"/>
                    <w:rPr>
                      <w:rFonts w:ascii="Times New Roman" w:hAnsi="Times New Roman"/>
                      <w:color w:val="auto"/>
                      <w:sz w:val="21"/>
                      <w:szCs w:val="21"/>
                    </w:rPr>
                  </w:pPr>
                </w:p>
              </w:tc>
              <w:tc>
                <w:tcPr>
                  <w:tcW w:w="3146" w:type="dxa"/>
                  <w:vAlign w:val="center"/>
                </w:tcPr>
                <w:p w14:paraId="4F9D0C30">
                  <w:pPr>
                    <w:pStyle w:val="28"/>
                    <w:adjustRightInd w:val="0"/>
                    <w:snapToGrid w:val="0"/>
                    <w:jc w:val="center"/>
                    <w:rPr>
                      <w:rFonts w:ascii="Times New Roman" w:hAnsi="Times New Roman"/>
                      <w:color w:val="auto"/>
                      <w:sz w:val="21"/>
                      <w:szCs w:val="21"/>
                    </w:rPr>
                  </w:pPr>
                  <w:r>
                    <w:rPr>
                      <w:rFonts w:ascii="Times New Roman" w:hAnsi="Times New Roman"/>
                      <w:color w:val="auto"/>
                      <w:sz w:val="21"/>
                      <w:szCs w:val="21"/>
                    </w:rPr>
                    <w:t>10.3.3吸附、吸收、冷凝、生物、膜分离等其他</w:t>
                  </w:r>
                  <w:r>
                    <w:rPr>
                      <w:rFonts w:hint="eastAsia" w:ascii="Times New Roman" w:hAnsi="Times New Roman"/>
                      <w:color w:val="auto"/>
                      <w:sz w:val="21"/>
                      <w:szCs w:val="21"/>
                    </w:rPr>
                    <w:t>VOCs（以非甲烷总烃计）</w:t>
                  </w:r>
                  <w:r>
                    <w:rPr>
                      <w:rFonts w:ascii="Times New Roman" w:hAnsi="Times New Roman"/>
                      <w:color w:val="auto"/>
                      <w:sz w:val="21"/>
                      <w:szCs w:val="21"/>
                    </w:rPr>
                    <w:t>处理设施，以实测质量浓度作为达标判定依据，不得稀释排放。</w:t>
                  </w:r>
                </w:p>
              </w:tc>
              <w:tc>
                <w:tcPr>
                  <w:tcW w:w="2132" w:type="dxa"/>
                  <w:vAlign w:val="center"/>
                </w:tcPr>
                <w:p w14:paraId="313FB902">
                  <w:pPr>
                    <w:pStyle w:val="28"/>
                    <w:adjustRightInd w:val="0"/>
                    <w:snapToGrid w:val="0"/>
                    <w:jc w:val="center"/>
                    <w:rPr>
                      <w:rFonts w:ascii="Times New Roman" w:hAnsi="Times New Roman"/>
                      <w:color w:val="auto"/>
                      <w:sz w:val="21"/>
                      <w:szCs w:val="21"/>
                      <w:lang w:bidi="ar"/>
                    </w:rPr>
                  </w:pPr>
                  <w:r>
                    <w:rPr>
                      <w:rFonts w:ascii="Times New Roman" w:hAnsi="Times New Roman"/>
                      <w:color w:val="auto"/>
                      <w:sz w:val="21"/>
                      <w:szCs w:val="21"/>
                      <w:lang w:bidi="ar"/>
                    </w:rPr>
                    <w:t>项目采用的“UV光解+三级活性炭吸附净化装置”属于吸附处理设施，以实测质量浓度作为达标判定依据，不进行稀释排放。</w:t>
                  </w:r>
                </w:p>
              </w:tc>
              <w:tc>
                <w:tcPr>
                  <w:tcW w:w="426" w:type="dxa"/>
                  <w:vAlign w:val="center"/>
                </w:tcPr>
                <w:p w14:paraId="3C3A9676">
                  <w:pPr>
                    <w:pStyle w:val="28"/>
                    <w:adjustRightInd w:val="0"/>
                    <w:snapToGrid w:val="0"/>
                    <w:jc w:val="center"/>
                    <w:rPr>
                      <w:rFonts w:ascii="Times New Roman" w:hAnsi="Times New Roman"/>
                      <w:color w:val="auto"/>
                      <w:sz w:val="21"/>
                      <w:szCs w:val="21"/>
                      <w:lang w:bidi="ar"/>
                    </w:rPr>
                  </w:pPr>
                  <w:r>
                    <w:rPr>
                      <w:rFonts w:ascii="Times New Roman" w:hAnsi="Times New Roman"/>
                      <w:color w:val="auto"/>
                      <w:sz w:val="21"/>
                      <w:szCs w:val="21"/>
                      <w:lang w:bidi="ar"/>
                    </w:rPr>
                    <w:t>相符</w:t>
                  </w:r>
                </w:p>
              </w:tc>
            </w:tr>
            <w:tr w14:paraId="7053F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952" w:type="dxa"/>
                  <w:vMerge w:val="continue"/>
                  <w:vAlign w:val="center"/>
                </w:tcPr>
                <w:p w14:paraId="2741D7D3">
                  <w:pPr>
                    <w:pStyle w:val="28"/>
                    <w:adjustRightInd w:val="0"/>
                    <w:snapToGrid w:val="0"/>
                    <w:jc w:val="center"/>
                    <w:rPr>
                      <w:rFonts w:ascii="Times New Roman" w:hAnsi="Times New Roman"/>
                      <w:color w:val="auto"/>
                      <w:sz w:val="21"/>
                      <w:szCs w:val="21"/>
                    </w:rPr>
                  </w:pPr>
                </w:p>
              </w:tc>
              <w:tc>
                <w:tcPr>
                  <w:tcW w:w="1109" w:type="dxa"/>
                  <w:vMerge w:val="continue"/>
                  <w:vAlign w:val="center"/>
                </w:tcPr>
                <w:p w14:paraId="208AD400">
                  <w:pPr>
                    <w:pStyle w:val="28"/>
                    <w:adjustRightInd w:val="0"/>
                    <w:snapToGrid w:val="0"/>
                    <w:jc w:val="center"/>
                    <w:rPr>
                      <w:rFonts w:ascii="Times New Roman" w:hAnsi="Times New Roman"/>
                      <w:color w:val="auto"/>
                      <w:sz w:val="21"/>
                      <w:szCs w:val="21"/>
                    </w:rPr>
                  </w:pPr>
                </w:p>
              </w:tc>
              <w:tc>
                <w:tcPr>
                  <w:tcW w:w="3146" w:type="dxa"/>
                  <w:vAlign w:val="center"/>
                </w:tcPr>
                <w:p w14:paraId="320F93AE">
                  <w:pPr>
                    <w:pStyle w:val="28"/>
                    <w:adjustRightInd w:val="0"/>
                    <w:snapToGrid w:val="0"/>
                    <w:jc w:val="center"/>
                    <w:rPr>
                      <w:rFonts w:ascii="Times New Roman" w:hAnsi="Times New Roman"/>
                      <w:color w:val="auto"/>
                      <w:sz w:val="21"/>
                      <w:szCs w:val="21"/>
                    </w:rPr>
                  </w:pPr>
                  <w:r>
                    <w:rPr>
                      <w:rFonts w:ascii="Times New Roman" w:hAnsi="Times New Roman"/>
                      <w:color w:val="auto"/>
                      <w:sz w:val="21"/>
                      <w:szCs w:val="21"/>
                    </w:rPr>
                    <w:t>10.3.4排气筒高度不低于15m（因安全考虑或有特殊工艺要求的除外），具体高度以及与周围建筑物的相对高度关系应根据环境影响评价文件确定。</w:t>
                  </w:r>
                </w:p>
              </w:tc>
              <w:tc>
                <w:tcPr>
                  <w:tcW w:w="2132" w:type="dxa"/>
                  <w:vAlign w:val="center"/>
                </w:tcPr>
                <w:p w14:paraId="583C2202">
                  <w:pPr>
                    <w:pStyle w:val="28"/>
                    <w:adjustRightInd w:val="0"/>
                    <w:snapToGrid w:val="0"/>
                    <w:jc w:val="center"/>
                    <w:rPr>
                      <w:rFonts w:ascii="Times New Roman" w:hAnsi="Times New Roman"/>
                      <w:color w:val="auto"/>
                      <w:sz w:val="21"/>
                      <w:szCs w:val="21"/>
                      <w:lang w:bidi="ar"/>
                    </w:rPr>
                  </w:pPr>
                  <w:r>
                    <w:rPr>
                      <w:rFonts w:ascii="Times New Roman" w:hAnsi="Times New Roman"/>
                      <w:color w:val="auto"/>
                      <w:sz w:val="21"/>
                      <w:szCs w:val="21"/>
                      <w:lang w:bidi="ar"/>
                    </w:rPr>
                    <w:t>项目排气筒高度为</w:t>
                  </w:r>
                  <w:r>
                    <w:rPr>
                      <w:rFonts w:hint="eastAsia" w:ascii="Times New Roman" w:hAnsi="Times New Roman"/>
                      <w:color w:val="auto"/>
                      <w:sz w:val="21"/>
                      <w:szCs w:val="21"/>
                      <w:lang w:bidi="ar"/>
                    </w:rPr>
                    <w:t>15</w:t>
                  </w:r>
                  <w:r>
                    <w:rPr>
                      <w:rFonts w:ascii="Times New Roman" w:hAnsi="Times New Roman"/>
                      <w:color w:val="auto"/>
                      <w:sz w:val="21"/>
                      <w:szCs w:val="21"/>
                      <w:lang w:bidi="ar"/>
                    </w:rPr>
                    <w:t>m。</w:t>
                  </w:r>
                </w:p>
              </w:tc>
              <w:tc>
                <w:tcPr>
                  <w:tcW w:w="426" w:type="dxa"/>
                  <w:vAlign w:val="center"/>
                </w:tcPr>
                <w:p w14:paraId="4ACD4747">
                  <w:pPr>
                    <w:pStyle w:val="28"/>
                    <w:adjustRightInd w:val="0"/>
                    <w:snapToGrid w:val="0"/>
                    <w:jc w:val="center"/>
                    <w:rPr>
                      <w:rFonts w:ascii="Times New Roman" w:hAnsi="Times New Roman"/>
                      <w:color w:val="auto"/>
                      <w:sz w:val="21"/>
                      <w:szCs w:val="21"/>
                      <w:lang w:bidi="ar"/>
                    </w:rPr>
                  </w:pPr>
                  <w:r>
                    <w:rPr>
                      <w:rFonts w:ascii="Times New Roman" w:hAnsi="Times New Roman"/>
                      <w:color w:val="auto"/>
                      <w:sz w:val="21"/>
                      <w:szCs w:val="21"/>
                      <w:lang w:bidi="ar"/>
                    </w:rPr>
                    <w:t>相符</w:t>
                  </w:r>
                </w:p>
              </w:tc>
            </w:tr>
            <w:tr w14:paraId="61C5E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952" w:type="dxa"/>
                  <w:vMerge w:val="continue"/>
                  <w:vAlign w:val="center"/>
                </w:tcPr>
                <w:p w14:paraId="36362364">
                  <w:pPr>
                    <w:pStyle w:val="28"/>
                    <w:adjustRightInd w:val="0"/>
                    <w:snapToGrid w:val="0"/>
                    <w:jc w:val="center"/>
                    <w:rPr>
                      <w:rFonts w:ascii="Times New Roman" w:hAnsi="Times New Roman"/>
                      <w:color w:val="auto"/>
                      <w:sz w:val="21"/>
                      <w:szCs w:val="21"/>
                    </w:rPr>
                  </w:pPr>
                </w:p>
              </w:tc>
              <w:tc>
                <w:tcPr>
                  <w:tcW w:w="1109" w:type="dxa"/>
                  <w:vMerge w:val="continue"/>
                  <w:vAlign w:val="center"/>
                </w:tcPr>
                <w:p w14:paraId="08B7AB51">
                  <w:pPr>
                    <w:pStyle w:val="28"/>
                    <w:adjustRightInd w:val="0"/>
                    <w:snapToGrid w:val="0"/>
                    <w:jc w:val="center"/>
                    <w:rPr>
                      <w:rFonts w:ascii="Times New Roman" w:hAnsi="Times New Roman"/>
                      <w:color w:val="auto"/>
                      <w:sz w:val="21"/>
                      <w:szCs w:val="21"/>
                    </w:rPr>
                  </w:pPr>
                </w:p>
              </w:tc>
              <w:tc>
                <w:tcPr>
                  <w:tcW w:w="3146" w:type="dxa"/>
                  <w:vAlign w:val="center"/>
                </w:tcPr>
                <w:p w14:paraId="122E67B7">
                  <w:pPr>
                    <w:pStyle w:val="28"/>
                    <w:adjustRightInd w:val="0"/>
                    <w:snapToGrid w:val="0"/>
                    <w:jc w:val="center"/>
                    <w:rPr>
                      <w:rFonts w:ascii="Times New Roman" w:hAnsi="Times New Roman"/>
                      <w:color w:val="auto"/>
                      <w:sz w:val="21"/>
                      <w:szCs w:val="21"/>
                    </w:rPr>
                  </w:pPr>
                  <w:r>
                    <w:rPr>
                      <w:rFonts w:ascii="Times New Roman" w:hAnsi="Times New Roman"/>
                      <w:color w:val="auto"/>
                      <w:sz w:val="21"/>
                      <w:szCs w:val="21"/>
                    </w:rPr>
                    <w:t>10.3.5当执行不同排放控制要求的废气合并排气筒排放时，应在废气混合前进行监测，并执行相应的排放控制要求；若可选择的监控位置只能对混合后的废气进行监测，则应按各排放控制要求中最严格的规定执行。</w:t>
                  </w:r>
                </w:p>
              </w:tc>
              <w:tc>
                <w:tcPr>
                  <w:tcW w:w="2132" w:type="dxa"/>
                  <w:vAlign w:val="center"/>
                </w:tcPr>
                <w:p w14:paraId="3BE11CA6">
                  <w:pPr>
                    <w:pStyle w:val="28"/>
                    <w:adjustRightInd w:val="0"/>
                    <w:snapToGrid w:val="0"/>
                    <w:jc w:val="center"/>
                    <w:rPr>
                      <w:rFonts w:ascii="Times New Roman" w:hAnsi="Times New Roman"/>
                      <w:color w:val="auto"/>
                      <w:sz w:val="21"/>
                      <w:szCs w:val="21"/>
                    </w:rPr>
                  </w:pPr>
                  <w:r>
                    <w:rPr>
                      <w:rFonts w:ascii="Times New Roman" w:hAnsi="Times New Roman"/>
                      <w:color w:val="auto"/>
                      <w:sz w:val="21"/>
                      <w:szCs w:val="21"/>
                    </w:rPr>
                    <w:t>不涉及合并排气筒的情况。</w:t>
                  </w:r>
                </w:p>
              </w:tc>
              <w:tc>
                <w:tcPr>
                  <w:tcW w:w="426" w:type="dxa"/>
                  <w:vAlign w:val="center"/>
                </w:tcPr>
                <w:p w14:paraId="533AB60E">
                  <w:pPr>
                    <w:pStyle w:val="28"/>
                    <w:adjustRightInd w:val="0"/>
                    <w:snapToGrid w:val="0"/>
                    <w:jc w:val="center"/>
                    <w:rPr>
                      <w:rFonts w:ascii="Times New Roman" w:hAnsi="Times New Roman"/>
                      <w:color w:val="auto"/>
                      <w:sz w:val="21"/>
                      <w:szCs w:val="21"/>
                      <w:lang w:bidi="ar"/>
                    </w:rPr>
                  </w:pPr>
                  <w:r>
                    <w:rPr>
                      <w:rFonts w:ascii="Times New Roman" w:hAnsi="Times New Roman"/>
                      <w:color w:val="auto"/>
                      <w:sz w:val="21"/>
                      <w:szCs w:val="21"/>
                      <w:lang w:bidi="ar"/>
                    </w:rPr>
                    <w:t>相符</w:t>
                  </w:r>
                </w:p>
              </w:tc>
            </w:tr>
            <w:tr w14:paraId="7D11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952" w:type="dxa"/>
                  <w:vMerge w:val="continue"/>
                  <w:vAlign w:val="center"/>
                </w:tcPr>
                <w:p w14:paraId="2E2835C9">
                  <w:pPr>
                    <w:pStyle w:val="28"/>
                    <w:adjustRightInd w:val="0"/>
                    <w:snapToGrid w:val="0"/>
                    <w:jc w:val="center"/>
                    <w:rPr>
                      <w:rFonts w:ascii="Times New Roman" w:hAnsi="Times New Roman"/>
                      <w:color w:val="auto"/>
                      <w:sz w:val="21"/>
                      <w:szCs w:val="21"/>
                    </w:rPr>
                  </w:pPr>
                </w:p>
              </w:tc>
              <w:tc>
                <w:tcPr>
                  <w:tcW w:w="1109" w:type="dxa"/>
                  <w:vAlign w:val="center"/>
                </w:tcPr>
                <w:p w14:paraId="34FF1645">
                  <w:pPr>
                    <w:pStyle w:val="28"/>
                    <w:adjustRightInd w:val="0"/>
                    <w:snapToGrid w:val="0"/>
                    <w:jc w:val="center"/>
                    <w:rPr>
                      <w:rFonts w:ascii="Times New Roman" w:hAnsi="Times New Roman"/>
                      <w:color w:val="auto"/>
                      <w:sz w:val="21"/>
                      <w:szCs w:val="21"/>
                    </w:rPr>
                  </w:pPr>
                  <w:r>
                    <w:rPr>
                      <w:rFonts w:ascii="Times New Roman" w:hAnsi="Times New Roman"/>
                      <w:color w:val="auto"/>
                      <w:sz w:val="21"/>
                      <w:szCs w:val="21"/>
                    </w:rPr>
                    <w:t>10.4记录要求</w:t>
                  </w:r>
                </w:p>
              </w:tc>
              <w:tc>
                <w:tcPr>
                  <w:tcW w:w="3146" w:type="dxa"/>
                  <w:vAlign w:val="center"/>
                </w:tcPr>
                <w:p w14:paraId="55A7C7FC">
                  <w:pPr>
                    <w:pStyle w:val="28"/>
                    <w:adjustRightInd w:val="0"/>
                    <w:snapToGrid w:val="0"/>
                    <w:jc w:val="center"/>
                    <w:rPr>
                      <w:rFonts w:ascii="Times New Roman" w:hAnsi="Times New Roman"/>
                      <w:color w:val="auto"/>
                      <w:sz w:val="21"/>
                      <w:szCs w:val="21"/>
                    </w:rPr>
                  </w:pPr>
                  <w:r>
                    <w:rPr>
                      <w:rFonts w:ascii="Times New Roman" w:hAnsi="Times New Roman"/>
                      <w:color w:val="auto"/>
                      <w:sz w:val="21"/>
                      <w:szCs w:val="21"/>
                    </w:rPr>
                    <w:t>企业应建立台账，记录废气收集系统、</w:t>
                  </w:r>
                  <w:r>
                    <w:rPr>
                      <w:rFonts w:hint="eastAsia" w:ascii="Times New Roman" w:hAnsi="Times New Roman"/>
                      <w:color w:val="auto"/>
                      <w:sz w:val="21"/>
                      <w:szCs w:val="21"/>
                    </w:rPr>
                    <w:t>VOCs（以非甲烷总烃计）</w:t>
                  </w:r>
                  <w:r>
                    <w:rPr>
                      <w:rFonts w:ascii="Times New Roman" w:hAnsi="Times New Roman"/>
                      <w:color w:val="auto"/>
                      <w:sz w:val="21"/>
                      <w:szCs w:val="21"/>
                    </w:rPr>
                    <w:t>处理设施的主要运行和维护信息，如运行时间、废气处理量、操作温度、停留时间、吸附剂再生/更换周期和更换量、催化剂更换周期和更换量、吸收液pH值等关键运行参数。台账保存期限不少于3年。</w:t>
                  </w:r>
                </w:p>
              </w:tc>
              <w:tc>
                <w:tcPr>
                  <w:tcW w:w="2132" w:type="dxa"/>
                  <w:vAlign w:val="center"/>
                </w:tcPr>
                <w:p w14:paraId="14E24889">
                  <w:pPr>
                    <w:pStyle w:val="28"/>
                    <w:adjustRightInd w:val="0"/>
                    <w:snapToGrid w:val="0"/>
                    <w:jc w:val="center"/>
                    <w:rPr>
                      <w:rFonts w:ascii="Times New Roman" w:hAnsi="Times New Roman"/>
                      <w:color w:val="auto"/>
                      <w:sz w:val="21"/>
                      <w:szCs w:val="21"/>
                    </w:rPr>
                  </w:pPr>
                  <w:r>
                    <w:rPr>
                      <w:rFonts w:ascii="Times New Roman" w:hAnsi="Times New Roman"/>
                      <w:color w:val="auto"/>
                      <w:sz w:val="21"/>
                      <w:szCs w:val="21"/>
                    </w:rPr>
                    <w:t>企业在运营过程中将建立台账，记录废气收集系统、</w:t>
                  </w:r>
                  <w:r>
                    <w:rPr>
                      <w:rFonts w:hint="eastAsia" w:ascii="Times New Roman" w:hAnsi="Times New Roman"/>
                      <w:color w:val="auto"/>
                      <w:sz w:val="21"/>
                      <w:szCs w:val="21"/>
                    </w:rPr>
                    <w:t>VOCs（以非甲烷总烃计）</w:t>
                  </w:r>
                  <w:r>
                    <w:rPr>
                      <w:rFonts w:ascii="Times New Roman" w:hAnsi="Times New Roman"/>
                      <w:color w:val="auto"/>
                      <w:sz w:val="21"/>
                      <w:szCs w:val="21"/>
                    </w:rPr>
                    <w:t>处理设施的主要运行和维护信息，如运行时间、废气处理量、操作温度、停留时间、吸附剂再生/更换周期和更换量等关键运行参数。台账保存期限不少于3年。</w:t>
                  </w:r>
                </w:p>
              </w:tc>
              <w:tc>
                <w:tcPr>
                  <w:tcW w:w="426" w:type="dxa"/>
                  <w:vAlign w:val="center"/>
                </w:tcPr>
                <w:p w14:paraId="316CFA7E">
                  <w:pPr>
                    <w:pStyle w:val="28"/>
                    <w:adjustRightInd w:val="0"/>
                    <w:snapToGrid w:val="0"/>
                    <w:jc w:val="center"/>
                    <w:rPr>
                      <w:rFonts w:ascii="Times New Roman" w:hAnsi="Times New Roman"/>
                      <w:color w:val="auto"/>
                      <w:sz w:val="21"/>
                      <w:szCs w:val="21"/>
                      <w:lang w:bidi="ar"/>
                    </w:rPr>
                  </w:pPr>
                  <w:r>
                    <w:rPr>
                      <w:rFonts w:ascii="Times New Roman" w:hAnsi="Times New Roman"/>
                      <w:color w:val="auto"/>
                      <w:sz w:val="21"/>
                      <w:szCs w:val="21"/>
                      <w:lang w:bidi="ar"/>
                    </w:rPr>
                    <w:t>相符</w:t>
                  </w:r>
                </w:p>
              </w:tc>
            </w:tr>
          </w:tbl>
          <w:p w14:paraId="27C542C1">
            <w:pPr>
              <w:adjustRightInd w:val="0"/>
              <w:snapToGrid w:val="0"/>
              <w:spacing w:line="360" w:lineRule="auto"/>
              <w:ind w:firstLine="480" w:firstLineChars="200"/>
              <w:rPr>
                <w:color w:val="auto"/>
                <w:sz w:val="24"/>
              </w:rPr>
            </w:pPr>
            <w:r>
              <w:rPr>
                <w:rFonts w:hint="eastAsia"/>
                <w:color w:val="auto"/>
                <w:sz w:val="24"/>
              </w:rPr>
              <w:t>综上分析，项目与《挥发性有机物无组织排放控制标准》（GB37822-2019）中相关规定符合。</w:t>
            </w:r>
          </w:p>
          <w:p w14:paraId="32162832">
            <w:pPr>
              <w:adjustRightInd w:val="0"/>
              <w:snapToGrid w:val="0"/>
              <w:spacing w:line="360" w:lineRule="auto"/>
              <w:ind w:left="420" w:leftChars="200"/>
              <w:rPr>
                <w:b/>
                <w:bCs/>
                <w:color w:val="auto"/>
                <w:sz w:val="24"/>
              </w:rPr>
            </w:pPr>
            <w:r>
              <w:rPr>
                <w:rFonts w:hint="eastAsia"/>
                <w:b/>
                <w:bCs/>
                <w:color w:val="auto"/>
                <w:sz w:val="24"/>
              </w:rPr>
              <w:t>13、与《云南省重点行业挥发性有机物综合治理实施方案》符合性分析</w:t>
            </w:r>
          </w:p>
          <w:p w14:paraId="79CB6B53">
            <w:pPr>
              <w:spacing w:line="360" w:lineRule="auto"/>
              <w:ind w:firstLine="480" w:firstLineChars="200"/>
              <w:rPr>
                <w:color w:val="auto"/>
                <w:sz w:val="24"/>
              </w:rPr>
            </w:pPr>
            <w:r>
              <w:rPr>
                <w:color w:val="auto"/>
                <w:sz w:val="24"/>
              </w:rPr>
              <w:t>2019年9月4日，云南省生态环境厅印发了《云南省重点行业挥发性有机物综合治理实施方案》（云环通〔2019〕125号）。项目与《云南省重点行业挥发性有机物综合治理实施方案》的相符性分析见</w:t>
            </w:r>
            <w:r>
              <w:rPr>
                <w:rFonts w:hint="eastAsia"/>
                <w:color w:val="auto"/>
                <w:sz w:val="24"/>
              </w:rPr>
              <w:t>下表</w:t>
            </w:r>
            <w:r>
              <w:rPr>
                <w:color w:val="auto"/>
                <w:sz w:val="24"/>
              </w:rPr>
              <w:t>。</w:t>
            </w:r>
          </w:p>
          <w:p w14:paraId="29306DC3">
            <w:pPr>
              <w:jc w:val="center"/>
              <w:rPr>
                <w:b/>
                <w:color w:val="auto"/>
                <w:szCs w:val="21"/>
              </w:rPr>
            </w:pPr>
            <w:r>
              <w:rPr>
                <w:b/>
                <w:color w:val="auto"/>
                <w:szCs w:val="21"/>
              </w:rPr>
              <w:t>表1-</w:t>
            </w:r>
            <w:r>
              <w:rPr>
                <w:rFonts w:hint="eastAsia"/>
                <w:b/>
                <w:color w:val="auto"/>
                <w:szCs w:val="21"/>
              </w:rPr>
              <w:t>13</w:t>
            </w:r>
            <w:r>
              <w:rPr>
                <w:b/>
                <w:color w:val="auto"/>
                <w:szCs w:val="21"/>
              </w:rPr>
              <w:t xml:space="preserve">  项目与《云南省重点行业挥发性有机物综合治理实施方案》的相符性分析</w:t>
            </w:r>
          </w:p>
          <w:tbl>
            <w:tblPr>
              <w:tblStyle w:val="30"/>
              <w:tblW w:w="7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72"/>
              <w:gridCol w:w="3371"/>
              <w:gridCol w:w="722"/>
            </w:tblGrid>
            <w:tr w14:paraId="73F1A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3672" w:type="dxa"/>
                  <w:vAlign w:val="center"/>
                </w:tcPr>
                <w:p w14:paraId="648688EE">
                  <w:pPr>
                    <w:pStyle w:val="28"/>
                    <w:widowControl w:val="0"/>
                    <w:adjustRightInd w:val="0"/>
                    <w:snapToGrid w:val="0"/>
                    <w:spacing w:before="0" w:beforeAutospacing="0" w:after="0" w:afterAutospacing="0"/>
                    <w:jc w:val="center"/>
                    <w:rPr>
                      <w:rFonts w:ascii="Times New Roman" w:hAnsi="Times New Roman"/>
                      <w:b/>
                      <w:color w:val="auto"/>
                      <w:sz w:val="21"/>
                      <w:szCs w:val="21"/>
                      <w:lang w:bidi="ar"/>
                    </w:rPr>
                  </w:pPr>
                  <w:r>
                    <w:rPr>
                      <w:rFonts w:ascii="Times New Roman" w:hAnsi="Times New Roman"/>
                      <w:b/>
                      <w:color w:val="auto"/>
                      <w:sz w:val="21"/>
                      <w:szCs w:val="21"/>
                      <w:lang w:bidi="ar"/>
                    </w:rPr>
                    <w:t>《云南省重点行业挥发性有机物综合治理实施方案》</w:t>
                  </w:r>
                </w:p>
              </w:tc>
              <w:tc>
                <w:tcPr>
                  <w:tcW w:w="3371" w:type="dxa"/>
                  <w:vAlign w:val="center"/>
                </w:tcPr>
                <w:p w14:paraId="35A8666C">
                  <w:pPr>
                    <w:adjustRightInd w:val="0"/>
                    <w:snapToGrid w:val="0"/>
                    <w:jc w:val="center"/>
                    <w:rPr>
                      <w:b/>
                      <w:color w:val="auto"/>
                      <w:szCs w:val="21"/>
                    </w:rPr>
                  </w:pPr>
                  <w:r>
                    <w:rPr>
                      <w:b/>
                      <w:color w:val="auto"/>
                      <w:szCs w:val="21"/>
                    </w:rPr>
                    <w:t>本项目</w:t>
                  </w:r>
                </w:p>
              </w:tc>
              <w:tc>
                <w:tcPr>
                  <w:tcW w:w="722" w:type="dxa"/>
                  <w:vAlign w:val="center"/>
                </w:tcPr>
                <w:p w14:paraId="1ED964B9">
                  <w:pPr>
                    <w:adjustRightInd w:val="0"/>
                    <w:snapToGrid w:val="0"/>
                    <w:jc w:val="center"/>
                    <w:rPr>
                      <w:b/>
                      <w:color w:val="auto"/>
                      <w:szCs w:val="21"/>
                    </w:rPr>
                  </w:pPr>
                  <w:r>
                    <w:rPr>
                      <w:b/>
                      <w:color w:val="auto"/>
                      <w:szCs w:val="21"/>
                    </w:rPr>
                    <w:t>相符性</w:t>
                  </w:r>
                </w:p>
              </w:tc>
            </w:tr>
            <w:tr w14:paraId="730A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3672" w:type="dxa"/>
                  <w:vAlign w:val="center"/>
                </w:tcPr>
                <w:p w14:paraId="4674FB13">
                  <w:pPr>
                    <w:pStyle w:val="28"/>
                    <w:adjustRightInd w:val="0"/>
                    <w:snapToGrid w:val="0"/>
                    <w:jc w:val="center"/>
                    <w:rPr>
                      <w:rFonts w:ascii="Times New Roman" w:hAnsi="Times New Roman"/>
                      <w:color w:val="auto"/>
                      <w:sz w:val="21"/>
                      <w:szCs w:val="21"/>
                      <w:lang w:bidi="ar"/>
                    </w:rPr>
                  </w:pPr>
                  <w:r>
                    <w:rPr>
                      <w:rFonts w:ascii="Times New Roman" w:hAnsi="Times New Roman"/>
                      <w:color w:val="auto"/>
                      <w:sz w:val="21"/>
                      <w:szCs w:val="21"/>
                      <w:lang w:bidi="ar"/>
                    </w:rPr>
                    <w:t>重点对含</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物料（包括含</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原辅材料、含</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产品、含</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废料以及有机聚合物材料等）储存、转移和输送、设备与管线组件泄漏、敞开液面逸散以及工艺过程等五类排放源实施管控，通过采取设备与场所密闭、工艺改进、废气有效收集等措施，削减</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无组织排放。</w:t>
                  </w:r>
                </w:p>
              </w:tc>
              <w:tc>
                <w:tcPr>
                  <w:tcW w:w="3371" w:type="dxa"/>
                  <w:vAlign w:val="center"/>
                </w:tcPr>
                <w:p w14:paraId="31A90BA8">
                  <w:pPr>
                    <w:adjustRightInd w:val="0"/>
                    <w:snapToGrid w:val="0"/>
                    <w:jc w:val="center"/>
                    <w:rPr>
                      <w:color w:val="auto"/>
                      <w:szCs w:val="21"/>
                      <w:lang w:bidi="ar"/>
                    </w:rPr>
                  </w:pPr>
                  <w:r>
                    <w:rPr>
                      <w:rFonts w:hint="eastAsia"/>
                      <w:color w:val="auto"/>
                      <w:szCs w:val="21"/>
                      <w:lang w:bidi="ar"/>
                    </w:rPr>
                    <w:t>项目已采取含VOCs（以非甲烷总烃计）</w:t>
                  </w:r>
                  <w:r>
                    <w:rPr>
                      <w:color w:val="auto"/>
                      <w:szCs w:val="21"/>
                      <w:lang w:bidi="ar"/>
                    </w:rPr>
                    <w:t xml:space="preserve"> 物料（包括含 </w:t>
                  </w:r>
                  <w:r>
                    <w:rPr>
                      <w:rFonts w:hint="eastAsia"/>
                      <w:color w:val="auto"/>
                      <w:szCs w:val="21"/>
                      <w:lang w:bidi="ar"/>
                    </w:rPr>
                    <w:t>VOCs（以非甲烷总烃计）</w:t>
                  </w:r>
                  <w:r>
                    <w:rPr>
                      <w:color w:val="auto"/>
                      <w:szCs w:val="21"/>
                      <w:lang w:bidi="ar"/>
                    </w:rPr>
                    <w:t xml:space="preserve"> 原辅材料、含 </w:t>
                  </w:r>
                  <w:r>
                    <w:rPr>
                      <w:rFonts w:hint="eastAsia"/>
                      <w:color w:val="auto"/>
                      <w:szCs w:val="21"/>
                      <w:lang w:bidi="ar"/>
                    </w:rPr>
                    <w:t>VOCs（以非甲烷总烃计）</w:t>
                  </w:r>
                  <w:r>
                    <w:rPr>
                      <w:color w:val="auto"/>
                      <w:szCs w:val="21"/>
                      <w:lang w:bidi="ar"/>
                    </w:rPr>
                    <w:t xml:space="preserve"> 产品、含 </w:t>
                  </w:r>
                  <w:r>
                    <w:rPr>
                      <w:rFonts w:hint="eastAsia"/>
                      <w:color w:val="auto"/>
                      <w:szCs w:val="21"/>
                      <w:lang w:bidi="ar"/>
                    </w:rPr>
                    <w:t>VOCs（以非甲烷总烃计）</w:t>
                  </w:r>
                  <w:r>
                    <w:rPr>
                      <w:color w:val="auto"/>
                      <w:szCs w:val="21"/>
                      <w:lang w:bidi="ar"/>
                    </w:rPr>
                    <w:t xml:space="preserve"> 废料以及有机聚合物材料等）储存、转移和输送、设备与管线组件泄漏、敞开液面逸散以及工艺过程等五类排放源实施管控，项目</w:t>
                  </w:r>
                  <w:r>
                    <w:rPr>
                      <w:rFonts w:hint="eastAsia"/>
                      <w:color w:val="auto"/>
                      <w:szCs w:val="21"/>
                      <w:lang w:bidi="ar"/>
                    </w:rPr>
                    <w:t>调胶、浸渍、烘干</w:t>
                  </w:r>
                  <w:r>
                    <w:rPr>
                      <w:color w:val="auto"/>
                      <w:szCs w:val="21"/>
                      <w:lang w:bidi="ar"/>
                    </w:rPr>
                    <w:t>过程产生的甲醛</w:t>
                  </w:r>
                  <w:r>
                    <w:rPr>
                      <w:rFonts w:hint="eastAsia"/>
                      <w:color w:val="auto"/>
                      <w:szCs w:val="21"/>
                      <w:lang w:bidi="ar"/>
                    </w:rPr>
                    <w:t>、VOCs（以非甲烷总烃计）</w:t>
                  </w:r>
                  <w:r>
                    <w:rPr>
                      <w:color w:val="auto"/>
                      <w:szCs w:val="21"/>
                      <w:lang w:bidi="ar"/>
                    </w:rPr>
                    <w:t>收集</w:t>
                  </w:r>
                  <w:r>
                    <w:rPr>
                      <w:rFonts w:hint="eastAsia"/>
                      <w:color w:val="auto"/>
                      <w:szCs w:val="21"/>
                      <w:lang w:bidi="ar"/>
                    </w:rPr>
                    <w:t>至</w:t>
                  </w:r>
                  <w:r>
                    <w:rPr>
                      <w:color w:val="auto"/>
                      <w:szCs w:val="21"/>
                      <w:lang w:bidi="ar"/>
                    </w:rPr>
                    <w:t>“UV光解+三级活性炭吸附净化装置”处理达标后，由1根</w:t>
                  </w:r>
                  <w:r>
                    <w:rPr>
                      <w:rFonts w:hint="eastAsia"/>
                      <w:color w:val="auto"/>
                      <w:szCs w:val="21"/>
                      <w:lang w:bidi="ar"/>
                    </w:rPr>
                    <w:t>15</w:t>
                  </w:r>
                  <w:r>
                    <w:rPr>
                      <w:color w:val="auto"/>
                      <w:szCs w:val="21"/>
                      <w:lang w:bidi="ar"/>
                    </w:rPr>
                    <w:t>m高排气筒</w:t>
                  </w:r>
                  <w:r>
                    <w:rPr>
                      <w:rFonts w:hint="eastAsia"/>
                      <w:color w:val="auto"/>
                      <w:szCs w:val="21"/>
                      <w:lang w:bidi="ar"/>
                    </w:rPr>
                    <w:t>（DA001）</w:t>
                  </w:r>
                  <w:r>
                    <w:rPr>
                      <w:color w:val="auto"/>
                      <w:szCs w:val="21"/>
                      <w:lang w:bidi="ar"/>
                    </w:rPr>
                    <w:t>排放。</w:t>
                  </w:r>
                </w:p>
              </w:tc>
              <w:tc>
                <w:tcPr>
                  <w:tcW w:w="722" w:type="dxa"/>
                  <w:vAlign w:val="center"/>
                </w:tcPr>
                <w:p w14:paraId="68A207B8">
                  <w:pPr>
                    <w:pStyle w:val="28"/>
                    <w:widowControl w:val="0"/>
                    <w:adjustRightInd w:val="0"/>
                    <w:snapToGrid w:val="0"/>
                    <w:spacing w:before="0" w:beforeAutospacing="0" w:after="0" w:afterAutospacing="0"/>
                    <w:jc w:val="center"/>
                    <w:rPr>
                      <w:rFonts w:ascii="Times New Roman" w:hAnsi="Times New Roman"/>
                      <w:color w:val="auto"/>
                      <w:sz w:val="21"/>
                      <w:szCs w:val="21"/>
                      <w:lang w:bidi="ar"/>
                    </w:rPr>
                  </w:pPr>
                  <w:r>
                    <w:rPr>
                      <w:rFonts w:ascii="Times New Roman" w:hAnsi="Times New Roman"/>
                      <w:color w:val="auto"/>
                      <w:sz w:val="21"/>
                      <w:szCs w:val="21"/>
                      <w:lang w:bidi="ar"/>
                    </w:rPr>
                    <w:t>相符</w:t>
                  </w:r>
                </w:p>
              </w:tc>
            </w:tr>
            <w:tr w14:paraId="7AD7F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9" w:hRule="atLeast"/>
              </w:trPr>
              <w:tc>
                <w:tcPr>
                  <w:tcW w:w="3672" w:type="dxa"/>
                  <w:vAlign w:val="center"/>
                </w:tcPr>
                <w:p w14:paraId="1286A3C0">
                  <w:pPr>
                    <w:pStyle w:val="28"/>
                    <w:adjustRightInd w:val="0"/>
                    <w:snapToGrid w:val="0"/>
                    <w:jc w:val="center"/>
                    <w:rPr>
                      <w:rFonts w:ascii="Times New Roman" w:hAnsi="Times New Roman"/>
                      <w:color w:val="auto"/>
                      <w:sz w:val="21"/>
                      <w:szCs w:val="21"/>
                      <w:lang w:bidi="ar"/>
                    </w:rPr>
                  </w:pPr>
                  <w:r>
                    <w:rPr>
                      <w:rFonts w:ascii="Times New Roman" w:hAnsi="Times New Roman"/>
                      <w:color w:val="auto"/>
                      <w:sz w:val="21"/>
                      <w:szCs w:val="21"/>
                      <w:lang w:bidi="ar"/>
                    </w:rPr>
                    <w:t xml:space="preserve">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 </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 xml:space="preserve"> 无组织排放位置，控制风速应不低于0</w:t>
                  </w:r>
                  <w:r>
                    <w:rPr>
                      <w:rFonts w:hint="eastAsia" w:ascii="Times New Roman" w:hAnsi="Times New Roman"/>
                      <w:color w:val="auto"/>
                      <w:sz w:val="21"/>
                      <w:szCs w:val="21"/>
                      <w:lang w:bidi="ar"/>
                    </w:rPr>
                    <w:t>.</w:t>
                  </w:r>
                  <w:r>
                    <w:rPr>
                      <w:rFonts w:ascii="Times New Roman" w:hAnsi="Times New Roman"/>
                      <w:color w:val="auto"/>
                      <w:sz w:val="21"/>
                      <w:szCs w:val="21"/>
                      <w:lang w:bidi="ar"/>
                    </w:rPr>
                    <w:t>3米/秒，有行业要求的按相关规定执行。</w:t>
                  </w:r>
                </w:p>
              </w:tc>
              <w:tc>
                <w:tcPr>
                  <w:tcW w:w="3371" w:type="dxa"/>
                  <w:vAlign w:val="center"/>
                </w:tcPr>
                <w:p w14:paraId="2E124C0C">
                  <w:pPr>
                    <w:pStyle w:val="28"/>
                    <w:adjustRightInd w:val="0"/>
                    <w:snapToGrid w:val="0"/>
                    <w:spacing w:before="0" w:beforeAutospacing="0" w:after="0" w:afterAutospacing="0"/>
                    <w:jc w:val="both"/>
                    <w:rPr>
                      <w:rFonts w:ascii="Times New Roman" w:hAnsi="Times New Roman"/>
                      <w:color w:val="auto"/>
                      <w:sz w:val="21"/>
                      <w:szCs w:val="21"/>
                      <w:lang w:bidi="ar"/>
                    </w:rPr>
                  </w:pPr>
                  <w:r>
                    <w:rPr>
                      <w:rFonts w:ascii="Times New Roman" w:hAnsi="Times New Roman"/>
                      <w:color w:val="auto"/>
                      <w:sz w:val="21"/>
                      <w:szCs w:val="21"/>
                      <w:lang w:bidi="ar"/>
                    </w:rPr>
                    <w:t>项目</w:t>
                  </w:r>
                  <w:r>
                    <w:rPr>
                      <w:rFonts w:hint="eastAsia" w:ascii="Times New Roman" w:hAnsi="Times New Roman"/>
                      <w:color w:val="auto"/>
                      <w:sz w:val="21"/>
                      <w:szCs w:val="21"/>
                      <w:lang w:bidi="ar"/>
                    </w:rPr>
                    <w:t>生产</w:t>
                  </w:r>
                  <w:r>
                    <w:rPr>
                      <w:rFonts w:ascii="Times New Roman" w:hAnsi="Times New Roman"/>
                      <w:color w:val="auto"/>
                      <w:sz w:val="21"/>
                      <w:szCs w:val="21"/>
                      <w:lang w:bidi="ar"/>
                    </w:rPr>
                    <w:t>过程产生的甲醛、</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经集气罩收集、“UV光解+三级活性炭吸附净化装置”处理达标后，由1根</w:t>
                  </w:r>
                  <w:r>
                    <w:rPr>
                      <w:rFonts w:hint="eastAsia" w:ascii="Times New Roman" w:hAnsi="Times New Roman"/>
                      <w:color w:val="auto"/>
                      <w:sz w:val="21"/>
                      <w:szCs w:val="21"/>
                      <w:lang w:bidi="ar"/>
                    </w:rPr>
                    <w:t>15</w:t>
                  </w:r>
                  <w:r>
                    <w:rPr>
                      <w:rFonts w:ascii="Times New Roman" w:hAnsi="Times New Roman"/>
                      <w:color w:val="auto"/>
                      <w:sz w:val="21"/>
                      <w:szCs w:val="21"/>
                      <w:lang w:bidi="ar"/>
                    </w:rPr>
                    <w:t>m高排气筒</w:t>
                  </w:r>
                  <w:r>
                    <w:rPr>
                      <w:rFonts w:hint="eastAsia" w:ascii="Times New Roman" w:hAnsi="Times New Roman"/>
                      <w:color w:val="auto"/>
                      <w:sz w:val="21"/>
                      <w:szCs w:val="21"/>
                      <w:lang w:bidi="ar"/>
                    </w:rPr>
                    <w:t>（DA001）</w:t>
                  </w:r>
                  <w:r>
                    <w:rPr>
                      <w:rFonts w:ascii="Times New Roman" w:hAnsi="Times New Roman"/>
                      <w:color w:val="auto"/>
                      <w:sz w:val="21"/>
                      <w:szCs w:val="21"/>
                      <w:lang w:bidi="ar"/>
                    </w:rPr>
                    <w:t>排放。</w:t>
                  </w:r>
                </w:p>
              </w:tc>
              <w:tc>
                <w:tcPr>
                  <w:tcW w:w="722" w:type="dxa"/>
                  <w:vAlign w:val="center"/>
                </w:tcPr>
                <w:p w14:paraId="7F9EF26E">
                  <w:pPr>
                    <w:pStyle w:val="28"/>
                    <w:widowControl w:val="0"/>
                    <w:adjustRightInd w:val="0"/>
                    <w:snapToGrid w:val="0"/>
                    <w:spacing w:before="0" w:beforeAutospacing="0" w:after="0" w:afterAutospacing="0"/>
                    <w:jc w:val="center"/>
                    <w:rPr>
                      <w:rFonts w:ascii="Times New Roman" w:hAnsi="Times New Roman"/>
                      <w:color w:val="auto"/>
                      <w:sz w:val="21"/>
                      <w:szCs w:val="21"/>
                      <w:lang w:bidi="ar"/>
                    </w:rPr>
                  </w:pPr>
                  <w:r>
                    <w:rPr>
                      <w:rFonts w:ascii="Times New Roman" w:hAnsi="Times New Roman"/>
                      <w:color w:val="auto"/>
                      <w:sz w:val="21"/>
                      <w:szCs w:val="21"/>
                      <w:lang w:bidi="ar"/>
                    </w:rPr>
                    <w:t>相符</w:t>
                  </w:r>
                </w:p>
              </w:tc>
            </w:tr>
          </w:tbl>
          <w:p w14:paraId="0C0A1D85">
            <w:pPr>
              <w:adjustRightInd w:val="0"/>
              <w:snapToGrid w:val="0"/>
              <w:spacing w:line="360" w:lineRule="auto"/>
              <w:ind w:firstLine="480" w:firstLineChars="200"/>
              <w:rPr>
                <w:color w:val="auto"/>
                <w:sz w:val="24"/>
              </w:rPr>
            </w:pPr>
            <w:r>
              <w:rPr>
                <w:color w:val="auto"/>
                <w:sz w:val="24"/>
              </w:rPr>
              <w:t>综上所述，项目与《云南省重点行业挥发性有机物综合治理实施方案》（云环通〔2019〕125号）相符。</w:t>
            </w:r>
          </w:p>
          <w:p w14:paraId="22DD52EE">
            <w:pPr>
              <w:adjustRightInd w:val="0"/>
              <w:snapToGrid w:val="0"/>
              <w:spacing w:line="360" w:lineRule="auto"/>
              <w:ind w:firstLine="482" w:firstLineChars="200"/>
              <w:rPr>
                <w:b/>
                <w:bCs/>
                <w:color w:val="auto"/>
                <w:sz w:val="24"/>
              </w:rPr>
            </w:pPr>
            <w:r>
              <w:rPr>
                <w:rFonts w:hint="eastAsia"/>
                <w:b/>
                <w:bCs/>
                <w:color w:val="auto"/>
                <w:sz w:val="24"/>
              </w:rPr>
              <w:t>14、与《昆明市重点行业挥发性有机物综合治理实施方案》（昆生环通[2019]185号）符合性分析</w:t>
            </w:r>
          </w:p>
          <w:p w14:paraId="0624B799">
            <w:pPr>
              <w:jc w:val="center"/>
              <w:rPr>
                <w:b/>
                <w:color w:val="auto"/>
                <w:szCs w:val="21"/>
              </w:rPr>
            </w:pPr>
            <w:r>
              <w:rPr>
                <w:b/>
                <w:color w:val="auto"/>
                <w:szCs w:val="21"/>
              </w:rPr>
              <w:t>表1-</w:t>
            </w:r>
            <w:r>
              <w:rPr>
                <w:rFonts w:hint="eastAsia"/>
                <w:b/>
                <w:color w:val="auto"/>
                <w:szCs w:val="21"/>
              </w:rPr>
              <w:t>14</w:t>
            </w:r>
            <w:r>
              <w:rPr>
                <w:b/>
                <w:color w:val="auto"/>
                <w:szCs w:val="21"/>
              </w:rPr>
              <w:t xml:space="preserve">  项目与《昆明市重点行业挥发性有机物综合治理实施方案》的相符性分析</w:t>
            </w:r>
          </w:p>
          <w:tbl>
            <w:tblPr>
              <w:tblStyle w:val="30"/>
              <w:tblW w:w="7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72"/>
              <w:gridCol w:w="3371"/>
              <w:gridCol w:w="722"/>
            </w:tblGrid>
            <w:tr w14:paraId="4A559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3672" w:type="dxa"/>
                  <w:vAlign w:val="center"/>
                </w:tcPr>
                <w:p w14:paraId="3C2DFBAA">
                  <w:pPr>
                    <w:pStyle w:val="28"/>
                    <w:widowControl w:val="0"/>
                    <w:adjustRightInd w:val="0"/>
                    <w:snapToGrid w:val="0"/>
                    <w:spacing w:before="0" w:beforeAutospacing="0" w:after="0" w:afterAutospacing="0"/>
                    <w:jc w:val="center"/>
                    <w:rPr>
                      <w:rFonts w:ascii="Times New Roman" w:hAnsi="Times New Roman"/>
                      <w:b/>
                      <w:color w:val="auto"/>
                      <w:sz w:val="21"/>
                      <w:szCs w:val="21"/>
                      <w:lang w:bidi="ar"/>
                    </w:rPr>
                  </w:pPr>
                  <w:r>
                    <w:rPr>
                      <w:rFonts w:ascii="Times New Roman" w:hAnsi="Times New Roman"/>
                      <w:b/>
                      <w:color w:val="auto"/>
                      <w:sz w:val="21"/>
                      <w:szCs w:val="21"/>
                      <w:lang w:bidi="ar"/>
                    </w:rPr>
                    <w:t>《昆明市重点行业挥发性有机物综合治理实施方案》</w:t>
                  </w:r>
                </w:p>
              </w:tc>
              <w:tc>
                <w:tcPr>
                  <w:tcW w:w="3371" w:type="dxa"/>
                  <w:vAlign w:val="center"/>
                </w:tcPr>
                <w:p w14:paraId="3EE993FC">
                  <w:pPr>
                    <w:adjustRightInd w:val="0"/>
                    <w:snapToGrid w:val="0"/>
                    <w:jc w:val="center"/>
                    <w:rPr>
                      <w:b/>
                      <w:color w:val="auto"/>
                      <w:szCs w:val="21"/>
                    </w:rPr>
                  </w:pPr>
                  <w:r>
                    <w:rPr>
                      <w:b/>
                      <w:color w:val="auto"/>
                      <w:szCs w:val="21"/>
                    </w:rPr>
                    <w:t>本项目</w:t>
                  </w:r>
                </w:p>
              </w:tc>
              <w:tc>
                <w:tcPr>
                  <w:tcW w:w="722" w:type="dxa"/>
                  <w:vAlign w:val="center"/>
                </w:tcPr>
                <w:p w14:paraId="5BFA5A6E">
                  <w:pPr>
                    <w:adjustRightInd w:val="0"/>
                    <w:snapToGrid w:val="0"/>
                    <w:jc w:val="center"/>
                    <w:rPr>
                      <w:b/>
                      <w:color w:val="auto"/>
                      <w:szCs w:val="21"/>
                    </w:rPr>
                  </w:pPr>
                  <w:r>
                    <w:rPr>
                      <w:b/>
                      <w:color w:val="auto"/>
                      <w:szCs w:val="21"/>
                    </w:rPr>
                    <w:t>相符性</w:t>
                  </w:r>
                </w:p>
              </w:tc>
            </w:tr>
            <w:tr w14:paraId="289BD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3672" w:type="dxa"/>
                  <w:vAlign w:val="center"/>
                </w:tcPr>
                <w:p w14:paraId="0F4F89F8">
                  <w:pPr>
                    <w:pStyle w:val="28"/>
                    <w:adjustRightInd w:val="0"/>
                    <w:snapToGrid w:val="0"/>
                    <w:jc w:val="center"/>
                    <w:rPr>
                      <w:rFonts w:ascii="Times New Roman" w:hAnsi="Times New Roman"/>
                      <w:color w:val="auto"/>
                      <w:sz w:val="21"/>
                      <w:szCs w:val="21"/>
                      <w:lang w:bidi="ar"/>
                    </w:rPr>
                  </w:pPr>
                  <w:r>
                    <w:rPr>
                      <w:rFonts w:ascii="Times New Roman" w:hAnsi="Times New Roman"/>
                      <w:color w:val="auto"/>
                      <w:sz w:val="21"/>
                      <w:szCs w:val="21"/>
                      <w:lang w:bidi="ar"/>
                    </w:rPr>
                    <w:t>(一)严格环境准入进一步提高行业准入门槛，严格限制石化、化工、包装印刷、工业涂装等高</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排放建设项目，控制新增污染物排放量</w:t>
                  </w:r>
                  <w:r>
                    <w:rPr>
                      <w:rFonts w:hint="eastAsia" w:ascii="Times New Roman" w:hAnsi="Times New Roman"/>
                      <w:color w:val="auto"/>
                      <w:sz w:val="21"/>
                      <w:szCs w:val="21"/>
                      <w:lang w:bidi="ar"/>
                    </w:rPr>
                    <w:t>；</w:t>
                  </w:r>
                  <w:r>
                    <w:rPr>
                      <w:rFonts w:ascii="Times New Roman" w:hAnsi="Times New Roman"/>
                      <w:color w:val="auto"/>
                      <w:sz w:val="21"/>
                      <w:szCs w:val="21"/>
                      <w:lang w:bidi="ar"/>
                    </w:rPr>
                    <w:t>鼓励提倡新、改、扩建涉</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排放项目使用低</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含量原辅材料，采取密闭措施，加强废气收集，配套安装高效治理设施，减少污染排放。同时，淘汰国家及地方明令禁止的落后工艺和设备。</w:t>
                  </w:r>
                </w:p>
              </w:tc>
              <w:tc>
                <w:tcPr>
                  <w:tcW w:w="3371" w:type="dxa"/>
                  <w:vAlign w:val="center"/>
                </w:tcPr>
                <w:p w14:paraId="55935400">
                  <w:pPr>
                    <w:adjustRightInd w:val="0"/>
                    <w:snapToGrid w:val="0"/>
                    <w:jc w:val="center"/>
                    <w:rPr>
                      <w:color w:val="auto"/>
                      <w:szCs w:val="21"/>
                      <w:lang w:bidi="ar"/>
                    </w:rPr>
                  </w:pPr>
                  <w:r>
                    <w:rPr>
                      <w:rFonts w:hint="eastAsia"/>
                      <w:color w:val="auto"/>
                      <w:szCs w:val="21"/>
                      <w:lang w:bidi="ar"/>
                    </w:rPr>
                    <w:t>项目不属于石化、化工、包装印刷、工业涂装等高VOCs（以非甲烷总烃计）排放项目；</w:t>
                  </w:r>
                  <w:r>
                    <w:rPr>
                      <w:color w:val="auto"/>
                      <w:szCs w:val="21"/>
                      <w:lang w:bidi="ar"/>
                    </w:rPr>
                    <w:t>项目</w:t>
                  </w:r>
                  <w:r>
                    <w:rPr>
                      <w:rFonts w:hint="eastAsia"/>
                      <w:color w:val="auto"/>
                      <w:szCs w:val="21"/>
                      <w:lang w:bidi="ar"/>
                    </w:rPr>
                    <w:t>烘干</w:t>
                  </w:r>
                  <w:r>
                    <w:rPr>
                      <w:color w:val="auto"/>
                      <w:szCs w:val="21"/>
                      <w:lang w:bidi="ar"/>
                    </w:rPr>
                    <w:t>过程产生的甲醛、</w:t>
                  </w:r>
                  <w:r>
                    <w:rPr>
                      <w:rFonts w:hint="eastAsia"/>
                      <w:color w:val="auto"/>
                      <w:szCs w:val="21"/>
                      <w:lang w:bidi="ar"/>
                    </w:rPr>
                    <w:t>VOCs（以非甲烷总烃计）</w:t>
                  </w:r>
                  <w:r>
                    <w:rPr>
                      <w:color w:val="auto"/>
                      <w:szCs w:val="21"/>
                      <w:lang w:bidi="ar"/>
                    </w:rPr>
                    <w:t>经集气罩收集、“UV光解+三级活性炭吸附净化装置”处理达标后，由1根</w:t>
                  </w:r>
                  <w:r>
                    <w:rPr>
                      <w:rFonts w:hint="eastAsia"/>
                      <w:color w:val="auto"/>
                      <w:szCs w:val="21"/>
                      <w:lang w:bidi="ar"/>
                    </w:rPr>
                    <w:t>15</w:t>
                  </w:r>
                  <w:r>
                    <w:rPr>
                      <w:color w:val="auto"/>
                      <w:szCs w:val="21"/>
                      <w:lang w:bidi="ar"/>
                    </w:rPr>
                    <w:t>m高排气筒</w:t>
                  </w:r>
                  <w:r>
                    <w:rPr>
                      <w:rFonts w:hint="eastAsia"/>
                      <w:color w:val="auto"/>
                      <w:szCs w:val="21"/>
                      <w:lang w:bidi="ar"/>
                    </w:rPr>
                    <w:t>（DA001）</w:t>
                  </w:r>
                  <w:r>
                    <w:rPr>
                      <w:color w:val="auto"/>
                      <w:szCs w:val="21"/>
                      <w:lang w:bidi="ar"/>
                    </w:rPr>
                    <w:t>排放</w:t>
                  </w:r>
                  <w:r>
                    <w:rPr>
                      <w:rFonts w:hint="eastAsia"/>
                      <w:color w:val="auto"/>
                      <w:szCs w:val="21"/>
                      <w:lang w:bidi="ar"/>
                    </w:rPr>
                    <w:t>；项目不涉及国家及地方明令禁止的落后工艺和设备。</w:t>
                  </w:r>
                </w:p>
              </w:tc>
              <w:tc>
                <w:tcPr>
                  <w:tcW w:w="722" w:type="dxa"/>
                  <w:vAlign w:val="center"/>
                </w:tcPr>
                <w:p w14:paraId="7D4872E4">
                  <w:pPr>
                    <w:pStyle w:val="28"/>
                    <w:widowControl w:val="0"/>
                    <w:adjustRightInd w:val="0"/>
                    <w:snapToGrid w:val="0"/>
                    <w:spacing w:before="0" w:beforeAutospacing="0" w:after="0" w:afterAutospacing="0"/>
                    <w:jc w:val="center"/>
                    <w:rPr>
                      <w:rFonts w:ascii="Times New Roman" w:hAnsi="Times New Roman"/>
                      <w:color w:val="auto"/>
                      <w:sz w:val="21"/>
                      <w:szCs w:val="21"/>
                      <w:lang w:bidi="ar"/>
                    </w:rPr>
                  </w:pPr>
                  <w:r>
                    <w:rPr>
                      <w:rFonts w:ascii="Times New Roman" w:hAnsi="Times New Roman"/>
                      <w:color w:val="auto"/>
                      <w:sz w:val="21"/>
                      <w:szCs w:val="21"/>
                      <w:lang w:bidi="ar"/>
                    </w:rPr>
                    <w:t>相符</w:t>
                  </w:r>
                </w:p>
              </w:tc>
            </w:tr>
            <w:tr w14:paraId="444F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3672" w:type="dxa"/>
                  <w:vAlign w:val="center"/>
                </w:tcPr>
                <w:p w14:paraId="345F3690">
                  <w:pPr>
                    <w:pStyle w:val="28"/>
                    <w:adjustRightInd w:val="0"/>
                    <w:snapToGrid w:val="0"/>
                    <w:jc w:val="center"/>
                    <w:rPr>
                      <w:rFonts w:ascii="Times New Roman" w:hAnsi="Times New Roman"/>
                      <w:color w:val="auto"/>
                      <w:sz w:val="21"/>
                      <w:szCs w:val="21"/>
                      <w:lang w:bidi="ar"/>
                    </w:rPr>
                  </w:pPr>
                  <w:r>
                    <w:rPr>
                      <w:rFonts w:ascii="Times New Roman" w:hAnsi="Times New Roman"/>
                      <w:color w:val="auto"/>
                      <w:sz w:val="21"/>
                      <w:szCs w:val="21"/>
                      <w:lang w:bidi="ar"/>
                    </w:rPr>
                    <w:t>(二)积极推广先进生产工艺通过采用全密闭、连续化、自动化等生产技术，以及高效工艺与设备等，减少工艺过程无组织排放。挥发性有机液体装载优先采用底部装载方式。石化、化工行业重点推进使用低 (无)泄漏的泵、压缩机、过滤机、离心机、干燥设备等，推广采用油品在线调和技术、密闭式循环水冷却系统等。工业涂装行业重点推进使用紧凑式涂装工艺，推广采用辘涂、静电喷涂、高压无气喷涂、空气辅助无气喷涂、热喷涂等涂装技术，鼓励企业采用自动化、智能化喷涂设备替代人工喷涂，减少使用空气喷涂技术。包装印刷行业大力推广使用无溶剂复合、挤出复合、共挤出复合技术，鼓励采用水性凹印、醇水凹印、辐射固化凹印、柔版印刷、无水胶印等印刷工艺。</w:t>
                  </w:r>
                </w:p>
              </w:tc>
              <w:tc>
                <w:tcPr>
                  <w:tcW w:w="3371" w:type="dxa"/>
                  <w:vAlign w:val="center"/>
                </w:tcPr>
                <w:p w14:paraId="0B76FDB6">
                  <w:pPr>
                    <w:pStyle w:val="28"/>
                    <w:adjustRightInd w:val="0"/>
                    <w:snapToGrid w:val="0"/>
                    <w:jc w:val="center"/>
                    <w:rPr>
                      <w:rFonts w:ascii="Times New Roman" w:hAnsi="Times New Roman"/>
                      <w:color w:val="auto"/>
                      <w:sz w:val="21"/>
                      <w:szCs w:val="21"/>
                      <w:lang w:bidi="ar"/>
                    </w:rPr>
                  </w:pPr>
                  <w:r>
                    <w:rPr>
                      <w:rFonts w:hint="eastAsia" w:ascii="Times New Roman" w:hAnsi="Times New Roman"/>
                      <w:color w:val="auto"/>
                      <w:sz w:val="21"/>
                      <w:szCs w:val="21"/>
                      <w:lang w:bidi="ar"/>
                    </w:rPr>
                    <w:t>本项目属其他纸制品制造项目，生产过程中使用高效工艺及设备。项目不涉及</w:t>
                  </w:r>
                  <w:r>
                    <w:rPr>
                      <w:rFonts w:ascii="Times New Roman" w:hAnsi="Times New Roman"/>
                      <w:color w:val="auto"/>
                      <w:sz w:val="21"/>
                      <w:szCs w:val="21"/>
                      <w:lang w:bidi="ar"/>
                    </w:rPr>
                    <w:t>挥发性有机液体装载</w:t>
                  </w:r>
                  <w:r>
                    <w:rPr>
                      <w:rFonts w:hint="eastAsia" w:ascii="Times New Roman" w:hAnsi="Times New Roman"/>
                      <w:color w:val="auto"/>
                      <w:sz w:val="21"/>
                      <w:szCs w:val="21"/>
                      <w:lang w:bidi="ar"/>
                    </w:rPr>
                    <w:t>、不属于</w:t>
                  </w:r>
                  <w:r>
                    <w:rPr>
                      <w:rFonts w:ascii="Times New Roman" w:hAnsi="Times New Roman"/>
                      <w:color w:val="auto"/>
                      <w:sz w:val="21"/>
                      <w:szCs w:val="21"/>
                      <w:lang w:bidi="ar"/>
                    </w:rPr>
                    <w:t>石化、化工行业</w:t>
                  </w:r>
                  <w:r>
                    <w:rPr>
                      <w:rFonts w:hint="eastAsia" w:ascii="Times New Roman" w:hAnsi="Times New Roman"/>
                      <w:color w:val="auto"/>
                      <w:sz w:val="21"/>
                      <w:szCs w:val="21"/>
                      <w:lang w:bidi="ar"/>
                    </w:rPr>
                    <w:t>，不涉及</w:t>
                  </w:r>
                  <w:r>
                    <w:rPr>
                      <w:rFonts w:ascii="Times New Roman" w:hAnsi="Times New Roman"/>
                      <w:color w:val="auto"/>
                      <w:sz w:val="21"/>
                      <w:szCs w:val="21"/>
                      <w:lang w:bidi="ar"/>
                    </w:rPr>
                    <w:t>工业涂装行业</w:t>
                  </w:r>
                  <w:r>
                    <w:rPr>
                      <w:rFonts w:hint="eastAsia" w:ascii="Times New Roman" w:hAnsi="Times New Roman"/>
                      <w:color w:val="auto"/>
                      <w:sz w:val="21"/>
                      <w:szCs w:val="21"/>
                      <w:lang w:bidi="ar"/>
                    </w:rPr>
                    <w:t>、</w:t>
                  </w:r>
                  <w:r>
                    <w:rPr>
                      <w:rFonts w:ascii="Times New Roman" w:hAnsi="Times New Roman"/>
                      <w:color w:val="auto"/>
                      <w:sz w:val="21"/>
                      <w:szCs w:val="21"/>
                      <w:lang w:bidi="ar"/>
                    </w:rPr>
                    <w:t>包装印刷行业</w:t>
                  </w:r>
                  <w:r>
                    <w:rPr>
                      <w:rFonts w:hint="eastAsia" w:ascii="Times New Roman" w:hAnsi="Times New Roman"/>
                      <w:color w:val="auto"/>
                      <w:sz w:val="21"/>
                      <w:szCs w:val="21"/>
                      <w:lang w:bidi="ar"/>
                    </w:rPr>
                    <w:t>。</w:t>
                  </w:r>
                </w:p>
              </w:tc>
              <w:tc>
                <w:tcPr>
                  <w:tcW w:w="722" w:type="dxa"/>
                  <w:vAlign w:val="center"/>
                </w:tcPr>
                <w:p w14:paraId="45CE205F">
                  <w:pPr>
                    <w:pStyle w:val="28"/>
                    <w:widowControl w:val="0"/>
                    <w:adjustRightInd w:val="0"/>
                    <w:snapToGrid w:val="0"/>
                    <w:spacing w:before="0" w:beforeAutospacing="0" w:after="0" w:afterAutospacing="0"/>
                    <w:jc w:val="center"/>
                    <w:rPr>
                      <w:rFonts w:ascii="Times New Roman" w:hAnsi="Times New Roman"/>
                      <w:color w:val="auto"/>
                      <w:sz w:val="21"/>
                      <w:szCs w:val="21"/>
                      <w:lang w:bidi="ar"/>
                    </w:rPr>
                  </w:pPr>
                  <w:r>
                    <w:rPr>
                      <w:rFonts w:ascii="Times New Roman" w:hAnsi="Times New Roman"/>
                      <w:color w:val="auto"/>
                      <w:sz w:val="21"/>
                      <w:szCs w:val="21"/>
                      <w:lang w:bidi="ar"/>
                    </w:rPr>
                    <w:t>相符</w:t>
                  </w:r>
                </w:p>
              </w:tc>
            </w:tr>
            <w:tr w14:paraId="5F853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8" w:hRule="atLeast"/>
              </w:trPr>
              <w:tc>
                <w:tcPr>
                  <w:tcW w:w="3672" w:type="dxa"/>
                  <w:vAlign w:val="center"/>
                </w:tcPr>
                <w:p w14:paraId="56F916E7">
                  <w:pPr>
                    <w:pStyle w:val="28"/>
                    <w:adjustRightInd w:val="0"/>
                    <w:snapToGrid w:val="0"/>
                    <w:jc w:val="center"/>
                    <w:rPr>
                      <w:rFonts w:ascii="Times New Roman" w:hAnsi="Times New Roman"/>
                      <w:color w:val="auto"/>
                      <w:sz w:val="21"/>
                      <w:szCs w:val="21"/>
                      <w:lang w:bidi="ar"/>
                    </w:rPr>
                  </w:pPr>
                  <w:r>
                    <w:rPr>
                      <w:rFonts w:ascii="Times New Roman" w:hAnsi="Times New Roman"/>
                      <w:color w:val="auto"/>
                      <w:sz w:val="21"/>
                      <w:szCs w:val="21"/>
                      <w:lang w:bidi="ar"/>
                    </w:rPr>
                    <w:t>(三)推进建设适宜高效的治污设施</w:t>
                  </w:r>
                  <w:r>
                    <w:rPr>
                      <w:rFonts w:hint="eastAsia" w:ascii="Times New Roman" w:hAnsi="Times New Roman"/>
                      <w:color w:val="auto"/>
                      <w:sz w:val="21"/>
                      <w:szCs w:val="21"/>
                      <w:lang w:bidi="ar"/>
                    </w:rPr>
                    <w:t>。</w:t>
                  </w:r>
                  <w:r>
                    <w:rPr>
                      <w:rFonts w:ascii="Times New Roman" w:hAnsi="Times New Roman"/>
                      <w:color w:val="auto"/>
                      <w:sz w:val="21"/>
                      <w:szCs w:val="21"/>
                      <w:lang w:bidi="ar"/>
                    </w:rPr>
                    <w:t>鼓励企业采用多种技术的组合工艺，提高</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治理效率。低浓度、大风量废气，宜采用沸石转轮吸附、二级活性炭吸附、减风增浓等浓缩技术，提高</w:t>
                  </w:r>
                  <w:r>
                    <w:rPr>
                      <w:rFonts w:hint="eastAsia" w:ascii="Times New Roman" w:hAnsi="Times New Roman"/>
                      <w:color w:val="auto"/>
                      <w:sz w:val="21"/>
                      <w:szCs w:val="21"/>
                      <w:lang w:bidi="ar"/>
                    </w:rPr>
                    <w:t>VOCs（以非甲烷总烃计）</w:t>
                  </w:r>
                  <w:r>
                    <w:rPr>
                      <w:rFonts w:ascii="Times New Roman" w:hAnsi="Times New Roman"/>
                      <w:color w:val="auto"/>
                      <w:sz w:val="21"/>
                      <w:szCs w:val="21"/>
                      <w:lang w:bidi="ar"/>
                    </w:rPr>
                    <w:t>浓度后净化处理。</w:t>
                  </w:r>
                </w:p>
              </w:tc>
              <w:tc>
                <w:tcPr>
                  <w:tcW w:w="3371" w:type="dxa"/>
                  <w:vAlign w:val="center"/>
                </w:tcPr>
                <w:p w14:paraId="0D7A4007">
                  <w:pPr>
                    <w:adjustRightInd w:val="0"/>
                    <w:snapToGrid w:val="0"/>
                    <w:rPr>
                      <w:color w:val="auto"/>
                      <w:kern w:val="0"/>
                      <w:szCs w:val="21"/>
                      <w:lang w:bidi="ar"/>
                    </w:rPr>
                  </w:pPr>
                  <w:r>
                    <w:rPr>
                      <w:color w:val="auto"/>
                      <w:kern w:val="0"/>
                      <w:szCs w:val="21"/>
                      <w:lang w:bidi="ar"/>
                    </w:rPr>
                    <w:t>本项目</w:t>
                  </w:r>
                  <w:r>
                    <w:rPr>
                      <w:rFonts w:hint="eastAsia"/>
                      <w:color w:val="auto"/>
                      <w:kern w:val="0"/>
                      <w:szCs w:val="21"/>
                      <w:lang w:bidi="ar"/>
                    </w:rPr>
                    <w:t>有机废气</w:t>
                  </w:r>
                  <w:r>
                    <w:rPr>
                      <w:color w:val="auto"/>
                      <w:kern w:val="0"/>
                      <w:szCs w:val="21"/>
                      <w:lang w:bidi="ar"/>
                    </w:rPr>
                    <w:t xml:space="preserve">采用UV光解+三级活性炭吸附净化装置，为《排污许可证申请与核发技术规范 </w:t>
                  </w:r>
                  <w:r>
                    <w:rPr>
                      <w:rFonts w:hint="eastAsia"/>
                      <w:color w:val="auto"/>
                      <w:kern w:val="0"/>
                      <w:szCs w:val="21"/>
                      <w:lang w:bidi="ar"/>
                    </w:rPr>
                    <w:t>总则</w:t>
                  </w:r>
                  <w:r>
                    <w:rPr>
                      <w:color w:val="auto"/>
                      <w:kern w:val="0"/>
                      <w:szCs w:val="21"/>
                      <w:lang w:bidi="ar"/>
                    </w:rPr>
                    <w:t xml:space="preserve">》（HJ </w:t>
                  </w:r>
                  <w:r>
                    <w:rPr>
                      <w:rFonts w:hint="eastAsia"/>
                      <w:color w:val="auto"/>
                      <w:kern w:val="0"/>
                      <w:szCs w:val="21"/>
                      <w:lang w:bidi="ar"/>
                    </w:rPr>
                    <w:t>942</w:t>
                  </w:r>
                  <w:r>
                    <w:rPr>
                      <w:color w:val="auto"/>
                      <w:kern w:val="0"/>
                      <w:szCs w:val="21"/>
                      <w:lang w:bidi="ar"/>
                    </w:rPr>
                    <w:t>-201</w:t>
                  </w:r>
                  <w:r>
                    <w:rPr>
                      <w:rFonts w:hint="eastAsia"/>
                      <w:color w:val="auto"/>
                      <w:kern w:val="0"/>
                      <w:szCs w:val="21"/>
                      <w:lang w:bidi="ar"/>
                    </w:rPr>
                    <w:t>8</w:t>
                  </w:r>
                  <w:r>
                    <w:rPr>
                      <w:color w:val="auto"/>
                      <w:kern w:val="0"/>
                      <w:szCs w:val="21"/>
                      <w:lang w:bidi="ar"/>
                    </w:rPr>
                    <w:t>）</w:t>
                  </w:r>
                  <w:r>
                    <w:rPr>
                      <w:rFonts w:hint="eastAsia"/>
                      <w:color w:val="auto"/>
                      <w:kern w:val="0"/>
                      <w:szCs w:val="21"/>
                      <w:lang w:bidi="ar"/>
                    </w:rPr>
                    <w:t>以及“挥发性有机物（VOCs（以非甲烷总烃计））污染防治技术政策”（公告 2013年第31号 2013-05-24实施）中末端治理与综合利用要求中</w:t>
                  </w:r>
                  <w:r>
                    <w:rPr>
                      <w:color w:val="auto"/>
                      <w:kern w:val="0"/>
                      <w:szCs w:val="21"/>
                      <w:lang w:bidi="ar"/>
                    </w:rPr>
                    <w:t>的</w:t>
                  </w:r>
                  <w:r>
                    <w:rPr>
                      <w:rFonts w:hint="eastAsia"/>
                      <w:color w:val="auto"/>
                      <w:kern w:val="0"/>
                      <w:szCs w:val="21"/>
                      <w:lang w:bidi="ar"/>
                    </w:rPr>
                    <w:t>可行</w:t>
                  </w:r>
                  <w:r>
                    <w:rPr>
                      <w:color w:val="auto"/>
                      <w:kern w:val="0"/>
                      <w:szCs w:val="21"/>
                      <w:lang w:bidi="ar"/>
                    </w:rPr>
                    <w:t>技术。</w:t>
                  </w:r>
                </w:p>
              </w:tc>
              <w:tc>
                <w:tcPr>
                  <w:tcW w:w="722" w:type="dxa"/>
                  <w:vAlign w:val="center"/>
                </w:tcPr>
                <w:p w14:paraId="62B060DE">
                  <w:pPr>
                    <w:pStyle w:val="28"/>
                    <w:widowControl w:val="0"/>
                    <w:adjustRightInd w:val="0"/>
                    <w:snapToGrid w:val="0"/>
                    <w:spacing w:before="0" w:beforeAutospacing="0" w:after="0" w:afterAutospacing="0"/>
                    <w:jc w:val="center"/>
                    <w:rPr>
                      <w:rFonts w:ascii="Times New Roman" w:hAnsi="Times New Roman"/>
                      <w:color w:val="auto"/>
                      <w:sz w:val="21"/>
                      <w:szCs w:val="21"/>
                      <w:lang w:bidi="ar"/>
                    </w:rPr>
                  </w:pPr>
                  <w:r>
                    <w:rPr>
                      <w:rFonts w:hint="eastAsia" w:ascii="Times New Roman" w:hAnsi="Times New Roman"/>
                      <w:color w:val="auto"/>
                      <w:sz w:val="21"/>
                      <w:szCs w:val="21"/>
                      <w:lang w:bidi="ar"/>
                    </w:rPr>
                    <w:t>相符</w:t>
                  </w:r>
                </w:p>
              </w:tc>
            </w:tr>
          </w:tbl>
          <w:p w14:paraId="426AAE5E">
            <w:pPr>
              <w:adjustRightInd w:val="0"/>
              <w:snapToGrid w:val="0"/>
              <w:spacing w:line="360" w:lineRule="auto"/>
              <w:ind w:firstLine="480" w:firstLineChars="200"/>
              <w:rPr>
                <w:color w:val="auto"/>
                <w:sz w:val="24"/>
              </w:rPr>
            </w:pPr>
            <w:r>
              <w:rPr>
                <w:color w:val="auto"/>
                <w:sz w:val="24"/>
              </w:rPr>
              <w:t>综上所述，项目与《昆明市重点行业挥发性有机物综合治理实施方案》</w:t>
            </w:r>
            <w:r>
              <w:rPr>
                <w:rFonts w:hint="eastAsia"/>
                <w:color w:val="auto"/>
                <w:sz w:val="24"/>
              </w:rPr>
              <w:t>（昆生环通[2019]185号）</w:t>
            </w:r>
            <w:r>
              <w:rPr>
                <w:color w:val="auto"/>
                <w:sz w:val="24"/>
              </w:rPr>
              <w:t>相符。</w:t>
            </w:r>
          </w:p>
          <w:p w14:paraId="079C12D6">
            <w:pPr>
              <w:pStyle w:val="13"/>
              <w:adjustRightInd w:val="0"/>
              <w:snapToGrid w:val="0"/>
              <w:spacing w:line="360" w:lineRule="auto"/>
              <w:ind w:firstLine="482" w:firstLineChars="200"/>
              <w:rPr>
                <w:rFonts w:ascii="Times New Roman" w:hAnsi="Times New Roman"/>
                <w:b/>
                <w:bCs/>
                <w:color w:val="auto"/>
                <w:kern w:val="2"/>
                <w:sz w:val="24"/>
                <w:szCs w:val="24"/>
              </w:rPr>
            </w:pPr>
            <w:r>
              <w:rPr>
                <w:rFonts w:hint="eastAsia" w:ascii="Times New Roman" w:hAnsi="Times New Roman"/>
                <w:b/>
                <w:bCs/>
                <w:color w:val="auto"/>
                <w:kern w:val="2"/>
                <w:sz w:val="24"/>
                <w:szCs w:val="24"/>
              </w:rPr>
              <w:t>15、</w:t>
            </w:r>
            <w:r>
              <w:rPr>
                <w:rFonts w:ascii="Times New Roman" w:hAnsi="Times New Roman"/>
                <w:b/>
                <w:bCs/>
                <w:color w:val="auto"/>
                <w:kern w:val="2"/>
                <w:sz w:val="24"/>
                <w:szCs w:val="24"/>
              </w:rPr>
              <w:t>与《昆明市大气污染防治条例》相符性分析</w:t>
            </w:r>
          </w:p>
          <w:p w14:paraId="5DADED5C">
            <w:pPr>
              <w:snapToGrid w:val="0"/>
              <w:spacing w:line="360" w:lineRule="auto"/>
              <w:ind w:firstLine="480" w:firstLineChars="200"/>
              <w:rPr>
                <w:color w:val="auto"/>
                <w:kern w:val="0"/>
                <w:sz w:val="24"/>
              </w:rPr>
            </w:pPr>
            <w:r>
              <w:rPr>
                <w:color w:val="auto"/>
                <w:kern w:val="0"/>
                <w:sz w:val="24"/>
              </w:rPr>
              <w:t>项目与《昆明市大气污染防治条例》相符性分析见</w:t>
            </w:r>
            <w:r>
              <w:rPr>
                <w:rFonts w:hint="eastAsia"/>
                <w:color w:val="auto"/>
                <w:kern w:val="0"/>
                <w:sz w:val="24"/>
              </w:rPr>
              <w:t>下表</w:t>
            </w:r>
            <w:r>
              <w:rPr>
                <w:color w:val="auto"/>
                <w:kern w:val="0"/>
                <w:sz w:val="24"/>
              </w:rPr>
              <w:t>。</w:t>
            </w:r>
          </w:p>
          <w:p w14:paraId="6477DE8F">
            <w:pPr>
              <w:widowControl/>
              <w:adjustRightInd w:val="0"/>
              <w:snapToGrid w:val="0"/>
              <w:spacing w:line="276" w:lineRule="auto"/>
              <w:jc w:val="center"/>
              <w:rPr>
                <w:b/>
                <w:bCs/>
                <w:color w:val="auto"/>
                <w:spacing w:val="-2"/>
                <w:szCs w:val="21"/>
              </w:rPr>
            </w:pPr>
            <w:r>
              <w:rPr>
                <w:rFonts w:hint="eastAsia"/>
                <w:b/>
                <w:bCs/>
                <w:color w:val="auto"/>
                <w:spacing w:val="-2"/>
                <w:szCs w:val="21"/>
              </w:rPr>
              <w:t>表1-15  与《昆明市大气污染防治条例》的符合性分析</w:t>
            </w:r>
          </w:p>
          <w:tbl>
            <w:tblPr>
              <w:tblStyle w:val="30"/>
              <w:tblW w:w="77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0"/>
              <w:gridCol w:w="3244"/>
              <w:gridCol w:w="818"/>
            </w:tblGrid>
            <w:tr w14:paraId="2AF7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700" w:type="dxa"/>
                  <w:vAlign w:val="center"/>
                </w:tcPr>
                <w:p w14:paraId="7D0C2506">
                  <w:pPr>
                    <w:jc w:val="center"/>
                    <w:rPr>
                      <w:b/>
                      <w:bCs/>
                      <w:color w:val="auto"/>
                      <w:szCs w:val="21"/>
                    </w:rPr>
                  </w:pPr>
                  <w:r>
                    <w:rPr>
                      <w:b/>
                      <w:bCs/>
                      <w:color w:val="auto"/>
                      <w:kern w:val="0"/>
                      <w:szCs w:val="21"/>
                    </w:rPr>
                    <w:t>昆明市大气污染防治条例要求</w:t>
                  </w:r>
                </w:p>
              </w:tc>
              <w:tc>
                <w:tcPr>
                  <w:tcW w:w="3244" w:type="dxa"/>
                  <w:vAlign w:val="center"/>
                </w:tcPr>
                <w:p w14:paraId="7817771D">
                  <w:pPr>
                    <w:jc w:val="center"/>
                    <w:rPr>
                      <w:b/>
                      <w:bCs/>
                      <w:color w:val="auto"/>
                      <w:szCs w:val="21"/>
                    </w:rPr>
                  </w:pPr>
                  <w:r>
                    <w:rPr>
                      <w:b/>
                      <w:bCs/>
                      <w:color w:val="auto"/>
                      <w:kern w:val="0"/>
                      <w:szCs w:val="21"/>
                    </w:rPr>
                    <w:t>项目情况</w:t>
                  </w:r>
                </w:p>
              </w:tc>
              <w:tc>
                <w:tcPr>
                  <w:tcW w:w="818" w:type="dxa"/>
                  <w:vAlign w:val="center"/>
                </w:tcPr>
                <w:p w14:paraId="265C8936">
                  <w:pPr>
                    <w:jc w:val="center"/>
                    <w:rPr>
                      <w:b/>
                      <w:bCs/>
                      <w:color w:val="auto"/>
                      <w:szCs w:val="21"/>
                    </w:rPr>
                  </w:pPr>
                  <w:r>
                    <w:rPr>
                      <w:b/>
                      <w:bCs/>
                      <w:color w:val="auto"/>
                      <w:kern w:val="0"/>
                      <w:szCs w:val="21"/>
                    </w:rPr>
                    <w:t>符合性</w:t>
                  </w:r>
                </w:p>
              </w:tc>
            </w:tr>
            <w:tr w14:paraId="66C09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00" w:type="dxa"/>
                  <w:vAlign w:val="center"/>
                </w:tcPr>
                <w:p w14:paraId="08663AD2">
                  <w:pPr>
                    <w:jc w:val="center"/>
                    <w:rPr>
                      <w:color w:val="auto"/>
                      <w:szCs w:val="21"/>
                    </w:rPr>
                  </w:pPr>
                  <w:r>
                    <w:rPr>
                      <w:color w:val="auto"/>
                      <w:szCs w:val="21"/>
                    </w:rPr>
                    <w:t>禁止排放超过排放标准或者超过重点大气污染物排放总量控制指标的大气污染物。排放大气污染物的企业事业单位和其他生产经营者应当加强精细化管理，严格按照有关规定，配套建设、使用和维护大气污染防治装备。大气排放污染物的企业事业单位和其他生产经营者，应当按照有关规定设置大气污染物排放口。禁止通过偷排、篡改或者伪造监测数据、以逃避现场检查为目的的临时停产、非紧急情况下开启应急排放通道、擅自拆除或者不正常运行大气污染防治设施等逃避监管的方式排放大气污染物。</w:t>
                  </w:r>
                </w:p>
              </w:tc>
              <w:tc>
                <w:tcPr>
                  <w:tcW w:w="3244" w:type="dxa"/>
                  <w:vAlign w:val="center"/>
                </w:tcPr>
                <w:p w14:paraId="4937C113">
                  <w:pPr>
                    <w:widowControl/>
                    <w:jc w:val="center"/>
                    <w:rPr>
                      <w:color w:val="auto"/>
                      <w:szCs w:val="21"/>
                    </w:rPr>
                  </w:pPr>
                  <w:r>
                    <w:rPr>
                      <w:color w:val="auto"/>
                      <w:szCs w:val="21"/>
                      <w:lang w:bidi="ar"/>
                    </w:rPr>
                    <w:t>项目</w:t>
                  </w:r>
                  <w:r>
                    <w:rPr>
                      <w:rFonts w:hint="eastAsia"/>
                      <w:color w:val="auto"/>
                      <w:szCs w:val="21"/>
                      <w:lang w:bidi="ar"/>
                    </w:rPr>
                    <w:t>生产</w:t>
                  </w:r>
                  <w:r>
                    <w:rPr>
                      <w:color w:val="auto"/>
                      <w:szCs w:val="21"/>
                      <w:lang w:bidi="ar"/>
                    </w:rPr>
                    <w:t>过程产生的甲醛、</w:t>
                  </w:r>
                  <w:r>
                    <w:rPr>
                      <w:rFonts w:hint="eastAsia"/>
                      <w:color w:val="auto"/>
                      <w:szCs w:val="21"/>
                      <w:lang w:bidi="ar"/>
                    </w:rPr>
                    <w:t>VOCs（以非甲烷总烃计）</w:t>
                  </w:r>
                  <w:r>
                    <w:rPr>
                      <w:color w:val="auto"/>
                      <w:szCs w:val="21"/>
                      <w:lang w:bidi="ar"/>
                    </w:rPr>
                    <w:t>经集气罩收集、“UV光解+三级活性炭吸附净化装置”处理达标后，由1根</w:t>
                  </w:r>
                  <w:r>
                    <w:rPr>
                      <w:rFonts w:hint="eastAsia"/>
                      <w:color w:val="auto"/>
                      <w:szCs w:val="21"/>
                      <w:lang w:bidi="ar"/>
                    </w:rPr>
                    <w:t>15</w:t>
                  </w:r>
                  <w:r>
                    <w:rPr>
                      <w:color w:val="auto"/>
                      <w:szCs w:val="21"/>
                      <w:lang w:bidi="ar"/>
                    </w:rPr>
                    <w:t>m高排气筒</w:t>
                  </w:r>
                  <w:r>
                    <w:rPr>
                      <w:rFonts w:hint="eastAsia"/>
                      <w:color w:val="auto"/>
                      <w:szCs w:val="21"/>
                      <w:lang w:bidi="ar"/>
                    </w:rPr>
                    <w:t>（DA001）</w:t>
                  </w:r>
                  <w:r>
                    <w:rPr>
                      <w:color w:val="auto"/>
                      <w:szCs w:val="21"/>
                      <w:lang w:bidi="ar"/>
                    </w:rPr>
                    <w:t>排放</w:t>
                  </w:r>
                  <w:r>
                    <w:rPr>
                      <w:rFonts w:hint="eastAsia"/>
                      <w:color w:val="auto"/>
                      <w:szCs w:val="21"/>
                    </w:rPr>
                    <w:t>；天然气燃烧废气由15m高排气筒（DA002）排放。</w:t>
                  </w:r>
                  <w:r>
                    <w:rPr>
                      <w:color w:val="auto"/>
                      <w:szCs w:val="21"/>
                    </w:rPr>
                    <w:t>本项目废气均设置合理的处置措施处理后达标排放，不存在偷排</w:t>
                  </w:r>
                  <w:r>
                    <w:rPr>
                      <w:snapToGrid w:val="0"/>
                      <w:color w:val="auto"/>
                      <w:kern w:val="0"/>
                      <w:szCs w:val="21"/>
                    </w:rPr>
                    <w:t>。</w:t>
                  </w:r>
                </w:p>
              </w:tc>
              <w:tc>
                <w:tcPr>
                  <w:tcW w:w="818" w:type="dxa"/>
                  <w:vAlign w:val="center"/>
                </w:tcPr>
                <w:p w14:paraId="48EB967F">
                  <w:pPr>
                    <w:jc w:val="center"/>
                    <w:rPr>
                      <w:color w:val="auto"/>
                      <w:szCs w:val="21"/>
                    </w:rPr>
                  </w:pPr>
                  <w:r>
                    <w:rPr>
                      <w:color w:val="auto"/>
                      <w:kern w:val="0"/>
                      <w:szCs w:val="21"/>
                    </w:rPr>
                    <w:t>符合</w:t>
                  </w:r>
                </w:p>
              </w:tc>
            </w:tr>
            <w:tr w14:paraId="797D3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0" w:type="dxa"/>
                  <w:vAlign w:val="center"/>
                </w:tcPr>
                <w:p w14:paraId="1A8A5A94">
                  <w:pPr>
                    <w:jc w:val="center"/>
                    <w:rPr>
                      <w:color w:val="auto"/>
                      <w:szCs w:val="21"/>
                    </w:rPr>
                  </w:pPr>
                  <w:r>
                    <w:rPr>
                      <w:color w:val="auto"/>
                      <w:szCs w:val="21"/>
                    </w:rPr>
                    <w:t>下列产生含挥发性有机物废气的生产和服务活动，应当在密闭空间或者设备中进行，并按照规定安装、使用污染防治设施；无法密闭的，应当采取高效处理措施减少废气排放：（一）石油炼制及有机化学品、合成树脂、合成纤维、合成橡胶等行业；（二）制药、农药、涂料、油墨、胶粘剂、橡胶和塑料加工等行业；（三）汽车、家具、集装箱、电子产品、工程机械等行业；（四）塑料软包装印刷、印铁制罐等行业；（五）其他产生挥发性有机物的生产和服务活动。</w:t>
                  </w:r>
                </w:p>
              </w:tc>
              <w:tc>
                <w:tcPr>
                  <w:tcW w:w="3244" w:type="dxa"/>
                  <w:vAlign w:val="center"/>
                </w:tcPr>
                <w:p w14:paraId="66E8732B">
                  <w:pPr>
                    <w:widowControl/>
                    <w:jc w:val="center"/>
                    <w:rPr>
                      <w:color w:val="auto"/>
                      <w:szCs w:val="21"/>
                    </w:rPr>
                  </w:pPr>
                  <w:r>
                    <w:rPr>
                      <w:rFonts w:hint="eastAsia"/>
                      <w:color w:val="auto"/>
                      <w:szCs w:val="21"/>
                      <w:lang w:bidi="ar"/>
                    </w:rPr>
                    <w:t>项目调胶、烘干工段均在密闭的空间内进行，浸胶工段上方设置集气罩，生产过程中产生的甲醛和VOCs（以非甲烷总烃计）收集至</w:t>
                  </w:r>
                  <w:r>
                    <w:rPr>
                      <w:color w:val="auto"/>
                      <w:szCs w:val="21"/>
                      <w:lang w:bidi="ar"/>
                    </w:rPr>
                    <w:t>“UV光解+三级活性炭吸附净化装置”处理达标后，由1根</w:t>
                  </w:r>
                  <w:r>
                    <w:rPr>
                      <w:rFonts w:hint="eastAsia"/>
                      <w:color w:val="auto"/>
                      <w:szCs w:val="21"/>
                      <w:lang w:bidi="ar"/>
                    </w:rPr>
                    <w:t>15</w:t>
                  </w:r>
                  <w:r>
                    <w:rPr>
                      <w:color w:val="auto"/>
                      <w:szCs w:val="21"/>
                      <w:lang w:bidi="ar"/>
                    </w:rPr>
                    <w:t>m高排气筒</w:t>
                  </w:r>
                  <w:r>
                    <w:rPr>
                      <w:rFonts w:hint="eastAsia"/>
                      <w:color w:val="auto"/>
                      <w:szCs w:val="21"/>
                      <w:lang w:bidi="ar"/>
                    </w:rPr>
                    <w:t>（DA001）</w:t>
                  </w:r>
                  <w:r>
                    <w:rPr>
                      <w:color w:val="auto"/>
                      <w:szCs w:val="21"/>
                      <w:lang w:bidi="ar"/>
                    </w:rPr>
                    <w:t>排放</w:t>
                  </w:r>
                  <w:r>
                    <w:rPr>
                      <w:rFonts w:hint="eastAsia"/>
                      <w:color w:val="auto"/>
                      <w:szCs w:val="21"/>
                      <w:lang w:bidi="ar"/>
                    </w:rPr>
                    <w:t>。</w:t>
                  </w:r>
                </w:p>
              </w:tc>
              <w:tc>
                <w:tcPr>
                  <w:tcW w:w="818" w:type="dxa"/>
                  <w:vAlign w:val="center"/>
                </w:tcPr>
                <w:p w14:paraId="60CDC14E">
                  <w:pPr>
                    <w:jc w:val="center"/>
                    <w:rPr>
                      <w:color w:val="auto"/>
                      <w:szCs w:val="21"/>
                    </w:rPr>
                  </w:pPr>
                  <w:r>
                    <w:rPr>
                      <w:color w:val="auto"/>
                      <w:kern w:val="0"/>
                      <w:szCs w:val="21"/>
                    </w:rPr>
                    <w:t>符合</w:t>
                  </w:r>
                </w:p>
              </w:tc>
            </w:tr>
            <w:tr w14:paraId="717C9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0" w:type="dxa"/>
                  <w:vAlign w:val="center"/>
                </w:tcPr>
                <w:p w14:paraId="1CEEA883">
                  <w:pPr>
                    <w:jc w:val="center"/>
                    <w:rPr>
                      <w:color w:val="auto"/>
                      <w:szCs w:val="21"/>
                    </w:rPr>
                  </w:pPr>
                  <w:r>
                    <w:rPr>
                      <w:color w:val="auto"/>
                      <w:szCs w:val="21"/>
                    </w:rPr>
                    <w:t>生产、进口、销售和使用含挥发性有机物原材料和产品的，其挥发性有机物含量应当符合质量标准或者要求。工业涂装企业应当使用低挥发性有机物含量的涂料，并建立台账，记录生产原料、辅料的使用量、废弃量、去向以及挥发性有机物含量。台账保存期限不得少于3年。</w:t>
                  </w:r>
                </w:p>
              </w:tc>
              <w:tc>
                <w:tcPr>
                  <w:tcW w:w="3244" w:type="dxa"/>
                  <w:vAlign w:val="center"/>
                </w:tcPr>
                <w:p w14:paraId="01D363B4">
                  <w:pPr>
                    <w:widowControl/>
                    <w:jc w:val="center"/>
                    <w:rPr>
                      <w:color w:val="auto"/>
                      <w:szCs w:val="21"/>
                    </w:rPr>
                  </w:pPr>
                  <w:r>
                    <w:rPr>
                      <w:color w:val="auto"/>
                      <w:szCs w:val="21"/>
                    </w:rPr>
                    <w:t>本项目</w:t>
                  </w:r>
                  <w:r>
                    <w:rPr>
                      <w:rFonts w:hint="eastAsia"/>
                      <w:color w:val="auto"/>
                      <w:szCs w:val="21"/>
                      <w:lang w:bidi="ar"/>
                    </w:rPr>
                    <w:t>纸制品生产项目，不涉及工业涂装；</w:t>
                  </w:r>
                  <w:r>
                    <w:rPr>
                      <w:rFonts w:hint="eastAsia"/>
                      <w:color w:val="auto"/>
                      <w:szCs w:val="21"/>
                    </w:rPr>
                    <w:t>项目使用的三聚氰胺甲醛树脂中</w:t>
                  </w:r>
                  <w:r>
                    <w:rPr>
                      <w:color w:val="auto"/>
                      <w:szCs w:val="21"/>
                    </w:rPr>
                    <w:t>挥发性有机物含量符合质量标准。</w:t>
                  </w:r>
                </w:p>
              </w:tc>
              <w:tc>
                <w:tcPr>
                  <w:tcW w:w="818" w:type="dxa"/>
                  <w:vAlign w:val="center"/>
                </w:tcPr>
                <w:p w14:paraId="6555FE51">
                  <w:pPr>
                    <w:jc w:val="center"/>
                    <w:rPr>
                      <w:color w:val="auto"/>
                      <w:kern w:val="0"/>
                      <w:szCs w:val="21"/>
                    </w:rPr>
                  </w:pPr>
                  <w:r>
                    <w:rPr>
                      <w:color w:val="auto"/>
                      <w:kern w:val="0"/>
                      <w:szCs w:val="21"/>
                    </w:rPr>
                    <w:t>符合</w:t>
                  </w:r>
                </w:p>
              </w:tc>
            </w:tr>
          </w:tbl>
          <w:p w14:paraId="114BA33E">
            <w:pPr>
              <w:adjustRightInd w:val="0"/>
              <w:snapToGrid w:val="0"/>
              <w:spacing w:line="360" w:lineRule="auto"/>
              <w:ind w:firstLine="480" w:firstLineChars="200"/>
              <w:rPr>
                <w:color w:val="auto"/>
                <w:sz w:val="24"/>
              </w:rPr>
            </w:pPr>
            <w:r>
              <w:rPr>
                <w:color w:val="auto"/>
                <w:sz w:val="24"/>
              </w:rPr>
              <w:t>综上，项目符合</w:t>
            </w:r>
            <w:r>
              <w:rPr>
                <w:rFonts w:hint="eastAsia"/>
                <w:color w:val="auto"/>
                <w:sz w:val="24"/>
              </w:rPr>
              <w:t>《昆明市大气污染防治条例》</w:t>
            </w:r>
            <w:r>
              <w:rPr>
                <w:color w:val="auto"/>
                <w:sz w:val="24"/>
              </w:rPr>
              <w:t>要求。</w:t>
            </w:r>
          </w:p>
        </w:tc>
      </w:tr>
    </w:tbl>
    <w:p w14:paraId="0B15A614">
      <w:pPr>
        <w:spacing w:line="360" w:lineRule="auto"/>
        <w:rPr>
          <w:rFonts w:eastAsia="黑体"/>
          <w:color w:val="auto"/>
          <w:sz w:val="30"/>
        </w:rPr>
        <w:sectPr>
          <w:footerReference r:id="rId4" w:type="default"/>
          <w:pgSz w:w="11906" w:h="16838"/>
          <w:pgMar w:top="1701" w:right="1531" w:bottom="1701" w:left="1531" w:header="851" w:footer="1077" w:gutter="0"/>
          <w:pgNumType w:start="1"/>
          <w:cols w:space="720" w:num="1"/>
          <w:docGrid w:linePitch="312" w:charSpace="0"/>
        </w:sectPr>
      </w:pPr>
    </w:p>
    <w:p w14:paraId="5EE370B5">
      <w:pPr>
        <w:pStyle w:val="28"/>
        <w:jc w:val="center"/>
        <w:outlineLvl w:val="0"/>
        <w:rPr>
          <w:rFonts w:ascii="黑体" w:hAnsi="黑体" w:eastAsia="黑体"/>
          <w:snapToGrid w:val="0"/>
          <w:color w:val="auto"/>
          <w:sz w:val="30"/>
          <w:szCs w:val="30"/>
        </w:rPr>
      </w:pPr>
      <w:bookmarkStart w:id="2" w:name="_Toc26383"/>
      <w:r>
        <w:rPr>
          <w:rFonts w:hint="eastAsia" w:ascii="黑体" w:hAnsi="黑体" w:eastAsia="黑体"/>
          <w:snapToGrid w:val="0"/>
          <w:color w:val="auto"/>
          <w:sz w:val="30"/>
          <w:szCs w:val="30"/>
        </w:rPr>
        <w:t>二、建设项目工程分析</w:t>
      </w:r>
      <w:bookmarkEnd w:id="2"/>
    </w:p>
    <w:tbl>
      <w:tblPr>
        <w:tblStyle w:val="30"/>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635"/>
      </w:tblGrid>
      <w:tr w14:paraId="2FA9C4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53" w:hRule="atLeast"/>
          <w:jc w:val="center"/>
        </w:trPr>
        <w:tc>
          <w:tcPr>
            <w:tcW w:w="425" w:type="dxa"/>
            <w:vAlign w:val="center"/>
          </w:tcPr>
          <w:p w14:paraId="2FDE238D">
            <w:pPr>
              <w:pStyle w:val="28"/>
              <w:adjustRightInd w:val="0"/>
              <w:snapToGrid w:val="0"/>
              <w:spacing w:before="0" w:beforeAutospacing="0" w:after="0" w:afterAutospacing="0"/>
              <w:jc w:val="center"/>
              <w:rPr>
                <w:rFonts w:ascii="Times New Roman" w:hAnsi="Times New Roman" w:cs="宋体"/>
                <w:color w:val="auto"/>
                <w:sz w:val="21"/>
                <w:szCs w:val="21"/>
              </w:rPr>
            </w:pPr>
            <w:r>
              <w:rPr>
                <w:rFonts w:hint="eastAsia" w:ascii="Times New Roman" w:hAnsi="Times New Roman" w:cs="宋体"/>
                <w:color w:val="auto"/>
                <w:sz w:val="21"/>
                <w:szCs w:val="21"/>
              </w:rPr>
              <w:t>建设内容</w:t>
            </w:r>
          </w:p>
        </w:tc>
        <w:tc>
          <w:tcPr>
            <w:tcW w:w="8635" w:type="dxa"/>
          </w:tcPr>
          <w:p w14:paraId="01208D7A">
            <w:pPr>
              <w:pStyle w:val="73"/>
              <w:adjustRightInd/>
              <w:ind w:firstLine="0" w:firstLineChars="0"/>
              <w:rPr>
                <w:b/>
                <w:bCs/>
                <w:color w:val="auto"/>
              </w:rPr>
            </w:pPr>
            <w:r>
              <w:rPr>
                <w:rFonts w:hint="eastAsia"/>
                <w:b/>
                <w:bCs/>
                <w:color w:val="auto"/>
              </w:rPr>
              <w:t>1、项目背景</w:t>
            </w:r>
          </w:p>
          <w:p w14:paraId="3A4E77BD">
            <w:pPr>
              <w:widowControl/>
              <w:adjustRightInd w:val="0"/>
              <w:snapToGrid w:val="0"/>
              <w:spacing w:line="360" w:lineRule="auto"/>
              <w:ind w:firstLine="480" w:firstLineChars="200"/>
              <w:rPr>
                <w:color w:val="auto"/>
                <w:sz w:val="24"/>
              </w:rPr>
            </w:pPr>
            <w:r>
              <w:rPr>
                <w:rFonts w:hint="eastAsia"/>
                <w:color w:val="auto"/>
                <w:sz w:val="24"/>
              </w:rPr>
              <w:t>昆明益明天下装饰材料有限责任公司</w:t>
            </w:r>
            <w:r>
              <w:rPr>
                <w:color w:val="auto"/>
                <w:sz w:val="24"/>
              </w:rPr>
              <w:t>成立于</w:t>
            </w:r>
            <w:r>
              <w:rPr>
                <w:rFonts w:hint="eastAsia"/>
                <w:color w:val="auto"/>
                <w:sz w:val="24"/>
              </w:rPr>
              <w:t>2023</w:t>
            </w:r>
            <w:r>
              <w:rPr>
                <w:color w:val="auto"/>
                <w:sz w:val="24"/>
              </w:rPr>
              <w:t>年</w:t>
            </w:r>
            <w:r>
              <w:rPr>
                <w:rFonts w:hint="eastAsia"/>
                <w:color w:val="auto"/>
                <w:sz w:val="24"/>
              </w:rPr>
              <w:t>2</w:t>
            </w:r>
            <w:r>
              <w:rPr>
                <w:color w:val="auto"/>
                <w:sz w:val="24"/>
              </w:rPr>
              <w:t>月，</w:t>
            </w:r>
            <w:r>
              <w:rPr>
                <w:rFonts w:hint="eastAsia"/>
                <w:color w:val="auto"/>
                <w:sz w:val="24"/>
              </w:rPr>
              <w:t>拟租用寻甸荣禾工贸有限公司位</w:t>
            </w:r>
            <w:r>
              <w:rPr>
                <w:rFonts w:hint="eastAsia" w:cs="宋体"/>
                <w:color w:val="auto"/>
                <w:sz w:val="24"/>
              </w:rPr>
              <w:t>于寻甸县羊街镇中国昆明国际林业产业园3-12号的1栋生产厂房和1栋综合楼建设昆明益明天下装饰材料有限责任公司年产450万张三聚氰浸渍纸建设项目。项目已于2023年11月8日取得寻甸回族彝族自治县发展和改革局</w:t>
            </w:r>
            <w:r>
              <w:rPr>
                <w:rFonts w:hint="eastAsia"/>
                <w:color w:val="auto"/>
                <w:sz w:val="24"/>
              </w:rPr>
              <w:t>核发的投资项目备案证（项目代码为：2311-530129-04-01-244590）</w:t>
            </w:r>
            <w:r>
              <w:rPr>
                <w:rFonts w:hint="eastAsia" w:cs="宋体"/>
                <w:color w:val="auto"/>
                <w:sz w:val="24"/>
              </w:rPr>
              <w:t>。项目占地面积4000m</w:t>
            </w:r>
            <w:r>
              <w:rPr>
                <w:rFonts w:hint="eastAsia" w:cs="宋体"/>
                <w:color w:val="auto"/>
                <w:sz w:val="24"/>
                <w:vertAlign w:val="superscript"/>
              </w:rPr>
              <w:t>2</w:t>
            </w:r>
            <w:r>
              <w:rPr>
                <w:rFonts w:hint="eastAsia" w:cs="宋体"/>
                <w:color w:val="auto"/>
                <w:sz w:val="24"/>
              </w:rPr>
              <w:t>，建设3条三聚氰胺浸渍纸生产线，建成后年产450万张三聚氰胺浸渍纸。</w:t>
            </w:r>
          </w:p>
          <w:p w14:paraId="4F7900D4">
            <w:pPr>
              <w:adjustRightInd w:val="0"/>
              <w:snapToGrid w:val="0"/>
              <w:spacing w:line="360" w:lineRule="auto"/>
              <w:ind w:firstLine="480" w:firstLineChars="200"/>
              <w:rPr>
                <w:bCs/>
                <w:color w:val="auto"/>
                <w:sz w:val="24"/>
              </w:rPr>
            </w:pPr>
            <w:r>
              <w:rPr>
                <w:color w:val="auto"/>
                <w:sz w:val="24"/>
              </w:rPr>
              <w:t>根据《中华人民共和国环境保护法》、《中华人民共和国环境影响评价法》和《建设项目环境保护管理条例》的规定，本项目应开展环境影响评价工作。根据《建设项目环境影响评价分类管理名录》（20</w:t>
            </w:r>
            <w:r>
              <w:rPr>
                <w:rFonts w:hint="eastAsia"/>
                <w:color w:val="auto"/>
                <w:sz w:val="24"/>
              </w:rPr>
              <w:t>21年1月1日实施</w:t>
            </w:r>
            <w:r>
              <w:rPr>
                <w:color w:val="auto"/>
                <w:sz w:val="24"/>
              </w:rPr>
              <w:t>）</w:t>
            </w:r>
            <w:r>
              <w:rPr>
                <w:rFonts w:hint="eastAsia"/>
                <w:color w:val="auto"/>
                <w:sz w:val="24"/>
              </w:rPr>
              <w:t>规定，拟建项目属于“十九、造纸和纸制品业、38纸制品制造223、有涂布、浸渍、印刷、粘胶工艺的”，</w:t>
            </w:r>
            <w:r>
              <w:rPr>
                <w:color w:val="auto"/>
                <w:sz w:val="24"/>
                <w:szCs w:val="22"/>
                <w:lang w:bidi="ar"/>
              </w:rPr>
              <w:t>应当编制环境影响报告表。为此，</w:t>
            </w:r>
            <w:r>
              <w:rPr>
                <w:rFonts w:hint="eastAsia"/>
                <w:color w:val="auto"/>
                <w:sz w:val="24"/>
                <w:szCs w:val="22"/>
                <w:lang w:bidi="ar"/>
              </w:rPr>
              <w:t>昆明益明天下装饰材料有限责任公司</w:t>
            </w:r>
            <w:r>
              <w:rPr>
                <w:color w:val="auto"/>
                <w:sz w:val="24"/>
              </w:rPr>
              <w:t>委托</w:t>
            </w:r>
            <w:r>
              <w:rPr>
                <w:rFonts w:hint="eastAsia"/>
                <w:color w:val="auto"/>
                <w:sz w:val="24"/>
              </w:rPr>
              <w:t>云南清蓝源环保科技有限公司</w:t>
            </w:r>
            <w:r>
              <w:rPr>
                <w:color w:val="auto"/>
                <w:sz w:val="24"/>
              </w:rPr>
              <w:t>承担该项目的环境影响评价工作</w:t>
            </w:r>
            <w:r>
              <w:rPr>
                <w:rFonts w:hint="eastAsia"/>
                <w:color w:val="auto"/>
                <w:sz w:val="24"/>
              </w:rPr>
              <w:t>（委托书见附件1）</w:t>
            </w:r>
            <w:r>
              <w:rPr>
                <w:color w:val="auto"/>
                <w:sz w:val="24"/>
              </w:rPr>
              <w:t>。我单位接受委托后进行了实地踏勘，收集有关资料，按照环境影响评价有关技术规范，编制了</w:t>
            </w:r>
            <w:r>
              <w:rPr>
                <w:rFonts w:hint="eastAsia"/>
                <w:color w:val="auto"/>
                <w:sz w:val="24"/>
              </w:rPr>
              <w:t>昆明益明天下装饰材料有限责任公司</w:t>
            </w:r>
            <w:r>
              <w:rPr>
                <w:color w:val="auto"/>
                <w:sz w:val="24"/>
              </w:rPr>
              <w:t>《年产</w:t>
            </w:r>
            <w:r>
              <w:rPr>
                <w:rFonts w:hint="eastAsia"/>
                <w:color w:val="auto"/>
                <w:sz w:val="24"/>
              </w:rPr>
              <w:t>450</w:t>
            </w:r>
            <w:r>
              <w:rPr>
                <w:color w:val="auto"/>
                <w:sz w:val="24"/>
              </w:rPr>
              <w:t>万张三聚氰胺</w:t>
            </w:r>
            <w:r>
              <w:rPr>
                <w:rFonts w:hint="eastAsia"/>
                <w:color w:val="auto"/>
                <w:sz w:val="24"/>
              </w:rPr>
              <w:t>浸渍纸</w:t>
            </w:r>
            <w:r>
              <w:rPr>
                <w:color w:val="auto"/>
                <w:sz w:val="24"/>
              </w:rPr>
              <w:t>建设项目环境影响报告表》，供建设单位上报审批</w:t>
            </w:r>
            <w:r>
              <w:rPr>
                <w:rFonts w:hint="eastAsia"/>
                <w:color w:val="auto"/>
                <w:sz w:val="24"/>
              </w:rPr>
              <w:t>。</w:t>
            </w:r>
          </w:p>
          <w:p w14:paraId="1EAB0B9D">
            <w:pPr>
              <w:pStyle w:val="73"/>
              <w:adjustRightInd/>
              <w:ind w:firstLine="0" w:firstLineChars="0"/>
              <w:rPr>
                <w:b/>
                <w:bCs/>
                <w:color w:val="auto"/>
              </w:rPr>
            </w:pPr>
            <w:r>
              <w:rPr>
                <w:rFonts w:hint="eastAsia"/>
                <w:b/>
                <w:bCs/>
                <w:color w:val="auto"/>
              </w:rPr>
              <w:t>2、项目概况</w:t>
            </w:r>
          </w:p>
          <w:p w14:paraId="468084AD">
            <w:pPr>
              <w:pStyle w:val="73"/>
              <w:adjustRightInd/>
              <w:ind w:firstLine="0" w:firstLineChars="0"/>
              <w:rPr>
                <w:b/>
                <w:bCs/>
                <w:color w:val="auto"/>
              </w:rPr>
            </w:pPr>
            <w:r>
              <w:rPr>
                <w:rFonts w:hint="eastAsia"/>
                <w:b/>
                <w:bCs/>
                <w:color w:val="auto"/>
              </w:rPr>
              <w:t>2.1 项目基本情况</w:t>
            </w:r>
          </w:p>
          <w:p w14:paraId="3F91DDCE">
            <w:pPr>
              <w:pStyle w:val="73"/>
              <w:adjustRightInd/>
              <w:rPr>
                <w:color w:val="auto"/>
              </w:rPr>
            </w:pPr>
            <w:r>
              <w:rPr>
                <w:rFonts w:hint="eastAsia"/>
                <w:color w:val="auto"/>
              </w:rPr>
              <w:t>项目名称：年产450万张</w:t>
            </w:r>
            <w:r>
              <w:rPr>
                <w:color w:val="auto"/>
              </w:rPr>
              <w:t>三聚氰胺</w:t>
            </w:r>
            <w:r>
              <w:rPr>
                <w:rFonts w:hint="eastAsia"/>
                <w:color w:val="auto"/>
              </w:rPr>
              <w:t>浸渍纸</w:t>
            </w:r>
            <w:r>
              <w:rPr>
                <w:color w:val="auto"/>
              </w:rPr>
              <w:t>建设项目</w:t>
            </w:r>
          </w:p>
          <w:p w14:paraId="495A9D96">
            <w:pPr>
              <w:pStyle w:val="73"/>
              <w:adjustRightInd/>
              <w:rPr>
                <w:color w:val="auto"/>
              </w:rPr>
            </w:pPr>
            <w:r>
              <w:rPr>
                <w:rFonts w:hint="eastAsia"/>
                <w:color w:val="auto"/>
              </w:rPr>
              <w:t>建设单位：昆明益明天下装饰材料有限责任公司</w:t>
            </w:r>
          </w:p>
          <w:p w14:paraId="6B3A8C89">
            <w:pPr>
              <w:pStyle w:val="73"/>
              <w:adjustRightInd/>
              <w:rPr>
                <w:color w:val="auto"/>
              </w:rPr>
            </w:pPr>
            <w:r>
              <w:rPr>
                <w:rFonts w:hint="eastAsia"/>
                <w:color w:val="auto"/>
              </w:rPr>
              <w:t>项目建设地址：寻甸县羊街镇中国昆明国际林业产业园3-12号</w:t>
            </w:r>
          </w:p>
          <w:p w14:paraId="3081C25D">
            <w:pPr>
              <w:pStyle w:val="73"/>
              <w:adjustRightInd/>
              <w:rPr>
                <w:color w:val="auto"/>
              </w:rPr>
            </w:pPr>
            <w:r>
              <w:rPr>
                <w:rFonts w:hint="eastAsia"/>
                <w:color w:val="auto"/>
              </w:rPr>
              <w:t>建设性质：新建</w:t>
            </w:r>
          </w:p>
          <w:p w14:paraId="5996E8CF">
            <w:pPr>
              <w:pStyle w:val="73"/>
              <w:adjustRightInd/>
              <w:rPr>
                <w:color w:val="auto"/>
              </w:rPr>
            </w:pPr>
            <w:r>
              <w:rPr>
                <w:rFonts w:hint="eastAsia"/>
                <w:color w:val="auto"/>
              </w:rPr>
              <w:t>项目总投资：1500万元</w:t>
            </w:r>
          </w:p>
          <w:p w14:paraId="5789B058">
            <w:pPr>
              <w:pStyle w:val="73"/>
              <w:adjustRightInd/>
              <w:rPr>
                <w:color w:val="auto"/>
              </w:rPr>
            </w:pPr>
            <w:r>
              <w:rPr>
                <w:color w:val="auto"/>
              </w:rPr>
              <w:t>主要建设内容及规模：项目拟租用寻甸荣禾工贸有限公司位于寻甸县羊街镇中国昆明国际林业产业园3-12号的厂房，项目</w:t>
            </w:r>
            <w:r>
              <w:rPr>
                <w:rFonts w:hint="eastAsia"/>
                <w:color w:val="auto"/>
              </w:rPr>
              <w:t>占地</w:t>
            </w:r>
            <w:r>
              <w:rPr>
                <w:color w:val="auto"/>
              </w:rPr>
              <w:t>面积4000m</w:t>
            </w:r>
            <w:r>
              <w:rPr>
                <w:color w:val="auto"/>
                <w:vertAlign w:val="superscript"/>
              </w:rPr>
              <w:t>2</w:t>
            </w:r>
            <w:r>
              <w:rPr>
                <w:color w:val="auto"/>
              </w:rPr>
              <w:t>，生产厂房</w:t>
            </w:r>
            <w:r>
              <w:rPr>
                <w:rFonts w:hint="eastAsia"/>
                <w:color w:val="auto"/>
              </w:rPr>
              <w:t>占地</w:t>
            </w:r>
            <w:r>
              <w:rPr>
                <w:color w:val="auto"/>
              </w:rPr>
              <w:t>面积3672m</w:t>
            </w:r>
            <w:r>
              <w:rPr>
                <w:color w:val="auto"/>
                <w:vertAlign w:val="superscript"/>
              </w:rPr>
              <w:t>2</w:t>
            </w:r>
            <w:r>
              <w:rPr>
                <w:color w:val="auto"/>
              </w:rPr>
              <w:t>，建设3条三聚氰胺浸渍纸生产线，</w:t>
            </w:r>
            <w:r>
              <w:rPr>
                <w:rFonts w:hint="eastAsia"/>
                <w:color w:val="auto"/>
              </w:rPr>
              <w:t>建成后年产450万张三聚氰胺浸渍纸。</w:t>
            </w:r>
          </w:p>
          <w:p w14:paraId="1A5CB5DA">
            <w:pPr>
              <w:pStyle w:val="73"/>
              <w:adjustRightInd/>
              <w:ind w:firstLine="0" w:firstLineChars="0"/>
              <w:rPr>
                <w:b/>
                <w:bCs/>
                <w:color w:val="auto"/>
              </w:rPr>
            </w:pPr>
            <w:r>
              <w:rPr>
                <w:rFonts w:hint="eastAsia"/>
                <w:b/>
                <w:bCs/>
                <w:color w:val="auto"/>
              </w:rPr>
              <w:t>2.2 项目</w:t>
            </w:r>
            <w:r>
              <w:rPr>
                <w:b/>
                <w:bCs/>
                <w:color w:val="auto"/>
              </w:rPr>
              <w:t>建设内容</w:t>
            </w:r>
            <w:r>
              <w:rPr>
                <w:rFonts w:hint="eastAsia"/>
                <w:b/>
                <w:bCs/>
                <w:color w:val="auto"/>
              </w:rPr>
              <w:t>及工程规模</w:t>
            </w:r>
          </w:p>
          <w:p w14:paraId="327DB388">
            <w:pPr>
              <w:adjustRightInd w:val="0"/>
              <w:snapToGrid w:val="0"/>
              <w:spacing w:line="360" w:lineRule="auto"/>
              <w:ind w:firstLine="480" w:firstLineChars="200"/>
              <w:rPr>
                <w:color w:val="auto"/>
                <w:sz w:val="24"/>
              </w:rPr>
            </w:pPr>
            <w:r>
              <w:rPr>
                <w:color w:val="auto"/>
                <w:sz w:val="24"/>
              </w:rPr>
              <w:t>项目工程内容包括主体工程、辅助工程、公用工程、环保工程。项目主要建设内容见表</w:t>
            </w:r>
            <w:r>
              <w:rPr>
                <w:rFonts w:hint="eastAsia"/>
                <w:color w:val="auto"/>
                <w:sz w:val="24"/>
              </w:rPr>
              <w:t>2</w:t>
            </w:r>
            <w:r>
              <w:rPr>
                <w:color w:val="auto"/>
                <w:sz w:val="24"/>
              </w:rPr>
              <w:t>-</w:t>
            </w:r>
            <w:r>
              <w:rPr>
                <w:rFonts w:hint="eastAsia"/>
                <w:color w:val="auto"/>
                <w:sz w:val="24"/>
              </w:rPr>
              <w:t>1</w:t>
            </w:r>
            <w:r>
              <w:rPr>
                <w:color w:val="auto"/>
                <w:sz w:val="24"/>
              </w:rPr>
              <w:t>。</w:t>
            </w:r>
          </w:p>
          <w:p w14:paraId="5B3364DF">
            <w:pPr>
              <w:adjustRightInd w:val="0"/>
              <w:snapToGrid w:val="0"/>
              <w:jc w:val="center"/>
              <w:rPr>
                <w:b/>
                <w:bCs/>
                <w:color w:val="auto"/>
                <w:szCs w:val="21"/>
              </w:rPr>
            </w:pPr>
            <w:r>
              <w:rPr>
                <w:b/>
                <w:bCs/>
                <w:color w:val="auto"/>
                <w:szCs w:val="21"/>
              </w:rPr>
              <w:t>表</w:t>
            </w:r>
            <w:r>
              <w:rPr>
                <w:rFonts w:hint="eastAsia"/>
                <w:b/>
                <w:bCs/>
                <w:color w:val="auto"/>
                <w:szCs w:val="21"/>
              </w:rPr>
              <w:t>2</w:t>
            </w:r>
            <w:r>
              <w:rPr>
                <w:b/>
                <w:bCs/>
                <w:color w:val="auto"/>
                <w:szCs w:val="21"/>
              </w:rPr>
              <w:t>-</w:t>
            </w:r>
            <w:r>
              <w:rPr>
                <w:rFonts w:hint="eastAsia"/>
                <w:b/>
                <w:bCs/>
                <w:color w:val="auto"/>
                <w:szCs w:val="21"/>
              </w:rPr>
              <w:t>1</w:t>
            </w:r>
            <w:r>
              <w:rPr>
                <w:b/>
                <w:bCs/>
                <w:color w:val="auto"/>
                <w:szCs w:val="21"/>
              </w:rPr>
              <w:t xml:space="preserve">  项目主要建设内容一览表</w:t>
            </w:r>
          </w:p>
          <w:tbl>
            <w:tblPr>
              <w:tblStyle w:val="30"/>
              <w:tblW w:w="84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425"/>
              <w:gridCol w:w="1305"/>
              <w:gridCol w:w="4800"/>
              <w:gridCol w:w="1199"/>
            </w:tblGrid>
            <w:tr w14:paraId="49E03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07" w:type="dxa"/>
                  <w:gridSpan w:val="3"/>
                  <w:vAlign w:val="center"/>
                </w:tcPr>
                <w:p w14:paraId="72319EC6">
                  <w:pPr>
                    <w:widowControl/>
                    <w:adjustRightInd w:val="0"/>
                    <w:snapToGrid w:val="0"/>
                    <w:jc w:val="center"/>
                    <w:rPr>
                      <w:color w:val="auto"/>
                      <w:kern w:val="0"/>
                      <w:szCs w:val="21"/>
                    </w:rPr>
                  </w:pPr>
                  <w:r>
                    <w:rPr>
                      <w:color w:val="auto"/>
                      <w:kern w:val="0"/>
                      <w:szCs w:val="21"/>
                    </w:rPr>
                    <w:t>工程名称</w:t>
                  </w:r>
                </w:p>
              </w:tc>
              <w:tc>
                <w:tcPr>
                  <w:tcW w:w="4800" w:type="dxa"/>
                  <w:vAlign w:val="center"/>
                </w:tcPr>
                <w:p w14:paraId="199EB69F">
                  <w:pPr>
                    <w:widowControl/>
                    <w:adjustRightInd w:val="0"/>
                    <w:snapToGrid w:val="0"/>
                    <w:jc w:val="center"/>
                    <w:rPr>
                      <w:color w:val="auto"/>
                      <w:kern w:val="0"/>
                      <w:szCs w:val="21"/>
                    </w:rPr>
                  </w:pPr>
                  <w:r>
                    <w:rPr>
                      <w:color w:val="auto"/>
                      <w:kern w:val="0"/>
                      <w:szCs w:val="21"/>
                    </w:rPr>
                    <w:t>建设内容</w:t>
                  </w:r>
                </w:p>
              </w:tc>
              <w:tc>
                <w:tcPr>
                  <w:tcW w:w="1199" w:type="dxa"/>
                  <w:vAlign w:val="center"/>
                </w:tcPr>
                <w:p w14:paraId="0384282B">
                  <w:pPr>
                    <w:widowControl/>
                    <w:adjustRightInd w:val="0"/>
                    <w:snapToGrid w:val="0"/>
                    <w:jc w:val="center"/>
                    <w:rPr>
                      <w:color w:val="auto"/>
                      <w:kern w:val="0"/>
                      <w:szCs w:val="21"/>
                    </w:rPr>
                  </w:pPr>
                  <w:r>
                    <w:rPr>
                      <w:rFonts w:hint="eastAsia"/>
                      <w:color w:val="auto"/>
                      <w:kern w:val="0"/>
                      <w:szCs w:val="21"/>
                    </w:rPr>
                    <w:t>备注</w:t>
                  </w:r>
                </w:p>
              </w:tc>
            </w:tr>
            <w:tr w14:paraId="12EAC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7" w:type="dxa"/>
                  <w:vMerge w:val="restart"/>
                  <w:vAlign w:val="center"/>
                </w:tcPr>
                <w:p w14:paraId="65EF0040">
                  <w:pPr>
                    <w:widowControl/>
                    <w:adjustRightInd w:val="0"/>
                    <w:snapToGrid w:val="0"/>
                    <w:jc w:val="center"/>
                    <w:rPr>
                      <w:color w:val="auto"/>
                      <w:kern w:val="0"/>
                      <w:szCs w:val="21"/>
                    </w:rPr>
                  </w:pPr>
                  <w:r>
                    <w:rPr>
                      <w:color w:val="auto"/>
                      <w:kern w:val="0"/>
                      <w:szCs w:val="21"/>
                    </w:rPr>
                    <w:t>主体工程</w:t>
                  </w:r>
                </w:p>
              </w:tc>
              <w:tc>
                <w:tcPr>
                  <w:tcW w:w="425" w:type="dxa"/>
                  <w:vMerge w:val="restart"/>
                  <w:vAlign w:val="center"/>
                </w:tcPr>
                <w:p w14:paraId="4BAC2593">
                  <w:pPr>
                    <w:widowControl/>
                    <w:adjustRightInd w:val="0"/>
                    <w:snapToGrid w:val="0"/>
                    <w:jc w:val="center"/>
                    <w:rPr>
                      <w:color w:val="auto"/>
                      <w:kern w:val="0"/>
                      <w:szCs w:val="21"/>
                    </w:rPr>
                  </w:pPr>
                  <w:r>
                    <w:rPr>
                      <w:rFonts w:hint="eastAsia"/>
                      <w:color w:val="auto"/>
                      <w:kern w:val="0"/>
                      <w:szCs w:val="21"/>
                    </w:rPr>
                    <w:t>生产厂房</w:t>
                  </w:r>
                </w:p>
              </w:tc>
              <w:tc>
                <w:tcPr>
                  <w:tcW w:w="6105" w:type="dxa"/>
                  <w:gridSpan w:val="2"/>
                  <w:vAlign w:val="center"/>
                </w:tcPr>
                <w:p w14:paraId="57EA8861">
                  <w:pPr>
                    <w:jc w:val="center"/>
                    <w:rPr>
                      <w:color w:val="auto"/>
                      <w:kern w:val="0"/>
                      <w:szCs w:val="21"/>
                    </w:rPr>
                  </w:pPr>
                  <w:r>
                    <w:rPr>
                      <w:color w:val="auto"/>
                      <w:kern w:val="0"/>
                      <w:szCs w:val="21"/>
                    </w:rPr>
                    <w:t>项目</w:t>
                  </w:r>
                  <w:r>
                    <w:rPr>
                      <w:rFonts w:hint="eastAsia"/>
                      <w:color w:val="auto"/>
                      <w:kern w:val="0"/>
                      <w:szCs w:val="21"/>
                    </w:rPr>
                    <w:t>租用寻甸荣禾工贸有限公司的1栋生产厂房，占地面积3672m</w:t>
                  </w:r>
                  <w:r>
                    <w:rPr>
                      <w:rFonts w:hint="eastAsia"/>
                      <w:color w:val="auto"/>
                      <w:kern w:val="0"/>
                      <w:szCs w:val="21"/>
                      <w:vertAlign w:val="superscript"/>
                    </w:rPr>
                    <w:t>2</w:t>
                  </w:r>
                  <w:r>
                    <w:rPr>
                      <w:rFonts w:hint="eastAsia"/>
                      <w:color w:val="auto"/>
                      <w:kern w:val="0"/>
                      <w:szCs w:val="21"/>
                    </w:rPr>
                    <w:t>（包含510m</w:t>
                  </w:r>
                  <w:r>
                    <w:rPr>
                      <w:rFonts w:hint="eastAsia"/>
                      <w:color w:val="auto"/>
                      <w:kern w:val="0"/>
                      <w:szCs w:val="21"/>
                      <w:vertAlign w:val="superscript"/>
                    </w:rPr>
                    <w:t>2</w:t>
                  </w:r>
                  <w:r>
                    <w:rPr>
                      <w:rFonts w:hint="eastAsia"/>
                      <w:color w:val="auto"/>
                      <w:kern w:val="0"/>
                      <w:szCs w:val="21"/>
                    </w:rPr>
                    <w:t>厂区道路），生产厂房为2</w:t>
                  </w:r>
                  <w:r>
                    <w:rPr>
                      <w:color w:val="auto"/>
                      <w:kern w:val="0"/>
                      <w:szCs w:val="21"/>
                    </w:rPr>
                    <w:t>层</w:t>
                  </w:r>
                  <w:r>
                    <w:rPr>
                      <w:rFonts w:hint="eastAsia"/>
                      <w:color w:val="auto"/>
                      <w:kern w:val="0"/>
                      <w:szCs w:val="21"/>
                    </w:rPr>
                    <w:t>钢</w:t>
                  </w:r>
                  <w:r>
                    <w:rPr>
                      <w:color w:val="auto"/>
                      <w:kern w:val="0"/>
                      <w:szCs w:val="21"/>
                    </w:rPr>
                    <w:t>结构，厂房高度为</w:t>
                  </w:r>
                  <w:r>
                    <w:rPr>
                      <w:rFonts w:hint="eastAsia"/>
                      <w:color w:val="auto"/>
                      <w:kern w:val="0"/>
                      <w:szCs w:val="21"/>
                    </w:rPr>
                    <w:t>15</w:t>
                  </w:r>
                  <w:r>
                    <w:rPr>
                      <w:color w:val="auto"/>
                      <w:kern w:val="0"/>
                      <w:szCs w:val="21"/>
                    </w:rPr>
                    <w:t>m</w:t>
                  </w:r>
                  <w:r>
                    <w:rPr>
                      <w:rFonts w:hint="eastAsia"/>
                      <w:color w:val="auto"/>
                      <w:kern w:val="0"/>
                      <w:szCs w:val="21"/>
                    </w:rPr>
                    <w:t>，本次新建项目仅用1楼进行建设，2楼闲置。</w:t>
                  </w:r>
                </w:p>
              </w:tc>
              <w:tc>
                <w:tcPr>
                  <w:tcW w:w="1199" w:type="dxa"/>
                  <w:vMerge w:val="restart"/>
                  <w:vAlign w:val="center"/>
                </w:tcPr>
                <w:p w14:paraId="57C687EF">
                  <w:pPr>
                    <w:jc w:val="center"/>
                    <w:rPr>
                      <w:color w:val="auto"/>
                      <w:kern w:val="0"/>
                      <w:szCs w:val="21"/>
                    </w:rPr>
                  </w:pPr>
                  <w:r>
                    <w:rPr>
                      <w:rFonts w:hint="eastAsia"/>
                      <w:color w:val="auto"/>
                      <w:kern w:val="0"/>
                      <w:szCs w:val="21"/>
                    </w:rPr>
                    <w:t>租用</w:t>
                  </w:r>
                  <w:r>
                    <w:rPr>
                      <w:rFonts w:hint="eastAsia"/>
                      <w:color w:val="auto"/>
                    </w:rPr>
                    <w:t>已建成的生产厂房</w:t>
                  </w:r>
                  <w:r>
                    <w:rPr>
                      <w:rFonts w:hint="eastAsia"/>
                      <w:color w:val="auto"/>
                      <w:kern w:val="0"/>
                      <w:szCs w:val="21"/>
                    </w:rPr>
                    <w:t>，进行隔断、安装设备后进行使用</w:t>
                  </w:r>
                </w:p>
              </w:tc>
            </w:tr>
            <w:tr w14:paraId="06AB6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77" w:type="dxa"/>
                  <w:vMerge w:val="continue"/>
                  <w:vAlign w:val="center"/>
                </w:tcPr>
                <w:p w14:paraId="266199B5">
                  <w:pPr>
                    <w:widowControl/>
                    <w:adjustRightInd w:val="0"/>
                    <w:snapToGrid w:val="0"/>
                    <w:jc w:val="center"/>
                    <w:rPr>
                      <w:color w:val="auto"/>
                      <w:kern w:val="0"/>
                      <w:szCs w:val="21"/>
                    </w:rPr>
                  </w:pPr>
                </w:p>
              </w:tc>
              <w:tc>
                <w:tcPr>
                  <w:tcW w:w="425" w:type="dxa"/>
                  <w:vMerge w:val="continue"/>
                  <w:vAlign w:val="center"/>
                </w:tcPr>
                <w:p w14:paraId="2DD53D19">
                  <w:pPr>
                    <w:widowControl/>
                    <w:adjustRightInd w:val="0"/>
                    <w:snapToGrid w:val="0"/>
                    <w:jc w:val="center"/>
                    <w:rPr>
                      <w:color w:val="auto"/>
                      <w:kern w:val="0"/>
                      <w:szCs w:val="21"/>
                    </w:rPr>
                  </w:pPr>
                </w:p>
              </w:tc>
              <w:tc>
                <w:tcPr>
                  <w:tcW w:w="1305" w:type="dxa"/>
                  <w:vAlign w:val="center"/>
                </w:tcPr>
                <w:p w14:paraId="5E3EAAC3">
                  <w:pPr>
                    <w:widowControl/>
                    <w:adjustRightInd w:val="0"/>
                    <w:snapToGrid w:val="0"/>
                    <w:jc w:val="center"/>
                    <w:rPr>
                      <w:color w:val="auto"/>
                      <w:kern w:val="0"/>
                      <w:szCs w:val="21"/>
                    </w:rPr>
                  </w:pPr>
                  <w:r>
                    <w:rPr>
                      <w:rFonts w:hint="eastAsia"/>
                      <w:color w:val="auto"/>
                      <w:kern w:val="0"/>
                      <w:szCs w:val="21"/>
                    </w:rPr>
                    <w:t>生产区</w:t>
                  </w:r>
                </w:p>
              </w:tc>
              <w:tc>
                <w:tcPr>
                  <w:tcW w:w="4800" w:type="dxa"/>
                  <w:vAlign w:val="center"/>
                </w:tcPr>
                <w:p w14:paraId="36DDCF31">
                  <w:pPr>
                    <w:jc w:val="center"/>
                    <w:rPr>
                      <w:color w:val="auto"/>
                      <w:kern w:val="0"/>
                      <w:szCs w:val="21"/>
                    </w:rPr>
                  </w:pPr>
                  <w:r>
                    <w:rPr>
                      <w:rFonts w:hint="eastAsia"/>
                      <w:color w:val="auto"/>
                      <w:kern w:val="0"/>
                      <w:szCs w:val="21"/>
                    </w:rPr>
                    <w:t>位于厂房1层，其中包括调胶间，1间，位于厂房西南侧，占地面积290m</w:t>
                  </w:r>
                  <w:r>
                    <w:rPr>
                      <w:rFonts w:hint="eastAsia"/>
                      <w:color w:val="auto"/>
                      <w:kern w:val="0"/>
                      <w:szCs w:val="21"/>
                      <w:vertAlign w:val="superscript"/>
                    </w:rPr>
                    <w:t>2</w:t>
                  </w:r>
                  <w:r>
                    <w:rPr>
                      <w:rFonts w:hint="eastAsia"/>
                      <w:color w:val="auto"/>
                      <w:kern w:val="0"/>
                      <w:szCs w:val="21"/>
                    </w:rPr>
                    <w:t>；一体化三聚氰胺浸渍纸自动生产线，3条，产能450万张/年，位于厂房东南侧，占地面积1241m</w:t>
                  </w:r>
                  <w:r>
                    <w:rPr>
                      <w:rFonts w:hint="eastAsia"/>
                      <w:color w:val="auto"/>
                      <w:kern w:val="0"/>
                      <w:szCs w:val="21"/>
                      <w:vertAlign w:val="superscript"/>
                    </w:rPr>
                    <w:t>2</w:t>
                  </w:r>
                  <w:r>
                    <w:rPr>
                      <w:rFonts w:hint="eastAsia"/>
                      <w:color w:val="auto"/>
                      <w:kern w:val="0"/>
                      <w:szCs w:val="21"/>
                    </w:rPr>
                    <w:t>，包括浸胶、烘干、裁剪、包装工段。</w:t>
                  </w:r>
                </w:p>
              </w:tc>
              <w:tc>
                <w:tcPr>
                  <w:tcW w:w="1199" w:type="dxa"/>
                  <w:vMerge w:val="continue"/>
                  <w:vAlign w:val="center"/>
                </w:tcPr>
                <w:p w14:paraId="5E783DC5">
                  <w:pPr>
                    <w:jc w:val="center"/>
                    <w:rPr>
                      <w:color w:val="auto"/>
                      <w:kern w:val="0"/>
                      <w:szCs w:val="21"/>
                    </w:rPr>
                  </w:pPr>
                </w:p>
              </w:tc>
            </w:tr>
            <w:tr w14:paraId="5CA7B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7" w:type="dxa"/>
                  <w:vMerge w:val="continue"/>
                  <w:vAlign w:val="center"/>
                </w:tcPr>
                <w:p w14:paraId="29DAA8A7">
                  <w:pPr>
                    <w:widowControl/>
                    <w:adjustRightInd w:val="0"/>
                    <w:snapToGrid w:val="0"/>
                    <w:jc w:val="center"/>
                    <w:rPr>
                      <w:color w:val="auto"/>
                      <w:kern w:val="0"/>
                      <w:szCs w:val="21"/>
                    </w:rPr>
                  </w:pPr>
                </w:p>
              </w:tc>
              <w:tc>
                <w:tcPr>
                  <w:tcW w:w="425" w:type="dxa"/>
                  <w:vMerge w:val="continue"/>
                  <w:vAlign w:val="center"/>
                </w:tcPr>
                <w:p w14:paraId="24A40B5E">
                  <w:pPr>
                    <w:widowControl/>
                    <w:adjustRightInd w:val="0"/>
                    <w:snapToGrid w:val="0"/>
                    <w:jc w:val="center"/>
                    <w:rPr>
                      <w:color w:val="auto"/>
                      <w:kern w:val="0"/>
                      <w:szCs w:val="21"/>
                    </w:rPr>
                  </w:pPr>
                </w:p>
              </w:tc>
              <w:tc>
                <w:tcPr>
                  <w:tcW w:w="1305" w:type="dxa"/>
                  <w:vAlign w:val="center"/>
                </w:tcPr>
                <w:p w14:paraId="58FE7D00">
                  <w:pPr>
                    <w:widowControl/>
                    <w:adjustRightInd w:val="0"/>
                    <w:snapToGrid w:val="0"/>
                    <w:jc w:val="center"/>
                    <w:rPr>
                      <w:color w:val="auto"/>
                      <w:kern w:val="0"/>
                      <w:szCs w:val="21"/>
                    </w:rPr>
                  </w:pPr>
                  <w:r>
                    <w:rPr>
                      <w:rFonts w:hint="eastAsia"/>
                      <w:color w:val="auto"/>
                      <w:kern w:val="0"/>
                      <w:szCs w:val="21"/>
                    </w:rPr>
                    <w:t>原料堆放区</w:t>
                  </w:r>
                </w:p>
              </w:tc>
              <w:tc>
                <w:tcPr>
                  <w:tcW w:w="4800" w:type="dxa"/>
                  <w:vAlign w:val="center"/>
                </w:tcPr>
                <w:p w14:paraId="2661A6D0">
                  <w:pPr>
                    <w:jc w:val="center"/>
                    <w:rPr>
                      <w:color w:val="auto"/>
                      <w:kern w:val="0"/>
                      <w:szCs w:val="21"/>
                    </w:rPr>
                  </w:pPr>
                  <w:r>
                    <w:rPr>
                      <w:rFonts w:hint="eastAsia"/>
                      <w:color w:val="auto"/>
                      <w:kern w:val="0"/>
                      <w:szCs w:val="21"/>
                    </w:rPr>
                    <w:t>位于厂房1层西北侧，占地面积256m</w:t>
                  </w:r>
                  <w:r>
                    <w:rPr>
                      <w:rFonts w:hint="eastAsia"/>
                      <w:color w:val="auto"/>
                      <w:kern w:val="0"/>
                      <w:szCs w:val="21"/>
                      <w:vertAlign w:val="superscript"/>
                    </w:rPr>
                    <w:t>2</w:t>
                  </w:r>
                  <w:r>
                    <w:rPr>
                      <w:rFonts w:hint="eastAsia"/>
                      <w:color w:val="auto"/>
                      <w:kern w:val="0"/>
                      <w:szCs w:val="21"/>
                    </w:rPr>
                    <w:t>，用于原辅料的存放。</w:t>
                  </w:r>
                </w:p>
              </w:tc>
              <w:tc>
                <w:tcPr>
                  <w:tcW w:w="1199" w:type="dxa"/>
                  <w:vMerge w:val="continue"/>
                  <w:vAlign w:val="center"/>
                </w:tcPr>
                <w:p w14:paraId="691471CB">
                  <w:pPr>
                    <w:jc w:val="center"/>
                    <w:rPr>
                      <w:color w:val="auto"/>
                      <w:kern w:val="0"/>
                      <w:szCs w:val="21"/>
                    </w:rPr>
                  </w:pPr>
                </w:p>
              </w:tc>
            </w:tr>
            <w:tr w14:paraId="68718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77" w:type="dxa"/>
                  <w:vMerge w:val="continue"/>
                  <w:vAlign w:val="center"/>
                </w:tcPr>
                <w:p w14:paraId="54AF1E22">
                  <w:pPr>
                    <w:widowControl/>
                    <w:adjustRightInd w:val="0"/>
                    <w:snapToGrid w:val="0"/>
                    <w:jc w:val="center"/>
                    <w:rPr>
                      <w:color w:val="auto"/>
                      <w:kern w:val="0"/>
                      <w:szCs w:val="21"/>
                    </w:rPr>
                  </w:pPr>
                </w:p>
              </w:tc>
              <w:tc>
                <w:tcPr>
                  <w:tcW w:w="425" w:type="dxa"/>
                  <w:vMerge w:val="continue"/>
                  <w:vAlign w:val="center"/>
                </w:tcPr>
                <w:p w14:paraId="25007B62">
                  <w:pPr>
                    <w:widowControl/>
                    <w:adjustRightInd w:val="0"/>
                    <w:snapToGrid w:val="0"/>
                    <w:jc w:val="center"/>
                    <w:rPr>
                      <w:color w:val="auto"/>
                      <w:kern w:val="0"/>
                      <w:szCs w:val="21"/>
                    </w:rPr>
                  </w:pPr>
                </w:p>
              </w:tc>
              <w:tc>
                <w:tcPr>
                  <w:tcW w:w="1305" w:type="dxa"/>
                  <w:vAlign w:val="center"/>
                </w:tcPr>
                <w:p w14:paraId="3B68D97E">
                  <w:pPr>
                    <w:widowControl/>
                    <w:adjustRightInd w:val="0"/>
                    <w:snapToGrid w:val="0"/>
                    <w:jc w:val="center"/>
                    <w:rPr>
                      <w:color w:val="auto"/>
                      <w:kern w:val="0"/>
                      <w:szCs w:val="21"/>
                    </w:rPr>
                  </w:pPr>
                  <w:r>
                    <w:rPr>
                      <w:rFonts w:hint="eastAsia"/>
                      <w:color w:val="auto"/>
                      <w:kern w:val="0"/>
                      <w:szCs w:val="21"/>
                    </w:rPr>
                    <w:t>成品堆放区</w:t>
                  </w:r>
                </w:p>
              </w:tc>
              <w:tc>
                <w:tcPr>
                  <w:tcW w:w="4800" w:type="dxa"/>
                  <w:vAlign w:val="center"/>
                </w:tcPr>
                <w:p w14:paraId="220BD326">
                  <w:pPr>
                    <w:jc w:val="center"/>
                    <w:rPr>
                      <w:color w:val="auto"/>
                      <w:kern w:val="0"/>
                      <w:szCs w:val="21"/>
                    </w:rPr>
                  </w:pPr>
                  <w:r>
                    <w:rPr>
                      <w:rFonts w:hint="eastAsia"/>
                      <w:color w:val="auto"/>
                      <w:kern w:val="0"/>
                      <w:szCs w:val="21"/>
                    </w:rPr>
                    <w:t>位于厂房1层西南侧，占地面积272m</w:t>
                  </w:r>
                  <w:r>
                    <w:rPr>
                      <w:rFonts w:hint="eastAsia"/>
                      <w:color w:val="auto"/>
                      <w:kern w:val="0"/>
                      <w:szCs w:val="21"/>
                      <w:vertAlign w:val="superscript"/>
                    </w:rPr>
                    <w:t>2</w:t>
                  </w:r>
                  <w:r>
                    <w:rPr>
                      <w:rFonts w:hint="eastAsia"/>
                      <w:color w:val="auto"/>
                      <w:kern w:val="0"/>
                      <w:szCs w:val="21"/>
                    </w:rPr>
                    <w:t>，用于产品的存放。</w:t>
                  </w:r>
                </w:p>
              </w:tc>
              <w:tc>
                <w:tcPr>
                  <w:tcW w:w="1199" w:type="dxa"/>
                  <w:vMerge w:val="continue"/>
                  <w:vAlign w:val="center"/>
                </w:tcPr>
                <w:p w14:paraId="6C6300E3">
                  <w:pPr>
                    <w:jc w:val="center"/>
                    <w:rPr>
                      <w:color w:val="auto"/>
                      <w:kern w:val="0"/>
                      <w:szCs w:val="21"/>
                    </w:rPr>
                  </w:pPr>
                </w:p>
              </w:tc>
            </w:tr>
            <w:tr w14:paraId="0D4CA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677" w:type="dxa"/>
                  <w:vAlign w:val="center"/>
                </w:tcPr>
                <w:p w14:paraId="2A16C875">
                  <w:pPr>
                    <w:widowControl/>
                    <w:adjustRightInd w:val="0"/>
                    <w:snapToGrid w:val="0"/>
                    <w:jc w:val="center"/>
                    <w:rPr>
                      <w:color w:val="auto"/>
                      <w:kern w:val="0"/>
                      <w:szCs w:val="21"/>
                    </w:rPr>
                  </w:pPr>
                  <w:r>
                    <w:rPr>
                      <w:color w:val="auto"/>
                      <w:kern w:val="0"/>
                      <w:szCs w:val="21"/>
                    </w:rPr>
                    <w:t>辅助工程</w:t>
                  </w:r>
                </w:p>
              </w:tc>
              <w:tc>
                <w:tcPr>
                  <w:tcW w:w="1730" w:type="dxa"/>
                  <w:gridSpan w:val="2"/>
                  <w:vAlign w:val="center"/>
                </w:tcPr>
                <w:p w14:paraId="2F4C921F">
                  <w:pPr>
                    <w:adjustRightInd w:val="0"/>
                    <w:snapToGrid w:val="0"/>
                    <w:jc w:val="center"/>
                    <w:rPr>
                      <w:color w:val="auto"/>
                      <w:kern w:val="0"/>
                      <w:szCs w:val="21"/>
                    </w:rPr>
                  </w:pPr>
                  <w:r>
                    <w:rPr>
                      <w:rFonts w:hint="eastAsia"/>
                      <w:color w:val="auto"/>
                      <w:szCs w:val="21"/>
                    </w:rPr>
                    <w:t>办公生活区</w:t>
                  </w:r>
                </w:p>
              </w:tc>
              <w:tc>
                <w:tcPr>
                  <w:tcW w:w="4800" w:type="dxa"/>
                  <w:vAlign w:val="center"/>
                </w:tcPr>
                <w:p w14:paraId="0EAB4B89">
                  <w:pPr>
                    <w:adjustRightInd w:val="0"/>
                    <w:snapToGrid w:val="0"/>
                    <w:jc w:val="center"/>
                    <w:rPr>
                      <w:color w:val="auto"/>
                      <w:kern w:val="0"/>
                      <w:szCs w:val="21"/>
                    </w:rPr>
                  </w:pPr>
                  <w:r>
                    <w:rPr>
                      <w:rFonts w:hint="eastAsia"/>
                      <w:color w:val="auto"/>
                      <w:kern w:val="0"/>
                      <w:szCs w:val="21"/>
                    </w:rPr>
                    <w:t>租用荣禾工贸有限公司的综合楼进行利用，砖混结构，4层建筑，占地面积为328m</w:t>
                  </w:r>
                  <w:r>
                    <w:rPr>
                      <w:rFonts w:hint="eastAsia"/>
                      <w:color w:val="auto"/>
                      <w:kern w:val="0"/>
                      <w:szCs w:val="21"/>
                      <w:vertAlign w:val="superscript"/>
                    </w:rPr>
                    <w:t>2</w:t>
                  </w:r>
                  <w:r>
                    <w:rPr>
                      <w:rFonts w:hint="eastAsia"/>
                      <w:color w:val="auto"/>
                      <w:kern w:val="0"/>
                      <w:szCs w:val="21"/>
                    </w:rPr>
                    <w:t>（包含紧邻综合楼北侧140m</w:t>
                  </w:r>
                  <w:r>
                    <w:rPr>
                      <w:rFonts w:hint="eastAsia"/>
                      <w:color w:val="auto"/>
                      <w:kern w:val="0"/>
                      <w:szCs w:val="21"/>
                      <w:vertAlign w:val="superscript"/>
                    </w:rPr>
                    <w:t>2</w:t>
                  </w:r>
                  <w:r>
                    <w:rPr>
                      <w:rFonts w:hint="eastAsia"/>
                      <w:color w:val="auto"/>
                      <w:kern w:val="0"/>
                      <w:szCs w:val="21"/>
                    </w:rPr>
                    <w:t>绿化）；内设办公室、卫生间和宿舍不设食堂。</w:t>
                  </w:r>
                </w:p>
              </w:tc>
              <w:tc>
                <w:tcPr>
                  <w:tcW w:w="1199" w:type="dxa"/>
                  <w:vMerge w:val="continue"/>
                  <w:vAlign w:val="center"/>
                </w:tcPr>
                <w:p w14:paraId="32F198E3">
                  <w:pPr>
                    <w:widowControl/>
                    <w:adjustRightInd w:val="0"/>
                    <w:snapToGrid w:val="0"/>
                    <w:jc w:val="center"/>
                    <w:rPr>
                      <w:color w:val="auto"/>
                      <w:kern w:val="0"/>
                    </w:rPr>
                  </w:pPr>
                </w:p>
              </w:tc>
            </w:tr>
            <w:tr w14:paraId="5660D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77" w:type="dxa"/>
                  <w:vMerge w:val="restart"/>
                  <w:vAlign w:val="center"/>
                </w:tcPr>
                <w:p w14:paraId="34583B34">
                  <w:pPr>
                    <w:widowControl/>
                    <w:adjustRightInd w:val="0"/>
                    <w:snapToGrid w:val="0"/>
                    <w:jc w:val="center"/>
                    <w:rPr>
                      <w:color w:val="auto"/>
                      <w:kern w:val="0"/>
                      <w:szCs w:val="21"/>
                    </w:rPr>
                  </w:pPr>
                  <w:r>
                    <w:rPr>
                      <w:color w:val="auto"/>
                      <w:kern w:val="0"/>
                      <w:szCs w:val="21"/>
                    </w:rPr>
                    <w:t>公用工程</w:t>
                  </w:r>
                </w:p>
              </w:tc>
              <w:tc>
                <w:tcPr>
                  <w:tcW w:w="1730" w:type="dxa"/>
                  <w:gridSpan w:val="2"/>
                  <w:vAlign w:val="center"/>
                </w:tcPr>
                <w:p w14:paraId="76FC2881">
                  <w:pPr>
                    <w:adjustRightInd w:val="0"/>
                    <w:snapToGrid w:val="0"/>
                    <w:jc w:val="center"/>
                    <w:rPr>
                      <w:bCs/>
                      <w:color w:val="auto"/>
                      <w:kern w:val="0"/>
                    </w:rPr>
                  </w:pPr>
                  <w:r>
                    <w:rPr>
                      <w:color w:val="auto"/>
                      <w:kern w:val="0"/>
                    </w:rPr>
                    <w:t>供水</w:t>
                  </w:r>
                </w:p>
              </w:tc>
              <w:tc>
                <w:tcPr>
                  <w:tcW w:w="4800" w:type="dxa"/>
                  <w:vAlign w:val="center"/>
                </w:tcPr>
                <w:p w14:paraId="7A048256">
                  <w:pPr>
                    <w:adjustRightInd w:val="0"/>
                    <w:snapToGrid w:val="0"/>
                    <w:jc w:val="center"/>
                    <w:rPr>
                      <w:color w:val="auto"/>
                      <w:kern w:val="0"/>
                    </w:rPr>
                  </w:pPr>
                  <w:r>
                    <w:rPr>
                      <w:color w:val="auto"/>
                      <w:kern w:val="0"/>
                    </w:rPr>
                    <w:t>由园区供水管网供给。</w:t>
                  </w:r>
                </w:p>
              </w:tc>
              <w:tc>
                <w:tcPr>
                  <w:tcW w:w="1199" w:type="dxa"/>
                  <w:vMerge w:val="restart"/>
                  <w:vAlign w:val="center"/>
                </w:tcPr>
                <w:p w14:paraId="19CB32A6">
                  <w:pPr>
                    <w:adjustRightInd w:val="0"/>
                    <w:snapToGrid w:val="0"/>
                    <w:jc w:val="center"/>
                    <w:rPr>
                      <w:color w:val="auto"/>
                      <w:kern w:val="0"/>
                    </w:rPr>
                  </w:pPr>
                  <w:r>
                    <w:rPr>
                      <w:rFonts w:hint="eastAsia"/>
                      <w:color w:val="auto"/>
                      <w:kern w:val="0"/>
                      <w:szCs w:val="21"/>
                    </w:rPr>
                    <w:t>依托寻甸荣禾工贸有限公司已建</w:t>
                  </w:r>
                </w:p>
              </w:tc>
            </w:tr>
            <w:tr w14:paraId="6629E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677" w:type="dxa"/>
                  <w:vMerge w:val="continue"/>
                  <w:vAlign w:val="center"/>
                </w:tcPr>
                <w:p w14:paraId="400607B3">
                  <w:pPr>
                    <w:widowControl/>
                    <w:adjustRightInd w:val="0"/>
                    <w:snapToGrid w:val="0"/>
                    <w:jc w:val="center"/>
                    <w:rPr>
                      <w:color w:val="auto"/>
                      <w:kern w:val="0"/>
                      <w:szCs w:val="21"/>
                    </w:rPr>
                  </w:pPr>
                </w:p>
              </w:tc>
              <w:tc>
                <w:tcPr>
                  <w:tcW w:w="1730" w:type="dxa"/>
                  <w:gridSpan w:val="2"/>
                  <w:vAlign w:val="center"/>
                </w:tcPr>
                <w:p w14:paraId="0EA66EB6">
                  <w:pPr>
                    <w:adjustRightInd w:val="0"/>
                    <w:snapToGrid w:val="0"/>
                    <w:jc w:val="center"/>
                    <w:rPr>
                      <w:color w:val="auto"/>
                      <w:kern w:val="0"/>
                    </w:rPr>
                  </w:pPr>
                  <w:r>
                    <w:rPr>
                      <w:color w:val="auto"/>
                      <w:kern w:val="0"/>
                    </w:rPr>
                    <w:t>供电</w:t>
                  </w:r>
                </w:p>
              </w:tc>
              <w:tc>
                <w:tcPr>
                  <w:tcW w:w="4800" w:type="dxa"/>
                  <w:vAlign w:val="center"/>
                </w:tcPr>
                <w:p w14:paraId="3D15EB12">
                  <w:pPr>
                    <w:adjustRightInd w:val="0"/>
                    <w:snapToGrid w:val="0"/>
                    <w:jc w:val="center"/>
                    <w:rPr>
                      <w:color w:val="auto"/>
                      <w:kern w:val="0"/>
                    </w:rPr>
                  </w:pPr>
                  <w:r>
                    <w:rPr>
                      <w:color w:val="auto"/>
                      <w:kern w:val="0"/>
                    </w:rPr>
                    <w:t>从园区已有供电系统接入至本项目</w:t>
                  </w:r>
                  <w:r>
                    <w:rPr>
                      <w:rFonts w:hint="eastAsia"/>
                      <w:color w:val="auto"/>
                      <w:kern w:val="0"/>
                    </w:rPr>
                    <w:t>配电房</w:t>
                  </w:r>
                  <w:r>
                    <w:rPr>
                      <w:color w:val="auto"/>
                      <w:kern w:val="0"/>
                    </w:rPr>
                    <w:t>，由配电房输送至各用电设备。</w:t>
                  </w:r>
                </w:p>
              </w:tc>
              <w:tc>
                <w:tcPr>
                  <w:tcW w:w="1199" w:type="dxa"/>
                  <w:vMerge w:val="continue"/>
                  <w:vAlign w:val="center"/>
                </w:tcPr>
                <w:p w14:paraId="3475ACD2">
                  <w:pPr>
                    <w:adjustRightInd w:val="0"/>
                    <w:snapToGrid w:val="0"/>
                    <w:jc w:val="center"/>
                    <w:rPr>
                      <w:color w:val="auto"/>
                      <w:kern w:val="0"/>
                    </w:rPr>
                  </w:pPr>
                </w:p>
              </w:tc>
            </w:tr>
            <w:tr w14:paraId="5F7EE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 w:hRule="atLeast"/>
                <w:jc w:val="center"/>
              </w:trPr>
              <w:tc>
                <w:tcPr>
                  <w:tcW w:w="677" w:type="dxa"/>
                  <w:vMerge w:val="continue"/>
                  <w:vAlign w:val="center"/>
                </w:tcPr>
                <w:p w14:paraId="732FC4BF">
                  <w:pPr>
                    <w:widowControl/>
                    <w:adjustRightInd w:val="0"/>
                    <w:snapToGrid w:val="0"/>
                    <w:jc w:val="center"/>
                    <w:rPr>
                      <w:color w:val="auto"/>
                      <w:kern w:val="0"/>
                      <w:szCs w:val="21"/>
                    </w:rPr>
                  </w:pPr>
                </w:p>
              </w:tc>
              <w:tc>
                <w:tcPr>
                  <w:tcW w:w="1730" w:type="dxa"/>
                  <w:gridSpan w:val="2"/>
                  <w:vAlign w:val="center"/>
                </w:tcPr>
                <w:p w14:paraId="15176BDD">
                  <w:pPr>
                    <w:adjustRightInd w:val="0"/>
                    <w:snapToGrid w:val="0"/>
                    <w:jc w:val="center"/>
                    <w:rPr>
                      <w:color w:val="auto"/>
                      <w:kern w:val="0"/>
                    </w:rPr>
                  </w:pPr>
                  <w:r>
                    <w:rPr>
                      <w:color w:val="auto"/>
                      <w:kern w:val="0"/>
                    </w:rPr>
                    <w:t>排水</w:t>
                  </w:r>
                </w:p>
              </w:tc>
              <w:tc>
                <w:tcPr>
                  <w:tcW w:w="4800" w:type="dxa"/>
                  <w:vAlign w:val="center"/>
                </w:tcPr>
                <w:p w14:paraId="5CCA131D">
                  <w:pPr>
                    <w:adjustRightInd w:val="0"/>
                    <w:snapToGrid w:val="0"/>
                    <w:jc w:val="center"/>
                    <w:rPr>
                      <w:color w:val="auto"/>
                      <w:kern w:val="0"/>
                    </w:rPr>
                  </w:pPr>
                  <w:r>
                    <w:rPr>
                      <w:color w:val="auto"/>
                      <w:kern w:val="0"/>
                    </w:rPr>
                    <w:t>项目实行雨污分流制，</w:t>
                  </w:r>
                  <w:r>
                    <w:rPr>
                      <w:rFonts w:hint="eastAsia"/>
                      <w:color w:val="auto"/>
                      <w:kern w:val="0"/>
                    </w:rPr>
                    <w:t>项目雨水经雨水收集设施收集后进入园区雨水管网</w:t>
                  </w:r>
                  <w:r>
                    <w:rPr>
                      <w:color w:val="auto"/>
                      <w:kern w:val="0"/>
                    </w:rPr>
                    <w:t>。项目运营期产生的生活污水进入</w:t>
                  </w:r>
                  <w:r>
                    <w:rPr>
                      <w:rFonts w:hint="eastAsia"/>
                      <w:color w:val="auto"/>
                      <w:kern w:val="0"/>
                    </w:rPr>
                    <w:t>化粪池、污水处理站处理</w:t>
                  </w:r>
                  <w:r>
                    <w:rPr>
                      <w:color w:val="auto"/>
                      <w:kern w:val="0"/>
                    </w:rPr>
                    <w:t>达到《城市污水再生利用城市杂用水水质》</w:t>
                  </w:r>
                  <w:r>
                    <w:rPr>
                      <w:rFonts w:hint="eastAsia"/>
                      <w:color w:val="auto"/>
                      <w:kern w:val="0"/>
                    </w:rPr>
                    <w:t>（</w:t>
                  </w:r>
                  <w:r>
                    <w:rPr>
                      <w:color w:val="auto"/>
                      <w:kern w:val="0"/>
                    </w:rPr>
                    <w:t>GB/T18920-20</w:t>
                  </w:r>
                  <w:r>
                    <w:rPr>
                      <w:rFonts w:hint="eastAsia"/>
                      <w:color w:val="auto"/>
                      <w:kern w:val="0"/>
                    </w:rPr>
                    <w:t>20）中城市绿化、道路清扫、消防、建筑施工标准</w:t>
                  </w:r>
                  <w:r>
                    <w:rPr>
                      <w:color w:val="auto"/>
                      <w:kern w:val="0"/>
                    </w:rPr>
                    <w:t>后，回用于厂区非雨天绿化</w:t>
                  </w:r>
                  <w:r>
                    <w:rPr>
                      <w:rFonts w:hint="eastAsia"/>
                      <w:color w:val="auto"/>
                      <w:kern w:val="0"/>
                    </w:rPr>
                    <w:t>及道路洒水降尘，</w:t>
                  </w:r>
                  <w:r>
                    <w:rPr>
                      <w:color w:val="auto"/>
                      <w:kern w:val="0"/>
                    </w:rPr>
                    <w:t>不外排</w:t>
                  </w:r>
                  <w:r>
                    <w:rPr>
                      <w:rFonts w:hint="eastAsia"/>
                      <w:color w:val="auto"/>
                      <w:kern w:val="0"/>
                    </w:rPr>
                    <w:t>。</w:t>
                  </w:r>
                </w:p>
              </w:tc>
              <w:tc>
                <w:tcPr>
                  <w:tcW w:w="1199" w:type="dxa"/>
                  <w:vMerge w:val="continue"/>
                  <w:vAlign w:val="center"/>
                </w:tcPr>
                <w:p w14:paraId="27EE2F14">
                  <w:pPr>
                    <w:adjustRightInd w:val="0"/>
                    <w:snapToGrid w:val="0"/>
                    <w:jc w:val="center"/>
                    <w:rPr>
                      <w:color w:val="auto"/>
                      <w:kern w:val="0"/>
                    </w:rPr>
                  </w:pPr>
                </w:p>
              </w:tc>
            </w:tr>
            <w:tr w14:paraId="4ED18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677" w:type="dxa"/>
                  <w:vMerge w:val="continue"/>
                  <w:vAlign w:val="center"/>
                </w:tcPr>
                <w:p w14:paraId="730DA16D">
                  <w:pPr>
                    <w:widowControl/>
                    <w:adjustRightInd w:val="0"/>
                    <w:snapToGrid w:val="0"/>
                    <w:jc w:val="center"/>
                    <w:rPr>
                      <w:color w:val="auto"/>
                      <w:kern w:val="0"/>
                      <w:szCs w:val="21"/>
                    </w:rPr>
                  </w:pPr>
                </w:p>
              </w:tc>
              <w:tc>
                <w:tcPr>
                  <w:tcW w:w="1730" w:type="dxa"/>
                  <w:gridSpan w:val="2"/>
                  <w:vAlign w:val="center"/>
                </w:tcPr>
                <w:p w14:paraId="3B22626A">
                  <w:pPr>
                    <w:adjustRightInd w:val="0"/>
                    <w:snapToGrid w:val="0"/>
                    <w:jc w:val="center"/>
                    <w:rPr>
                      <w:color w:val="auto"/>
                      <w:kern w:val="0"/>
                    </w:rPr>
                  </w:pPr>
                  <w:r>
                    <w:rPr>
                      <w:rFonts w:hint="eastAsia"/>
                      <w:color w:val="auto"/>
                      <w:kern w:val="0"/>
                    </w:rPr>
                    <w:t>供热</w:t>
                  </w:r>
                </w:p>
              </w:tc>
              <w:tc>
                <w:tcPr>
                  <w:tcW w:w="4800" w:type="dxa"/>
                  <w:vAlign w:val="center"/>
                </w:tcPr>
                <w:p w14:paraId="0998DABA">
                  <w:pPr>
                    <w:adjustRightInd w:val="0"/>
                    <w:snapToGrid w:val="0"/>
                    <w:jc w:val="center"/>
                    <w:rPr>
                      <w:color w:val="auto"/>
                      <w:kern w:val="0"/>
                    </w:rPr>
                  </w:pPr>
                  <w:r>
                    <w:rPr>
                      <w:color w:val="auto"/>
                      <w:kern w:val="0"/>
                      <w:szCs w:val="21"/>
                    </w:rPr>
                    <w:t>每套卧式浸渍烘干一体设备加装1台</w:t>
                  </w:r>
                  <w:r>
                    <w:rPr>
                      <w:rFonts w:hint="eastAsia"/>
                      <w:color w:val="auto"/>
                      <w:kern w:val="0"/>
                      <w:szCs w:val="21"/>
                    </w:rPr>
                    <w:t>天然气</w:t>
                  </w:r>
                  <w:r>
                    <w:rPr>
                      <w:color w:val="auto"/>
                      <w:kern w:val="0"/>
                      <w:szCs w:val="21"/>
                    </w:rPr>
                    <w:t>模温机，共3台，每台装机容量为10kw，外观尺寸为400mm×300mm×200mm</w:t>
                  </w:r>
                  <w:r>
                    <w:rPr>
                      <w:rFonts w:hint="eastAsia"/>
                      <w:color w:val="auto"/>
                      <w:kern w:val="0"/>
                      <w:szCs w:val="21"/>
                    </w:rPr>
                    <w:t>；通过燃烧天然气加热导热油对生产设备进行供热。</w:t>
                  </w:r>
                </w:p>
              </w:tc>
              <w:tc>
                <w:tcPr>
                  <w:tcW w:w="1199" w:type="dxa"/>
                  <w:vAlign w:val="center"/>
                </w:tcPr>
                <w:p w14:paraId="4FEC6A93">
                  <w:pPr>
                    <w:adjustRightInd w:val="0"/>
                    <w:snapToGrid w:val="0"/>
                    <w:jc w:val="center"/>
                    <w:rPr>
                      <w:color w:val="auto"/>
                      <w:kern w:val="0"/>
                    </w:rPr>
                  </w:pPr>
                  <w:r>
                    <w:rPr>
                      <w:rFonts w:hint="eastAsia"/>
                      <w:color w:val="auto"/>
                      <w:kern w:val="0"/>
                    </w:rPr>
                    <w:t>新建，已建</w:t>
                  </w:r>
                </w:p>
              </w:tc>
            </w:tr>
            <w:tr w14:paraId="316C1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77" w:type="dxa"/>
                  <w:vMerge w:val="restart"/>
                  <w:vAlign w:val="center"/>
                </w:tcPr>
                <w:p w14:paraId="1BAD7D42">
                  <w:pPr>
                    <w:widowControl/>
                    <w:adjustRightInd w:val="0"/>
                    <w:snapToGrid w:val="0"/>
                    <w:jc w:val="center"/>
                    <w:rPr>
                      <w:color w:val="auto"/>
                      <w:kern w:val="0"/>
                      <w:szCs w:val="21"/>
                    </w:rPr>
                  </w:pPr>
                  <w:r>
                    <w:rPr>
                      <w:rFonts w:hint="eastAsia"/>
                      <w:color w:val="auto"/>
                      <w:kern w:val="0"/>
                      <w:szCs w:val="21"/>
                    </w:rPr>
                    <w:t>环保工程</w:t>
                  </w:r>
                </w:p>
              </w:tc>
              <w:tc>
                <w:tcPr>
                  <w:tcW w:w="425" w:type="dxa"/>
                  <w:vMerge w:val="restart"/>
                  <w:vAlign w:val="center"/>
                </w:tcPr>
                <w:p w14:paraId="06B4ED82">
                  <w:pPr>
                    <w:widowControl/>
                    <w:adjustRightInd w:val="0"/>
                    <w:snapToGrid w:val="0"/>
                    <w:jc w:val="center"/>
                    <w:rPr>
                      <w:color w:val="auto"/>
                      <w:kern w:val="0"/>
                      <w:szCs w:val="21"/>
                    </w:rPr>
                  </w:pPr>
                  <w:r>
                    <w:rPr>
                      <w:rFonts w:hint="eastAsia"/>
                      <w:color w:val="auto"/>
                      <w:kern w:val="0"/>
                      <w:szCs w:val="21"/>
                    </w:rPr>
                    <w:t>废气</w:t>
                  </w:r>
                </w:p>
              </w:tc>
              <w:tc>
                <w:tcPr>
                  <w:tcW w:w="1305" w:type="dxa"/>
                  <w:vAlign w:val="center"/>
                </w:tcPr>
                <w:p w14:paraId="6D989E05">
                  <w:pPr>
                    <w:widowControl/>
                    <w:adjustRightInd w:val="0"/>
                    <w:snapToGrid w:val="0"/>
                    <w:jc w:val="center"/>
                    <w:rPr>
                      <w:color w:val="auto"/>
                      <w:kern w:val="0"/>
                      <w:szCs w:val="21"/>
                    </w:rPr>
                  </w:pPr>
                  <w:r>
                    <w:rPr>
                      <w:rFonts w:hint="eastAsia"/>
                      <w:color w:val="auto"/>
                      <w:szCs w:val="21"/>
                    </w:rPr>
                    <w:t>天然气燃烧废气</w:t>
                  </w:r>
                </w:p>
              </w:tc>
              <w:tc>
                <w:tcPr>
                  <w:tcW w:w="4800" w:type="dxa"/>
                  <w:vAlign w:val="center"/>
                </w:tcPr>
                <w:p w14:paraId="46C0CBA2">
                  <w:pPr>
                    <w:widowControl/>
                    <w:adjustRightInd w:val="0"/>
                    <w:snapToGrid w:val="0"/>
                    <w:jc w:val="center"/>
                    <w:rPr>
                      <w:color w:val="auto"/>
                      <w:kern w:val="0"/>
                    </w:rPr>
                  </w:pPr>
                  <w:r>
                    <w:rPr>
                      <w:color w:val="auto"/>
                      <w:szCs w:val="21"/>
                    </w:rPr>
                    <w:t>通过</w:t>
                  </w:r>
                  <w:r>
                    <w:rPr>
                      <w:rFonts w:hint="eastAsia"/>
                      <w:color w:val="auto"/>
                      <w:szCs w:val="21"/>
                    </w:rPr>
                    <w:t>15m高排气筒（DA002）</w:t>
                  </w:r>
                  <w:r>
                    <w:rPr>
                      <w:color w:val="auto"/>
                      <w:szCs w:val="21"/>
                    </w:rPr>
                    <w:t>排放</w:t>
                  </w:r>
                  <w:r>
                    <w:rPr>
                      <w:rFonts w:hint="eastAsia"/>
                      <w:color w:val="auto"/>
                      <w:szCs w:val="21"/>
                    </w:rPr>
                    <w:t>。</w:t>
                  </w:r>
                </w:p>
              </w:tc>
              <w:tc>
                <w:tcPr>
                  <w:tcW w:w="1199" w:type="dxa"/>
                  <w:vAlign w:val="center"/>
                </w:tcPr>
                <w:p w14:paraId="7C97B1A2">
                  <w:pPr>
                    <w:widowControl/>
                    <w:adjustRightInd w:val="0"/>
                    <w:snapToGrid w:val="0"/>
                    <w:jc w:val="center"/>
                    <w:rPr>
                      <w:color w:val="auto"/>
                      <w:kern w:val="0"/>
                    </w:rPr>
                  </w:pPr>
                  <w:r>
                    <w:rPr>
                      <w:rFonts w:hint="eastAsia"/>
                      <w:color w:val="auto"/>
                      <w:kern w:val="0"/>
                    </w:rPr>
                    <w:t>新建，已建</w:t>
                  </w:r>
                </w:p>
              </w:tc>
            </w:tr>
            <w:tr w14:paraId="12160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677" w:type="dxa"/>
                  <w:vMerge w:val="continue"/>
                  <w:vAlign w:val="center"/>
                </w:tcPr>
                <w:p w14:paraId="60E5EC15">
                  <w:pPr>
                    <w:widowControl/>
                    <w:adjustRightInd w:val="0"/>
                    <w:snapToGrid w:val="0"/>
                    <w:jc w:val="center"/>
                    <w:rPr>
                      <w:color w:val="auto"/>
                      <w:kern w:val="0"/>
                      <w:szCs w:val="21"/>
                    </w:rPr>
                  </w:pPr>
                </w:p>
              </w:tc>
              <w:tc>
                <w:tcPr>
                  <w:tcW w:w="425" w:type="dxa"/>
                  <w:vMerge w:val="continue"/>
                  <w:vAlign w:val="center"/>
                </w:tcPr>
                <w:p w14:paraId="712DD1D9">
                  <w:pPr>
                    <w:widowControl/>
                    <w:adjustRightInd w:val="0"/>
                    <w:snapToGrid w:val="0"/>
                    <w:jc w:val="center"/>
                    <w:rPr>
                      <w:color w:val="auto"/>
                      <w:kern w:val="0"/>
                      <w:szCs w:val="21"/>
                    </w:rPr>
                  </w:pPr>
                </w:p>
              </w:tc>
              <w:tc>
                <w:tcPr>
                  <w:tcW w:w="1305" w:type="dxa"/>
                  <w:vMerge w:val="restart"/>
                  <w:vAlign w:val="center"/>
                </w:tcPr>
                <w:p w14:paraId="5AB9C942">
                  <w:pPr>
                    <w:widowControl/>
                    <w:adjustRightInd w:val="0"/>
                    <w:snapToGrid w:val="0"/>
                    <w:jc w:val="center"/>
                    <w:rPr>
                      <w:color w:val="auto"/>
                      <w:kern w:val="0"/>
                      <w:szCs w:val="21"/>
                    </w:rPr>
                  </w:pPr>
                  <w:r>
                    <w:rPr>
                      <w:rFonts w:hint="eastAsia"/>
                      <w:color w:val="auto"/>
                      <w:szCs w:val="21"/>
                    </w:rPr>
                    <w:t>有机废气</w:t>
                  </w:r>
                </w:p>
              </w:tc>
              <w:tc>
                <w:tcPr>
                  <w:tcW w:w="4800" w:type="dxa"/>
                  <w:vAlign w:val="center"/>
                </w:tcPr>
                <w:p w14:paraId="6213F3F0">
                  <w:pPr>
                    <w:widowControl/>
                    <w:adjustRightInd w:val="0"/>
                    <w:snapToGrid w:val="0"/>
                    <w:jc w:val="center"/>
                    <w:rPr>
                      <w:color w:val="auto"/>
                      <w:kern w:val="0"/>
                      <w:szCs w:val="22"/>
                    </w:rPr>
                  </w:pPr>
                  <w:r>
                    <w:rPr>
                      <w:rFonts w:hint="eastAsia"/>
                      <w:color w:val="auto"/>
                      <w:kern w:val="0"/>
                      <w:szCs w:val="21"/>
                    </w:rPr>
                    <w:t>调胶、浸渍、烘干产生的有机废气经集气罩和排气管道收集至“</w:t>
                  </w:r>
                  <w:r>
                    <w:rPr>
                      <w:color w:val="auto"/>
                      <w:szCs w:val="21"/>
                    </w:rPr>
                    <w:t>UV光解</w:t>
                  </w:r>
                  <w:r>
                    <w:rPr>
                      <w:rFonts w:hint="eastAsia"/>
                      <w:color w:val="auto"/>
                      <w:szCs w:val="21"/>
                    </w:rPr>
                    <w:t>+</w:t>
                  </w:r>
                  <w:r>
                    <w:rPr>
                      <w:color w:val="auto"/>
                      <w:szCs w:val="21"/>
                    </w:rPr>
                    <w:t>三级活性炭吸附净化装置</w:t>
                  </w:r>
                  <w:r>
                    <w:rPr>
                      <w:rFonts w:hint="eastAsia"/>
                      <w:color w:val="auto"/>
                      <w:kern w:val="0"/>
                      <w:szCs w:val="21"/>
                    </w:rPr>
                    <w:t>”</w:t>
                  </w:r>
                  <w:r>
                    <w:rPr>
                      <w:color w:val="auto"/>
                      <w:szCs w:val="21"/>
                      <w:lang w:val="zh-CN"/>
                    </w:rPr>
                    <w:t>处理后</w:t>
                  </w:r>
                  <w:r>
                    <w:rPr>
                      <w:rFonts w:hint="eastAsia"/>
                      <w:color w:val="auto"/>
                      <w:szCs w:val="21"/>
                      <w:lang w:val="zh-CN"/>
                    </w:rPr>
                    <w:t>，</w:t>
                  </w:r>
                  <w:r>
                    <w:rPr>
                      <w:rFonts w:hint="eastAsia"/>
                      <w:color w:val="auto"/>
                      <w:szCs w:val="21"/>
                    </w:rPr>
                    <w:t>由15</w:t>
                  </w:r>
                  <w:r>
                    <w:rPr>
                      <w:color w:val="auto"/>
                      <w:szCs w:val="21"/>
                    </w:rPr>
                    <w:t>m高排气筒（DA00</w:t>
                  </w:r>
                  <w:r>
                    <w:rPr>
                      <w:rFonts w:hint="eastAsia"/>
                      <w:color w:val="auto"/>
                      <w:szCs w:val="21"/>
                    </w:rPr>
                    <w:t>1</w:t>
                  </w:r>
                  <w:r>
                    <w:rPr>
                      <w:color w:val="auto"/>
                      <w:szCs w:val="21"/>
                    </w:rPr>
                    <w:t>）排放</w:t>
                  </w:r>
                  <w:r>
                    <w:rPr>
                      <w:rFonts w:hint="eastAsia"/>
                      <w:color w:val="auto"/>
                      <w:szCs w:val="21"/>
                    </w:rPr>
                    <w:t>。</w:t>
                  </w:r>
                  <w:r>
                    <w:rPr>
                      <w:color w:val="auto"/>
                      <w:kern w:val="0"/>
                    </w:rPr>
                    <w:t>风量为</w:t>
                  </w:r>
                  <w:r>
                    <w:rPr>
                      <w:rFonts w:hint="eastAsia"/>
                      <w:color w:val="auto"/>
                      <w:kern w:val="0"/>
                    </w:rPr>
                    <w:t>20320</w:t>
                  </w:r>
                  <w:r>
                    <w:rPr>
                      <w:color w:val="auto"/>
                      <w:kern w:val="0"/>
                    </w:rPr>
                    <w:t>m</w:t>
                  </w:r>
                  <w:r>
                    <w:rPr>
                      <w:color w:val="auto"/>
                      <w:kern w:val="0"/>
                      <w:vertAlign w:val="superscript"/>
                    </w:rPr>
                    <w:t>3</w:t>
                  </w:r>
                  <w:r>
                    <w:rPr>
                      <w:color w:val="auto"/>
                      <w:kern w:val="0"/>
                    </w:rPr>
                    <w:t>/h，</w:t>
                  </w:r>
                  <w:r>
                    <w:rPr>
                      <w:rFonts w:hint="eastAsia"/>
                      <w:color w:val="auto"/>
                      <w:kern w:val="0"/>
                    </w:rPr>
                    <w:t>收集效率为90%，吸附</w:t>
                  </w:r>
                  <w:r>
                    <w:rPr>
                      <w:color w:val="auto"/>
                      <w:kern w:val="0"/>
                    </w:rPr>
                    <w:t>效率为</w:t>
                  </w:r>
                  <w:r>
                    <w:rPr>
                      <w:rFonts w:hint="eastAsia"/>
                      <w:color w:val="auto"/>
                      <w:kern w:val="0"/>
                    </w:rPr>
                    <w:t>80</w:t>
                  </w:r>
                  <w:r>
                    <w:rPr>
                      <w:color w:val="auto"/>
                      <w:kern w:val="0"/>
                    </w:rPr>
                    <w:t>%。</w:t>
                  </w:r>
                </w:p>
              </w:tc>
              <w:tc>
                <w:tcPr>
                  <w:tcW w:w="1199" w:type="dxa"/>
                  <w:vAlign w:val="center"/>
                </w:tcPr>
                <w:p w14:paraId="60210348">
                  <w:pPr>
                    <w:widowControl/>
                    <w:adjustRightInd w:val="0"/>
                    <w:snapToGrid w:val="0"/>
                    <w:jc w:val="center"/>
                    <w:rPr>
                      <w:color w:val="auto"/>
                      <w:kern w:val="0"/>
                    </w:rPr>
                  </w:pPr>
                  <w:r>
                    <w:rPr>
                      <w:rFonts w:hint="eastAsia"/>
                      <w:color w:val="auto"/>
                      <w:kern w:val="0"/>
                    </w:rPr>
                    <w:t>新建，已建</w:t>
                  </w:r>
                </w:p>
              </w:tc>
            </w:tr>
            <w:tr w14:paraId="1B810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7" w:type="dxa"/>
                  <w:vMerge w:val="continue"/>
                  <w:vAlign w:val="center"/>
                </w:tcPr>
                <w:p w14:paraId="43E8295B">
                  <w:pPr>
                    <w:widowControl/>
                    <w:adjustRightInd w:val="0"/>
                    <w:snapToGrid w:val="0"/>
                    <w:jc w:val="center"/>
                    <w:rPr>
                      <w:color w:val="auto"/>
                      <w:kern w:val="0"/>
                      <w:szCs w:val="21"/>
                    </w:rPr>
                  </w:pPr>
                </w:p>
              </w:tc>
              <w:tc>
                <w:tcPr>
                  <w:tcW w:w="425" w:type="dxa"/>
                  <w:vMerge w:val="continue"/>
                  <w:vAlign w:val="center"/>
                </w:tcPr>
                <w:p w14:paraId="12C78895">
                  <w:pPr>
                    <w:widowControl/>
                    <w:adjustRightInd w:val="0"/>
                    <w:snapToGrid w:val="0"/>
                    <w:jc w:val="center"/>
                    <w:rPr>
                      <w:color w:val="auto"/>
                      <w:kern w:val="0"/>
                      <w:szCs w:val="21"/>
                    </w:rPr>
                  </w:pPr>
                </w:p>
              </w:tc>
              <w:tc>
                <w:tcPr>
                  <w:tcW w:w="1305" w:type="dxa"/>
                  <w:vMerge w:val="continue"/>
                  <w:vAlign w:val="center"/>
                </w:tcPr>
                <w:p w14:paraId="1AD9ABBB">
                  <w:pPr>
                    <w:adjustRightInd w:val="0"/>
                    <w:snapToGrid w:val="0"/>
                    <w:jc w:val="center"/>
                    <w:rPr>
                      <w:color w:val="auto"/>
                      <w:kern w:val="0"/>
                      <w:szCs w:val="21"/>
                    </w:rPr>
                  </w:pPr>
                </w:p>
              </w:tc>
              <w:tc>
                <w:tcPr>
                  <w:tcW w:w="4800" w:type="dxa"/>
                  <w:vAlign w:val="center"/>
                </w:tcPr>
                <w:p w14:paraId="2266CB59">
                  <w:pPr>
                    <w:adjustRightInd w:val="0"/>
                    <w:snapToGrid w:val="0"/>
                    <w:jc w:val="center"/>
                    <w:rPr>
                      <w:color w:val="auto"/>
                      <w:kern w:val="0"/>
                    </w:rPr>
                  </w:pPr>
                  <w:r>
                    <w:rPr>
                      <w:rFonts w:hint="eastAsia"/>
                      <w:color w:val="auto"/>
                      <w:kern w:val="0"/>
                    </w:rPr>
                    <w:t>无组织废气经车间内排气扇抽排至室外。</w:t>
                  </w:r>
                </w:p>
              </w:tc>
              <w:tc>
                <w:tcPr>
                  <w:tcW w:w="1199" w:type="dxa"/>
                  <w:vAlign w:val="center"/>
                </w:tcPr>
                <w:p w14:paraId="0A8D46BC">
                  <w:pPr>
                    <w:widowControl/>
                    <w:adjustRightInd w:val="0"/>
                    <w:snapToGrid w:val="0"/>
                    <w:jc w:val="center"/>
                    <w:rPr>
                      <w:color w:val="auto"/>
                      <w:kern w:val="0"/>
                    </w:rPr>
                  </w:pPr>
                  <w:r>
                    <w:rPr>
                      <w:rFonts w:hint="eastAsia"/>
                      <w:color w:val="auto"/>
                      <w:kern w:val="0"/>
                    </w:rPr>
                    <w:t>新建，已建</w:t>
                  </w:r>
                </w:p>
              </w:tc>
            </w:tr>
            <w:tr w14:paraId="61561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7" w:type="dxa"/>
                  <w:vMerge w:val="continue"/>
                  <w:vAlign w:val="center"/>
                </w:tcPr>
                <w:p w14:paraId="09A0F381">
                  <w:pPr>
                    <w:widowControl/>
                    <w:adjustRightInd w:val="0"/>
                    <w:snapToGrid w:val="0"/>
                    <w:jc w:val="center"/>
                    <w:rPr>
                      <w:color w:val="auto"/>
                      <w:kern w:val="0"/>
                      <w:szCs w:val="21"/>
                    </w:rPr>
                  </w:pPr>
                </w:p>
              </w:tc>
              <w:tc>
                <w:tcPr>
                  <w:tcW w:w="425" w:type="dxa"/>
                  <w:vMerge w:val="restart"/>
                  <w:vAlign w:val="center"/>
                </w:tcPr>
                <w:p w14:paraId="6F83AA16">
                  <w:pPr>
                    <w:widowControl/>
                    <w:adjustRightInd w:val="0"/>
                    <w:snapToGrid w:val="0"/>
                    <w:jc w:val="center"/>
                    <w:rPr>
                      <w:color w:val="auto"/>
                      <w:kern w:val="0"/>
                      <w:szCs w:val="21"/>
                    </w:rPr>
                  </w:pPr>
                  <w:r>
                    <w:rPr>
                      <w:color w:val="auto"/>
                      <w:kern w:val="0"/>
                      <w:szCs w:val="21"/>
                    </w:rPr>
                    <w:t>废水</w:t>
                  </w:r>
                </w:p>
              </w:tc>
              <w:tc>
                <w:tcPr>
                  <w:tcW w:w="1305" w:type="dxa"/>
                  <w:vMerge w:val="restart"/>
                  <w:vAlign w:val="center"/>
                </w:tcPr>
                <w:p w14:paraId="55384564">
                  <w:pPr>
                    <w:widowControl/>
                    <w:adjustRightInd w:val="0"/>
                    <w:snapToGrid w:val="0"/>
                    <w:jc w:val="center"/>
                    <w:rPr>
                      <w:color w:val="auto"/>
                      <w:kern w:val="0"/>
                      <w:szCs w:val="21"/>
                    </w:rPr>
                  </w:pPr>
                  <w:r>
                    <w:rPr>
                      <w:rFonts w:hint="eastAsia"/>
                      <w:color w:val="auto"/>
                      <w:kern w:val="0"/>
                      <w:szCs w:val="21"/>
                    </w:rPr>
                    <w:t>生活污水</w:t>
                  </w:r>
                </w:p>
              </w:tc>
              <w:tc>
                <w:tcPr>
                  <w:tcW w:w="4800" w:type="dxa"/>
                  <w:vAlign w:val="center"/>
                </w:tcPr>
                <w:p w14:paraId="0533F6AB">
                  <w:pPr>
                    <w:widowControl/>
                    <w:adjustRightInd w:val="0"/>
                    <w:snapToGrid w:val="0"/>
                    <w:jc w:val="center"/>
                    <w:rPr>
                      <w:color w:val="auto"/>
                      <w:kern w:val="0"/>
                    </w:rPr>
                  </w:pPr>
                  <w:r>
                    <w:rPr>
                      <w:rFonts w:hint="eastAsia"/>
                      <w:color w:val="auto"/>
                      <w:kern w:val="0"/>
                    </w:rPr>
                    <w:t>依托综合楼南侧已配套建设的1个容积为5m</w:t>
                  </w:r>
                  <w:r>
                    <w:rPr>
                      <w:rFonts w:hint="eastAsia"/>
                      <w:color w:val="auto"/>
                      <w:kern w:val="0"/>
                      <w:vertAlign w:val="superscript"/>
                    </w:rPr>
                    <w:t>3</w:t>
                  </w:r>
                  <w:r>
                    <w:rPr>
                      <w:rFonts w:hint="eastAsia"/>
                      <w:color w:val="auto"/>
                      <w:kern w:val="0"/>
                    </w:rPr>
                    <w:t>的化粪池，用于员工生活污水预处理。</w:t>
                  </w:r>
                </w:p>
              </w:tc>
              <w:tc>
                <w:tcPr>
                  <w:tcW w:w="1199" w:type="dxa"/>
                  <w:vAlign w:val="center"/>
                </w:tcPr>
                <w:p w14:paraId="494ED300">
                  <w:pPr>
                    <w:widowControl/>
                    <w:adjustRightInd w:val="0"/>
                    <w:snapToGrid w:val="0"/>
                    <w:jc w:val="center"/>
                    <w:rPr>
                      <w:color w:val="auto"/>
                      <w:kern w:val="0"/>
                      <w:szCs w:val="21"/>
                    </w:rPr>
                  </w:pPr>
                  <w:r>
                    <w:rPr>
                      <w:rFonts w:hint="eastAsia"/>
                      <w:color w:val="auto"/>
                      <w:kern w:val="0"/>
                      <w:szCs w:val="21"/>
                    </w:rPr>
                    <w:t>依托寻甸荣禾工贸有限公司已建</w:t>
                  </w:r>
                </w:p>
              </w:tc>
            </w:tr>
            <w:tr w14:paraId="731E0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7" w:type="dxa"/>
                  <w:vMerge w:val="continue"/>
                  <w:vAlign w:val="center"/>
                </w:tcPr>
                <w:p w14:paraId="032AF11A">
                  <w:pPr>
                    <w:widowControl/>
                    <w:adjustRightInd w:val="0"/>
                    <w:snapToGrid w:val="0"/>
                    <w:jc w:val="center"/>
                    <w:rPr>
                      <w:color w:val="auto"/>
                      <w:kern w:val="0"/>
                      <w:szCs w:val="21"/>
                    </w:rPr>
                  </w:pPr>
                </w:p>
              </w:tc>
              <w:tc>
                <w:tcPr>
                  <w:tcW w:w="425" w:type="dxa"/>
                  <w:vMerge w:val="continue"/>
                  <w:vAlign w:val="center"/>
                </w:tcPr>
                <w:p w14:paraId="41DB51E7">
                  <w:pPr>
                    <w:widowControl/>
                    <w:adjustRightInd w:val="0"/>
                    <w:snapToGrid w:val="0"/>
                    <w:jc w:val="center"/>
                    <w:rPr>
                      <w:color w:val="auto"/>
                      <w:kern w:val="0"/>
                      <w:szCs w:val="21"/>
                    </w:rPr>
                  </w:pPr>
                </w:p>
              </w:tc>
              <w:tc>
                <w:tcPr>
                  <w:tcW w:w="1305" w:type="dxa"/>
                  <w:vMerge w:val="continue"/>
                  <w:vAlign w:val="center"/>
                </w:tcPr>
                <w:p w14:paraId="37E5AF9B">
                  <w:pPr>
                    <w:widowControl/>
                    <w:adjustRightInd w:val="0"/>
                    <w:snapToGrid w:val="0"/>
                    <w:jc w:val="center"/>
                    <w:rPr>
                      <w:color w:val="auto"/>
                      <w:kern w:val="0"/>
                      <w:szCs w:val="21"/>
                    </w:rPr>
                  </w:pPr>
                </w:p>
              </w:tc>
              <w:tc>
                <w:tcPr>
                  <w:tcW w:w="4800" w:type="dxa"/>
                  <w:vAlign w:val="center"/>
                </w:tcPr>
                <w:p w14:paraId="146243DE">
                  <w:pPr>
                    <w:widowControl/>
                    <w:adjustRightInd w:val="0"/>
                    <w:snapToGrid w:val="0"/>
                    <w:jc w:val="center"/>
                    <w:rPr>
                      <w:color w:val="auto"/>
                      <w:kern w:val="0"/>
                    </w:rPr>
                  </w:pPr>
                  <w:r>
                    <w:rPr>
                      <w:rFonts w:hint="eastAsia"/>
                      <w:color w:val="auto"/>
                      <w:kern w:val="0"/>
                    </w:rPr>
                    <w:t>依托综合楼外已建的1座处理规</w:t>
                  </w:r>
                  <w:r>
                    <w:rPr>
                      <w:rFonts w:hint="eastAsia"/>
                      <w:color w:val="auto"/>
                      <w:kern w:val="0"/>
                      <w:szCs w:val="21"/>
                    </w:rPr>
                    <w:t>模为</w:t>
                  </w:r>
                  <w:r>
                    <w:rPr>
                      <w:rFonts w:hint="eastAsia"/>
                      <w:color w:val="auto"/>
                      <w:szCs w:val="21"/>
                    </w:rPr>
                    <w:t>5</w:t>
                  </w:r>
                  <w:r>
                    <w:rPr>
                      <w:color w:val="auto"/>
                      <w:szCs w:val="21"/>
                    </w:rPr>
                    <w:t>m</w:t>
                  </w:r>
                  <w:r>
                    <w:rPr>
                      <w:color w:val="auto"/>
                      <w:szCs w:val="21"/>
                      <w:vertAlign w:val="superscript"/>
                    </w:rPr>
                    <w:t>3</w:t>
                  </w:r>
                  <w:r>
                    <w:rPr>
                      <w:color w:val="auto"/>
                      <w:szCs w:val="21"/>
                    </w:rPr>
                    <w:t>/d</w:t>
                  </w:r>
                  <w:r>
                    <w:rPr>
                      <w:rFonts w:hint="eastAsia"/>
                      <w:color w:val="auto"/>
                      <w:kern w:val="0"/>
                      <w:szCs w:val="21"/>
                    </w:rPr>
                    <w:t>的污水处理站</w:t>
                  </w:r>
                  <w:r>
                    <w:rPr>
                      <w:rFonts w:hint="eastAsia"/>
                      <w:color w:val="auto"/>
                      <w:kern w:val="0"/>
                    </w:rPr>
                    <w:t>，用于员工生活污水处理。</w:t>
                  </w:r>
                  <w:r>
                    <w:rPr>
                      <w:rFonts w:hint="eastAsia"/>
                      <w:color w:val="auto"/>
                      <w:kern w:val="0"/>
                      <w:szCs w:val="21"/>
                    </w:rPr>
                    <w:t>项目生活污水</w:t>
                  </w:r>
                  <w:r>
                    <w:rPr>
                      <w:rFonts w:hint="eastAsia"/>
                      <w:color w:val="auto"/>
                      <w:kern w:val="0"/>
                    </w:rPr>
                    <w:t>经</w:t>
                  </w:r>
                  <w:r>
                    <w:rPr>
                      <w:color w:val="auto"/>
                      <w:kern w:val="0"/>
                    </w:rPr>
                    <w:t>处理达《城市污水再生利用 城市杂用水水质》（GB/T18920-2020）中的城市绿化、道路清扫、消防、建筑施工标准后回用于绿化</w:t>
                  </w:r>
                  <w:r>
                    <w:rPr>
                      <w:rFonts w:hint="eastAsia"/>
                      <w:color w:val="auto"/>
                      <w:kern w:val="0"/>
                    </w:rPr>
                    <w:t>及道路降尘。</w:t>
                  </w:r>
                </w:p>
              </w:tc>
              <w:tc>
                <w:tcPr>
                  <w:tcW w:w="1199" w:type="dxa"/>
                  <w:vAlign w:val="center"/>
                </w:tcPr>
                <w:p w14:paraId="07E752B3">
                  <w:pPr>
                    <w:widowControl/>
                    <w:adjustRightInd w:val="0"/>
                    <w:snapToGrid w:val="0"/>
                    <w:jc w:val="center"/>
                    <w:rPr>
                      <w:color w:val="auto"/>
                      <w:kern w:val="0"/>
                      <w:szCs w:val="21"/>
                    </w:rPr>
                  </w:pPr>
                  <w:r>
                    <w:rPr>
                      <w:rFonts w:hint="eastAsia"/>
                      <w:color w:val="auto"/>
                      <w:kern w:val="0"/>
                      <w:szCs w:val="21"/>
                    </w:rPr>
                    <w:t>依托寻甸荣禾工贸有限公司已建</w:t>
                  </w:r>
                </w:p>
              </w:tc>
            </w:tr>
            <w:tr w14:paraId="3D631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7" w:type="dxa"/>
                  <w:vMerge w:val="continue"/>
                  <w:vAlign w:val="center"/>
                </w:tcPr>
                <w:p w14:paraId="18D636A5">
                  <w:pPr>
                    <w:widowControl/>
                    <w:adjustRightInd w:val="0"/>
                    <w:snapToGrid w:val="0"/>
                    <w:jc w:val="center"/>
                    <w:rPr>
                      <w:color w:val="auto"/>
                      <w:kern w:val="0"/>
                      <w:szCs w:val="21"/>
                    </w:rPr>
                  </w:pPr>
                </w:p>
              </w:tc>
              <w:tc>
                <w:tcPr>
                  <w:tcW w:w="425" w:type="dxa"/>
                  <w:vMerge w:val="continue"/>
                  <w:vAlign w:val="center"/>
                </w:tcPr>
                <w:p w14:paraId="6AEB4EAB">
                  <w:pPr>
                    <w:widowControl/>
                    <w:adjustRightInd w:val="0"/>
                    <w:snapToGrid w:val="0"/>
                    <w:jc w:val="center"/>
                    <w:rPr>
                      <w:color w:val="auto"/>
                      <w:kern w:val="0"/>
                      <w:szCs w:val="21"/>
                    </w:rPr>
                  </w:pPr>
                </w:p>
              </w:tc>
              <w:tc>
                <w:tcPr>
                  <w:tcW w:w="1305" w:type="dxa"/>
                  <w:vMerge w:val="continue"/>
                  <w:vAlign w:val="center"/>
                </w:tcPr>
                <w:p w14:paraId="4D3CF107">
                  <w:pPr>
                    <w:widowControl/>
                    <w:adjustRightInd w:val="0"/>
                    <w:snapToGrid w:val="0"/>
                    <w:jc w:val="center"/>
                    <w:rPr>
                      <w:color w:val="auto"/>
                      <w:kern w:val="0"/>
                      <w:szCs w:val="21"/>
                    </w:rPr>
                  </w:pPr>
                </w:p>
              </w:tc>
              <w:tc>
                <w:tcPr>
                  <w:tcW w:w="4800" w:type="dxa"/>
                  <w:vAlign w:val="center"/>
                </w:tcPr>
                <w:p w14:paraId="04F107FB">
                  <w:pPr>
                    <w:widowControl/>
                    <w:adjustRightInd w:val="0"/>
                    <w:snapToGrid w:val="0"/>
                    <w:jc w:val="center"/>
                    <w:rPr>
                      <w:color w:val="auto"/>
                      <w:kern w:val="0"/>
                    </w:rPr>
                  </w:pPr>
                  <w:r>
                    <w:rPr>
                      <w:rFonts w:hint="eastAsia"/>
                      <w:color w:val="auto"/>
                      <w:kern w:val="0"/>
                    </w:rPr>
                    <w:t>依托综合楼北侧新建的1个容积为10m</w:t>
                  </w:r>
                  <w:r>
                    <w:rPr>
                      <w:rFonts w:hint="eastAsia"/>
                      <w:color w:val="auto"/>
                      <w:kern w:val="0"/>
                      <w:vertAlign w:val="superscript"/>
                    </w:rPr>
                    <w:t>3</w:t>
                  </w:r>
                  <w:r>
                    <w:rPr>
                      <w:rFonts w:hint="eastAsia"/>
                      <w:color w:val="auto"/>
                      <w:kern w:val="0"/>
                    </w:rPr>
                    <w:t>的暂存池，用于收集暂存项目区雨天生活污水。</w:t>
                  </w:r>
                </w:p>
              </w:tc>
              <w:tc>
                <w:tcPr>
                  <w:tcW w:w="1199" w:type="dxa"/>
                  <w:vAlign w:val="center"/>
                </w:tcPr>
                <w:p w14:paraId="4B3D87D5">
                  <w:pPr>
                    <w:widowControl/>
                    <w:adjustRightInd w:val="0"/>
                    <w:snapToGrid w:val="0"/>
                    <w:jc w:val="center"/>
                    <w:rPr>
                      <w:color w:val="auto"/>
                      <w:kern w:val="0"/>
                    </w:rPr>
                  </w:pPr>
                  <w:r>
                    <w:rPr>
                      <w:rFonts w:hint="eastAsia"/>
                      <w:color w:val="auto"/>
                      <w:kern w:val="0"/>
                      <w:szCs w:val="21"/>
                    </w:rPr>
                    <w:t>依托寻甸荣禾工贸有限公司已建</w:t>
                  </w:r>
                </w:p>
              </w:tc>
            </w:tr>
            <w:tr w14:paraId="2D9A3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7" w:type="dxa"/>
                  <w:vMerge w:val="continue"/>
                  <w:vAlign w:val="center"/>
                </w:tcPr>
                <w:p w14:paraId="27A8BC48">
                  <w:pPr>
                    <w:widowControl/>
                    <w:adjustRightInd w:val="0"/>
                    <w:snapToGrid w:val="0"/>
                    <w:jc w:val="center"/>
                    <w:rPr>
                      <w:color w:val="auto"/>
                      <w:kern w:val="0"/>
                      <w:szCs w:val="21"/>
                    </w:rPr>
                  </w:pPr>
                </w:p>
              </w:tc>
              <w:tc>
                <w:tcPr>
                  <w:tcW w:w="425" w:type="dxa"/>
                  <w:vMerge w:val="restart"/>
                  <w:vAlign w:val="center"/>
                </w:tcPr>
                <w:p w14:paraId="0945E256">
                  <w:pPr>
                    <w:widowControl/>
                    <w:adjustRightInd w:val="0"/>
                    <w:snapToGrid w:val="0"/>
                    <w:jc w:val="center"/>
                    <w:rPr>
                      <w:color w:val="auto"/>
                      <w:kern w:val="0"/>
                      <w:szCs w:val="21"/>
                    </w:rPr>
                  </w:pPr>
                  <w:r>
                    <w:rPr>
                      <w:color w:val="auto"/>
                      <w:kern w:val="0"/>
                      <w:szCs w:val="21"/>
                    </w:rPr>
                    <w:t>固废</w:t>
                  </w:r>
                </w:p>
              </w:tc>
              <w:tc>
                <w:tcPr>
                  <w:tcW w:w="1305" w:type="dxa"/>
                  <w:vAlign w:val="center"/>
                </w:tcPr>
                <w:p w14:paraId="7106DD16">
                  <w:pPr>
                    <w:widowControl/>
                    <w:adjustRightInd w:val="0"/>
                    <w:snapToGrid w:val="0"/>
                    <w:jc w:val="center"/>
                    <w:rPr>
                      <w:color w:val="auto"/>
                      <w:kern w:val="0"/>
                      <w:szCs w:val="21"/>
                    </w:rPr>
                  </w:pPr>
                  <w:r>
                    <w:rPr>
                      <w:rFonts w:hint="eastAsia"/>
                      <w:color w:val="auto"/>
                      <w:kern w:val="0"/>
                      <w:szCs w:val="21"/>
                    </w:rPr>
                    <w:t>一般固废</w:t>
                  </w:r>
                </w:p>
              </w:tc>
              <w:tc>
                <w:tcPr>
                  <w:tcW w:w="4800" w:type="dxa"/>
                  <w:vAlign w:val="center"/>
                </w:tcPr>
                <w:p w14:paraId="033E99D4">
                  <w:pPr>
                    <w:widowControl/>
                    <w:adjustRightInd w:val="0"/>
                    <w:snapToGrid w:val="0"/>
                    <w:jc w:val="center"/>
                    <w:rPr>
                      <w:color w:val="auto"/>
                      <w:kern w:val="0"/>
                    </w:rPr>
                  </w:pPr>
                  <w:r>
                    <w:rPr>
                      <w:color w:val="auto"/>
                      <w:kern w:val="0"/>
                    </w:rPr>
                    <w:t>项目内设</w:t>
                  </w:r>
                  <w:r>
                    <w:rPr>
                      <w:rFonts w:hint="eastAsia"/>
                      <w:color w:val="auto"/>
                      <w:kern w:val="0"/>
                    </w:rPr>
                    <w:t>若干大型生活垃圾桶用于暂存</w:t>
                  </w:r>
                  <w:r>
                    <w:rPr>
                      <w:color w:val="auto"/>
                      <w:kern w:val="0"/>
                    </w:rPr>
                    <w:t>生活垃圾</w:t>
                  </w:r>
                  <w:r>
                    <w:rPr>
                      <w:rFonts w:hint="eastAsia"/>
                      <w:color w:val="auto"/>
                      <w:kern w:val="0"/>
                    </w:rPr>
                    <w:t>；厂房内西北侧设置一间一般固废暂存间，占地面积</w:t>
                  </w:r>
                  <w:r>
                    <w:rPr>
                      <w:rFonts w:hint="eastAsia"/>
                      <w:color w:val="auto"/>
                      <w:kern w:val="0"/>
                      <w:szCs w:val="21"/>
                    </w:rPr>
                    <w:t>5m</w:t>
                  </w:r>
                  <w:r>
                    <w:rPr>
                      <w:rFonts w:hint="eastAsia"/>
                      <w:color w:val="auto"/>
                      <w:kern w:val="0"/>
                      <w:szCs w:val="21"/>
                      <w:vertAlign w:val="superscript"/>
                    </w:rPr>
                    <w:t>2</w:t>
                  </w:r>
                  <w:r>
                    <w:rPr>
                      <w:rFonts w:hint="eastAsia"/>
                      <w:color w:val="auto"/>
                      <w:kern w:val="0"/>
                      <w:szCs w:val="21"/>
                    </w:rPr>
                    <w:t>，用来暂存</w:t>
                  </w:r>
                  <w:r>
                    <w:rPr>
                      <w:rFonts w:hint="eastAsia" w:cs="宋体"/>
                      <w:color w:val="auto"/>
                      <w:szCs w:val="21"/>
                    </w:rPr>
                    <w:t>不合格品、</w:t>
                  </w:r>
                  <w:r>
                    <w:rPr>
                      <w:rFonts w:hint="eastAsia"/>
                      <w:bCs/>
                      <w:snapToGrid w:val="0"/>
                      <w:color w:val="auto"/>
                      <w:kern w:val="0"/>
                      <w:szCs w:val="21"/>
                    </w:rPr>
                    <w:t>废边角料等一般固废，</w:t>
                  </w:r>
                  <w:r>
                    <w:rPr>
                      <w:rFonts w:hint="eastAsia"/>
                      <w:color w:val="auto"/>
                      <w:kern w:val="0"/>
                    </w:rPr>
                    <w:t>定期委托环卫部门清运处置</w:t>
                  </w:r>
                  <w:r>
                    <w:rPr>
                      <w:color w:val="auto"/>
                      <w:kern w:val="0"/>
                    </w:rPr>
                    <w:t>。</w:t>
                  </w:r>
                </w:p>
              </w:tc>
              <w:tc>
                <w:tcPr>
                  <w:tcW w:w="1199" w:type="dxa"/>
                  <w:vAlign w:val="center"/>
                </w:tcPr>
                <w:p w14:paraId="70D633C2">
                  <w:pPr>
                    <w:widowControl/>
                    <w:adjustRightInd w:val="0"/>
                    <w:snapToGrid w:val="0"/>
                    <w:jc w:val="center"/>
                    <w:rPr>
                      <w:color w:val="auto"/>
                      <w:kern w:val="0"/>
                    </w:rPr>
                  </w:pPr>
                  <w:r>
                    <w:rPr>
                      <w:rFonts w:hint="eastAsia"/>
                      <w:color w:val="auto"/>
                      <w:kern w:val="0"/>
                      <w:szCs w:val="21"/>
                    </w:rPr>
                    <w:t>新建</w:t>
                  </w:r>
                </w:p>
              </w:tc>
            </w:tr>
            <w:tr w14:paraId="3D1E4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677" w:type="dxa"/>
                  <w:vMerge w:val="continue"/>
                  <w:vAlign w:val="center"/>
                </w:tcPr>
                <w:p w14:paraId="00F0B9D9">
                  <w:pPr>
                    <w:widowControl/>
                    <w:adjustRightInd w:val="0"/>
                    <w:snapToGrid w:val="0"/>
                    <w:jc w:val="center"/>
                    <w:rPr>
                      <w:color w:val="auto"/>
                      <w:kern w:val="0"/>
                      <w:szCs w:val="21"/>
                    </w:rPr>
                  </w:pPr>
                </w:p>
              </w:tc>
              <w:tc>
                <w:tcPr>
                  <w:tcW w:w="425" w:type="dxa"/>
                  <w:vMerge w:val="continue"/>
                  <w:vAlign w:val="center"/>
                </w:tcPr>
                <w:p w14:paraId="66A2EBB2">
                  <w:pPr>
                    <w:widowControl/>
                    <w:adjustRightInd w:val="0"/>
                    <w:snapToGrid w:val="0"/>
                    <w:jc w:val="center"/>
                    <w:rPr>
                      <w:color w:val="auto"/>
                      <w:kern w:val="0"/>
                      <w:szCs w:val="21"/>
                    </w:rPr>
                  </w:pPr>
                </w:p>
              </w:tc>
              <w:tc>
                <w:tcPr>
                  <w:tcW w:w="1305" w:type="dxa"/>
                  <w:vAlign w:val="center"/>
                </w:tcPr>
                <w:p w14:paraId="31A9A032">
                  <w:pPr>
                    <w:widowControl/>
                    <w:adjustRightInd w:val="0"/>
                    <w:snapToGrid w:val="0"/>
                    <w:jc w:val="center"/>
                    <w:rPr>
                      <w:color w:val="auto"/>
                      <w:kern w:val="0"/>
                      <w:szCs w:val="21"/>
                    </w:rPr>
                  </w:pPr>
                  <w:r>
                    <w:rPr>
                      <w:rFonts w:hint="eastAsia"/>
                      <w:color w:val="auto"/>
                      <w:kern w:val="0"/>
                      <w:szCs w:val="21"/>
                    </w:rPr>
                    <w:t>危险废物</w:t>
                  </w:r>
                </w:p>
              </w:tc>
              <w:tc>
                <w:tcPr>
                  <w:tcW w:w="4800" w:type="dxa"/>
                  <w:vAlign w:val="center"/>
                </w:tcPr>
                <w:p w14:paraId="44DC7164">
                  <w:pPr>
                    <w:widowControl/>
                    <w:adjustRightInd w:val="0"/>
                    <w:snapToGrid w:val="0"/>
                    <w:jc w:val="center"/>
                    <w:rPr>
                      <w:color w:val="auto"/>
                      <w:kern w:val="0"/>
                    </w:rPr>
                  </w:pPr>
                  <w:r>
                    <w:rPr>
                      <w:rFonts w:hint="eastAsia"/>
                      <w:color w:val="auto"/>
                      <w:kern w:val="0"/>
                      <w:szCs w:val="21"/>
                    </w:rPr>
                    <w:t>成品堆放区东北侧设1间5m</w:t>
                  </w:r>
                  <w:r>
                    <w:rPr>
                      <w:rFonts w:hint="eastAsia"/>
                      <w:color w:val="auto"/>
                      <w:kern w:val="0"/>
                      <w:szCs w:val="21"/>
                      <w:vertAlign w:val="superscript"/>
                    </w:rPr>
                    <w:t>2</w:t>
                  </w:r>
                  <w:r>
                    <w:rPr>
                      <w:rFonts w:hint="eastAsia"/>
                      <w:color w:val="auto"/>
                      <w:kern w:val="0"/>
                      <w:szCs w:val="21"/>
                    </w:rPr>
                    <w:t>的危险废物暂存间，严格按照《危险废物贮存污染控制标准》（GB18597-2023）的相关要求进行建设；</w:t>
                  </w:r>
                  <w:r>
                    <w:rPr>
                      <w:rFonts w:hint="eastAsia"/>
                      <w:color w:val="auto"/>
                      <w:kern w:val="0"/>
                    </w:rPr>
                    <w:t>危险废物暂存间内</w:t>
                  </w:r>
                  <w:r>
                    <w:rPr>
                      <w:rFonts w:hint="eastAsia"/>
                      <w:color w:val="auto"/>
                      <w:kern w:val="0"/>
                      <w:szCs w:val="21"/>
                    </w:rPr>
                    <w:t>设若干危险废物专用收集容器。</w:t>
                  </w:r>
                  <w:r>
                    <w:rPr>
                      <w:rFonts w:hint="eastAsia"/>
                      <w:snapToGrid w:val="0"/>
                      <w:color w:val="auto"/>
                      <w:kern w:val="21"/>
                      <w:szCs w:val="21"/>
                    </w:rPr>
                    <w:t>废矿物油</w:t>
                  </w:r>
                  <w:r>
                    <w:rPr>
                      <w:rFonts w:hint="eastAsia"/>
                      <w:color w:val="auto"/>
                      <w:kern w:val="0"/>
                    </w:rPr>
                    <w:t>、废UV灯管、废活性炭等</w:t>
                  </w:r>
                  <w:r>
                    <w:rPr>
                      <w:rFonts w:hint="eastAsia"/>
                      <w:color w:val="auto"/>
                      <w:kern w:val="0"/>
                      <w:szCs w:val="21"/>
                    </w:rPr>
                    <w:t>危险废分类收集暂存于危险废物暂存间内，定期委托有资质的单位清运处置。</w:t>
                  </w:r>
                </w:p>
              </w:tc>
              <w:tc>
                <w:tcPr>
                  <w:tcW w:w="1199" w:type="dxa"/>
                  <w:vAlign w:val="center"/>
                </w:tcPr>
                <w:p w14:paraId="60882FF2">
                  <w:pPr>
                    <w:widowControl/>
                    <w:adjustRightInd w:val="0"/>
                    <w:snapToGrid w:val="0"/>
                    <w:jc w:val="center"/>
                    <w:rPr>
                      <w:color w:val="auto"/>
                      <w:kern w:val="0"/>
                    </w:rPr>
                  </w:pPr>
                  <w:r>
                    <w:rPr>
                      <w:rFonts w:hint="eastAsia"/>
                      <w:color w:val="auto"/>
                      <w:kern w:val="0"/>
                      <w:szCs w:val="21"/>
                    </w:rPr>
                    <w:t>新建</w:t>
                  </w:r>
                </w:p>
              </w:tc>
            </w:tr>
            <w:tr w14:paraId="4140B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77" w:type="dxa"/>
                  <w:vMerge w:val="continue"/>
                  <w:vAlign w:val="center"/>
                </w:tcPr>
                <w:p w14:paraId="318F3F9D">
                  <w:pPr>
                    <w:widowControl/>
                    <w:adjustRightInd w:val="0"/>
                    <w:snapToGrid w:val="0"/>
                    <w:jc w:val="center"/>
                    <w:rPr>
                      <w:color w:val="auto"/>
                      <w:kern w:val="0"/>
                      <w:szCs w:val="21"/>
                    </w:rPr>
                  </w:pPr>
                </w:p>
              </w:tc>
              <w:tc>
                <w:tcPr>
                  <w:tcW w:w="425" w:type="dxa"/>
                  <w:vAlign w:val="center"/>
                </w:tcPr>
                <w:p w14:paraId="26F6EF33">
                  <w:pPr>
                    <w:widowControl/>
                    <w:adjustRightInd w:val="0"/>
                    <w:snapToGrid w:val="0"/>
                    <w:jc w:val="center"/>
                    <w:rPr>
                      <w:color w:val="auto"/>
                      <w:kern w:val="0"/>
                      <w:szCs w:val="21"/>
                    </w:rPr>
                  </w:pPr>
                  <w:r>
                    <w:rPr>
                      <w:color w:val="auto"/>
                      <w:kern w:val="0"/>
                      <w:szCs w:val="21"/>
                    </w:rPr>
                    <w:t>噪声</w:t>
                  </w:r>
                </w:p>
              </w:tc>
              <w:tc>
                <w:tcPr>
                  <w:tcW w:w="1305" w:type="dxa"/>
                  <w:vAlign w:val="center"/>
                </w:tcPr>
                <w:p w14:paraId="6F2EE49D">
                  <w:pPr>
                    <w:adjustRightInd w:val="0"/>
                    <w:snapToGrid w:val="0"/>
                    <w:jc w:val="center"/>
                    <w:rPr>
                      <w:color w:val="auto"/>
                    </w:rPr>
                  </w:pPr>
                  <w:r>
                    <w:rPr>
                      <w:rFonts w:hint="eastAsia"/>
                      <w:color w:val="auto"/>
                    </w:rPr>
                    <w:t>基础</w:t>
                  </w:r>
                  <w:r>
                    <w:rPr>
                      <w:color w:val="auto"/>
                    </w:rPr>
                    <w:t>减震</w:t>
                  </w:r>
                </w:p>
              </w:tc>
              <w:tc>
                <w:tcPr>
                  <w:tcW w:w="4800" w:type="dxa"/>
                  <w:vAlign w:val="center"/>
                </w:tcPr>
                <w:p w14:paraId="5F603A93">
                  <w:pPr>
                    <w:widowControl/>
                    <w:adjustRightInd w:val="0"/>
                    <w:snapToGrid w:val="0"/>
                    <w:jc w:val="center"/>
                    <w:rPr>
                      <w:color w:val="auto"/>
                      <w:kern w:val="0"/>
                    </w:rPr>
                  </w:pPr>
                  <w:r>
                    <w:rPr>
                      <w:rFonts w:hint="eastAsia"/>
                      <w:color w:val="auto"/>
                      <w:kern w:val="0"/>
                    </w:rPr>
                    <w:t>设备安装基础减震，将设备置于房间内</w:t>
                  </w:r>
                  <w:r>
                    <w:rPr>
                      <w:color w:val="auto"/>
                      <w:kern w:val="0"/>
                    </w:rPr>
                    <w:t>。</w:t>
                  </w:r>
                </w:p>
              </w:tc>
              <w:tc>
                <w:tcPr>
                  <w:tcW w:w="1199" w:type="dxa"/>
                  <w:vAlign w:val="center"/>
                </w:tcPr>
                <w:p w14:paraId="439D0388">
                  <w:pPr>
                    <w:widowControl/>
                    <w:adjustRightInd w:val="0"/>
                    <w:snapToGrid w:val="0"/>
                    <w:jc w:val="center"/>
                    <w:rPr>
                      <w:color w:val="auto"/>
                      <w:kern w:val="0"/>
                    </w:rPr>
                  </w:pPr>
                  <w:r>
                    <w:rPr>
                      <w:rFonts w:hint="eastAsia"/>
                      <w:color w:val="auto"/>
                      <w:kern w:val="0"/>
                    </w:rPr>
                    <w:t>新建，已建</w:t>
                  </w:r>
                </w:p>
              </w:tc>
            </w:tr>
            <w:tr w14:paraId="5768B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77" w:type="dxa"/>
                  <w:vMerge w:val="continue"/>
                  <w:vAlign w:val="center"/>
                </w:tcPr>
                <w:p w14:paraId="41B76859">
                  <w:pPr>
                    <w:widowControl/>
                    <w:adjustRightInd w:val="0"/>
                    <w:snapToGrid w:val="0"/>
                    <w:jc w:val="center"/>
                    <w:rPr>
                      <w:color w:val="auto"/>
                      <w:kern w:val="0"/>
                      <w:szCs w:val="21"/>
                    </w:rPr>
                  </w:pPr>
                </w:p>
              </w:tc>
              <w:tc>
                <w:tcPr>
                  <w:tcW w:w="425" w:type="dxa"/>
                  <w:vAlign w:val="center"/>
                </w:tcPr>
                <w:p w14:paraId="062A3CA0">
                  <w:pPr>
                    <w:widowControl/>
                    <w:adjustRightInd w:val="0"/>
                    <w:snapToGrid w:val="0"/>
                    <w:jc w:val="center"/>
                    <w:rPr>
                      <w:color w:val="auto"/>
                      <w:kern w:val="0"/>
                      <w:szCs w:val="21"/>
                    </w:rPr>
                  </w:pPr>
                  <w:r>
                    <w:rPr>
                      <w:rFonts w:hint="eastAsia"/>
                      <w:color w:val="auto"/>
                      <w:kern w:val="0"/>
                      <w:szCs w:val="21"/>
                    </w:rPr>
                    <w:t>环境风险</w:t>
                  </w:r>
                </w:p>
              </w:tc>
              <w:tc>
                <w:tcPr>
                  <w:tcW w:w="1305" w:type="dxa"/>
                  <w:vAlign w:val="center"/>
                </w:tcPr>
                <w:p w14:paraId="6FD60462">
                  <w:pPr>
                    <w:adjustRightInd w:val="0"/>
                    <w:snapToGrid w:val="0"/>
                    <w:jc w:val="center"/>
                    <w:rPr>
                      <w:color w:val="auto"/>
                    </w:rPr>
                  </w:pPr>
                  <w:r>
                    <w:rPr>
                      <w:rFonts w:hint="eastAsia"/>
                      <w:color w:val="auto"/>
                    </w:rPr>
                    <w:t>风险防控</w:t>
                  </w:r>
                </w:p>
              </w:tc>
              <w:tc>
                <w:tcPr>
                  <w:tcW w:w="4800" w:type="dxa"/>
                  <w:vAlign w:val="center"/>
                </w:tcPr>
                <w:p w14:paraId="3B89ABFA">
                  <w:pPr>
                    <w:widowControl/>
                    <w:adjustRightInd w:val="0"/>
                    <w:snapToGrid w:val="0"/>
                    <w:jc w:val="center"/>
                    <w:rPr>
                      <w:color w:val="auto"/>
                      <w:kern w:val="0"/>
                    </w:rPr>
                  </w:pPr>
                  <w:r>
                    <w:rPr>
                      <w:rFonts w:hint="eastAsia"/>
                      <w:color w:val="auto"/>
                      <w:kern w:val="0"/>
                    </w:rPr>
                    <w:t>建设一座事故应急池，有效容积不少于15m</w:t>
                  </w:r>
                  <w:r>
                    <w:rPr>
                      <w:rFonts w:hint="eastAsia"/>
                      <w:color w:val="auto"/>
                      <w:kern w:val="0"/>
                      <w:vertAlign w:val="superscript"/>
                    </w:rPr>
                    <w:t>3</w:t>
                  </w:r>
                  <w:r>
                    <w:rPr>
                      <w:rFonts w:hint="eastAsia"/>
                      <w:color w:val="auto"/>
                      <w:kern w:val="0"/>
                    </w:rPr>
                    <w:t>，用于储存事故状态下的清消废水。</w:t>
                  </w:r>
                </w:p>
              </w:tc>
              <w:tc>
                <w:tcPr>
                  <w:tcW w:w="1199" w:type="dxa"/>
                  <w:vAlign w:val="center"/>
                </w:tcPr>
                <w:p w14:paraId="0098C9F3">
                  <w:pPr>
                    <w:widowControl/>
                    <w:adjustRightInd w:val="0"/>
                    <w:snapToGrid w:val="0"/>
                    <w:jc w:val="center"/>
                    <w:rPr>
                      <w:color w:val="auto"/>
                      <w:kern w:val="0"/>
                      <w:szCs w:val="21"/>
                    </w:rPr>
                  </w:pPr>
                  <w:r>
                    <w:rPr>
                      <w:rFonts w:hint="eastAsia"/>
                      <w:color w:val="auto"/>
                      <w:kern w:val="0"/>
                      <w:szCs w:val="21"/>
                    </w:rPr>
                    <w:t>新建</w:t>
                  </w:r>
                </w:p>
              </w:tc>
            </w:tr>
            <w:tr w14:paraId="23C8C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77" w:type="dxa"/>
                  <w:vMerge w:val="continue"/>
                  <w:vAlign w:val="center"/>
                </w:tcPr>
                <w:p w14:paraId="28AD6742">
                  <w:pPr>
                    <w:widowControl/>
                    <w:adjustRightInd w:val="0"/>
                    <w:snapToGrid w:val="0"/>
                    <w:jc w:val="center"/>
                    <w:rPr>
                      <w:color w:val="auto"/>
                      <w:kern w:val="0"/>
                      <w:szCs w:val="21"/>
                    </w:rPr>
                  </w:pPr>
                </w:p>
              </w:tc>
              <w:tc>
                <w:tcPr>
                  <w:tcW w:w="425" w:type="dxa"/>
                  <w:vAlign w:val="center"/>
                </w:tcPr>
                <w:p w14:paraId="6ADC0270">
                  <w:pPr>
                    <w:widowControl/>
                    <w:adjustRightInd w:val="0"/>
                    <w:snapToGrid w:val="0"/>
                    <w:jc w:val="center"/>
                    <w:rPr>
                      <w:color w:val="auto"/>
                      <w:kern w:val="0"/>
                      <w:szCs w:val="21"/>
                    </w:rPr>
                  </w:pPr>
                  <w:r>
                    <w:rPr>
                      <w:rFonts w:hint="eastAsia"/>
                      <w:color w:val="auto"/>
                      <w:kern w:val="0"/>
                      <w:szCs w:val="21"/>
                    </w:rPr>
                    <w:t>生态</w:t>
                  </w:r>
                </w:p>
              </w:tc>
              <w:tc>
                <w:tcPr>
                  <w:tcW w:w="1305" w:type="dxa"/>
                  <w:vAlign w:val="center"/>
                </w:tcPr>
                <w:p w14:paraId="632736C0">
                  <w:pPr>
                    <w:adjustRightInd w:val="0"/>
                    <w:snapToGrid w:val="0"/>
                    <w:jc w:val="center"/>
                    <w:rPr>
                      <w:color w:val="auto"/>
                    </w:rPr>
                  </w:pPr>
                  <w:r>
                    <w:rPr>
                      <w:rFonts w:hint="eastAsia"/>
                      <w:color w:val="auto"/>
                    </w:rPr>
                    <w:t>绿化</w:t>
                  </w:r>
                </w:p>
              </w:tc>
              <w:tc>
                <w:tcPr>
                  <w:tcW w:w="4800" w:type="dxa"/>
                  <w:vAlign w:val="center"/>
                </w:tcPr>
                <w:p w14:paraId="0E03CB28">
                  <w:pPr>
                    <w:widowControl/>
                    <w:adjustRightInd w:val="0"/>
                    <w:snapToGrid w:val="0"/>
                    <w:jc w:val="center"/>
                    <w:rPr>
                      <w:color w:val="auto"/>
                      <w:kern w:val="0"/>
                    </w:rPr>
                  </w:pPr>
                  <w:r>
                    <w:rPr>
                      <w:rFonts w:hint="eastAsia"/>
                      <w:color w:val="auto"/>
                      <w:kern w:val="0"/>
                    </w:rPr>
                    <w:t>项目有140m</w:t>
                  </w:r>
                  <w:r>
                    <w:rPr>
                      <w:rFonts w:hint="eastAsia"/>
                      <w:color w:val="auto"/>
                      <w:kern w:val="0"/>
                      <w:vertAlign w:val="superscript"/>
                    </w:rPr>
                    <w:t>2</w:t>
                  </w:r>
                  <w:r>
                    <w:rPr>
                      <w:rFonts w:hint="eastAsia"/>
                      <w:color w:val="auto"/>
                      <w:kern w:val="0"/>
                    </w:rPr>
                    <w:t>的绿化，位于综合楼北侧。</w:t>
                  </w:r>
                </w:p>
              </w:tc>
              <w:tc>
                <w:tcPr>
                  <w:tcW w:w="1199" w:type="dxa"/>
                  <w:vAlign w:val="center"/>
                </w:tcPr>
                <w:p w14:paraId="38127D72">
                  <w:pPr>
                    <w:widowControl/>
                    <w:adjustRightInd w:val="0"/>
                    <w:snapToGrid w:val="0"/>
                    <w:jc w:val="center"/>
                    <w:rPr>
                      <w:color w:val="auto"/>
                      <w:kern w:val="0"/>
                      <w:szCs w:val="21"/>
                    </w:rPr>
                  </w:pPr>
                  <w:r>
                    <w:rPr>
                      <w:rFonts w:hint="eastAsia"/>
                      <w:color w:val="auto"/>
                      <w:kern w:val="0"/>
                      <w:szCs w:val="21"/>
                    </w:rPr>
                    <w:t>依托寻甸荣禾工贸有限公司已建</w:t>
                  </w:r>
                </w:p>
              </w:tc>
            </w:tr>
          </w:tbl>
          <w:p w14:paraId="65EE9ED4">
            <w:pPr>
              <w:pStyle w:val="73"/>
              <w:adjustRightInd/>
              <w:ind w:firstLine="482"/>
              <w:rPr>
                <w:b/>
                <w:bCs/>
                <w:color w:val="auto"/>
              </w:rPr>
            </w:pPr>
            <w:r>
              <w:rPr>
                <w:rFonts w:hint="eastAsia"/>
                <w:b/>
                <w:bCs/>
                <w:color w:val="auto"/>
              </w:rPr>
              <w:t>3、</w:t>
            </w:r>
            <w:r>
              <w:rPr>
                <w:b/>
                <w:bCs/>
                <w:color w:val="auto"/>
              </w:rPr>
              <w:t>产品</w:t>
            </w:r>
            <w:r>
              <w:rPr>
                <w:rFonts w:hint="eastAsia"/>
                <w:b/>
                <w:bCs/>
                <w:color w:val="auto"/>
              </w:rPr>
              <w:t>方案及规模</w:t>
            </w:r>
          </w:p>
          <w:p w14:paraId="75C92046">
            <w:pPr>
              <w:adjustRightInd w:val="0"/>
              <w:snapToGrid w:val="0"/>
              <w:spacing w:line="360" w:lineRule="auto"/>
              <w:ind w:firstLine="480" w:firstLineChars="200"/>
              <w:rPr>
                <w:color w:val="auto"/>
                <w:sz w:val="24"/>
              </w:rPr>
            </w:pPr>
            <w:bookmarkStart w:id="3" w:name="_Toc14957202"/>
            <w:r>
              <w:rPr>
                <w:rFonts w:hint="eastAsia"/>
                <w:color w:val="auto"/>
                <w:sz w:val="24"/>
              </w:rPr>
              <w:t>项目年产450万张</w:t>
            </w:r>
            <w:r>
              <w:rPr>
                <w:rFonts w:hint="eastAsia" w:cs="宋体"/>
                <w:color w:val="auto"/>
                <w:sz w:val="24"/>
              </w:rPr>
              <w:t>三聚氰胺浸渍纸，产品主要用于家具板材贴面</w:t>
            </w:r>
            <w:r>
              <w:rPr>
                <w:rFonts w:hint="eastAsia"/>
                <w:color w:val="auto"/>
                <w:sz w:val="24"/>
              </w:rPr>
              <w:t>，产品方案见下表。</w:t>
            </w:r>
          </w:p>
          <w:p w14:paraId="49720C58">
            <w:pPr>
              <w:jc w:val="center"/>
              <w:rPr>
                <w:b/>
                <w:bCs/>
                <w:color w:val="auto"/>
                <w:szCs w:val="21"/>
              </w:rPr>
            </w:pPr>
            <w:r>
              <w:rPr>
                <w:b/>
                <w:bCs/>
                <w:color w:val="auto"/>
                <w:szCs w:val="21"/>
              </w:rPr>
              <w:t>表2-2   项目产品方案一览表</w:t>
            </w:r>
          </w:p>
          <w:tbl>
            <w:tblPr>
              <w:tblStyle w:val="30"/>
              <w:tblW w:w="84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515"/>
              <w:gridCol w:w="2161"/>
              <w:gridCol w:w="1561"/>
              <w:gridCol w:w="2524"/>
            </w:tblGrid>
            <w:tr w14:paraId="236E2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648" w:type="dxa"/>
                  <w:vAlign w:val="center"/>
                </w:tcPr>
                <w:p w14:paraId="3D705A0A">
                  <w:pPr>
                    <w:adjustRightInd w:val="0"/>
                    <w:snapToGrid w:val="0"/>
                    <w:jc w:val="center"/>
                    <w:rPr>
                      <w:color w:val="auto"/>
                      <w:szCs w:val="21"/>
                    </w:rPr>
                  </w:pPr>
                  <w:r>
                    <w:rPr>
                      <w:color w:val="auto"/>
                      <w:szCs w:val="21"/>
                    </w:rPr>
                    <w:t>序号</w:t>
                  </w:r>
                </w:p>
              </w:tc>
              <w:tc>
                <w:tcPr>
                  <w:tcW w:w="1515" w:type="dxa"/>
                  <w:vAlign w:val="center"/>
                </w:tcPr>
                <w:p w14:paraId="5A177491">
                  <w:pPr>
                    <w:adjustRightInd w:val="0"/>
                    <w:snapToGrid w:val="0"/>
                    <w:jc w:val="center"/>
                    <w:rPr>
                      <w:color w:val="auto"/>
                      <w:szCs w:val="21"/>
                    </w:rPr>
                  </w:pPr>
                  <w:r>
                    <w:rPr>
                      <w:color w:val="auto"/>
                      <w:szCs w:val="21"/>
                    </w:rPr>
                    <w:t>产品名称</w:t>
                  </w:r>
                </w:p>
              </w:tc>
              <w:tc>
                <w:tcPr>
                  <w:tcW w:w="2161" w:type="dxa"/>
                  <w:vAlign w:val="center"/>
                </w:tcPr>
                <w:p w14:paraId="6852F119">
                  <w:pPr>
                    <w:adjustRightInd w:val="0"/>
                    <w:snapToGrid w:val="0"/>
                    <w:jc w:val="center"/>
                    <w:rPr>
                      <w:color w:val="auto"/>
                      <w:szCs w:val="21"/>
                    </w:rPr>
                  </w:pPr>
                  <w:r>
                    <w:rPr>
                      <w:rFonts w:hint="eastAsia"/>
                      <w:color w:val="auto"/>
                      <w:szCs w:val="21"/>
                    </w:rPr>
                    <w:t>规格</w:t>
                  </w:r>
                </w:p>
              </w:tc>
              <w:tc>
                <w:tcPr>
                  <w:tcW w:w="1561" w:type="dxa"/>
                  <w:vAlign w:val="center"/>
                </w:tcPr>
                <w:p w14:paraId="3172DFC1">
                  <w:pPr>
                    <w:adjustRightInd w:val="0"/>
                    <w:snapToGrid w:val="0"/>
                    <w:jc w:val="center"/>
                    <w:rPr>
                      <w:color w:val="auto"/>
                      <w:szCs w:val="21"/>
                    </w:rPr>
                  </w:pPr>
                  <w:r>
                    <w:rPr>
                      <w:color w:val="auto"/>
                      <w:szCs w:val="21"/>
                    </w:rPr>
                    <w:t>年产量</w:t>
                  </w:r>
                </w:p>
              </w:tc>
              <w:tc>
                <w:tcPr>
                  <w:tcW w:w="2524" w:type="dxa"/>
                  <w:vAlign w:val="center"/>
                </w:tcPr>
                <w:p w14:paraId="5A22204A">
                  <w:pPr>
                    <w:adjustRightInd w:val="0"/>
                    <w:snapToGrid w:val="0"/>
                    <w:jc w:val="center"/>
                    <w:rPr>
                      <w:color w:val="auto"/>
                      <w:szCs w:val="21"/>
                    </w:rPr>
                  </w:pPr>
                  <w:r>
                    <w:rPr>
                      <w:rFonts w:hint="eastAsia"/>
                      <w:color w:val="auto"/>
                      <w:szCs w:val="21"/>
                    </w:rPr>
                    <w:t>备注</w:t>
                  </w:r>
                </w:p>
              </w:tc>
            </w:tr>
            <w:tr w14:paraId="380C9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648" w:type="dxa"/>
                  <w:vAlign w:val="center"/>
                </w:tcPr>
                <w:p w14:paraId="50D46263">
                  <w:pPr>
                    <w:adjustRightInd w:val="0"/>
                    <w:snapToGrid w:val="0"/>
                    <w:jc w:val="center"/>
                    <w:rPr>
                      <w:color w:val="auto"/>
                      <w:szCs w:val="21"/>
                    </w:rPr>
                  </w:pPr>
                  <w:r>
                    <w:rPr>
                      <w:color w:val="auto"/>
                      <w:szCs w:val="21"/>
                    </w:rPr>
                    <w:t>1</w:t>
                  </w:r>
                </w:p>
              </w:tc>
              <w:tc>
                <w:tcPr>
                  <w:tcW w:w="1515" w:type="dxa"/>
                  <w:vAlign w:val="center"/>
                </w:tcPr>
                <w:p w14:paraId="56ADB045">
                  <w:pPr>
                    <w:adjustRightInd w:val="0"/>
                    <w:snapToGrid w:val="0"/>
                    <w:jc w:val="center"/>
                    <w:rPr>
                      <w:color w:val="auto"/>
                      <w:szCs w:val="21"/>
                    </w:rPr>
                  </w:pPr>
                  <w:r>
                    <w:rPr>
                      <w:rFonts w:hint="eastAsia"/>
                      <w:color w:val="auto"/>
                      <w:szCs w:val="21"/>
                    </w:rPr>
                    <w:t>三聚氰胺浸渍纸</w:t>
                  </w:r>
                </w:p>
              </w:tc>
              <w:tc>
                <w:tcPr>
                  <w:tcW w:w="2161" w:type="dxa"/>
                  <w:vAlign w:val="center"/>
                </w:tcPr>
                <w:p w14:paraId="4523703B">
                  <w:pPr>
                    <w:adjustRightInd w:val="0"/>
                    <w:snapToGrid w:val="0"/>
                    <w:jc w:val="center"/>
                    <w:rPr>
                      <w:color w:val="auto"/>
                      <w:szCs w:val="21"/>
                    </w:rPr>
                  </w:pPr>
                  <w:r>
                    <w:rPr>
                      <w:rFonts w:hint="eastAsia"/>
                      <w:color w:val="auto"/>
                      <w:szCs w:val="21"/>
                    </w:rPr>
                    <w:t>246cmx125cmx0.5mm</w:t>
                  </w:r>
                </w:p>
              </w:tc>
              <w:tc>
                <w:tcPr>
                  <w:tcW w:w="1561" w:type="dxa"/>
                  <w:vAlign w:val="center"/>
                </w:tcPr>
                <w:p w14:paraId="2141E27A">
                  <w:pPr>
                    <w:adjustRightInd w:val="0"/>
                    <w:snapToGrid w:val="0"/>
                    <w:jc w:val="center"/>
                    <w:rPr>
                      <w:color w:val="auto"/>
                      <w:szCs w:val="21"/>
                    </w:rPr>
                  </w:pPr>
                  <w:r>
                    <w:rPr>
                      <w:rFonts w:hint="eastAsia"/>
                      <w:color w:val="auto"/>
                      <w:szCs w:val="21"/>
                    </w:rPr>
                    <w:t>450万张</w:t>
                  </w:r>
                </w:p>
              </w:tc>
              <w:tc>
                <w:tcPr>
                  <w:tcW w:w="2524" w:type="dxa"/>
                  <w:vAlign w:val="center"/>
                </w:tcPr>
                <w:p w14:paraId="42570EEC">
                  <w:pPr>
                    <w:adjustRightInd w:val="0"/>
                    <w:snapToGrid w:val="0"/>
                    <w:jc w:val="center"/>
                    <w:rPr>
                      <w:color w:val="auto"/>
                      <w:szCs w:val="21"/>
                    </w:rPr>
                  </w:pPr>
                  <w:r>
                    <w:rPr>
                      <w:rFonts w:hint="eastAsia"/>
                      <w:color w:val="auto"/>
                      <w:szCs w:val="21"/>
                    </w:rPr>
                    <w:t>/</w:t>
                  </w:r>
                </w:p>
              </w:tc>
            </w:tr>
            <w:bookmarkEnd w:id="3"/>
          </w:tbl>
          <w:p w14:paraId="2081C1C3">
            <w:pPr>
              <w:pStyle w:val="73"/>
              <w:adjustRightInd/>
              <w:ind w:firstLine="482"/>
              <w:rPr>
                <w:b/>
                <w:bCs/>
                <w:color w:val="auto"/>
              </w:rPr>
            </w:pPr>
            <w:r>
              <w:rPr>
                <w:rFonts w:hint="eastAsia"/>
                <w:b/>
                <w:bCs/>
                <w:color w:val="auto"/>
              </w:rPr>
              <w:t>4、主要生产设备及参数</w:t>
            </w:r>
          </w:p>
          <w:p w14:paraId="48C63E1F">
            <w:pPr>
              <w:adjustRightInd w:val="0"/>
              <w:snapToGrid w:val="0"/>
              <w:spacing w:line="360" w:lineRule="auto"/>
              <w:ind w:firstLine="480" w:firstLineChars="200"/>
              <w:jc w:val="left"/>
              <w:rPr>
                <w:color w:val="auto"/>
                <w:sz w:val="24"/>
              </w:rPr>
            </w:pPr>
            <w:r>
              <w:rPr>
                <w:rFonts w:hint="eastAsia"/>
                <w:color w:val="auto"/>
                <w:sz w:val="24"/>
              </w:rPr>
              <w:t>本项目主要设备表见表2-3。</w:t>
            </w:r>
          </w:p>
          <w:p w14:paraId="39CC3639">
            <w:pPr>
              <w:adjustRightInd w:val="0"/>
              <w:snapToGrid w:val="0"/>
              <w:jc w:val="center"/>
              <w:rPr>
                <w:b/>
                <w:bCs/>
                <w:color w:val="auto"/>
                <w:szCs w:val="21"/>
              </w:rPr>
            </w:pPr>
            <w:r>
              <w:rPr>
                <w:rFonts w:hint="eastAsia"/>
                <w:b/>
                <w:bCs/>
                <w:color w:val="auto"/>
                <w:szCs w:val="21"/>
              </w:rPr>
              <w:t>表2-3  本项目主要设备</w:t>
            </w:r>
          </w:p>
          <w:tbl>
            <w:tblPr>
              <w:tblStyle w:val="30"/>
              <w:tblW w:w="840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6"/>
              <w:gridCol w:w="1907"/>
              <w:gridCol w:w="2463"/>
              <w:gridCol w:w="1454"/>
              <w:gridCol w:w="1816"/>
            </w:tblGrid>
            <w:tr w14:paraId="3F382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6" w:type="dxa"/>
                  <w:vAlign w:val="center"/>
                </w:tcPr>
                <w:p w14:paraId="1C8C5DAB">
                  <w:pPr>
                    <w:adjustRightInd w:val="0"/>
                    <w:snapToGrid w:val="0"/>
                    <w:jc w:val="center"/>
                    <w:rPr>
                      <w:b/>
                      <w:color w:val="auto"/>
                      <w:szCs w:val="21"/>
                    </w:rPr>
                  </w:pPr>
                  <w:r>
                    <w:rPr>
                      <w:b/>
                      <w:color w:val="auto"/>
                      <w:szCs w:val="21"/>
                    </w:rPr>
                    <w:t>序号</w:t>
                  </w:r>
                </w:p>
              </w:tc>
              <w:tc>
                <w:tcPr>
                  <w:tcW w:w="1907" w:type="dxa"/>
                  <w:vAlign w:val="center"/>
                </w:tcPr>
                <w:p w14:paraId="23F4AAED">
                  <w:pPr>
                    <w:adjustRightInd w:val="0"/>
                    <w:snapToGrid w:val="0"/>
                    <w:jc w:val="center"/>
                    <w:rPr>
                      <w:b/>
                      <w:color w:val="auto"/>
                      <w:szCs w:val="21"/>
                    </w:rPr>
                  </w:pPr>
                  <w:r>
                    <w:rPr>
                      <w:b/>
                      <w:color w:val="auto"/>
                      <w:szCs w:val="21"/>
                    </w:rPr>
                    <w:t>设备名称</w:t>
                  </w:r>
                </w:p>
              </w:tc>
              <w:tc>
                <w:tcPr>
                  <w:tcW w:w="2463" w:type="dxa"/>
                  <w:vAlign w:val="center"/>
                </w:tcPr>
                <w:p w14:paraId="05DD136C">
                  <w:pPr>
                    <w:adjustRightInd w:val="0"/>
                    <w:snapToGrid w:val="0"/>
                    <w:jc w:val="center"/>
                    <w:rPr>
                      <w:b/>
                      <w:color w:val="auto"/>
                      <w:szCs w:val="21"/>
                    </w:rPr>
                  </w:pPr>
                  <w:r>
                    <w:rPr>
                      <w:b/>
                      <w:color w:val="auto"/>
                      <w:szCs w:val="21"/>
                    </w:rPr>
                    <w:t>型号</w:t>
                  </w:r>
                  <w:r>
                    <w:rPr>
                      <w:rFonts w:hint="eastAsia"/>
                      <w:b/>
                      <w:color w:val="auto"/>
                      <w:szCs w:val="21"/>
                    </w:rPr>
                    <w:t>、规格</w:t>
                  </w:r>
                </w:p>
              </w:tc>
              <w:tc>
                <w:tcPr>
                  <w:tcW w:w="1454" w:type="dxa"/>
                  <w:vAlign w:val="center"/>
                </w:tcPr>
                <w:p w14:paraId="74EB66E2">
                  <w:pPr>
                    <w:adjustRightInd w:val="0"/>
                    <w:snapToGrid w:val="0"/>
                    <w:jc w:val="center"/>
                    <w:rPr>
                      <w:b/>
                      <w:color w:val="auto"/>
                      <w:szCs w:val="21"/>
                    </w:rPr>
                  </w:pPr>
                  <w:r>
                    <w:rPr>
                      <w:b/>
                      <w:color w:val="auto"/>
                      <w:szCs w:val="21"/>
                    </w:rPr>
                    <w:t>数量</w:t>
                  </w:r>
                </w:p>
              </w:tc>
              <w:tc>
                <w:tcPr>
                  <w:tcW w:w="1816" w:type="dxa"/>
                  <w:vAlign w:val="center"/>
                </w:tcPr>
                <w:p w14:paraId="2784DD17">
                  <w:pPr>
                    <w:adjustRightInd w:val="0"/>
                    <w:snapToGrid w:val="0"/>
                    <w:jc w:val="center"/>
                    <w:rPr>
                      <w:b/>
                      <w:color w:val="auto"/>
                      <w:szCs w:val="21"/>
                    </w:rPr>
                  </w:pPr>
                  <w:r>
                    <w:rPr>
                      <w:rFonts w:hint="eastAsia"/>
                      <w:b/>
                      <w:color w:val="auto"/>
                      <w:szCs w:val="21"/>
                    </w:rPr>
                    <w:t>单位</w:t>
                  </w:r>
                </w:p>
              </w:tc>
            </w:tr>
            <w:tr w14:paraId="04B6B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8" w:hRule="atLeast"/>
                <w:jc w:val="center"/>
              </w:trPr>
              <w:tc>
                <w:tcPr>
                  <w:tcW w:w="766" w:type="dxa"/>
                  <w:vAlign w:val="center"/>
                </w:tcPr>
                <w:p w14:paraId="00D10454">
                  <w:pPr>
                    <w:adjustRightInd w:val="0"/>
                    <w:snapToGrid w:val="0"/>
                    <w:jc w:val="center"/>
                    <w:rPr>
                      <w:color w:val="auto"/>
                      <w:kern w:val="0"/>
                      <w:szCs w:val="21"/>
                    </w:rPr>
                  </w:pPr>
                  <w:r>
                    <w:rPr>
                      <w:rFonts w:hint="eastAsia"/>
                      <w:color w:val="auto"/>
                      <w:kern w:val="0"/>
                      <w:szCs w:val="21"/>
                    </w:rPr>
                    <w:t>1</w:t>
                  </w:r>
                </w:p>
              </w:tc>
              <w:tc>
                <w:tcPr>
                  <w:tcW w:w="1907" w:type="dxa"/>
                  <w:vAlign w:val="center"/>
                </w:tcPr>
                <w:p w14:paraId="15AB930A">
                  <w:pPr>
                    <w:widowControl/>
                    <w:adjustRightInd w:val="0"/>
                    <w:snapToGrid w:val="0"/>
                    <w:jc w:val="center"/>
                    <w:textAlignment w:val="center"/>
                    <w:rPr>
                      <w:color w:val="auto"/>
                      <w:kern w:val="0"/>
                      <w:szCs w:val="21"/>
                    </w:rPr>
                  </w:pPr>
                  <w:r>
                    <w:rPr>
                      <w:rFonts w:hint="eastAsia" w:cs="宋体"/>
                      <w:color w:val="auto"/>
                      <w:kern w:val="0"/>
                      <w:lang w:bidi="ar"/>
                    </w:rPr>
                    <w:t>卧式浸渍烘干一体机</w:t>
                  </w:r>
                </w:p>
              </w:tc>
              <w:tc>
                <w:tcPr>
                  <w:tcW w:w="2463" w:type="dxa"/>
                  <w:vAlign w:val="center"/>
                </w:tcPr>
                <w:p w14:paraId="7E80EDB7">
                  <w:pPr>
                    <w:widowControl/>
                    <w:adjustRightInd w:val="0"/>
                    <w:snapToGrid w:val="0"/>
                    <w:jc w:val="center"/>
                    <w:rPr>
                      <w:b/>
                      <w:color w:val="auto"/>
                      <w:szCs w:val="21"/>
                    </w:rPr>
                  </w:pPr>
                  <w:r>
                    <w:rPr>
                      <w:rFonts w:hint="eastAsia"/>
                      <w:color w:val="auto"/>
                    </w:rPr>
                    <w:t>CF1500-2A</w:t>
                  </w:r>
                </w:p>
              </w:tc>
              <w:tc>
                <w:tcPr>
                  <w:tcW w:w="1454" w:type="dxa"/>
                  <w:vAlign w:val="center"/>
                </w:tcPr>
                <w:p w14:paraId="4BDC41EF">
                  <w:pPr>
                    <w:widowControl/>
                    <w:adjustRightInd w:val="0"/>
                    <w:snapToGrid w:val="0"/>
                    <w:jc w:val="center"/>
                    <w:textAlignment w:val="center"/>
                    <w:rPr>
                      <w:color w:val="auto"/>
                      <w:kern w:val="0"/>
                      <w:szCs w:val="21"/>
                    </w:rPr>
                  </w:pPr>
                  <w:r>
                    <w:rPr>
                      <w:rFonts w:hint="eastAsia" w:cs="宋体"/>
                      <w:color w:val="auto"/>
                      <w:kern w:val="0"/>
                      <w:lang w:bidi="ar"/>
                    </w:rPr>
                    <w:t>3</w:t>
                  </w:r>
                </w:p>
              </w:tc>
              <w:tc>
                <w:tcPr>
                  <w:tcW w:w="1816" w:type="dxa"/>
                  <w:vAlign w:val="center"/>
                </w:tcPr>
                <w:p w14:paraId="2F288078">
                  <w:pPr>
                    <w:adjustRightInd w:val="0"/>
                    <w:snapToGrid w:val="0"/>
                    <w:jc w:val="center"/>
                    <w:rPr>
                      <w:color w:val="auto"/>
                      <w:kern w:val="0"/>
                      <w:szCs w:val="21"/>
                    </w:rPr>
                  </w:pPr>
                  <w:r>
                    <w:rPr>
                      <w:rFonts w:hint="eastAsia"/>
                      <w:color w:val="auto"/>
                      <w:kern w:val="0"/>
                      <w:szCs w:val="21"/>
                    </w:rPr>
                    <w:t>套</w:t>
                  </w:r>
                </w:p>
              </w:tc>
            </w:tr>
            <w:tr w14:paraId="00EA29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66" w:type="dxa"/>
                  <w:vAlign w:val="center"/>
                </w:tcPr>
                <w:p w14:paraId="35140550">
                  <w:pPr>
                    <w:adjustRightInd w:val="0"/>
                    <w:snapToGrid w:val="0"/>
                    <w:jc w:val="center"/>
                    <w:rPr>
                      <w:color w:val="auto"/>
                      <w:kern w:val="0"/>
                      <w:szCs w:val="21"/>
                    </w:rPr>
                  </w:pPr>
                  <w:r>
                    <w:rPr>
                      <w:rFonts w:hint="eastAsia"/>
                      <w:color w:val="auto"/>
                      <w:kern w:val="0"/>
                      <w:szCs w:val="21"/>
                    </w:rPr>
                    <w:t>2</w:t>
                  </w:r>
                </w:p>
              </w:tc>
              <w:tc>
                <w:tcPr>
                  <w:tcW w:w="1907" w:type="dxa"/>
                  <w:vAlign w:val="center"/>
                </w:tcPr>
                <w:p w14:paraId="775951A2">
                  <w:pPr>
                    <w:widowControl/>
                    <w:adjustRightInd w:val="0"/>
                    <w:snapToGrid w:val="0"/>
                    <w:jc w:val="center"/>
                    <w:textAlignment w:val="center"/>
                    <w:rPr>
                      <w:color w:val="auto"/>
                      <w:kern w:val="0"/>
                      <w:szCs w:val="21"/>
                    </w:rPr>
                  </w:pPr>
                  <w:r>
                    <w:rPr>
                      <w:rFonts w:hint="eastAsia" w:cs="宋体"/>
                      <w:color w:val="auto"/>
                      <w:kern w:val="0"/>
                      <w:lang w:bidi="ar"/>
                    </w:rPr>
                    <w:t>搅拌机</w:t>
                  </w:r>
                </w:p>
              </w:tc>
              <w:tc>
                <w:tcPr>
                  <w:tcW w:w="2463" w:type="dxa"/>
                  <w:vAlign w:val="center"/>
                </w:tcPr>
                <w:p w14:paraId="33A80F66">
                  <w:pPr>
                    <w:widowControl/>
                    <w:adjustRightInd w:val="0"/>
                    <w:snapToGrid w:val="0"/>
                    <w:jc w:val="center"/>
                    <w:rPr>
                      <w:bCs/>
                      <w:color w:val="auto"/>
                      <w:szCs w:val="21"/>
                    </w:rPr>
                  </w:pPr>
                  <w:r>
                    <w:rPr>
                      <w:rFonts w:hint="eastAsia"/>
                      <w:color w:val="auto"/>
                    </w:rPr>
                    <w:t>/</w:t>
                  </w:r>
                </w:p>
              </w:tc>
              <w:tc>
                <w:tcPr>
                  <w:tcW w:w="1454" w:type="dxa"/>
                  <w:vAlign w:val="center"/>
                </w:tcPr>
                <w:p w14:paraId="50C9AB31">
                  <w:pPr>
                    <w:widowControl/>
                    <w:adjustRightInd w:val="0"/>
                    <w:snapToGrid w:val="0"/>
                    <w:jc w:val="center"/>
                    <w:textAlignment w:val="center"/>
                    <w:rPr>
                      <w:color w:val="auto"/>
                      <w:kern w:val="0"/>
                      <w:szCs w:val="21"/>
                    </w:rPr>
                  </w:pPr>
                  <w:r>
                    <w:rPr>
                      <w:rFonts w:hint="eastAsia" w:cs="宋体"/>
                      <w:color w:val="auto"/>
                      <w:kern w:val="0"/>
                      <w:lang w:bidi="ar"/>
                    </w:rPr>
                    <w:t>2</w:t>
                  </w:r>
                </w:p>
              </w:tc>
              <w:tc>
                <w:tcPr>
                  <w:tcW w:w="1816" w:type="dxa"/>
                  <w:vAlign w:val="center"/>
                </w:tcPr>
                <w:p w14:paraId="44DA9488">
                  <w:pPr>
                    <w:adjustRightInd w:val="0"/>
                    <w:snapToGrid w:val="0"/>
                    <w:jc w:val="center"/>
                    <w:rPr>
                      <w:color w:val="auto"/>
                      <w:kern w:val="0"/>
                      <w:szCs w:val="21"/>
                    </w:rPr>
                  </w:pPr>
                  <w:r>
                    <w:rPr>
                      <w:rFonts w:hint="eastAsia"/>
                      <w:color w:val="auto"/>
                      <w:kern w:val="0"/>
                      <w:szCs w:val="21"/>
                    </w:rPr>
                    <w:t>台</w:t>
                  </w:r>
                </w:p>
              </w:tc>
            </w:tr>
            <w:tr w14:paraId="7CE272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6" w:type="dxa"/>
                  <w:vAlign w:val="center"/>
                </w:tcPr>
                <w:p w14:paraId="302CFD49">
                  <w:pPr>
                    <w:adjustRightInd w:val="0"/>
                    <w:snapToGrid w:val="0"/>
                    <w:jc w:val="center"/>
                    <w:rPr>
                      <w:color w:val="auto"/>
                      <w:kern w:val="0"/>
                      <w:szCs w:val="21"/>
                    </w:rPr>
                  </w:pPr>
                  <w:r>
                    <w:rPr>
                      <w:rFonts w:hint="eastAsia"/>
                      <w:color w:val="auto"/>
                      <w:kern w:val="0"/>
                      <w:szCs w:val="21"/>
                    </w:rPr>
                    <w:t>3</w:t>
                  </w:r>
                </w:p>
              </w:tc>
              <w:tc>
                <w:tcPr>
                  <w:tcW w:w="1907" w:type="dxa"/>
                  <w:vAlign w:val="center"/>
                </w:tcPr>
                <w:p w14:paraId="33FE207D">
                  <w:pPr>
                    <w:adjustRightInd w:val="0"/>
                    <w:snapToGrid w:val="0"/>
                    <w:jc w:val="center"/>
                    <w:rPr>
                      <w:color w:val="auto"/>
                      <w:kern w:val="0"/>
                      <w:szCs w:val="21"/>
                    </w:rPr>
                  </w:pPr>
                  <w:r>
                    <w:rPr>
                      <w:rFonts w:hint="eastAsia"/>
                      <w:color w:val="auto"/>
                    </w:rPr>
                    <w:t>污水曝气机</w:t>
                  </w:r>
                </w:p>
              </w:tc>
              <w:tc>
                <w:tcPr>
                  <w:tcW w:w="2463" w:type="dxa"/>
                  <w:vAlign w:val="center"/>
                </w:tcPr>
                <w:p w14:paraId="42166EF2">
                  <w:pPr>
                    <w:widowControl/>
                    <w:adjustRightInd w:val="0"/>
                    <w:snapToGrid w:val="0"/>
                    <w:jc w:val="center"/>
                    <w:rPr>
                      <w:bCs/>
                      <w:color w:val="auto"/>
                      <w:szCs w:val="21"/>
                    </w:rPr>
                  </w:pPr>
                  <w:r>
                    <w:rPr>
                      <w:rFonts w:hint="eastAsia"/>
                      <w:color w:val="auto"/>
                    </w:rPr>
                    <w:t>/</w:t>
                  </w:r>
                </w:p>
              </w:tc>
              <w:tc>
                <w:tcPr>
                  <w:tcW w:w="1454" w:type="dxa"/>
                  <w:vAlign w:val="center"/>
                </w:tcPr>
                <w:p w14:paraId="6838FD7C">
                  <w:pPr>
                    <w:widowControl/>
                    <w:adjustRightInd w:val="0"/>
                    <w:snapToGrid w:val="0"/>
                    <w:jc w:val="center"/>
                    <w:textAlignment w:val="center"/>
                    <w:rPr>
                      <w:color w:val="auto"/>
                      <w:kern w:val="0"/>
                      <w:szCs w:val="21"/>
                    </w:rPr>
                  </w:pPr>
                  <w:r>
                    <w:rPr>
                      <w:rFonts w:hint="eastAsia" w:cs="宋体"/>
                      <w:color w:val="auto"/>
                      <w:kern w:val="0"/>
                      <w:lang w:bidi="ar"/>
                    </w:rPr>
                    <w:t>2</w:t>
                  </w:r>
                </w:p>
              </w:tc>
              <w:tc>
                <w:tcPr>
                  <w:tcW w:w="1816" w:type="dxa"/>
                  <w:vAlign w:val="center"/>
                </w:tcPr>
                <w:p w14:paraId="2040B99C">
                  <w:pPr>
                    <w:adjustRightInd w:val="0"/>
                    <w:snapToGrid w:val="0"/>
                    <w:jc w:val="center"/>
                    <w:rPr>
                      <w:color w:val="auto"/>
                      <w:kern w:val="0"/>
                      <w:szCs w:val="21"/>
                    </w:rPr>
                  </w:pPr>
                  <w:r>
                    <w:rPr>
                      <w:rFonts w:hint="eastAsia"/>
                      <w:color w:val="auto"/>
                      <w:kern w:val="0"/>
                      <w:szCs w:val="21"/>
                    </w:rPr>
                    <w:t>台</w:t>
                  </w:r>
                </w:p>
              </w:tc>
            </w:tr>
            <w:tr w14:paraId="124D4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6" w:type="dxa"/>
                  <w:vAlign w:val="center"/>
                </w:tcPr>
                <w:p w14:paraId="25347DFC">
                  <w:pPr>
                    <w:adjustRightInd w:val="0"/>
                    <w:snapToGrid w:val="0"/>
                    <w:jc w:val="center"/>
                    <w:rPr>
                      <w:color w:val="auto"/>
                      <w:kern w:val="0"/>
                      <w:szCs w:val="21"/>
                    </w:rPr>
                  </w:pPr>
                  <w:r>
                    <w:rPr>
                      <w:rFonts w:hint="eastAsia"/>
                      <w:color w:val="auto"/>
                      <w:kern w:val="0"/>
                      <w:szCs w:val="21"/>
                    </w:rPr>
                    <w:t>4</w:t>
                  </w:r>
                </w:p>
              </w:tc>
              <w:tc>
                <w:tcPr>
                  <w:tcW w:w="1907" w:type="dxa"/>
                  <w:vAlign w:val="center"/>
                </w:tcPr>
                <w:p w14:paraId="1B07019C">
                  <w:pPr>
                    <w:adjustRightInd w:val="0"/>
                    <w:snapToGrid w:val="0"/>
                    <w:jc w:val="center"/>
                    <w:rPr>
                      <w:color w:val="auto"/>
                      <w:kern w:val="0"/>
                      <w:szCs w:val="21"/>
                    </w:rPr>
                  </w:pPr>
                  <w:r>
                    <w:rPr>
                      <w:rFonts w:hint="eastAsia"/>
                      <w:color w:val="auto"/>
                    </w:rPr>
                    <w:t>叉车</w:t>
                  </w:r>
                </w:p>
              </w:tc>
              <w:tc>
                <w:tcPr>
                  <w:tcW w:w="2463" w:type="dxa"/>
                  <w:vAlign w:val="center"/>
                </w:tcPr>
                <w:p w14:paraId="79DCEE82">
                  <w:pPr>
                    <w:widowControl/>
                    <w:adjustRightInd w:val="0"/>
                    <w:snapToGrid w:val="0"/>
                    <w:jc w:val="center"/>
                    <w:rPr>
                      <w:bCs/>
                      <w:color w:val="auto"/>
                      <w:szCs w:val="21"/>
                    </w:rPr>
                  </w:pPr>
                  <w:r>
                    <w:rPr>
                      <w:rFonts w:hint="eastAsia"/>
                      <w:color w:val="auto"/>
                    </w:rPr>
                    <w:t>/</w:t>
                  </w:r>
                </w:p>
              </w:tc>
              <w:tc>
                <w:tcPr>
                  <w:tcW w:w="1454" w:type="dxa"/>
                  <w:vAlign w:val="center"/>
                </w:tcPr>
                <w:p w14:paraId="34E77E0C">
                  <w:pPr>
                    <w:widowControl/>
                    <w:adjustRightInd w:val="0"/>
                    <w:snapToGrid w:val="0"/>
                    <w:jc w:val="center"/>
                    <w:textAlignment w:val="center"/>
                    <w:rPr>
                      <w:color w:val="auto"/>
                      <w:kern w:val="0"/>
                      <w:szCs w:val="21"/>
                    </w:rPr>
                  </w:pPr>
                  <w:r>
                    <w:rPr>
                      <w:rFonts w:hint="eastAsia" w:cs="宋体"/>
                      <w:color w:val="auto"/>
                      <w:kern w:val="0"/>
                      <w:lang w:bidi="ar"/>
                    </w:rPr>
                    <w:t>3</w:t>
                  </w:r>
                </w:p>
              </w:tc>
              <w:tc>
                <w:tcPr>
                  <w:tcW w:w="1816" w:type="dxa"/>
                  <w:vAlign w:val="center"/>
                </w:tcPr>
                <w:p w14:paraId="26BC9E6A">
                  <w:pPr>
                    <w:adjustRightInd w:val="0"/>
                    <w:snapToGrid w:val="0"/>
                    <w:jc w:val="center"/>
                    <w:rPr>
                      <w:color w:val="auto"/>
                      <w:kern w:val="0"/>
                      <w:szCs w:val="21"/>
                    </w:rPr>
                  </w:pPr>
                  <w:r>
                    <w:rPr>
                      <w:rFonts w:hint="eastAsia"/>
                      <w:color w:val="auto"/>
                      <w:kern w:val="0"/>
                      <w:szCs w:val="21"/>
                    </w:rPr>
                    <w:t>台</w:t>
                  </w:r>
                </w:p>
              </w:tc>
            </w:tr>
            <w:tr w14:paraId="64781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6" w:type="dxa"/>
                  <w:vAlign w:val="center"/>
                </w:tcPr>
                <w:p w14:paraId="155AFC8F">
                  <w:pPr>
                    <w:adjustRightInd w:val="0"/>
                    <w:snapToGrid w:val="0"/>
                    <w:jc w:val="center"/>
                    <w:rPr>
                      <w:color w:val="auto"/>
                      <w:kern w:val="0"/>
                      <w:szCs w:val="21"/>
                    </w:rPr>
                  </w:pPr>
                  <w:r>
                    <w:rPr>
                      <w:rFonts w:hint="eastAsia"/>
                      <w:color w:val="auto"/>
                      <w:kern w:val="0"/>
                      <w:szCs w:val="21"/>
                    </w:rPr>
                    <w:t>5</w:t>
                  </w:r>
                </w:p>
              </w:tc>
              <w:tc>
                <w:tcPr>
                  <w:tcW w:w="1907" w:type="dxa"/>
                  <w:vAlign w:val="center"/>
                </w:tcPr>
                <w:p w14:paraId="51FF2CEB">
                  <w:pPr>
                    <w:adjustRightInd w:val="0"/>
                    <w:snapToGrid w:val="0"/>
                    <w:jc w:val="center"/>
                    <w:rPr>
                      <w:color w:val="auto"/>
                    </w:rPr>
                  </w:pPr>
                  <w:r>
                    <w:rPr>
                      <w:rFonts w:hint="eastAsia"/>
                      <w:color w:val="auto"/>
                    </w:rPr>
                    <w:t>螺杆式空压机</w:t>
                  </w:r>
                </w:p>
              </w:tc>
              <w:tc>
                <w:tcPr>
                  <w:tcW w:w="2463" w:type="dxa"/>
                  <w:vAlign w:val="center"/>
                </w:tcPr>
                <w:p w14:paraId="31C1DE7C">
                  <w:pPr>
                    <w:widowControl/>
                    <w:adjustRightInd w:val="0"/>
                    <w:snapToGrid w:val="0"/>
                    <w:jc w:val="center"/>
                    <w:rPr>
                      <w:color w:val="auto"/>
                    </w:rPr>
                  </w:pPr>
                  <w:r>
                    <w:rPr>
                      <w:rFonts w:hint="eastAsia"/>
                      <w:color w:val="auto"/>
                    </w:rPr>
                    <w:t>L-30</w:t>
                  </w:r>
                </w:p>
              </w:tc>
              <w:tc>
                <w:tcPr>
                  <w:tcW w:w="1454" w:type="dxa"/>
                  <w:vAlign w:val="center"/>
                </w:tcPr>
                <w:p w14:paraId="7BC96425">
                  <w:pPr>
                    <w:widowControl/>
                    <w:adjustRightInd w:val="0"/>
                    <w:snapToGrid w:val="0"/>
                    <w:jc w:val="center"/>
                    <w:textAlignment w:val="center"/>
                    <w:rPr>
                      <w:rFonts w:cs="宋体"/>
                      <w:color w:val="auto"/>
                      <w:kern w:val="0"/>
                      <w:lang w:bidi="ar"/>
                    </w:rPr>
                  </w:pPr>
                  <w:r>
                    <w:rPr>
                      <w:rFonts w:hint="eastAsia" w:cs="宋体"/>
                      <w:color w:val="auto"/>
                      <w:kern w:val="0"/>
                      <w:lang w:bidi="ar"/>
                    </w:rPr>
                    <w:t>1</w:t>
                  </w:r>
                </w:p>
              </w:tc>
              <w:tc>
                <w:tcPr>
                  <w:tcW w:w="1816" w:type="dxa"/>
                  <w:vAlign w:val="center"/>
                </w:tcPr>
                <w:p w14:paraId="0510625A">
                  <w:pPr>
                    <w:adjustRightInd w:val="0"/>
                    <w:snapToGrid w:val="0"/>
                    <w:jc w:val="center"/>
                    <w:rPr>
                      <w:color w:val="auto"/>
                      <w:kern w:val="0"/>
                      <w:szCs w:val="21"/>
                    </w:rPr>
                  </w:pPr>
                  <w:r>
                    <w:rPr>
                      <w:rFonts w:hint="eastAsia"/>
                      <w:color w:val="auto"/>
                      <w:kern w:val="0"/>
                      <w:szCs w:val="21"/>
                    </w:rPr>
                    <w:t>台</w:t>
                  </w:r>
                </w:p>
              </w:tc>
            </w:tr>
            <w:tr w14:paraId="35808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6" w:type="dxa"/>
                  <w:vAlign w:val="center"/>
                </w:tcPr>
                <w:p w14:paraId="6F2BBD52">
                  <w:pPr>
                    <w:adjustRightInd w:val="0"/>
                    <w:snapToGrid w:val="0"/>
                    <w:jc w:val="center"/>
                    <w:rPr>
                      <w:color w:val="auto"/>
                      <w:kern w:val="0"/>
                      <w:szCs w:val="21"/>
                    </w:rPr>
                  </w:pPr>
                  <w:r>
                    <w:rPr>
                      <w:rFonts w:hint="eastAsia"/>
                      <w:color w:val="auto"/>
                      <w:kern w:val="0"/>
                      <w:szCs w:val="21"/>
                    </w:rPr>
                    <w:t>6</w:t>
                  </w:r>
                </w:p>
              </w:tc>
              <w:tc>
                <w:tcPr>
                  <w:tcW w:w="1907" w:type="dxa"/>
                  <w:vAlign w:val="center"/>
                </w:tcPr>
                <w:p w14:paraId="2BA331B5">
                  <w:pPr>
                    <w:adjustRightInd w:val="0"/>
                    <w:snapToGrid w:val="0"/>
                    <w:jc w:val="center"/>
                    <w:rPr>
                      <w:color w:val="auto"/>
                    </w:rPr>
                  </w:pPr>
                  <w:r>
                    <w:rPr>
                      <w:rFonts w:hint="eastAsia"/>
                      <w:color w:val="auto"/>
                    </w:rPr>
                    <w:t>冷冻室压缩空气干燥器</w:t>
                  </w:r>
                </w:p>
              </w:tc>
              <w:tc>
                <w:tcPr>
                  <w:tcW w:w="2463" w:type="dxa"/>
                  <w:vAlign w:val="center"/>
                </w:tcPr>
                <w:p w14:paraId="37C0D70C">
                  <w:pPr>
                    <w:widowControl/>
                    <w:adjustRightInd w:val="0"/>
                    <w:snapToGrid w:val="0"/>
                    <w:jc w:val="center"/>
                    <w:rPr>
                      <w:color w:val="auto"/>
                    </w:rPr>
                  </w:pPr>
                  <w:r>
                    <w:rPr>
                      <w:rFonts w:hint="eastAsia"/>
                      <w:color w:val="auto"/>
                    </w:rPr>
                    <w:t>CPL40</w:t>
                  </w:r>
                </w:p>
              </w:tc>
              <w:tc>
                <w:tcPr>
                  <w:tcW w:w="1454" w:type="dxa"/>
                  <w:vAlign w:val="center"/>
                </w:tcPr>
                <w:p w14:paraId="0C22B8F2">
                  <w:pPr>
                    <w:widowControl/>
                    <w:adjustRightInd w:val="0"/>
                    <w:snapToGrid w:val="0"/>
                    <w:jc w:val="center"/>
                    <w:textAlignment w:val="center"/>
                    <w:rPr>
                      <w:rFonts w:cs="宋体"/>
                      <w:color w:val="auto"/>
                      <w:kern w:val="0"/>
                      <w:lang w:bidi="ar"/>
                    </w:rPr>
                  </w:pPr>
                  <w:r>
                    <w:rPr>
                      <w:rFonts w:hint="eastAsia" w:cs="宋体"/>
                      <w:color w:val="auto"/>
                      <w:kern w:val="0"/>
                      <w:lang w:bidi="ar"/>
                    </w:rPr>
                    <w:t>1</w:t>
                  </w:r>
                </w:p>
              </w:tc>
              <w:tc>
                <w:tcPr>
                  <w:tcW w:w="1816" w:type="dxa"/>
                  <w:vAlign w:val="center"/>
                </w:tcPr>
                <w:p w14:paraId="480CC28C">
                  <w:pPr>
                    <w:adjustRightInd w:val="0"/>
                    <w:snapToGrid w:val="0"/>
                    <w:jc w:val="center"/>
                    <w:rPr>
                      <w:color w:val="auto"/>
                      <w:kern w:val="0"/>
                      <w:szCs w:val="21"/>
                    </w:rPr>
                  </w:pPr>
                  <w:r>
                    <w:rPr>
                      <w:rFonts w:hint="eastAsia"/>
                      <w:color w:val="auto"/>
                      <w:kern w:val="0"/>
                      <w:szCs w:val="21"/>
                    </w:rPr>
                    <w:t>台</w:t>
                  </w:r>
                </w:p>
              </w:tc>
            </w:tr>
            <w:tr w14:paraId="3D27E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6" w:type="dxa"/>
                  <w:vAlign w:val="center"/>
                </w:tcPr>
                <w:p w14:paraId="72DB23DF">
                  <w:pPr>
                    <w:adjustRightInd w:val="0"/>
                    <w:snapToGrid w:val="0"/>
                    <w:jc w:val="center"/>
                    <w:rPr>
                      <w:color w:val="auto"/>
                      <w:kern w:val="0"/>
                      <w:szCs w:val="21"/>
                    </w:rPr>
                  </w:pPr>
                  <w:r>
                    <w:rPr>
                      <w:rFonts w:hint="eastAsia"/>
                      <w:color w:val="auto"/>
                      <w:kern w:val="0"/>
                      <w:szCs w:val="21"/>
                    </w:rPr>
                    <w:t>7</w:t>
                  </w:r>
                </w:p>
              </w:tc>
              <w:tc>
                <w:tcPr>
                  <w:tcW w:w="1907" w:type="dxa"/>
                  <w:vAlign w:val="center"/>
                </w:tcPr>
                <w:p w14:paraId="5082301A">
                  <w:pPr>
                    <w:adjustRightInd w:val="0"/>
                    <w:snapToGrid w:val="0"/>
                    <w:jc w:val="center"/>
                    <w:rPr>
                      <w:color w:val="auto"/>
                    </w:rPr>
                  </w:pPr>
                  <w:r>
                    <w:rPr>
                      <w:rFonts w:hint="eastAsia"/>
                      <w:color w:val="auto"/>
                    </w:rPr>
                    <w:t>离心风机</w:t>
                  </w:r>
                </w:p>
              </w:tc>
              <w:tc>
                <w:tcPr>
                  <w:tcW w:w="2463" w:type="dxa"/>
                  <w:vAlign w:val="center"/>
                </w:tcPr>
                <w:p w14:paraId="2A448A84">
                  <w:pPr>
                    <w:widowControl/>
                    <w:adjustRightInd w:val="0"/>
                    <w:snapToGrid w:val="0"/>
                    <w:jc w:val="center"/>
                    <w:rPr>
                      <w:color w:val="auto"/>
                    </w:rPr>
                  </w:pPr>
                  <w:r>
                    <w:rPr>
                      <w:rFonts w:hint="eastAsia"/>
                      <w:color w:val="auto"/>
                    </w:rPr>
                    <w:t>4-72</w:t>
                  </w:r>
                </w:p>
              </w:tc>
              <w:tc>
                <w:tcPr>
                  <w:tcW w:w="1454" w:type="dxa"/>
                  <w:vAlign w:val="center"/>
                </w:tcPr>
                <w:p w14:paraId="32C6926B">
                  <w:pPr>
                    <w:widowControl/>
                    <w:adjustRightInd w:val="0"/>
                    <w:snapToGrid w:val="0"/>
                    <w:jc w:val="center"/>
                    <w:textAlignment w:val="center"/>
                    <w:rPr>
                      <w:rFonts w:cs="宋体"/>
                      <w:color w:val="auto"/>
                      <w:kern w:val="0"/>
                      <w:lang w:bidi="ar"/>
                    </w:rPr>
                  </w:pPr>
                  <w:r>
                    <w:rPr>
                      <w:rFonts w:hint="eastAsia" w:cs="宋体"/>
                      <w:color w:val="auto"/>
                      <w:kern w:val="0"/>
                      <w:lang w:bidi="ar"/>
                    </w:rPr>
                    <w:t>1</w:t>
                  </w:r>
                </w:p>
              </w:tc>
              <w:tc>
                <w:tcPr>
                  <w:tcW w:w="1816" w:type="dxa"/>
                  <w:vAlign w:val="center"/>
                </w:tcPr>
                <w:p w14:paraId="703F4AD1">
                  <w:pPr>
                    <w:adjustRightInd w:val="0"/>
                    <w:snapToGrid w:val="0"/>
                    <w:jc w:val="center"/>
                    <w:rPr>
                      <w:color w:val="auto"/>
                      <w:kern w:val="0"/>
                      <w:szCs w:val="21"/>
                    </w:rPr>
                  </w:pPr>
                  <w:r>
                    <w:rPr>
                      <w:rFonts w:hint="eastAsia"/>
                      <w:color w:val="auto"/>
                      <w:kern w:val="0"/>
                      <w:szCs w:val="21"/>
                    </w:rPr>
                    <w:t>台</w:t>
                  </w:r>
                </w:p>
              </w:tc>
            </w:tr>
            <w:tr w14:paraId="1C1C52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6" w:type="dxa"/>
                  <w:vAlign w:val="center"/>
                </w:tcPr>
                <w:p w14:paraId="6F01B98F">
                  <w:pPr>
                    <w:adjustRightInd w:val="0"/>
                    <w:snapToGrid w:val="0"/>
                    <w:jc w:val="center"/>
                    <w:rPr>
                      <w:color w:val="auto"/>
                      <w:kern w:val="0"/>
                      <w:szCs w:val="21"/>
                    </w:rPr>
                  </w:pPr>
                  <w:r>
                    <w:rPr>
                      <w:rFonts w:hint="eastAsia"/>
                      <w:color w:val="auto"/>
                      <w:kern w:val="0"/>
                      <w:szCs w:val="21"/>
                    </w:rPr>
                    <w:t>8</w:t>
                  </w:r>
                </w:p>
              </w:tc>
              <w:tc>
                <w:tcPr>
                  <w:tcW w:w="1907" w:type="dxa"/>
                  <w:vAlign w:val="center"/>
                </w:tcPr>
                <w:p w14:paraId="61B4DA3A">
                  <w:pPr>
                    <w:adjustRightInd w:val="0"/>
                    <w:snapToGrid w:val="0"/>
                    <w:jc w:val="center"/>
                    <w:rPr>
                      <w:color w:val="auto"/>
                    </w:rPr>
                  </w:pPr>
                  <w:r>
                    <w:rPr>
                      <w:rFonts w:hint="eastAsia"/>
                      <w:color w:val="auto"/>
                    </w:rPr>
                    <w:t>天然气模温机</w:t>
                  </w:r>
                </w:p>
              </w:tc>
              <w:tc>
                <w:tcPr>
                  <w:tcW w:w="2463" w:type="dxa"/>
                  <w:vAlign w:val="center"/>
                </w:tcPr>
                <w:p w14:paraId="232BF96B">
                  <w:pPr>
                    <w:widowControl/>
                    <w:adjustRightInd w:val="0"/>
                    <w:snapToGrid w:val="0"/>
                    <w:jc w:val="center"/>
                    <w:rPr>
                      <w:color w:val="auto"/>
                    </w:rPr>
                  </w:pPr>
                  <w:r>
                    <w:rPr>
                      <w:rFonts w:hint="eastAsia"/>
                      <w:color w:val="auto"/>
                    </w:rPr>
                    <w:t>/</w:t>
                  </w:r>
                </w:p>
              </w:tc>
              <w:tc>
                <w:tcPr>
                  <w:tcW w:w="1454" w:type="dxa"/>
                  <w:vAlign w:val="center"/>
                </w:tcPr>
                <w:p w14:paraId="4B21C2C9">
                  <w:pPr>
                    <w:widowControl/>
                    <w:adjustRightInd w:val="0"/>
                    <w:snapToGrid w:val="0"/>
                    <w:jc w:val="center"/>
                    <w:textAlignment w:val="center"/>
                    <w:rPr>
                      <w:rFonts w:cs="宋体"/>
                      <w:color w:val="auto"/>
                      <w:kern w:val="0"/>
                      <w:lang w:bidi="ar"/>
                    </w:rPr>
                  </w:pPr>
                  <w:r>
                    <w:rPr>
                      <w:rFonts w:hint="eastAsia" w:cs="宋体"/>
                      <w:color w:val="auto"/>
                      <w:kern w:val="0"/>
                      <w:lang w:bidi="ar"/>
                    </w:rPr>
                    <w:t>3</w:t>
                  </w:r>
                </w:p>
              </w:tc>
              <w:tc>
                <w:tcPr>
                  <w:tcW w:w="1816" w:type="dxa"/>
                  <w:vAlign w:val="center"/>
                </w:tcPr>
                <w:p w14:paraId="0F288F81">
                  <w:pPr>
                    <w:adjustRightInd w:val="0"/>
                    <w:snapToGrid w:val="0"/>
                    <w:jc w:val="center"/>
                    <w:rPr>
                      <w:color w:val="auto"/>
                      <w:kern w:val="0"/>
                      <w:szCs w:val="21"/>
                    </w:rPr>
                  </w:pPr>
                  <w:r>
                    <w:rPr>
                      <w:rFonts w:hint="eastAsia"/>
                      <w:color w:val="auto"/>
                      <w:kern w:val="0"/>
                      <w:szCs w:val="21"/>
                    </w:rPr>
                    <w:t>台</w:t>
                  </w:r>
                </w:p>
              </w:tc>
            </w:tr>
            <w:tr w14:paraId="579DD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6" w:type="dxa"/>
                  <w:vAlign w:val="center"/>
                </w:tcPr>
                <w:p w14:paraId="270F2D51">
                  <w:pPr>
                    <w:adjustRightInd w:val="0"/>
                    <w:snapToGrid w:val="0"/>
                    <w:jc w:val="center"/>
                    <w:rPr>
                      <w:color w:val="auto"/>
                      <w:kern w:val="0"/>
                      <w:szCs w:val="21"/>
                    </w:rPr>
                  </w:pPr>
                  <w:r>
                    <w:rPr>
                      <w:rFonts w:hint="eastAsia"/>
                      <w:color w:val="auto"/>
                      <w:kern w:val="0"/>
                      <w:szCs w:val="21"/>
                    </w:rPr>
                    <w:t>9</w:t>
                  </w:r>
                </w:p>
              </w:tc>
              <w:tc>
                <w:tcPr>
                  <w:tcW w:w="1907" w:type="dxa"/>
                  <w:vAlign w:val="center"/>
                </w:tcPr>
                <w:p w14:paraId="2ECCFBDC">
                  <w:pPr>
                    <w:adjustRightInd w:val="0"/>
                    <w:snapToGrid w:val="0"/>
                    <w:jc w:val="center"/>
                    <w:rPr>
                      <w:color w:val="auto"/>
                    </w:rPr>
                  </w:pPr>
                  <w:r>
                    <w:rPr>
                      <w:rFonts w:hint="eastAsia"/>
                      <w:color w:val="auto"/>
                    </w:rPr>
                    <w:t>储胶罐</w:t>
                  </w:r>
                </w:p>
              </w:tc>
              <w:tc>
                <w:tcPr>
                  <w:tcW w:w="2463" w:type="dxa"/>
                  <w:vAlign w:val="center"/>
                </w:tcPr>
                <w:p w14:paraId="41B22FB2">
                  <w:pPr>
                    <w:widowControl/>
                    <w:adjustRightInd w:val="0"/>
                    <w:snapToGrid w:val="0"/>
                    <w:jc w:val="center"/>
                    <w:rPr>
                      <w:color w:val="auto"/>
                    </w:rPr>
                  </w:pPr>
                  <w:r>
                    <w:rPr>
                      <w:rFonts w:hint="eastAsia"/>
                      <w:color w:val="auto"/>
                    </w:rPr>
                    <w:t>2m</w:t>
                  </w:r>
                  <w:r>
                    <w:rPr>
                      <w:rFonts w:hint="eastAsia"/>
                      <w:color w:val="auto"/>
                      <w:vertAlign w:val="superscript"/>
                    </w:rPr>
                    <w:t>3</w:t>
                  </w:r>
                </w:p>
              </w:tc>
              <w:tc>
                <w:tcPr>
                  <w:tcW w:w="1454" w:type="dxa"/>
                  <w:vAlign w:val="center"/>
                </w:tcPr>
                <w:p w14:paraId="042AE24B">
                  <w:pPr>
                    <w:widowControl/>
                    <w:adjustRightInd w:val="0"/>
                    <w:snapToGrid w:val="0"/>
                    <w:jc w:val="center"/>
                    <w:textAlignment w:val="center"/>
                    <w:rPr>
                      <w:rFonts w:cs="宋体"/>
                      <w:color w:val="auto"/>
                      <w:kern w:val="0"/>
                      <w:lang w:bidi="ar"/>
                    </w:rPr>
                  </w:pPr>
                  <w:r>
                    <w:rPr>
                      <w:rFonts w:hint="eastAsia" w:cs="宋体"/>
                      <w:color w:val="auto"/>
                      <w:kern w:val="0"/>
                      <w:lang w:bidi="ar"/>
                    </w:rPr>
                    <w:t>2</w:t>
                  </w:r>
                </w:p>
              </w:tc>
              <w:tc>
                <w:tcPr>
                  <w:tcW w:w="1816" w:type="dxa"/>
                  <w:vAlign w:val="center"/>
                </w:tcPr>
                <w:p w14:paraId="52F35357">
                  <w:pPr>
                    <w:adjustRightInd w:val="0"/>
                    <w:snapToGrid w:val="0"/>
                    <w:jc w:val="center"/>
                    <w:rPr>
                      <w:color w:val="auto"/>
                      <w:kern w:val="0"/>
                      <w:szCs w:val="21"/>
                    </w:rPr>
                  </w:pPr>
                  <w:r>
                    <w:rPr>
                      <w:rFonts w:hint="eastAsia"/>
                      <w:color w:val="auto"/>
                      <w:kern w:val="0"/>
                      <w:szCs w:val="21"/>
                    </w:rPr>
                    <w:t>个</w:t>
                  </w:r>
                </w:p>
              </w:tc>
            </w:tr>
            <w:tr w14:paraId="4BCA7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6" w:type="dxa"/>
                  <w:vAlign w:val="center"/>
                </w:tcPr>
                <w:p w14:paraId="56A4F9F5">
                  <w:pPr>
                    <w:adjustRightInd w:val="0"/>
                    <w:snapToGrid w:val="0"/>
                    <w:jc w:val="center"/>
                    <w:rPr>
                      <w:color w:val="auto"/>
                      <w:kern w:val="0"/>
                      <w:szCs w:val="21"/>
                    </w:rPr>
                  </w:pPr>
                  <w:r>
                    <w:rPr>
                      <w:rFonts w:hint="eastAsia"/>
                      <w:color w:val="auto"/>
                      <w:kern w:val="0"/>
                      <w:szCs w:val="21"/>
                    </w:rPr>
                    <w:t>10</w:t>
                  </w:r>
                </w:p>
              </w:tc>
              <w:tc>
                <w:tcPr>
                  <w:tcW w:w="1907" w:type="dxa"/>
                  <w:vAlign w:val="center"/>
                </w:tcPr>
                <w:p w14:paraId="7C58D4F5">
                  <w:pPr>
                    <w:adjustRightInd w:val="0"/>
                    <w:snapToGrid w:val="0"/>
                    <w:jc w:val="center"/>
                    <w:rPr>
                      <w:color w:val="auto"/>
                    </w:rPr>
                  </w:pPr>
                  <w:r>
                    <w:rPr>
                      <w:rFonts w:hint="eastAsia"/>
                      <w:color w:val="auto"/>
                    </w:rPr>
                    <w:t>鼓风机</w:t>
                  </w:r>
                </w:p>
              </w:tc>
              <w:tc>
                <w:tcPr>
                  <w:tcW w:w="2463" w:type="dxa"/>
                  <w:vAlign w:val="center"/>
                </w:tcPr>
                <w:p w14:paraId="52BCEDB4">
                  <w:pPr>
                    <w:widowControl/>
                    <w:adjustRightInd w:val="0"/>
                    <w:snapToGrid w:val="0"/>
                    <w:jc w:val="center"/>
                    <w:rPr>
                      <w:color w:val="auto"/>
                    </w:rPr>
                  </w:pPr>
                  <w:r>
                    <w:rPr>
                      <w:rFonts w:hint="eastAsia"/>
                      <w:color w:val="auto"/>
                    </w:rPr>
                    <w:t>/</w:t>
                  </w:r>
                </w:p>
              </w:tc>
              <w:tc>
                <w:tcPr>
                  <w:tcW w:w="1454" w:type="dxa"/>
                  <w:vAlign w:val="center"/>
                </w:tcPr>
                <w:p w14:paraId="36AA4B52">
                  <w:pPr>
                    <w:widowControl/>
                    <w:adjustRightInd w:val="0"/>
                    <w:snapToGrid w:val="0"/>
                    <w:jc w:val="center"/>
                    <w:textAlignment w:val="center"/>
                    <w:rPr>
                      <w:rFonts w:cs="宋体"/>
                      <w:color w:val="auto"/>
                      <w:kern w:val="0"/>
                      <w:lang w:bidi="ar"/>
                    </w:rPr>
                  </w:pPr>
                  <w:r>
                    <w:rPr>
                      <w:rFonts w:hint="eastAsia" w:cs="宋体"/>
                      <w:color w:val="auto"/>
                      <w:kern w:val="0"/>
                      <w:lang w:bidi="ar"/>
                    </w:rPr>
                    <w:t>1</w:t>
                  </w:r>
                </w:p>
              </w:tc>
              <w:tc>
                <w:tcPr>
                  <w:tcW w:w="1816" w:type="dxa"/>
                  <w:vAlign w:val="center"/>
                </w:tcPr>
                <w:p w14:paraId="0F9B0A08">
                  <w:pPr>
                    <w:adjustRightInd w:val="0"/>
                    <w:snapToGrid w:val="0"/>
                    <w:jc w:val="center"/>
                    <w:rPr>
                      <w:color w:val="auto"/>
                      <w:kern w:val="0"/>
                      <w:szCs w:val="21"/>
                    </w:rPr>
                  </w:pPr>
                  <w:r>
                    <w:rPr>
                      <w:rFonts w:hint="eastAsia"/>
                      <w:color w:val="auto"/>
                      <w:kern w:val="0"/>
                      <w:szCs w:val="21"/>
                    </w:rPr>
                    <w:t>台</w:t>
                  </w:r>
                </w:p>
              </w:tc>
            </w:tr>
            <w:tr w14:paraId="44431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6" w:type="dxa"/>
                  <w:vAlign w:val="center"/>
                </w:tcPr>
                <w:p w14:paraId="0AD9BB23">
                  <w:pPr>
                    <w:adjustRightInd w:val="0"/>
                    <w:snapToGrid w:val="0"/>
                    <w:jc w:val="center"/>
                    <w:rPr>
                      <w:color w:val="auto"/>
                      <w:kern w:val="0"/>
                      <w:szCs w:val="21"/>
                    </w:rPr>
                  </w:pPr>
                  <w:r>
                    <w:rPr>
                      <w:rFonts w:hint="eastAsia"/>
                      <w:color w:val="auto"/>
                      <w:kern w:val="0"/>
                      <w:szCs w:val="21"/>
                    </w:rPr>
                    <w:t>11</w:t>
                  </w:r>
                </w:p>
              </w:tc>
              <w:tc>
                <w:tcPr>
                  <w:tcW w:w="1907" w:type="dxa"/>
                  <w:vAlign w:val="center"/>
                </w:tcPr>
                <w:p w14:paraId="7D28DA21">
                  <w:pPr>
                    <w:adjustRightInd w:val="0"/>
                    <w:snapToGrid w:val="0"/>
                    <w:jc w:val="center"/>
                    <w:rPr>
                      <w:color w:val="auto"/>
                    </w:rPr>
                  </w:pPr>
                  <w:r>
                    <w:rPr>
                      <w:rFonts w:hint="eastAsia"/>
                      <w:color w:val="auto"/>
                    </w:rPr>
                    <w:t>负压集气罩</w:t>
                  </w:r>
                </w:p>
              </w:tc>
              <w:tc>
                <w:tcPr>
                  <w:tcW w:w="2463" w:type="dxa"/>
                  <w:vAlign w:val="center"/>
                </w:tcPr>
                <w:p w14:paraId="3381E438">
                  <w:pPr>
                    <w:widowControl/>
                    <w:adjustRightInd w:val="0"/>
                    <w:snapToGrid w:val="0"/>
                    <w:jc w:val="center"/>
                    <w:rPr>
                      <w:color w:val="auto"/>
                    </w:rPr>
                  </w:pPr>
                  <w:r>
                    <w:rPr>
                      <w:rFonts w:hint="eastAsia"/>
                      <w:color w:val="auto"/>
                    </w:rPr>
                    <w:t>/</w:t>
                  </w:r>
                </w:p>
              </w:tc>
              <w:tc>
                <w:tcPr>
                  <w:tcW w:w="1454" w:type="dxa"/>
                  <w:vAlign w:val="center"/>
                </w:tcPr>
                <w:p w14:paraId="12F754DA">
                  <w:pPr>
                    <w:widowControl/>
                    <w:adjustRightInd w:val="0"/>
                    <w:snapToGrid w:val="0"/>
                    <w:jc w:val="center"/>
                    <w:textAlignment w:val="center"/>
                    <w:rPr>
                      <w:rFonts w:cs="宋体"/>
                      <w:color w:val="auto"/>
                      <w:kern w:val="0"/>
                      <w:lang w:bidi="ar"/>
                    </w:rPr>
                  </w:pPr>
                  <w:r>
                    <w:rPr>
                      <w:rFonts w:hint="eastAsia" w:cs="宋体"/>
                      <w:color w:val="auto"/>
                      <w:kern w:val="0"/>
                      <w:lang w:bidi="ar"/>
                    </w:rPr>
                    <w:t>3</w:t>
                  </w:r>
                </w:p>
              </w:tc>
              <w:tc>
                <w:tcPr>
                  <w:tcW w:w="1816" w:type="dxa"/>
                  <w:vAlign w:val="center"/>
                </w:tcPr>
                <w:p w14:paraId="7081D733">
                  <w:pPr>
                    <w:adjustRightInd w:val="0"/>
                    <w:snapToGrid w:val="0"/>
                    <w:jc w:val="center"/>
                    <w:rPr>
                      <w:color w:val="auto"/>
                      <w:kern w:val="0"/>
                      <w:szCs w:val="21"/>
                    </w:rPr>
                  </w:pPr>
                  <w:r>
                    <w:rPr>
                      <w:rFonts w:hint="eastAsia"/>
                      <w:color w:val="auto"/>
                      <w:kern w:val="0"/>
                      <w:szCs w:val="21"/>
                    </w:rPr>
                    <w:t>个</w:t>
                  </w:r>
                </w:p>
              </w:tc>
            </w:tr>
            <w:tr w14:paraId="491721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6" w:type="dxa"/>
                  <w:vAlign w:val="center"/>
                </w:tcPr>
                <w:p w14:paraId="46BDC77F">
                  <w:pPr>
                    <w:adjustRightInd w:val="0"/>
                    <w:snapToGrid w:val="0"/>
                    <w:jc w:val="center"/>
                    <w:rPr>
                      <w:color w:val="auto"/>
                      <w:kern w:val="0"/>
                      <w:szCs w:val="21"/>
                    </w:rPr>
                  </w:pPr>
                  <w:r>
                    <w:rPr>
                      <w:rFonts w:hint="eastAsia"/>
                      <w:color w:val="auto"/>
                      <w:kern w:val="0"/>
                      <w:szCs w:val="21"/>
                    </w:rPr>
                    <w:t>12</w:t>
                  </w:r>
                </w:p>
              </w:tc>
              <w:tc>
                <w:tcPr>
                  <w:tcW w:w="1907" w:type="dxa"/>
                  <w:vAlign w:val="center"/>
                </w:tcPr>
                <w:p w14:paraId="320D50E6">
                  <w:pPr>
                    <w:adjustRightInd w:val="0"/>
                    <w:snapToGrid w:val="0"/>
                    <w:jc w:val="center"/>
                    <w:rPr>
                      <w:color w:val="auto"/>
                    </w:rPr>
                  </w:pPr>
                  <w:r>
                    <w:rPr>
                      <w:rFonts w:hint="eastAsia"/>
                      <w:color w:val="auto"/>
                      <w:kern w:val="0"/>
                      <w:szCs w:val="21"/>
                    </w:rPr>
                    <w:t>UV光解+活性炭装置</w:t>
                  </w:r>
                </w:p>
              </w:tc>
              <w:tc>
                <w:tcPr>
                  <w:tcW w:w="2463" w:type="dxa"/>
                  <w:vAlign w:val="center"/>
                </w:tcPr>
                <w:p w14:paraId="4AEA8E9E">
                  <w:pPr>
                    <w:widowControl/>
                    <w:adjustRightInd w:val="0"/>
                    <w:snapToGrid w:val="0"/>
                    <w:jc w:val="center"/>
                    <w:rPr>
                      <w:color w:val="auto"/>
                    </w:rPr>
                  </w:pPr>
                  <w:r>
                    <w:rPr>
                      <w:rFonts w:hint="eastAsia"/>
                      <w:color w:val="auto"/>
                    </w:rPr>
                    <w:t>/</w:t>
                  </w:r>
                </w:p>
              </w:tc>
              <w:tc>
                <w:tcPr>
                  <w:tcW w:w="1454" w:type="dxa"/>
                  <w:vAlign w:val="center"/>
                </w:tcPr>
                <w:p w14:paraId="3D3C872A">
                  <w:pPr>
                    <w:widowControl/>
                    <w:adjustRightInd w:val="0"/>
                    <w:snapToGrid w:val="0"/>
                    <w:jc w:val="center"/>
                    <w:textAlignment w:val="center"/>
                    <w:rPr>
                      <w:rFonts w:cs="宋体"/>
                      <w:color w:val="auto"/>
                      <w:kern w:val="0"/>
                      <w:lang w:bidi="ar"/>
                    </w:rPr>
                  </w:pPr>
                  <w:r>
                    <w:rPr>
                      <w:rFonts w:hint="eastAsia" w:cs="宋体"/>
                      <w:color w:val="auto"/>
                      <w:kern w:val="0"/>
                      <w:lang w:bidi="ar"/>
                    </w:rPr>
                    <w:t>1</w:t>
                  </w:r>
                </w:p>
              </w:tc>
              <w:tc>
                <w:tcPr>
                  <w:tcW w:w="1816" w:type="dxa"/>
                  <w:vAlign w:val="center"/>
                </w:tcPr>
                <w:p w14:paraId="0968B8F0">
                  <w:pPr>
                    <w:adjustRightInd w:val="0"/>
                    <w:snapToGrid w:val="0"/>
                    <w:jc w:val="center"/>
                    <w:rPr>
                      <w:color w:val="auto"/>
                      <w:kern w:val="0"/>
                      <w:szCs w:val="21"/>
                    </w:rPr>
                  </w:pPr>
                  <w:r>
                    <w:rPr>
                      <w:rFonts w:hint="eastAsia"/>
                      <w:color w:val="auto"/>
                      <w:kern w:val="0"/>
                      <w:szCs w:val="21"/>
                    </w:rPr>
                    <w:t>套</w:t>
                  </w:r>
                </w:p>
              </w:tc>
            </w:tr>
          </w:tbl>
          <w:p w14:paraId="33E020C9">
            <w:pPr>
              <w:pStyle w:val="73"/>
              <w:adjustRightInd/>
              <w:ind w:firstLine="482"/>
              <w:rPr>
                <w:b/>
                <w:bCs/>
                <w:color w:val="auto"/>
              </w:rPr>
            </w:pPr>
            <w:r>
              <w:rPr>
                <w:rFonts w:hint="eastAsia"/>
                <w:b/>
                <w:bCs/>
                <w:color w:val="auto"/>
              </w:rPr>
              <w:t>5、项目原辅材料消耗情况</w:t>
            </w:r>
          </w:p>
          <w:p w14:paraId="160FFFEA">
            <w:pPr>
              <w:widowControl/>
              <w:adjustRightInd w:val="0"/>
              <w:snapToGrid w:val="0"/>
              <w:spacing w:line="360" w:lineRule="auto"/>
              <w:ind w:firstLine="480" w:firstLineChars="200"/>
              <w:rPr>
                <w:color w:val="auto"/>
                <w:sz w:val="24"/>
              </w:rPr>
            </w:pPr>
            <w:r>
              <w:rPr>
                <w:rFonts w:hint="eastAsia"/>
                <w:color w:val="auto"/>
                <w:sz w:val="24"/>
              </w:rPr>
              <w:t>（1）</w:t>
            </w:r>
            <w:r>
              <w:rPr>
                <w:b/>
                <w:bCs/>
                <w:color w:val="auto"/>
                <w:sz w:val="24"/>
              </w:rPr>
              <w:t>项目原辅材料用量</w:t>
            </w:r>
          </w:p>
          <w:p w14:paraId="78C1A5CC">
            <w:pPr>
              <w:adjustRightInd w:val="0"/>
              <w:snapToGrid w:val="0"/>
              <w:spacing w:line="360" w:lineRule="auto"/>
              <w:ind w:firstLine="480" w:firstLineChars="200"/>
              <w:rPr>
                <w:b/>
                <w:bCs/>
                <w:color w:val="auto"/>
                <w:szCs w:val="21"/>
              </w:rPr>
            </w:pPr>
            <w:r>
              <w:rPr>
                <w:rFonts w:hint="eastAsia"/>
                <w:color w:val="auto"/>
                <w:sz w:val="24"/>
              </w:rPr>
              <w:t>本项目主要原、辅材料及能源年用量见表2-4。</w:t>
            </w:r>
          </w:p>
          <w:p w14:paraId="1772DF83">
            <w:pPr>
              <w:adjustRightInd w:val="0"/>
              <w:snapToGrid w:val="0"/>
              <w:jc w:val="center"/>
              <w:rPr>
                <w:b/>
                <w:bCs/>
                <w:color w:val="auto"/>
                <w:szCs w:val="21"/>
              </w:rPr>
            </w:pPr>
            <w:r>
              <w:rPr>
                <w:rFonts w:hint="eastAsia"/>
                <w:b/>
                <w:bCs/>
                <w:color w:val="auto"/>
                <w:szCs w:val="21"/>
              </w:rPr>
              <w:t>表2-4  项目主要原、辅材料及能源年用量一览</w:t>
            </w:r>
            <w:r>
              <w:rPr>
                <w:b/>
                <w:bCs/>
                <w:color w:val="auto"/>
                <w:szCs w:val="21"/>
              </w:rPr>
              <w:t>表</w:t>
            </w:r>
          </w:p>
          <w:tbl>
            <w:tblPr>
              <w:tblStyle w:val="30"/>
              <w:tblW w:w="84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455"/>
              <w:gridCol w:w="1019"/>
              <w:gridCol w:w="1163"/>
              <w:gridCol w:w="1337"/>
              <w:gridCol w:w="1545"/>
              <w:gridCol w:w="1197"/>
            </w:tblGrid>
            <w:tr w14:paraId="1418E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690" w:type="dxa"/>
                  <w:vAlign w:val="center"/>
                </w:tcPr>
                <w:p w14:paraId="18FE00EB">
                  <w:pPr>
                    <w:jc w:val="center"/>
                    <w:rPr>
                      <w:color w:val="auto"/>
                      <w:kern w:val="0"/>
                      <w:szCs w:val="21"/>
                    </w:rPr>
                  </w:pPr>
                  <w:r>
                    <w:rPr>
                      <w:color w:val="auto"/>
                      <w:kern w:val="0"/>
                      <w:szCs w:val="21"/>
                    </w:rPr>
                    <w:t>序号</w:t>
                  </w:r>
                </w:p>
              </w:tc>
              <w:tc>
                <w:tcPr>
                  <w:tcW w:w="1455" w:type="dxa"/>
                  <w:vAlign w:val="center"/>
                </w:tcPr>
                <w:p w14:paraId="6443BE19">
                  <w:pPr>
                    <w:jc w:val="center"/>
                    <w:rPr>
                      <w:color w:val="auto"/>
                      <w:kern w:val="0"/>
                      <w:szCs w:val="21"/>
                    </w:rPr>
                  </w:pPr>
                  <w:r>
                    <w:rPr>
                      <w:color w:val="auto"/>
                      <w:kern w:val="0"/>
                      <w:szCs w:val="21"/>
                    </w:rPr>
                    <w:t>名称</w:t>
                  </w:r>
                </w:p>
              </w:tc>
              <w:tc>
                <w:tcPr>
                  <w:tcW w:w="1019" w:type="dxa"/>
                  <w:vAlign w:val="center"/>
                </w:tcPr>
                <w:p w14:paraId="1F63DE5B">
                  <w:pPr>
                    <w:jc w:val="center"/>
                    <w:rPr>
                      <w:color w:val="auto"/>
                      <w:kern w:val="0"/>
                      <w:szCs w:val="21"/>
                    </w:rPr>
                  </w:pPr>
                  <w:r>
                    <w:rPr>
                      <w:rFonts w:hint="eastAsia"/>
                      <w:color w:val="auto"/>
                      <w:kern w:val="0"/>
                      <w:szCs w:val="21"/>
                    </w:rPr>
                    <w:t>单位</w:t>
                  </w:r>
                </w:p>
              </w:tc>
              <w:tc>
                <w:tcPr>
                  <w:tcW w:w="1163" w:type="dxa"/>
                  <w:vAlign w:val="center"/>
                </w:tcPr>
                <w:p w14:paraId="3056F579">
                  <w:pPr>
                    <w:jc w:val="center"/>
                    <w:rPr>
                      <w:color w:val="auto"/>
                      <w:kern w:val="0"/>
                      <w:szCs w:val="21"/>
                    </w:rPr>
                  </w:pPr>
                  <w:r>
                    <w:rPr>
                      <w:rFonts w:hint="eastAsia"/>
                      <w:color w:val="auto"/>
                      <w:kern w:val="0"/>
                      <w:szCs w:val="21"/>
                    </w:rPr>
                    <w:t>储存方式</w:t>
                  </w:r>
                </w:p>
              </w:tc>
              <w:tc>
                <w:tcPr>
                  <w:tcW w:w="1337" w:type="dxa"/>
                  <w:vAlign w:val="center"/>
                </w:tcPr>
                <w:p w14:paraId="48666E9C">
                  <w:pPr>
                    <w:jc w:val="center"/>
                    <w:rPr>
                      <w:color w:val="auto"/>
                      <w:kern w:val="0"/>
                      <w:szCs w:val="21"/>
                    </w:rPr>
                  </w:pPr>
                  <w:r>
                    <w:rPr>
                      <w:rFonts w:hint="eastAsia"/>
                      <w:color w:val="auto"/>
                      <w:kern w:val="0"/>
                      <w:szCs w:val="21"/>
                    </w:rPr>
                    <w:t>年使用量</w:t>
                  </w:r>
                </w:p>
              </w:tc>
              <w:tc>
                <w:tcPr>
                  <w:tcW w:w="1545" w:type="dxa"/>
                  <w:vAlign w:val="center"/>
                </w:tcPr>
                <w:p w14:paraId="73E4EC62">
                  <w:pPr>
                    <w:jc w:val="center"/>
                    <w:rPr>
                      <w:color w:val="auto"/>
                      <w:kern w:val="0"/>
                      <w:szCs w:val="21"/>
                    </w:rPr>
                  </w:pPr>
                  <w:r>
                    <w:rPr>
                      <w:rFonts w:hint="eastAsia"/>
                      <w:color w:val="auto"/>
                      <w:kern w:val="0"/>
                      <w:szCs w:val="21"/>
                    </w:rPr>
                    <w:t>年最大储存量</w:t>
                  </w:r>
                </w:p>
              </w:tc>
              <w:tc>
                <w:tcPr>
                  <w:tcW w:w="1197" w:type="dxa"/>
                  <w:vAlign w:val="center"/>
                </w:tcPr>
                <w:p w14:paraId="64176AA7">
                  <w:pPr>
                    <w:jc w:val="center"/>
                    <w:rPr>
                      <w:color w:val="auto"/>
                      <w:kern w:val="0"/>
                      <w:szCs w:val="21"/>
                    </w:rPr>
                  </w:pPr>
                  <w:r>
                    <w:rPr>
                      <w:rFonts w:hint="eastAsia"/>
                      <w:color w:val="auto"/>
                      <w:kern w:val="0"/>
                      <w:szCs w:val="21"/>
                    </w:rPr>
                    <w:t>备注</w:t>
                  </w:r>
                </w:p>
              </w:tc>
            </w:tr>
            <w:tr w14:paraId="5CB25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690" w:type="dxa"/>
                  <w:vAlign w:val="center"/>
                </w:tcPr>
                <w:p w14:paraId="64AE8B0B">
                  <w:pPr>
                    <w:jc w:val="center"/>
                    <w:rPr>
                      <w:color w:val="auto"/>
                      <w:kern w:val="0"/>
                      <w:szCs w:val="21"/>
                    </w:rPr>
                  </w:pPr>
                  <w:r>
                    <w:rPr>
                      <w:rFonts w:hint="eastAsia"/>
                      <w:color w:val="auto"/>
                      <w:kern w:val="0"/>
                      <w:szCs w:val="21"/>
                    </w:rPr>
                    <w:t>1</w:t>
                  </w:r>
                </w:p>
              </w:tc>
              <w:tc>
                <w:tcPr>
                  <w:tcW w:w="1455" w:type="dxa"/>
                  <w:vAlign w:val="center"/>
                </w:tcPr>
                <w:p w14:paraId="3CBCB64A">
                  <w:pPr>
                    <w:jc w:val="center"/>
                    <w:rPr>
                      <w:color w:val="auto"/>
                      <w:kern w:val="0"/>
                      <w:szCs w:val="21"/>
                    </w:rPr>
                  </w:pPr>
                  <w:r>
                    <w:rPr>
                      <w:rFonts w:hint="eastAsia"/>
                      <w:color w:val="auto"/>
                      <w:kern w:val="0"/>
                      <w:szCs w:val="21"/>
                    </w:rPr>
                    <w:t>原纸</w:t>
                  </w:r>
                </w:p>
              </w:tc>
              <w:tc>
                <w:tcPr>
                  <w:tcW w:w="1019" w:type="dxa"/>
                  <w:vAlign w:val="center"/>
                </w:tcPr>
                <w:p w14:paraId="7057444A">
                  <w:pPr>
                    <w:jc w:val="center"/>
                    <w:rPr>
                      <w:color w:val="auto"/>
                      <w:kern w:val="0"/>
                      <w:szCs w:val="21"/>
                    </w:rPr>
                  </w:pPr>
                  <w:r>
                    <w:rPr>
                      <w:rFonts w:hint="eastAsia"/>
                      <w:color w:val="auto"/>
                      <w:kern w:val="0"/>
                      <w:szCs w:val="21"/>
                    </w:rPr>
                    <w:t>t</w:t>
                  </w:r>
                </w:p>
              </w:tc>
              <w:tc>
                <w:tcPr>
                  <w:tcW w:w="1163" w:type="dxa"/>
                  <w:vAlign w:val="center"/>
                </w:tcPr>
                <w:p w14:paraId="6FF0AEEE">
                  <w:pPr>
                    <w:jc w:val="center"/>
                    <w:rPr>
                      <w:color w:val="auto"/>
                      <w:kern w:val="0"/>
                      <w:szCs w:val="21"/>
                    </w:rPr>
                  </w:pPr>
                  <w:r>
                    <w:rPr>
                      <w:rFonts w:hint="eastAsia"/>
                      <w:color w:val="auto"/>
                      <w:kern w:val="0"/>
                      <w:szCs w:val="21"/>
                    </w:rPr>
                    <w:t>堆存</w:t>
                  </w:r>
                </w:p>
              </w:tc>
              <w:tc>
                <w:tcPr>
                  <w:tcW w:w="1337" w:type="dxa"/>
                  <w:vAlign w:val="center"/>
                </w:tcPr>
                <w:p w14:paraId="0BCE9242">
                  <w:pPr>
                    <w:jc w:val="center"/>
                    <w:rPr>
                      <w:color w:val="auto"/>
                      <w:kern w:val="0"/>
                      <w:szCs w:val="21"/>
                    </w:rPr>
                  </w:pPr>
                  <w:r>
                    <w:rPr>
                      <w:rFonts w:hint="eastAsia"/>
                      <w:color w:val="auto"/>
                      <w:kern w:val="0"/>
                      <w:szCs w:val="21"/>
                    </w:rPr>
                    <w:t>149.08</w:t>
                  </w:r>
                </w:p>
              </w:tc>
              <w:tc>
                <w:tcPr>
                  <w:tcW w:w="1545" w:type="dxa"/>
                  <w:vAlign w:val="center"/>
                </w:tcPr>
                <w:p w14:paraId="1CBBCA03">
                  <w:pPr>
                    <w:jc w:val="center"/>
                    <w:rPr>
                      <w:color w:val="auto"/>
                      <w:kern w:val="0"/>
                      <w:szCs w:val="21"/>
                    </w:rPr>
                  </w:pPr>
                  <w:r>
                    <w:rPr>
                      <w:rFonts w:hint="eastAsia"/>
                      <w:color w:val="auto"/>
                      <w:kern w:val="0"/>
                      <w:szCs w:val="21"/>
                    </w:rPr>
                    <w:t>15</w:t>
                  </w:r>
                </w:p>
              </w:tc>
              <w:tc>
                <w:tcPr>
                  <w:tcW w:w="1197" w:type="dxa"/>
                  <w:vAlign w:val="center"/>
                </w:tcPr>
                <w:p w14:paraId="39FB28CC">
                  <w:pPr>
                    <w:jc w:val="center"/>
                    <w:rPr>
                      <w:color w:val="auto"/>
                      <w:kern w:val="0"/>
                      <w:szCs w:val="21"/>
                    </w:rPr>
                  </w:pPr>
                  <w:r>
                    <w:rPr>
                      <w:rFonts w:hint="eastAsia"/>
                      <w:color w:val="auto"/>
                      <w:kern w:val="0"/>
                      <w:szCs w:val="21"/>
                    </w:rPr>
                    <w:t>外购</w:t>
                  </w:r>
                </w:p>
              </w:tc>
            </w:tr>
            <w:tr w14:paraId="215BC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690" w:type="dxa"/>
                  <w:vAlign w:val="center"/>
                </w:tcPr>
                <w:p w14:paraId="37D3ACB4">
                  <w:pPr>
                    <w:jc w:val="center"/>
                    <w:rPr>
                      <w:color w:val="auto"/>
                      <w:kern w:val="0"/>
                      <w:szCs w:val="21"/>
                    </w:rPr>
                  </w:pPr>
                  <w:r>
                    <w:rPr>
                      <w:rFonts w:hint="eastAsia"/>
                      <w:color w:val="auto"/>
                      <w:kern w:val="0"/>
                      <w:szCs w:val="21"/>
                    </w:rPr>
                    <w:t>2</w:t>
                  </w:r>
                </w:p>
              </w:tc>
              <w:tc>
                <w:tcPr>
                  <w:tcW w:w="1455" w:type="dxa"/>
                  <w:vAlign w:val="center"/>
                </w:tcPr>
                <w:p w14:paraId="47A74CA4">
                  <w:pPr>
                    <w:jc w:val="center"/>
                    <w:rPr>
                      <w:color w:val="auto"/>
                      <w:kern w:val="0"/>
                      <w:szCs w:val="21"/>
                    </w:rPr>
                  </w:pPr>
                  <w:r>
                    <w:rPr>
                      <w:rFonts w:hint="eastAsia"/>
                      <w:color w:val="auto"/>
                      <w:kern w:val="0"/>
                      <w:szCs w:val="21"/>
                    </w:rPr>
                    <w:t>三聚氰胺甲醛树脂</w:t>
                  </w:r>
                </w:p>
              </w:tc>
              <w:tc>
                <w:tcPr>
                  <w:tcW w:w="1019" w:type="dxa"/>
                  <w:vAlign w:val="center"/>
                </w:tcPr>
                <w:p w14:paraId="28DA8A3C">
                  <w:pPr>
                    <w:jc w:val="center"/>
                    <w:rPr>
                      <w:color w:val="auto"/>
                      <w:kern w:val="0"/>
                      <w:szCs w:val="21"/>
                    </w:rPr>
                  </w:pPr>
                  <w:r>
                    <w:rPr>
                      <w:rFonts w:hint="eastAsia"/>
                      <w:color w:val="auto"/>
                      <w:kern w:val="0"/>
                      <w:szCs w:val="21"/>
                    </w:rPr>
                    <w:t>t</w:t>
                  </w:r>
                </w:p>
              </w:tc>
              <w:tc>
                <w:tcPr>
                  <w:tcW w:w="1163" w:type="dxa"/>
                  <w:vAlign w:val="center"/>
                </w:tcPr>
                <w:p w14:paraId="1F8C7FD9">
                  <w:pPr>
                    <w:jc w:val="center"/>
                    <w:rPr>
                      <w:color w:val="auto"/>
                      <w:kern w:val="0"/>
                      <w:szCs w:val="21"/>
                    </w:rPr>
                  </w:pPr>
                  <w:r>
                    <w:rPr>
                      <w:rFonts w:hint="eastAsia"/>
                      <w:color w:val="auto"/>
                      <w:kern w:val="0"/>
                      <w:szCs w:val="21"/>
                    </w:rPr>
                    <w:t>桶装</w:t>
                  </w:r>
                </w:p>
              </w:tc>
              <w:tc>
                <w:tcPr>
                  <w:tcW w:w="1337" w:type="dxa"/>
                  <w:vAlign w:val="center"/>
                </w:tcPr>
                <w:p w14:paraId="15F1515B">
                  <w:pPr>
                    <w:jc w:val="center"/>
                    <w:rPr>
                      <w:color w:val="auto"/>
                      <w:kern w:val="0"/>
                      <w:szCs w:val="21"/>
                    </w:rPr>
                  </w:pPr>
                  <w:r>
                    <w:rPr>
                      <w:rFonts w:hint="eastAsia"/>
                      <w:color w:val="auto"/>
                      <w:kern w:val="0"/>
                      <w:szCs w:val="21"/>
                    </w:rPr>
                    <w:t>190.6</w:t>
                  </w:r>
                </w:p>
              </w:tc>
              <w:tc>
                <w:tcPr>
                  <w:tcW w:w="1545" w:type="dxa"/>
                  <w:vAlign w:val="center"/>
                </w:tcPr>
                <w:p w14:paraId="1954FE09">
                  <w:pPr>
                    <w:jc w:val="center"/>
                    <w:rPr>
                      <w:color w:val="auto"/>
                      <w:kern w:val="0"/>
                      <w:szCs w:val="21"/>
                    </w:rPr>
                  </w:pPr>
                  <w:r>
                    <w:rPr>
                      <w:rFonts w:hint="eastAsia"/>
                      <w:color w:val="auto"/>
                      <w:kern w:val="0"/>
                      <w:szCs w:val="21"/>
                    </w:rPr>
                    <w:t>10</w:t>
                  </w:r>
                </w:p>
              </w:tc>
              <w:tc>
                <w:tcPr>
                  <w:tcW w:w="1197" w:type="dxa"/>
                  <w:vAlign w:val="center"/>
                </w:tcPr>
                <w:p w14:paraId="0CD1CDC9">
                  <w:pPr>
                    <w:jc w:val="center"/>
                    <w:rPr>
                      <w:color w:val="auto"/>
                      <w:kern w:val="0"/>
                      <w:szCs w:val="21"/>
                    </w:rPr>
                  </w:pPr>
                  <w:r>
                    <w:rPr>
                      <w:rFonts w:hint="eastAsia"/>
                      <w:color w:val="auto"/>
                      <w:kern w:val="0"/>
                      <w:szCs w:val="21"/>
                    </w:rPr>
                    <w:t>外购</w:t>
                  </w:r>
                </w:p>
              </w:tc>
            </w:tr>
            <w:tr w14:paraId="20C14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690" w:type="dxa"/>
                  <w:vAlign w:val="center"/>
                </w:tcPr>
                <w:p w14:paraId="529083ED">
                  <w:pPr>
                    <w:jc w:val="center"/>
                    <w:rPr>
                      <w:color w:val="auto"/>
                      <w:kern w:val="0"/>
                      <w:szCs w:val="21"/>
                    </w:rPr>
                  </w:pPr>
                  <w:r>
                    <w:rPr>
                      <w:rFonts w:hint="eastAsia"/>
                      <w:color w:val="auto"/>
                      <w:kern w:val="0"/>
                      <w:szCs w:val="21"/>
                    </w:rPr>
                    <w:t>3</w:t>
                  </w:r>
                </w:p>
              </w:tc>
              <w:tc>
                <w:tcPr>
                  <w:tcW w:w="1455" w:type="dxa"/>
                  <w:vAlign w:val="center"/>
                </w:tcPr>
                <w:p w14:paraId="35EE227C">
                  <w:pPr>
                    <w:jc w:val="center"/>
                    <w:rPr>
                      <w:color w:val="auto"/>
                      <w:kern w:val="0"/>
                      <w:szCs w:val="21"/>
                    </w:rPr>
                  </w:pPr>
                  <w:r>
                    <w:rPr>
                      <w:rFonts w:hint="eastAsia"/>
                      <w:color w:val="auto"/>
                      <w:kern w:val="0"/>
                      <w:szCs w:val="21"/>
                    </w:rPr>
                    <w:t>导热油</w:t>
                  </w:r>
                </w:p>
              </w:tc>
              <w:tc>
                <w:tcPr>
                  <w:tcW w:w="1019" w:type="dxa"/>
                  <w:vAlign w:val="center"/>
                </w:tcPr>
                <w:p w14:paraId="115F41DD">
                  <w:pPr>
                    <w:jc w:val="center"/>
                    <w:rPr>
                      <w:color w:val="auto"/>
                      <w:kern w:val="0"/>
                      <w:szCs w:val="21"/>
                    </w:rPr>
                  </w:pPr>
                  <w:r>
                    <w:rPr>
                      <w:rFonts w:hint="eastAsia"/>
                      <w:color w:val="auto"/>
                      <w:kern w:val="0"/>
                      <w:szCs w:val="21"/>
                    </w:rPr>
                    <w:t>t</w:t>
                  </w:r>
                </w:p>
              </w:tc>
              <w:tc>
                <w:tcPr>
                  <w:tcW w:w="1163" w:type="dxa"/>
                  <w:vAlign w:val="center"/>
                </w:tcPr>
                <w:p w14:paraId="6477C0AF">
                  <w:pPr>
                    <w:jc w:val="center"/>
                    <w:rPr>
                      <w:color w:val="auto"/>
                      <w:kern w:val="0"/>
                      <w:szCs w:val="21"/>
                    </w:rPr>
                  </w:pPr>
                  <w:r>
                    <w:rPr>
                      <w:rFonts w:hint="eastAsia"/>
                      <w:color w:val="auto"/>
                      <w:kern w:val="0"/>
                      <w:szCs w:val="21"/>
                    </w:rPr>
                    <w:t>/</w:t>
                  </w:r>
                </w:p>
              </w:tc>
              <w:tc>
                <w:tcPr>
                  <w:tcW w:w="1337" w:type="dxa"/>
                  <w:vAlign w:val="center"/>
                </w:tcPr>
                <w:p w14:paraId="56B34C65">
                  <w:pPr>
                    <w:jc w:val="center"/>
                    <w:rPr>
                      <w:color w:val="auto"/>
                      <w:kern w:val="0"/>
                      <w:szCs w:val="21"/>
                    </w:rPr>
                  </w:pPr>
                  <w:r>
                    <w:rPr>
                      <w:rFonts w:hint="eastAsia"/>
                      <w:color w:val="auto"/>
                      <w:kern w:val="0"/>
                      <w:szCs w:val="21"/>
                    </w:rPr>
                    <w:t>0.5</w:t>
                  </w:r>
                </w:p>
              </w:tc>
              <w:tc>
                <w:tcPr>
                  <w:tcW w:w="1545" w:type="dxa"/>
                  <w:vAlign w:val="center"/>
                </w:tcPr>
                <w:p w14:paraId="4C0C0A28">
                  <w:pPr>
                    <w:jc w:val="center"/>
                    <w:rPr>
                      <w:color w:val="auto"/>
                      <w:kern w:val="0"/>
                      <w:szCs w:val="21"/>
                    </w:rPr>
                  </w:pPr>
                  <w:r>
                    <w:rPr>
                      <w:rFonts w:hint="eastAsia"/>
                      <w:color w:val="auto"/>
                      <w:kern w:val="0"/>
                      <w:szCs w:val="21"/>
                    </w:rPr>
                    <w:t>0.5</w:t>
                  </w:r>
                </w:p>
              </w:tc>
              <w:tc>
                <w:tcPr>
                  <w:tcW w:w="1197" w:type="dxa"/>
                  <w:vAlign w:val="center"/>
                </w:tcPr>
                <w:p w14:paraId="7466CD17">
                  <w:pPr>
                    <w:jc w:val="center"/>
                    <w:rPr>
                      <w:color w:val="auto"/>
                      <w:kern w:val="0"/>
                      <w:szCs w:val="21"/>
                    </w:rPr>
                  </w:pPr>
                  <w:r>
                    <w:rPr>
                      <w:rFonts w:hint="eastAsia"/>
                      <w:color w:val="auto"/>
                      <w:kern w:val="0"/>
                      <w:szCs w:val="21"/>
                    </w:rPr>
                    <w:t>外购</w:t>
                  </w:r>
                </w:p>
              </w:tc>
            </w:tr>
            <w:tr w14:paraId="4639D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90" w:type="dxa"/>
                  <w:vAlign w:val="center"/>
                </w:tcPr>
                <w:p w14:paraId="15DBE602">
                  <w:pPr>
                    <w:jc w:val="center"/>
                    <w:rPr>
                      <w:color w:val="auto"/>
                      <w:kern w:val="0"/>
                      <w:szCs w:val="21"/>
                    </w:rPr>
                  </w:pPr>
                  <w:r>
                    <w:rPr>
                      <w:rFonts w:hint="eastAsia"/>
                      <w:color w:val="auto"/>
                      <w:kern w:val="0"/>
                      <w:szCs w:val="21"/>
                    </w:rPr>
                    <w:t>4</w:t>
                  </w:r>
                </w:p>
              </w:tc>
              <w:tc>
                <w:tcPr>
                  <w:tcW w:w="1455" w:type="dxa"/>
                  <w:vAlign w:val="center"/>
                </w:tcPr>
                <w:p w14:paraId="05C2FD3B">
                  <w:pPr>
                    <w:jc w:val="center"/>
                    <w:rPr>
                      <w:color w:val="auto"/>
                      <w:kern w:val="0"/>
                      <w:szCs w:val="21"/>
                    </w:rPr>
                  </w:pPr>
                  <w:r>
                    <w:rPr>
                      <w:rFonts w:hint="eastAsia"/>
                      <w:color w:val="auto"/>
                      <w:kern w:val="0"/>
                      <w:szCs w:val="21"/>
                    </w:rPr>
                    <w:t>电</w:t>
                  </w:r>
                </w:p>
              </w:tc>
              <w:tc>
                <w:tcPr>
                  <w:tcW w:w="1019" w:type="dxa"/>
                  <w:vAlign w:val="center"/>
                </w:tcPr>
                <w:p w14:paraId="7A564CFE">
                  <w:pPr>
                    <w:jc w:val="center"/>
                    <w:rPr>
                      <w:color w:val="auto"/>
                      <w:kern w:val="0"/>
                      <w:szCs w:val="21"/>
                    </w:rPr>
                  </w:pPr>
                  <w:r>
                    <w:rPr>
                      <w:rFonts w:hint="eastAsia"/>
                      <w:color w:val="auto"/>
                      <w:kern w:val="0"/>
                      <w:szCs w:val="21"/>
                    </w:rPr>
                    <w:t>万度</w:t>
                  </w:r>
                </w:p>
              </w:tc>
              <w:tc>
                <w:tcPr>
                  <w:tcW w:w="1163" w:type="dxa"/>
                  <w:vAlign w:val="center"/>
                </w:tcPr>
                <w:p w14:paraId="271325EC">
                  <w:pPr>
                    <w:jc w:val="center"/>
                    <w:rPr>
                      <w:color w:val="auto"/>
                      <w:kern w:val="0"/>
                      <w:szCs w:val="21"/>
                    </w:rPr>
                  </w:pPr>
                  <w:r>
                    <w:rPr>
                      <w:rFonts w:hint="eastAsia"/>
                      <w:color w:val="auto"/>
                      <w:kern w:val="0"/>
                      <w:szCs w:val="21"/>
                    </w:rPr>
                    <w:t>/</w:t>
                  </w:r>
                </w:p>
              </w:tc>
              <w:tc>
                <w:tcPr>
                  <w:tcW w:w="1337" w:type="dxa"/>
                  <w:vAlign w:val="center"/>
                </w:tcPr>
                <w:p w14:paraId="6E891E7E">
                  <w:pPr>
                    <w:jc w:val="center"/>
                    <w:rPr>
                      <w:color w:val="auto"/>
                      <w:kern w:val="0"/>
                      <w:szCs w:val="21"/>
                    </w:rPr>
                  </w:pPr>
                  <w:r>
                    <w:rPr>
                      <w:rFonts w:hint="eastAsia"/>
                      <w:color w:val="auto"/>
                      <w:kern w:val="0"/>
                      <w:szCs w:val="21"/>
                    </w:rPr>
                    <w:t>90</w:t>
                  </w:r>
                </w:p>
              </w:tc>
              <w:tc>
                <w:tcPr>
                  <w:tcW w:w="1545" w:type="dxa"/>
                  <w:vAlign w:val="center"/>
                </w:tcPr>
                <w:p w14:paraId="30D7A097">
                  <w:pPr>
                    <w:jc w:val="center"/>
                    <w:rPr>
                      <w:color w:val="auto"/>
                      <w:kern w:val="0"/>
                      <w:szCs w:val="21"/>
                    </w:rPr>
                  </w:pPr>
                  <w:r>
                    <w:rPr>
                      <w:rFonts w:hint="eastAsia"/>
                      <w:color w:val="auto"/>
                      <w:kern w:val="0"/>
                      <w:szCs w:val="21"/>
                    </w:rPr>
                    <w:t>/</w:t>
                  </w:r>
                </w:p>
              </w:tc>
              <w:tc>
                <w:tcPr>
                  <w:tcW w:w="1197" w:type="dxa"/>
                  <w:vAlign w:val="center"/>
                </w:tcPr>
                <w:p w14:paraId="5729DC4D">
                  <w:pPr>
                    <w:jc w:val="center"/>
                    <w:rPr>
                      <w:color w:val="auto"/>
                      <w:kern w:val="0"/>
                      <w:szCs w:val="21"/>
                    </w:rPr>
                  </w:pPr>
                  <w:r>
                    <w:rPr>
                      <w:rFonts w:hint="eastAsia"/>
                      <w:color w:val="auto"/>
                      <w:kern w:val="0"/>
                      <w:szCs w:val="21"/>
                    </w:rPr>
                    <w:t>园区接入</w:t>
                  </w:r>
                </w:p>
              </w:tc>
            </w:tr>
            <w:tr w14:paraId="2F58E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690" w:type="dxa"/>
                  <w:vAlign w:val="center"/>
                </w:tcPr>
                <w:p w14:paraId="5316FBDF">
                  <w:pPr>
                    <w:jc w:val="center"/>
                    <w:rPr>
                      <w:color w:val="auto"/>
                      <w:kern w:val="0"/>
                      <w:szCs w:val="21"/>
                    </w:rPr>
                  </w:pPr>
                  <w:r>
                    <w:rPr>
                      <w:rFonts w:hint="eastAsia"/>
                      <w:color w:val="auto"/>
                      <w:kern w:val="0"/>
                      <w:szCs w:val="21"/>
                    </w:rPr>
                    <w:t>5</w:t>
                  </w:r>
                </w:p>
              </w:tc>
              <w:tc>
                <w:tcPr>
                  <w:tcW w:w="1455" w:type="dxa"/>
                  <w:vAlign w:val="center"/>
                </w:tcPr>
                <w:p w14:paraId="767F9144">
                  <w:pPr>
                    <w:jc w:val="center"/>
                    <w:rPr>
                      <w:color w:val="auto"/>
                      <w:kern w:val="0"/>
                      <w:szCs w:val="21"/>
                    </w:rPr>
                  </w:pPr>
                  <w:r>
                    <w:rPr>
                      <w:rFonts w:hint="eastAsia"/>
                      <w:color w:val="auto"/>
                      <w:kern w:val="0"/>
                      <w:szCs w:val="21"/>
                    </w:rPr>
                    <w:t>水</w:t>
                  </w:r>
                </w:p>
              </w:tc>
              <w:tc>
                <w:tcPr>
                  <w:tcW w:w="1019" w:type="dxa"/>
                  <w:vAlign w:val="center"/>
                </w:tcPr>
                <w:p w14:paraId="162116D3">
                  <w:pPr>
                    <w:jc w:val="center"/>
                    <w:rPr>
                      <w:color w:val="auto"/>
                      <w:kern w:val="0"/>
                      <w:szCs w:val="21"/>
                    </w:rPr>
                  </w:pPr>
                  <w:r>
                    <w:rPr>
                      <w:rFonts w:hint="eastAsia"/>
                      <w:color w:val="auto"/>
                      <w:kern w:val="0"/>
                      <w:szCs w:val="21"/>
                    </w:rPr>
                    <w:t>m</w:t>
                  </w:r>
                  <w:r>
                    <w:rPr>
                      <w:rFonts w:hint="eastAsia"/>
                      <w:color w:val="auto"/>
                      <w:kern w:val="0"/>
                      <w:szCs w:val="21"/>
                      <w:vertAlign w:val="superscript"/>
                    </w:rPr>
                    <w:t>3</w:t>
                  </w:r>
                </w:p>
              </w:tc>
              <w:tc>
                <w:tcPr>
                  <w:tcW w:w="1163" w:type="dxa"/>
                  <w:vAlign w:val="center"/>
                </w:tcPr>
                <w:p w14:paraId="385BA53A">
                  <w:pPr>
                    <w:jc w:val="center"/>
                    <w:rPr>
                      <w:color w:val="auto"/>
                      <w:kern w:val="0"/>
                      <w:szCs w:val="21"/>
                    </w:rPr>
                  </w:pPr>
                  <w:r>
                    <w:rPr>
                      <w:rFonts w:hint="eastAsia"/>
                      <w:color w:val="auto"/>
                      <w:kern w:val="0"/>
                      <w:szCs w:val="21"/>
                    </w:rPr>
                    <w:t>/</w:t>
                  </w:r>
                </w:p>
              </w:tc>
              <w:tc>
                <w:tcPr>
                  <w:tcW w:w="1337" w:type="dxa"/>
                  <w:vAlign w:val="center"/>
                </w:tcPr>
                <w:p w14:paraId="019756A6">
                  <w:pPr>
                    <w:jc w:val="center"/>
                    <w:rPr>
                      <w:color w:val="auto"/>
                      <w:kern w:val="0"/>
                      <w:szCs w:val="21"/>
                    </w:rPr>
                  </w:pPr>
                  <w:r>
                    <w:rPr>
                      <w:rFonts w:hint="eastAsia"/>
                      <w:color w:val="auto"/>
                      <w:kern w:val="0"/>
                      <w:szCs w:val="21"/>
                    </w:rPr>
                    <w:t>507.96</w:t>
                  </w:r>
                </w:p>
              </w:tc>
              <w:tc>
                <w:tcPr>
                  <w:tcW w:w="1545" w:type="dxa"/>
                  <w:vAlign w:val="center"/>
                </w:tcPr>
                <w:p w14:paraId="7ACEEF24">
                  <w:pPr>
                    <w:jc w:val="center"/>
                    <w:rPr>
                      <w:color w:val="auto"/>
                      <w:kern w:val="0"/>
                      <w:szCs w:val="21"/>
                    </w:rPr>
                  </w:pPr>
                  <w:r>
                    <w:rPr>
                      <w:rFonts w:hint="eastAsia"/>
                      <w:color w:val="auto"/>
                      <w:kern w:val="0"/>
                      <w:szCs w:val="21"/>
                    </w:rPr>
                    <w:t>/</w:t>
                  </w:r>
                </w:p>
              </w:tc>
              <w:tc>
                <w:tcPr>
                  <w:tcW w:w="1197" w:type="dxa"/>
                  <w:vAlign w:val="center"/>
                </w:tcPr>
                <w:p w14:paraId="6F47A84B">
                  <w:pPr>
                    <w:jc w:val="center"/>
                    <w:rPr>
                      <w:color w:val="auto"/>
                      <w:kern w:val="0"/>
                      <w:szCs w:val="21"/>
                    </w:rPr>
                  </w:pPr>
                  <w:r>
                    <w:rPr>
                      <w:rFonts w:hint="eastAsia"/>
                      <w:color w:val="auto"/>
                      <w:kern w:val="0"/>
                      <w:szCs w:val="21"/>
                    </w:rPr>
                    <w:t>园区接入</w:t>
                  </w:r>
                </w:p>
              </w:tc>
            </w:tr>
            <w:tr w14:paraId="6A928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90" w:type="dxa"/>
                  <w:vAlign w:val="center"/>
                </w:tcPr>
                <w:p w14:paraId="442BDBF9">
                  <w:pPr>
                    <w:jc w:val="center"/>
                    <w:rPr>
                      <w:color w:val="auto"/>
                      <w:kern w:val="0"/>
                      <w:szCs w:val="21"/>
                    </w:rPr>
                  </w:pPr>
                  <w:r>
                    <w:rPr>
                      <w:rFonts w:hint="eastAsia"/>
                      <w:color w:val="auto"/>
                      <w:kern w:val="0"/>
                      <w:szCs w:val="21"/>
                    </w:rPr>
                    <w:t>6</w:t>
                  </w:r>
                </w:p>
              </w:tc>
              <w:tc>
                <w:tcPr>
                  <w:tcW w:w="1455" w:type="dxa"/>
                  <w:vAlign w:val="center"/>
                </w:tcPr>
                <w:p w14:paraId="57C431FF">
                  <w:pPr>
                    <w:jc w:val="center"/>
                    <w:rPr>
                      <w:color w:val="auto"/>
                      <w:kern w:val="0"/>
                      <w:szCs w:val="21"/>
                    </w:rPr>
                  </w:pPr>
                  <w:r>
                    <w:rPr>
                      <w:rFonts w:hint="eastAsia"/>
                      <w:color w:val="auto"/>
                      <w:kern w:val="0"/>
                      <w:szCs w:val="21"/>
                    </w:rPr>
                    <w:t>天然气</w:t>
                  </w:r>
                </w:p>
              </w:tc>
              <w:tc>
                <w:tcPr>
                  <w:tcW w:w="1019" w:type="dxa"/>
                  <w:vAlign w:val="center"/>
                </w:tcPr>
                <w:p w14:paraId="7A110F36">
                  <w:pPr>
                    <w:jc w:val="center"/>
                    <w:rPr>
                      <w:color w:val="auto"/>
                      <w:kern w:val="0"/>
                      <w:szCs w:val="21"/>
                    </w:rPr>
                  </w:pPr>
                  <w:r>
                    <w:rPr>
                      <w:rFonts w:hint="eastAsia"/>
                      <w:color w:val="auto"/>
                      <w:kern w:val="0"/>
                      <w:szCs w:val="21"/>
                    </w:rPr>
                    <w:t>万m</w:t>
                  </w:r>
                  <w:r>
                    <w:rPr>
                      <w:rFonts w:hint="eastAsia"/>
                      <w:color w:val="auto"/>
                      <w:kern w:val="0"/>
                      <w:szCs w:val="21"/>
                      <w:vertAlign w:val="superscript"/>
                    </w:rPr>
                    <w:t>3</w:t>
                  </w:r>
                </w:p>
              </w:tc>
              <w:tc>
                <w:tcPr>
                  <w:tcW w:w="1163" w:type="dxa"/>
                  <w:vAlign w:val="center"/>
                </w:tcPr>
                <w:p w14:paraId="530FA3C5">
                  <w:pPr>
                    <w:jc w:val="center"/>
                    <w:rPr>
                      <w:color w:val="auto"/>
                      <w:kern w:val="0"/>
                      <w:szCs w:val="21"/>
                    </w:rPr>
                  </w:pPr>
                  <w:r>
                    <w:rPr>
                      <w:rFonts w:hint="eastAsia"/>
                      <w:color w:val="auto"/>
                      <w:kern w:val="0"/>
                      <w:szCs w:val="21"/>
                    </w:rPr>
                    <w:t>/</w:t>
                  </w:r>
                </w:p>
              </w:tc>
              <w:tc>
                <w:tcPr>
                  <w:tcW w:w="1337" w:type="dxa"/>
                  <w:vAlign w:val="center"/>
                </w:tcPr>
                <w:p w14:paraId="19D4E364">
                  <w:pPr>
                    <w:jc w:val="center"/>
                    <w:rPr>
                      <w:color w:val="auto"/>
                      <w:kern w:val="0"/>
                      <w:szCs w:val="21"/>
                    </w:rPr>
                  </w:pPr>
                  <w:r>
                    <w:rPr>
                      <w:rFonts w:hint="eastAsia"/>
                      <w:color w:val="auto"/>
                      <w:kern w:val="0"/>
                      <w:szCs w:val="21"/>
                    </w:rPr>
                    <w:t>7.5</w:t>
                  </w:r>
                </w:p>
              </w:tc>
              <w:tc>
                <w:tcPr>
                  <w:tcW w:w="1545" w:type="dxa"/>
                  <w:vAlign w:val="center"/>
                </w:tcPr>
                <w:p w14:paraId="739CC9EC">
                  <w:pPr>
                    <w:jc w:val="center"/>
                    <w:rPr>
                      <w:color w:val="auto"/>
                      <w:kern w:val="0"/>
                      <w:szCs w:val="21"/>
                    </w:rPr>
                  </w:pPr>
                  <w:r>
                    <w:rPr>
                      <w:rFonts w:hint="eastAsia"/>
                      <w:color w:val="auto"/>
                      <w:kern w:val="0"/>
                      <w:szCs w:val="21"/>
                    </w:rPr>
                    <w:t>/</w:t>
                  </w:r>
                </w:p>
              </w:tc>
              <w:tc>
                <w:tcPr>
                  <w:tcW w:w="1197" w:type="dxa"/>
                  <w:vAlign w:val="center"/>
                </w:tcPr>
                <w:p w14:paraId="6B67C38E">
                  <w:pPr>
                    <w:jc w:val="center"/>
                    <w:rPr>
                      <w:color w:val="auto"/>
                      <w:szCs w:val="21"/>
                    </w:rPr>
                  </w:pPr>
                  <w:r>
                    <w:rPr>
                      <w:rFonts w:hint="eastAsia"/>
                      <w:color w:val="auto"/>
                      <w:kern w:val="0"/>
                      <w:szCs w:val="21"/>
                    </w:rPr>
                    <w:t>园区接入</w:t>
                  </w:r>
                </w:p>
              </w:tc>
            </w:tr>
            <w:tr w14:paraId="11149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90" w:type="dxa"/>
                  <w:vAlign w:val="center"/>
                </w:tcPr>
                <w:p w14:paraId="4EFD3BAD">
                  <w:pPr>
                    <w:jc w:val="center"/>
                    <w:rPr>
                      <w:color w:val="auto"/>
                      <w:kern w:val="0"/>
                      <w:szCs w:val="21"/>
                    </w:rPr>
                  </w:pPr>
                  <w:r>
                    <w:rPr>
                      <w:rFonts w:hint="eastAsia"/>
                      <w:color w:val="auto"/>
                      <w:kern w:val="0"/>
                      <w:szCs w:val="21"/>
                    </w:rPr>
                    <w:t>7</w:t>
                  </w:r>
                </w:p>
              </w:tc>
              <w:tc>
                <w:tcPr>
                  <w:tcW w:w="1455" w:type="dxa"/>
                  <w:vAlign w:val="center"/>
                </w:tcPr>
                <w:p w14:paraId="2627B6CA">
                  <w:pPr>
                    <w:jc w:val="center"/>
                    <w:rPr>
                      <w:color w:val="auto"/>
                      <w:kern w:val="0"/>
                      <w:szCs w:val="21"/>
                    </w:rPr>
                  </w:pPr>
                  <w:r>
                    <w:rPr>
                      <w:rFonts w:hint="eastAsia"/>
                      <w:color w:val="auto"/>
                      <w:kern w:val="0"/>
                      <w:szCs w:val="21"/>
                    </w:rPr>
                    <w:t>活性炭</w:t>
                  </w:r>
                </w:p>
              </w:tc>
              <w:tc>
                <w:tcPr>
                  <w:tcW w:w="1019" w:type="dxa"/>
                  <w:vAlign w:val="center"/>
                </w:tcPr>
                <w:p w14:paraId="5DBF028F">
                  <w:pPr>
                    <w:jc w:val="center"/>
                    <w:rPr>
                      <w:color w:val="auto"/>
                      <w:kern w:val="0"/>
                      <w:szCs w:val="21"/>
                    </w:rPr>
                  </w:pPr>
                  <w:r>
                    <w:rPr>
                      <w:rFonts w:hint="eastAsia"/>
                      <w:color w:val="auto"/>
                      <w:kern w:val="0"/>
                      <w:szCs w:val="21"/>
                    </w:rPr>
                    <w:t>t</w:t>
                  </w:r>
                </w:p>
              </w:tc>
              <w:tc>
                <w:tcPr>
                  <w:tcW w:w="1163" w:type="dxa"/>
                  <w:vAlign w:val="center"/>
                </w:tcPr>
                <w:p w14:paraId="3558A5DD">
                  <w:pPr>
                    <w:jc w:val="center"/>
                    <w:rPr>
                      <w:color w:val="auto"/>
                      <w:kern w:val="0"/>
                      <w:szCs w:val="21"/>
                    </w:rPr>
                  </w:pPr>
                  <w:r>
                    <w:rPr>
                      <w:rFonts w:hint="eastAsia"/>
                      <w:color w:val="auto"/>
                      <w:kern w:val="0"/>
                      <w:szCs w:val="21"/>
                    </w:rPr>
                    <w:t>/</w:t>
                  </w:r>
                </w:p>
              </w:tc>
              <w:tc>
                <w:tcPr>
                  <w:tcW w:w="1337" w:type="dxa"/>
                  <w:vAlign w:val="center"/>
                </w:tcPr>
                <w:p w14:paraId="3270ADE8">
                  <w:pPr>
                    <w:jc w:val="center"/>
                    <w:rPr>
                      <w:color w:val="auto"/>
                      <w:kern w:val="0"/>
                      <w:szCs w:val="21"/>
                    </w:rPr>
                  </w:pPr>
                  <w:r>
                    <w:rPr>
                      <w:rFonts w:hint="eastAsia"/>
                      <w:color w:val="auto"/>
                      <w:kern w:val="0"/>
                      <w:szCs w:val="21"/>
                    </w:rPr>
                    <w:t>0.2</w:t>
                  </w:r>
                </w:p>
              </w:tc>
              <w:tc>
                <w:tcPr>
                  <w:tcW w:w="1545" w:type="dxa"/>
                  <w:vAlign w:val="center"/>
                </w:tcPr>
                <w:p w14:paraId="217AA1A6">
                  <w:pPr>
                    <w:jc w:val="center"/>
                    <w:rPr>
                      <w:color w:val="auto"/>
                      <w:kern w:val="0"/>
                      <w:szCs w:val="21"/>
                    </w:rPr>
                  </w:pPr>
                  <w:r>
                    <w:rPr>
                      <w:rFonts w:hint="eastAsia"/>
                      <w:color w:val="auto"/>
                      <w:kern w:val="0"/>
                      <w:szCs w:val="21"/>
                    </w:rPr>
                    <w:t>0.01</w:t>
                  </w:r>
                </w:p>
              </w:tc>
              <w:tc>
                <w:tcPr>
                  <w:tcW w:w="1197" w:type="dxa"/>
                  <w:vAlign w:val="center"/>
                </w:tcPr>
                <w:p w14:paraId="4F988CB4">
                  <w:pPr>
                    <w:jc w:val="center"/>
                    <w:rPr>
                      <w:color w:val="auto"/>
                      <w:kern w:val="0"/>
                      <w:szCs w:val="21"/>
                    </w:rPr>
                  </w:pPr>
                  <w:r>
                    <w:rPr>
                      <w:rFonts w:hint="eastAsia"/>
                      <w:color w:val="auto"/>
                      <w:kern w:val="0"/>
                      <w:szCs w:val="21"/>
                    </w:rPr>
                    <w:t>外购</w:t>
                  </w:r>
                </w:p>
              </w:tc>
            </w:tr>
            <w:tr w14:paraId="6659A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90" w:type="dxa"/>
                  <w:vAlign w:val="center"/>
                </w:tcPr>
                <w:p w14:paraId="06B053C3">
                  <w:pPr>
                    <w:jc w:val="center"/>
                    <w:rPr>
                      <w:color w:val="auto"/>
                      <w:kern w:val="0"/>
                      <w:szCs w:val="21"/>
                    </w:rPr>
                  </w:pPr>
                  <w:r>
                    <w:rPr>
                      <w:rFonts w:hint="eastAsia"/>
                      <w:color w:val="auto"/>
                      <w:kern w:val="0"/>
                      <w:szCs w:val="21"/>
                    </w:rPr>
                    <w:t>8</w:t>
                  </w:r>
                </w:p>
              </w:tc>
              <w:tc>
                <w:tcPr>
                  <w:tcW w:w="1455" w:type="dxa"/>
                  <w:vAlign w:val="center"/>
                </w:tcPr>
                <w:p w14:paraId="7289B4B5">
                  <w:pPr>
                    <w:jc w:val="center"/>
                    <w:rPr>
                      <w:color w:val="auto"/>
                      <w:kern w:val="0"/>
                      <w:szCs w:val="21"/>
                    </w:rPr>
                  </w:pPr>
                  <w:r>
                    <w:rPr>
                      <w:rFonts w:hint="eastAsia"/>
                      <w:color w:val="auto"/>
                      <w:kern w:val="0"/>
                      <w:szCs w:val="21"/>
                    </w:rPr>
                    <w:t>UV灯管</w:t>
                  </w:r>
                </w:p>
              </w:tc>
              <w:tc>
                <w:tcPr>
                  <w:tcW w:w="1019" w:type="dxa"/>
                  <w:vAlign w:val="center"/>
                </w:tcPr>
                <w:p w14:paraId="78A92C2F">
                  <w:pPr>
                    <w:jc w:val="center"/>
                    <w:rPr>
                      <w:color w:val="auto"/>
                      <w:kern w:val="0"/>
                      <w:szCs w:val="21"/>
                    </w:rPr>
                  </w:pPr>
                  <w:r>
                    <w:rPr>
                      <w:rFonts w:hint="eastAsia"/>
                      <w:color w:val="auto"/>
                      <w:kern w:val="0"/>
                      <w:szCs w:val="21"/>
                    </w:rPr>
                    <w:t>t</w:t>
                  </w:r>
                </w:p>
              </w:tc>
              <w:tc>
                <w:tcPr>
                  <w:tcW w:w="1163" w:type="dxa"/>
                  <w:vAlign w:val="center"/>
                </w:tcPr>
                <w:p w14:paraId="3D46BFA0">
                  <w:pPr>
                    <w:jc w:val="center"/>
                    <w:rPr>
                      <w:color w:val="auto"/>
                      <w:kern w:val="0"/>
                      <w:szCs w:val="21"/>
                    </w:rPr>
                  </w:pPr>
                  <w:r>
                    <w:rPr>
                      <w:rFonts w:hint="eastAsia"/>
                      <w:color w:val="auto"/>
                      <w:kern w:val="0"/>
                      <w:szCs w:val="21"/>
                    </w:rPr>
                    <w:t>/</w:t>
                  </w:r>
                </w:p>
              </w:tc>
              <w:tc>
                <w:tcPr>
                  <w:tcW w:w="1337" w:type="dxa"/>
                  <w:vAlign w:val="center"/>
                </w:tcPr>
                <w:p w14:paraId="6C502365">
                  <w:pPr>
                    <w:jc w:val="center"/>
                    <w:rPr>
                      <w:color w:val="auto"/>
                      <w:kern w:val="0"/>
                      <w:szCs w:val="21"/>
                    </w:rPr>
                  </w:pPr>
                  <w:r>
                    <w:rPr>
                      <w:rFonts w:hint="eastAsia"/>
                      <w:color w:val="auto"/>
                      <w:kern w:val="0"/>
                      <w:szCs w:val="21"/>
                    </w:rPr>
                    <w:t>0.08</w:t>
                  </w:r>
                </w:p>
              </w:tc>
              <w:tc>
                <w:tcPr>
                  <w:tcW w:w="1545" w:type="dxa"/>
                  <w:vAlign w:val="center"/>
                </w:tcPr>
                <w:p w14:paraId="74F8C9A6">
                  <w:pPr>
                    <w:jc w:val="center"/>
                    <w:rPr>
                      <w:color w:val="auto"/>
                      <w:kern w:val="0"/>
                      <w:szCs w:val="21"/>
                    </w:rPr>
                  </w:pPr>
                  <w:r>
                    <w:rPr>
                      <w:rFonts w:hint="eastAsia"/>
                      <w:color w:val="auto"/>
                      <w:kern w:val="0"/>
                      <w:szCs w:val="21"/>
                    </w:rPr>
                    <w:t>0.01</w:t>
                  </w:r>
                </w:p>
              </w:tc>
              <w:tc>
                <w:tcPr>
                  <w:tcW w:w="1197" w:type="dxa"/>
                  <w:vAlign w:val="center"/>
                </w:tcPr>
                <w:p w14:paraId="45D14069">
                  <w:pPr>
                    <w:jc w:val="center"/>
                    <w:rPr>
                      <w:color w:val="auto"/>
                      <w:kern w:val="0"/>
                      <w:szCs w:val="21"/>
                    </w:rPr>
                  </w:pPr>
                  <w:r>
                    <w:rPr>
                      <w:rFonts w:hint="eastAsia"/>
                      <w:color w:val="auto"/>
                      <w:kern w:val="0"/>
                      <w:szCs w:val="21"/>
                    </w:rPr>
                    <w:t>外购</w:t>
                  </w:r>
                </w:p>
              </w:tc>
            </w:tr>
          </w:tbl>
          <w:p w14:paraId="2F58B2D1">
            <w:pPr>
              <w:widowControl/>
              <w:adjustRightInd w:val="0"/>
              <w:snapToGrid w:val="0"/>
              <w:spacing w:line="360" w:lineRule="auto"/>
              <w:ind w:firstLine="482" w:firstLineChars="200"/>
              <w:rPr>
                <w:color w:val="auto"/>
                <w:sz w:val="24"/>
                <w:shd w:val="clear" w:color="auto" w:fill="FFFFFF"/>
              </w:rPr>
            </w:pPr>
            <w:r>
              <w:rPr>
                <w:b/>
                <w:bCs/>
                <w:color w:val="auto"/>
                <w:sz w:val="24"/>
                <w:lang w:val="zh-CN"/>
              </w:rPr>
              <w:t>（2）项目原辅材料理化性质</w:t>
            </w:r>
          </w:p>
          <w:p w14:paraId="132EB917">
            <w:pPr>
              <w:spacing w:line="360" w:lineRule="auto"/>
              <w:ind w:firstLine="482" w:firstLineChars="200"/>
              <w:rPr>
                <w:b/>
                <w:bCs/>
                <w:color w:val="auto"/>
                <w:sz w:val="24"/>
              </w:rPr>
            </w:pPr>
            <w:r>
              <w:rPr>
                <w:rFonts w:hint="eastAsia"/>
                <w:b/>
                <w:bCs/>
                <w:color w:val="auto"/>
                <w:sz w:val="24"/>
              </w:rPr>
              <w:t>三聚氰胺甲醛树脂：</w:t>
            </w:r>
          </w:p>
          <w:p w14:paraId="436EE36A">
            <w:pPr>
              <w:adjustRightInd w:val="0"/>
              <w:snapToGrid w:val="0"/>
              <w:spacing w:line="360" w:lineRule="auto"/>
              <w:ind w:firstLine="480" w:firstLineChars="200"/>
              <w:rPr>
                <w:color w:val="auto"/>
                <w:sz w:val="24"/>
              </w:rPr>
            </w:pPr>
            <w:r>
              <w:rPr>
                <w:rFonts w:hint="eastAsia"/>
                <w:color w:val="auto"/>
                <w:sz w:val="24"/>
              </w:rPr>
              <w:t xml:space="preserve">三聚氰胺甲醛树脂 </w:t>
            </w:r>
            <w:r>
              <w:rPr>
                <w:color w:val="auto"/>
                <w:sz w:val="24"/>
              </w:rPr>
              <w:t>(melamine-formaldcbyderesin）</w:t>
            </w:r>
            <w:r>
              <w:rPr>
                <w:rFonts w:hint="eastAsia"/>
                <w:color w:val="auto"/>
                <w:sz w:val="24"/>
              </w:rPr>
              <w:t>，三聚氰胺与甲醛反应所得到的聚合物。又称密胺甲醛树脂、密胺树脂。英文缩写MF。加工成型时发生交联反应，制品为不熔的</w:t>
            </w:r>
            <w:r>
              <w:rPr>
                <w:rFonts w:hint="eastAsia"/>
                <w:color w:val="auto"/>
                <w:sz w:val="24"/>
                <w:lang w:eastAsia="zh-CN"/>
              </w:rPr>
              <w:t>热固性树脂</w:t>
            </w:r>
            <w:r>
              <w:rPr>
                <w:rFonts w:hint="eastAsia"/>
                <w:color w:val="auto"/>
                <w:sz w:val="24"/>
              </w:rPr>
              <w:t>。密胺</w:t>
            </w:r>
            <w:r>
              <w:rPr>
                <w:rFonts w:hint="eastAsia"/>
                <w:color w:val="auto"/>
                <w:sz w:val="24"/>
                <w:lang w:eastAsia="zh-CN"/>
              </w:rPr>
              <w:t>树脂</w:t>
            </w:r>
            <w:r>
              <w:rPr>
                <w:rFonts w:hint="eastAsia"/>
                <w:color w:val="auto"/>
                <w:sz w:val="24"/>
              </w:rPr>
              <w:t>在室温下不固化，一般在</w:t>
            </w:r>
            <w:r>
              <w:rPr>
                <w:color w:val="auto"/>
                <w:sz w:val="24"/>
              </w:rPr>
              <w:t>130～150°C</w:t>
            </w:r>
            <w:r>
              <w:rPr>
                <w:rFonts w:hint="eastAsia"/>
                <w:color w:val="auto"/>
                <w:sz w:val="24"/>
                <w:lang w:eastAsia="zh-CN"/>
              </w:rPr>
              <w:t>热固化</w:t>
            </w:r>
            <w:r>
              <w:rPr>
                <w:rFonts w:hint="eastAsia"/>
                <w:color w:val="auto"/>
                <w:sz w:val="24"/>
              </w:rPr>
              <w:t>，加少量酸催化可提高固化速度。三聚氰胺成品比脲醛树脂成品硬度和耐磨性好，对化学药物的抵抗能力，电绝缘性能等都好。用于制造塑料贴面板，广泛用于家具、车辆建筑等方面。</w:t>
            </w:r>
          </w:p>
          <w:p w14:paraId="700ED96C">
            <w:pPr>
              <w:spacing w:line="360" w:lineRule="auto"/>
              <w:ind w:firstLine="482" w:firstLineChars="200"/>
              <w:rPr>
                <w:b/>
                <w:bCs/>
                <w:color w:val="auto"/>
                <w:sz w:val="24"/>
              </w:rPr>
            </w:pPr>
            <w:r>
              <w:rPr>
                <w:rFonts w:hint="eastAsia"/>
                <w:b/>
                <w:bCs/>
                <w:color w:val="auto"/>
                <w:sz w:val="24"/>
              </w:rPr>
              <w:t>天然气：</w:t>
            </w:r>
          </w:p>
          <w:p w14:paraId="34D5F2B0">
            <w:pPr>
              <w:pStyle w:val="73"/>
              <w:adjustRightInd/>
              <w:rPr>
                <w:b/>
                <w:bCs/>
                <w:color w:val="auto"/>
              </w:rPr>
            </w:pPr>
            <w:r>
              <w:rPr>
                <w:rFonts w:hint="eastAsia"/>
                <w:color w:val="auto"/>
              </w:rPr>
              <w:t>项目使用天然气来源于园区天然气管网，源头为“中缅线”管输天然气工程，其天然气主要成分及理化性质如下表所示。</w:t>
            </w:r>
          </w:p>
          <w:p w14:paraId="451A55FF">
            <w:pPr>
              <w:adjustRightInd w:val="0"/>
              <w:snapToGrid w:val="0"/>
              <w:jc w:val="center"/>
              <w:rPr>
                <w:b/>
                <w:bCs/>
                <w:color w:val="auto"/>
                <w:szCs w:val="21"/>
              </w:rPr>
            </w:pPr>
            <w:r>
              <w:rPr>
                <w:rFonts w:hint="eastAsia"/>
                <w:b/>
                <w:bCs/>
                <w:color w:val="auto"/>
                <w:szCs w:val="21"/>
              </w:rPr>
              <w:t>表2-5  项目使用天然气主要成分及理化性质一览</w:t>
            </w:r>
            <w:r>
              <w:rPr>
                <w:b/>
                <w:bCs/>
                <w:color w:val="auto"/>
                <w:szCs w:val="21"/>
              </w:rPr>
              <w:t>表</w:t>
            </w:r>
          </w:p>
          <w:tbl>
            <w:tblPr>
              <w:tblStyle w:val="30"/>
              <w:tblW w:w="84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
              <w:gridCol w:w="755"/>
              <w:gridCol w:w="1034"/>
              <w:gridCol w:w="1280"/>
              <w:gridCol w:w="1117"/>
              <w:gridCol w:w="1522"/>
              <w:gridCol w:w="653"/>
              <w:gridCol w:w="970"/>
              <w:gridCol w:w="668"/>
            </w:tblGrid>
            <w:tr w14:paraId="3C5C3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10" w:type="dxa"/>
                  <w:vAlign w:val="center"/>
                </w:tcPr>
                <w:p w14:paraId="37D80C28">
                  <w:pPr>
                    <w:jc w:val="center"/>
                    <w:rPr>
                      <w:color w:val="auto"/>
                      <w:kern w:val="0"/>
                      <w:szCs w:val="21"/>
                    </w:rPr>
                  </w:pPr>
                  <w:r>
                    <w:rPr>
                      <w:color w:val="auto"/>
                      <w:kern w:val="0"/>
                      <w:szCs w:val="21"/>
                    </w:rPr>
                    <w:t>序号</w:t>
                  </w:r>
                </w:p>
              </w:tc>
              <w:tc>
                <w:tcPr>
                  <w:tcW w:w="755" w:type="dxa"/>
                  <w:vAlign w:val="center"/>
                </w:tcPr>
                <w:p w14:paraId="6D63A1DA">
                  <w:pPr>
                    <w:jc w:val="center"/>
                    <w:rPr>
                      <w:color w:val="auto"/>
                      <w:kern w:val="0"/>
                      <w:szCs w:val="21"/>
                    </w:rPr>
                  </w:pPr>
                  <w:r>
                    <w:rPr>
                      <w:color w:val="auto"/>
                      <w:kern w:val="0"/>
                      <w:szCs w:val="21"/>
                    </w:rPr>
                    <w:t>组份</w:t>
                  </w:r>
                </w:p>
              </w:tc>
              <w:tc>
                <w:tcPr>
                  <w:tcW w:w="1034" w:type="dxa"/>
                  <w:vAlign w:val="center"/>
                </w:tcPr>
                <w:p w14:paraId="40B86A7C">
                  <w:pPr>
                    <w:jc w:val="center"/>
                    <w:rPr>
                      <w:color w:val="auto"/>
                      <w:kern w:val="0"/>
                      <w:szCs w:val="21"/>
                    </w:rPr>
                  </w:pPr>
                  <w:r>
                    <w:rPr>
                      <w:color w:val="auto"/>
                      <w:kern w:val="0"/>
                      <w:szCs w:val="21"/>
                    </w:rPr>
                    <w:t>摩尔百分比%</w:t>
                  </w:r>
                </w:p>
              </w:tc>
              <w:tc>
                <w:tcPr>
                  <w:tcW w:w="1280" w:type="dxa"/>
                  <w:vAlign w:val="center"/>
                </w:tcPr>
                <w:p w14:paraId="71BD4529">
                  <w:pPr>
                    <w:jc w:val="center"/>
                    <w:rPr>
                      <w:color w:val="auto"/>
                      <w:kern w:val="0"/>
                      <w:szCs w:val="21"/>
                    </w:rPr>
                  </w:pPr>
                  <w:r>
                    <w:rPr>
                      <w:color w:val="auto"/>
                      <w:kern w:val="0"/>
                      <w:szCs w:val="21"/>
                    </w:rPr>
                    <w:t>低热值</w:t>
                  </w:r>
                </w:p>
              </w:tc>
              <w:tc>
                <w:tcPr>
                  <w:tcW w:w="1117" w:type="dxa"/>
                  <w:vAlign w:val="center"/>
                </w:tcPr>
                <w:p w14:paraId="58827DF9">
                  <w:pPr>
                    <w:jc w:val="center"/>
                    <w:rPr>
                      <w:color w:val="auto"/>
                      <w:kern w:val="0"/>
                      <w:szCs w:val="21"/>
                    </w:rPr>
                  </w:pPr>
                  <w:r>
                    <w:rPr>
                      <w:color w:val="auto"/>
                      <w:kern w:val="0"/>
                      <w:szCs w:val="21"/>
                    </w:rPr>
                    <w:t>密度</w:t>
                  </w:r>
                </w:p>
              </w:tc>
              <w:tc>
                <w:tcPr>
                  <w:tcW w:w="1522" w:type="dxa"/>
                  <w:vAlign w:val="center"/>
                </w:tcPr>
                <w:p w14:paraId="3A1F41AC">
                  <w:pPr>
                    <w:jc w:val="center"/>
                    <w:rPr>
                      <w:color w:val="auto"/>
                      <w:kern w:val="0"/>
                      <w:szCs w:val="21"/>
                    </w:rPr>
                  </w:pPr>
                  <w:r>
                    <w:rPr>
                      <w:rFonts w:hint="eastAsia"/>
                      <w:color w:val="auto"/>
                      <w:kern w:val="0"/>
                      <w:szCs w:val="21"/>
                    </w:rPr>
                    <w:t>运动粘度</w:t>
                  </w:r>
                </w:p>
              </w:tc>
              <w:tc>
                <w:tcPr>
                  <w:tcW w:w="653" w:type="dxa"/>
                  <w:vAlign w:val="center"/>
                </w:tcPr>
                <w:p w14:paraId="748AF1A1">
                  <w:pPr>
                    <w:jc w:val="center"/>
                    <w:rPr>
                      <w:color w:val="auto"/>
                      <w:kern w:val="0"/>
                      <w:szCs w:val="21"/>
                    </w:rPr>
                  </w:pPr>
                  <w:r>
                    <w:rPr>
                      <w:rFonts w:hint="eastAsia"/>
                      <w:color w:val="auto"/>
                      <w:kern w:val="0"/>
                      <w:szCs w:val="21"/>
                    </w:rPr>
                    <w:t>燃烧势</w:t>
                  </w:r>
                </w:p>
              </w:tc>
              <w:tc>
                <w:tcPr>
                  <w:tcW w:w="970" w:type="dxa"/>
                  <w:vAlign w:val="center"/>
                </w:tcPr>
                <w:p w14:paraId="54C7EBAC">
                  <w:pPr>
                    <w:jc w:val="center"/>
                    <w:rPr>
                      <w:color w:val="auto"/>
                      <w:kern w:val="0"/>
                      <w:szCs w:val="21"/>
                    </w:rPr>
                  </w:pPr>
                  <w:r>
                    <w:rPr>
                      <w:rFonts w:hint="eastAsia"/>
                      <w:color w:val="auto"/>
                      <w:kern w:val="0"/>
                      <w:szCs w:val="21"/>
                    </w:rPr>
                    <w:t>气体常数</w:t>
                  </w:r>
                </w:p>
              </w:tc>
              <w:tc>
                <w:tcPr>
                  <w:tcW w:w="668" w:type="dxa"/>
                  <w:vAlign w:val="center"/>
                </w:tcPr>
                <w:p w14:paraId="70EF2531">
                  <w:pPr>
                    <w:jc w:val="center"/>
                    <w:rPr>
                      <w:color w:val="auto"/>
                      <w:kern w:val="0"/>
                      <w:szCs w:val="21"/>
                    </w:rPr>
                  </w:pPr>
                  <w:r>
                    <w:rPr>
                      <w:rFonts w:hint="eastAsia"/>
                      <w:color w:val="auto"/>
                      <w:kern w:val="0"/>
                      <w:szCs w:val="21"/>
                    </w:rPr>
                    <w:t>烃露点</w:t>
                  </w:r>
                </w:p>
              </w:tc>
            </w:tr>
            <w:tr w14:paraId="4C711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10" w:type="dxa"/>
                  <w:vAlign w:val="center"/>
                </w:tcPr>
                <w:p w14:paraId="0E64173C">
                  <w:pPr>
                    <w:jc w:val="center"/>
                    <w:rPr>
                      <w:color w:val="auto"/>
                      <w:kern w:val="0"/>
                      <w:szCs w:val="21"/>
                    </w:rPr>
                  </w:pPr>
                  <w:r>
                    <w:rPr>
                      <w:color w:val="auto"/>
                      <w:kern w:val="0"/>
                      <w:szCs w:val="21"/>
                    </w:rPr>
                    <w:t>1</w:t>
                  </w:r>
                </w:p>
              </w:tc>
              <w:tc>
                <w:tcPr>
                  <w:tcW w:w="755" w:type="dxa"/>
                  <w:vAlign w:val="center"/>
                </w:tcPr>
                <w:p w14:paraId="71700FEC">
                  <w:pPr>
                    <w:jc w:val="center"/>
                    <w:rPr>
                      <w:color w:val="auto"/>
                      <w:kern w:val="0"/>
                      <w:szCs w:val="21"/>
                    </w:rPr>
                  </w:pPr>
                  <w:r>
                    <w:rPr>
                      <w:color w:val="auto"/>
                      <w:kern w:val="0"/>
                      <w:szCs w:val="21"/>
                    </w:rPr>
                    <w:t>甲烷</w:t>
                  </w:r>
                </w:p>
              </w:tc>
              <w:tc>
                <w:tcPr>
                  <w:tcW w:w="1034" w:type="dxa"/>
                  <w:vAlign w:val="center"/>
                </w:tcPr>
                <w:p w14:paraId="78215EDB">
                  <w:pPr>
                    <w:jc w:val="center"/>
                    <w:rPr>
                      <w:color w:val="auto"/>
                      <w:kern w:val="0"/>
                      <w:szCs w:val="21"/>
                    </w:rPr>
                  </w:pPr>
                  <w:r>
                    <w:rPr>
                      <w:color w:val="auto"/>
                      <w:kern w:val="0"/>
                      <w:szCs w:val="21"/>
                    </w:rPr>
                    <w:t>97.358</w:t>
                  </w:r>
                </w:p>
              </w:tc>
              <w:tc>
                <w:tcPr>
                  <w:tcW w:w="1280" w:type="dxa"/>
                  <w:vMerge w:val="restart"/>
                  <w:vAlign w:val="center"/>
                </w:tcPr>
                <w:p w14:paraId="47598AF5">
                  <w:pPr>
                    <w:jc w:val="center"/>
                    <w:rPr>
                      <w:color w:val="auto"/>
                      <w:kern w:val="0"/>
                      <w:szCs w:val="21"/>
                    </w:rPr>
                  </w:pPr>
                  <w:r>
                    <w:rPr>
                      <w:color w:val="auto"/>
                      <w:kern w:val="0"/>
                      <w:szCs w:val="21"/>
                    </w:rPr>
                    <w:t>35.58MJ/m</w:t>
                  </w:r>
                  <w:r>
                    <w:rPr>
                      <w:color w:val="auto"/>
                      <w:kern w:val="0"/>
                      <w:szCs w:val="21"/>
                      <w:vertAlign w:val="superscript"/>
                    </w:rPr>
                    <w:t>3</w:t>
                  </w:r>
                  <w:r>
                    <w:rPr>
                      <w:color w:val="auto"/>
                      <w:kern w:val="0"/>
                      <w:szCs w:val="21"/>
                    </w:rPr>
                    <w:t>（8500kcal/m</w:t>
                  </w:r>
                  <w:r>
                    <w:rPr>
                      <w:color w:val="auto"/>
                      <w:kern w:val="0"/>
                      <w:szCs w:val="21"/>
                      <w:vertAlign w:val="superscript"/>
                    </w:rPr>
                    <w:t>3</w:t>
                  </w:r>
                  <w:r>
                    <w:rPr>
                      <w:color w:val="auto"/>
                      <w:kern w:val="0"/>
                      <w:szCs w:val="21"/>
                    </w:rPr>
                    <w:t>，0℃，1atm）</w:t>
                  </w:r>
                </w:p>
                <w:p w14:paraId="1F05EC7B">
                  <w:pPr>
                    <w:jc w:val="center"/>
                    <w:rPr>
                      <w:color w:val="auto"/>
                      <w:kern w:val="0"/>
                      <w:szCs w:val="21"/>
                    </w:rPr>
                  </w:pPr>
                </w:p>
                <w:p w14:paraId="76D33D06">
                  <w:pPr>
                    <w:jc w:val="center"/>
                    <w:rPr>
                      <w:color w:val="auto"/>
                      <w:kern w:val="0"/>
                      <w:szCs w:val="21"/>
                    </w:rPr>
                  </w:pPr>
                  <w:r>
                    <w:rPr>
                      <w:color w:val="auto"/>
                      <w:kern w:val="0"/>
                      <w:szCs w:val="21"/>
                    </w:rPr>
                    <w:t>33.50MJ/m</w:t>
                  </w:r>
                  <w:r>
                    <w:rPr>
                      <w:color w:val="auto"/>
                      <w:kern w:val="0"/>
                      <w:szCs w:val="21"/>
                      <w:vertAlign w:val="superscript"/>
                    </w:rPr>
                    <w:t>3</w:t>
                  </w:r>
                  <w:r>
                    <w:rPr>
                      <w:color w:val="auto"/>
                      <w:kern w:val="0"/>
                      <w:szCs w:val="21"/>
                    </w:rPr>
                    <w:t>（8500kcal/m</w:t>
                  </w:r>
                  <w:r>
                    <w:rPr>
                      <w:color w:val="auto"/>
                      <w:kern w:val="0"/>
                      <w:szCs w:val="21"/>
                      <w:vertAlign w:val="superscript"/>
                    </w:rPr>
                    <w:t>3</w:t>
                  </w:r>
                  <w:r>
                    <w:rPr>
                      <w:color w:val="auto"/>
                      <w:kern w:val="0"/>
                      <w:szCs w:val="21"/>
                    </w:rPr>
                    <w:t>，20℃，1atm）</w:t>
                  </w:r>
                </w:p>
              </w:tc>
              <w:tc>
                <w:tcPr>
                  <w:tcW w:w="1117" w:type="dxa"/>
                  <w:vMerge w:val="restart"/>
                  <w:vAlign w:val="center"/>
                </w:tcPr>
                <w:p w14:paraId="19E0CC66">
                  <w:pPr>
                    <w:jc w:val="center"/>
                    <w:rPr>
                      <w:color w:val="auto"/>
                      <w:kern w:val="0"/>
                      <w:szCs w:val="21"/>
                    </w:rPr>
                  </w:pPr>
                  <w:r>
                    <w:rPr>
                      <w:rFonts w:hint="eastAsia"/>
                      <w:color w:val="auto"/>
                      <w:kern w:val="0"/>
                      <w:szCs w:val="21"/>
                    </w:rPr>
                    <w:t>0.746kg/m</w:t>
                  </w:r>
                  <w:r>
                    <w:rPr>
                      <w:rFonts w:hint="eastAsia"/>
                      <w:color w:val="auto"/>
                      <w:kern w:val="0"/>
                      <w:szCs w:val="21"/>
                      <w:vertAlign w:val="superscript"/>
                    </w:rPr>
                    <w:t>3</w:t>
                  </w:r>
                  <w:r>
                    <w:rPr>
                      <w:rFonts w:hint="eastAsia"/>
                      <w:color w:val="auto"/>
                      <w:kern w:val="0"/>
                      <w:szCs w:val="21"/>
                    </w:rPr>
                    <w:t>（0℃，1atm）</w:t>
                  </w:r>
                </w:p>
              </w:tc>
              <w:tc>
                <w:tcPr>
                  <w:tcW w:w="1522" w:type="dxa"/>
                  <w:vMerge w:val="restart"/>
                  <w:vAlign w:val="center"/>
                </w:tcPr>
                <w:p w14:paraId="5907C600">
                  <w:pPr>
                    <w:jc w:val="center"/>
                    <w:rPr>
                      <w:color w:val="auto"/>
                      <w:kern w:val="0"/>
                      <w:szCs w:val="21"/>
                    </w:rPr>
                  </w:pPr>
                  <w:r>
                    <w:rPr>
                      <w:rFonts w:hint="eastAsia"/>
                      <w:color w:val="auto"/>
                      <w:kern w:val="0"/>
                      <w:szCs w:val="21"/>
                    </w:rPr>
                    <w:t>14.18×10</w:t>
                  </w:r>
                  <w:r>
                    <w:rPr>
                      <w:rFonts w:hint="eastAsia"/>
                      <w:color w:val="auto"/>
                      <w:kern w:val="0"/>
                      <w:szCs w:val="21"/>
                      <w:vertAlign w:val="superscript"/>
                    </w:rPr>
                    <w:t>-6</w:t>
                  </w:r>
                  <w:r>
                    <w:rPr>
                      <w:rFonts w:hint="eastAsia"/>
                      <w:color w:val="auto"/>
                      <w:kern w:val="0"/>
                      <w:szCs w:val="21"/>
                    </w:rPr>
                    <w:t>m</w:t>
                  </w:r>
                  <w:r>
                    <w:rPr>
                      <w:rFonts w:hint="eastAsia"/>
                      <w:color w:val="auto"/>
                      <w:kern w:val="0"/>
                      <w:szCs w:val="21"/>
                      <w:vertAlign w:val="superscript"/>
                    </w:rPr>
                    <w:t>2</w:t>
                  </w:r>
                  <w:r>
                    <w:rPr>
                      <w:rFonts w:hint="eastAsia"/>
                      <w:color w:val="auto"/>
                      <w:kern w:val="0"/>
                      <w:szCs w:val="21"/>
                    </w:rPr>
                    <w:t>/S</w:t>
                  </w:r>
                </w:p>
              </w:tc>
              <w:tc>
                <w:tcPr>
                  <w:tcW w:w="653" w:type="dxa"/>
                  <w:vMerge w:val="restart"/>
                  <w:vAlign w:val="center"/>
                </w:tcPr>
                <w:p w14:paraId="37158F34">
                  <w:pPr>
                    <w:jc w:val="center"/>
                    <w:rPr>
                      <w:color w:val="auto"/>
                      <w:kern w:val="0"/>
                      <w:szCs w:val="21"/>
                    </w:rPr>
                  </w:pPr>
                  <w:r>
                    <w:rPr>
                      <w:rFonts w:hint="eastAsia"/>
                      <w:color w:val="auto"/>
                      <w:kern w:val="0"/>
                      <w:szCs w:val="21"/>
                    </w:rPr>
                    <w:t>38.88</w:t>
                  </w:r>
                </w:p>
              </w:tc>
              <w:tc>
                <w:tcPr>
                  <w:tcW w:w="970" w:type="dxa"/>
                  <w:vMerge w:val="restart"/>
                  <w:vAlign w:val="center"/>
                </w:tcPr>
                <w:p w14:paraId="5D6697A9">
                  <w:pPr>
                    <w:jc w:val="center"/>
                    <w:rPr>
                      <w:color w:val="auto"/>
                      <w:kern w:val="0"/>
                      <w:szCs w:val="21"/>
                    </w:rPr>
                  </w:pPr>
                  <w:r>
                    <w:rPr>
                      <w:rFonts w:hint="eastAsia"/>
                      <w:color w:val="auto"/>
                      <w:kern w:val="0"/>
                      <w:szCs w:val="21"/>
                    </w:rPr>
                    <w:t>487J/kgK</w:t>
                  </w:r>
                </w:p>
              </w:tc>
              <w:tc>
                <w:tcPr>
                  <w:tcW w:w="668" w:type="dxa"/>
                  <w:vMerge w:val="restart"/>
                  <w:vAlign w:val="center"/>
                </w:tcPr>
                <w:p w14:paraId="6E5A0F85">
                  <w:pPr>
                    <w:jc w:val="center"/>
                    <w:rPr>
                      <w:color w:val="auto"/>
                      <w:kern w:val="0"/>
                      <w:szCs w:val="21"/>
                    </w:rPr>
                  </w:pPr>
                  <w:r>
                    <w:rPr>
                      <w:rFonts w:hint="eastAsia"/>
                      <w:color w:val="auto"/>
                      <w:kern w:val="0"/>
                      <w:szCs w:val="21"/>
                    </w:rPr>
                    <w:t>＜-40℃</w:t>
                  </w:r>
                </w:p>
              </w:tc>
            </w:tr>
            <w:tr w14:paraId="3A2DA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10" w:type="dxa"/>
                  <w:vAlign w:val="center"/>
                </w:tcPr>
                <w:p w14:paraId="1D9F61AA">
                  <w:pPr>
                    <w:jc w:val="center"/>
                    <w:rPr>
                      <w:color w:val="auto"/>
                      <w:kern w:val="0"/>
                      <w:szCs w:val="21"/>
                    </w:rPr>
                  </w:pPr>
                  <w:r>
                    <w:rPr>
                      <w:color w:val="auto"/>
                      <w:kern w:val="0"/>
                      <w:szCs w:val="21"/>
                    </w:rPr>
                    <w:t>2</w:t>
                  </w:r>
                </w:p>
              </w:tc>
              <w:tc>
                <w:tcPr>
                  <w:tcW w:w="755" w:type="dxa"/>
                  <w:vAlign w:val="center"/>
                </w:tcPr>
                <w:p w14:paraId="28E84086">
                  <w:pPr>
                    <w:jc w:val="center"/>
                    <w:rPr>
                      <w:color w:val="auto"/>
                      <w:kern w:val="0"/>
                      <w:szCs w:val="21"/>
                    </w:rPr>
                  </w:pPr>
                  <w:r>
                    <w:rPr>
                      <w:color w:val="auto"/>
                      <w:kern w:val="0"/>
                      <w:szCs w:val="21"/>
                    </w:rPr>
                    <w:t>乙烷</w:t>
                  </w:r>
                </w:p>
              </w:tc>
              <w:tc>
                <w:tcPr>
                  <w:tcW w:w="1034" w:type="dxa"/>
                  <w:vAlign w:val="center"/>
                </w:tcPr>
                <w:p w14:paraId="040000FA">
                  <w:pPr>
                    <w:jc w:val="center"/>
                    <w:rPr>
                      <w:color w:val="auto"/>
                      <w:kern w:val="0"/>
                      <w:szCs w:val="21"/>
                    </w:rPr>
                  </w:pPr>
                  <w:r>
                    <w:rPr>
                      <w:color w:val="auto"/>
                      <w:kern w:val="0"/>
                      <w:szCs w:val="21"/>
                    </w:rPr>
                    <w:t>0.629</w:t>
                  </w:r>
                </w:p>
              </w:tc>
              <w:tc>
                <w:tcPr>
                  <w:tcW w:w="1280" w:type="dxa"/>
                  <w:vMerge w:val="continue"/>
                  <w:vAlign w:val="center"/>
                </w:tcPr>
                <w:p w14:paraId="25DC46D0">
                  <w:pPr>
                    <w:jc w:val="center"/>
                    <w:rPr>
                      <w:color w:val="auto"/>
                      <w:kern w:val="0"/>
                      <w:szCs w:val="21"/>
                    </w:rPr>
                  </w:pPr>
                </w:p>
              </w:tc>
              <w:tc>
                <w:tcPr>
                  <w:tcW w:w="1117" w:type="dxa"/>
                  <w:vMerge w:val="continue"/>
                  <w:vAlign w:val="center"/>
                </w:tcPr>
                <w:p w14:paraId="7BCA9936">
                  <w:pPr>
                    <w:jc w:val="center"/>
                    <w:rPr>
                      <w:color w:val="auto"/>
                      <w:kern w:val="0"/>
                      <w:szCs w:val="21"/>
                    </w:rPr>
                  </w:pPr>
                </w:p>
              </w:tc>
              <w:tc>
                <w:tcPr>
                  <w:tcW w:w="1522" w:type="dxa"/>
                  <w:vMerge w:val="continue"/>
                  <w:vAlign w:val="center"/>
                </w:tcPr>
                <w:p w14:paraId="74766E89">
                  <w:pPr>
                    <w:jc w:val="center"/>
                    <w:rPr>
                      <w:color w:val="auto"/>
                      <w:kern w:val="0"/>
                      <w:szCs w:val="21"/>
                    </w:rPr>
                  </w:pPr>
                </w:p>
              </w:tc>
              <w:tc>
                <w:tcPr>
                  <w:tcW w:w="653" w:type="dxa"/>
                  <w:vMerge w:val="continue"/>
                  <w:vAlign w:val="center"/>
                </w:tcPr>
                <w:p w14:paraId="1306DC5B">
                  <w:pPr>
                    <w:jc w:val="center"/>
                    <w:rPr>
                      <w:color w:val="auto"/>
                      <w:kern w:val="0"/>
                      <w:szCs w:val="21"/>
                    </w:rPr>
                  </w:pPr>
                </w:p>
              </w:tc>
              <w:tc>
                <w:tcPr>
                  <w:tcW w:w="970" w:type="dxa"/>
                  <w:vMerge w:val="continue"/>
                  <w:vAlign w:val="center"/>
                </w:tcPr>
                <w:p w14:paraId="6648FC07">
                  <w:pPr>
                    <w:jc w:val="center"/>
                    <w:rPr>
                      <w:color w:val="auto"/>
                      <w:kern w:val="0"/>
                      <w:szCs w:val="21"/>
                    </w:rPr>
                  </w:pPr>
                </w:p>
              </w:tc>
              <w:tc>
                <w:tcPr>
                  <w:tcW w:w="668" w:type="dxa"/>
                  <w:vMerge w:val="continue"/>
                  <w:vAlign w:val="center"/>
                </w:tcPr>
                <w:p w14:paraId="1B675F09">
                  <w:pPr>
                    <w:jc w:val="center"/>
                    <w:rPr>
                      <w:color w:val="auto"/>
                      <w:kern w:val="0"/>
                      <w:szCs w:val="21"/>
                    </w:rPr>
                  </w:pPr>
                </w:p>
              </w:tc>
            </w:tr>
            <w:tr w14:paraId="00A3E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10" w:type="dxa"/>
                  <w:vAlign w:val="center"/>
                </w:tcPr>
                <w:p w14:paraId="1BB5090D">
                  <w:pPr>
                    <w:jc w:val="center"/>
                    <w:rPr>
                      <w:color w:val="auto"/>
                      <w:kern w:val="0"/>
                      <w:szCs w:val="21"/>
                    </w:rPr>
                  </w:pPr>
                  <w:r>
                    <w:rPr>
                      <w:color w:val="auto"/>
                      <w:kern w:val="0"/>
                      <w:szCs w:val="21"/>
                    </w:rPr>
                    <w:t>3</w:t>
                  </w:r>
                </w:p>
              </w:tc>
              <w:tc>
                <w:tcPr>
                  <w:tcW w:w="755" w:type="dxa"/>
                  <w:vAlign w:val="center"/>
                </w:tcPr>
                <w:p w14:paraId="7EA4E9B5">
                  <w:pPr>
                    <w:jc w:val="center"/>
                    <w:rPr>
                      <w:color w:val="auto"/>
                      <w:kern w:val="0"/>
                      <w:szCs w:val="21"/>
                    </w:rPr>
                  </w:pPr>
                  <w:r>
                    <w:rPr>
                      <w:color w:val="auto"/>
                      <w:kern w:val="0"/>
                      <w:szCs w:val="21"/>
                    </w:rPr>
                    <w:t>丙烷</w:t>
                  </w:r>
                </w:p>
              </w:tc>
              <w:tc>
                <w:tcPr>
                  <w:tcW w:w="1034" w:type="dxa"/>
                  <w:vAlign w:val="center"/>
                </w:tcPr>
                <w:p w14:paraId="218AB16E">
                  <w:pPr>
                    <w:jc w:val="center"/>
                    <w:rPr>
                      <w:color w:val="auto"/>
                      <w:kern w:val="0"/>
                      <w:szCs w:val="21"/>
                    </w:rPr>
                  </w:pPr>
                  <w:r>
                    <w:rPr>
                      <w:color w:val="auto"/>
                      <w:kern w:val="0"/>
                      <w:szCs w:val="21"/>
                    </w:rPr>
                    <w:t>0.265</w:t>
                  </w:r>
                </w:p>
              </w:tc>
              <w:tc>
                <w:tcPr>
                  <w:tcW w:w="1280" w:type="dxa"/>
                  <w:vMerge w:val="continue"/>
                  <w:vAlign w:val="center"/>
                </w:tcPr>
                <w:p w14:paraId="256B2979">
                  <w:pPr>
                    <w:jc w:val="center"/>
                    <w:rPr>
                      <w:color w:val="auto"/>
                      <w:kern w:val="0"/>
                      <w:szCs w:val="21"/>
                    </w:rPr>
                  </w:pPr>
                </w:p>
              </w:tc>
              <w:tc>
                <w:tcPr>
                  <w:tcW w:w="1117" w:type="dxa"/>
                  <w:vMerge w:val="continue"/>
                  <w:vAlign w:val="center"/>
                </w:tcPr>
                <w:p w14:paraId="2582AAE2">
                  <w:pPr>
                    <w:jc w:val="center"/>
                    <w:rPr>
                      <w:color w:val="auto"/>
                      <w:kern w:val="0"/>
                      <w:szCs w:val="21"/>
                    </w:rPr>
                  </w:pPr>
                </w:p>
              </w:tc>
              <w:tc>
                <w:tcPr>
                  <w:tcW w:w="1522" w:type="dxa"/>
                  <w:vMerge w:val="continue"/>
                  <w:vAlign w:val="center"/>
                </w:tcPr>
                <w:p w14:paraId="273584E2">
                  <w:pPr>
                    <w:jc w:val="center"/>
                    <w:rPr>
                      <w:color w:val="auto"/>
                      <w:kern w:val="0"/>
                      <w:szCs w:val="21"/>
                    </w:rPr>
                  </w:pPr>
                </w:p>
              </w:tc>
              <w:tc>
                <w:tcPr>
                  <w:tcW w:w="653" w:type="dxa"/>
                  <w:vMerge w:val="continue"/>
                  <w:vAlign w:val="center"/>
                </w:tcPr>
                <w:p w14:paraId="53650C5A">
                  <w:pPr>
                    <w:jc w:val="center"/>
                    <w:rPr>
                      <w:color w:val="auto"/>
                      <w:kern w:val="0"/>
                      <w:szCs w:val="21"/>
                    </w:rPr>
                  </w:pPr>
                </w:p>
              </w:tc>
              <w:tc>
                <w:tcPr>
                  <w:tcW w:w="970" w:type="dxa"/>
                  <w:vMerge w:val="continue"/>
                  <w:vAlign w:val="center"/>
                </w:tcPr>
                <w:p w14:paraId="35C45BEF">
                  <w:pPr>
                    <w:jc w:val="center"/>
                    <w:rPr>
                      <w:color w:val="auto"/>
                      <w:kern w:val="0"/>
                      <w:szCs w:val="21"/>
                    </w:rPr>
                  </w:pPr>
                </w:p>
              </w:tc>
              <w:tc>
                <w:tcPr>
                  <w:tcW w:w="668" w:type="dxa"/>
                  <w:vMerge w:val="continue"/>
                  <w:vAlign w:val="center"/>
                </w:tcPr>
                <w:p w14:paraId="01130C8A">
                  <w:pPr>
                    <w:jc w:val="center"/>
                    <w:rPr>
                      <w:color w:val="auto"/>
                      <w:kern w:val="0"/>
                      <w:szCs w:val="21"/>
                    </w:rPr>
                  </w:pPr>
                </w:p>
              </w:tc>
            </w:tr>
            <w:tr w14:paraId="1016F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410" w:type="dxa"/>
                  <w:vAlign w:val="center"/>
                </w:tcPr>
                <w:p w14:paraId="72DA8474">
                  <w:pPr>
                    <w:jc w:val="center"/>
                    <w:rPr>
                      <w:color w:val="auto"/>
                      <w:kern w:val="0"/>
                      <w:szCs w:val="21"/>
                    </w:rPr>
                  </w:pPr>
                  <w:r>
                    <w:rPr>
                      <w:color w:val="auto"/>
                      <w:kern w:val="0"/>
                      <w:szCs w:val="21"/>
                    </w:rPr>
                    <w:t>4</w:t>
                  </w:r>
                </w:p>
              </w:tc>
              <w:tc>
                <w:tcPr>
                  <w:tcW w:w="755" w:type="dxa"/>
                  <w:vAlign w:val="center"/>
                </w:tcPr>
                <w:p w14:paraId="076BC19C">
                  <w:pPr>
                    <w:jc w:val="center"/>
                    <w:rPr>
                      <w:color w:val="auto"/>
                      <w:kern w:val="0"/>
                      <w:szCs w:val="21"/>
                    </w:rPr>
                  </w:pPr>
                  <w:r>
                    <w:rPr>
                      <w:color w:val="auto"/>
                      <w:kern w:val="0"/>
                      <w:szCs w:val="21"/>
                    </w:rPr>
                    <w:t>正丁烷</w:t>
                  </w:r>
                </w:p>
              </w:tc>
              <w:tc>
                <w:tcPr>
                  <w:tcW w:w="1034" w:type="dxa"/>
                  <w:vAlign w:val="center"/>
                </w:tcPr>
                <w:p w14:paraId="145E719A">
                  <w:pPr>
                    <w:jc w:val="center"/>
                    <w:rPr>
                      <w:color w:val="auto"/>
                      <w:kern w:val="0"/>
                      <w:szCs w:val="21"/>
                    </w:rPr>
                  </w:pPr>
                  <w:r>
                    <w:rPr>
                      <w:color w:val="auto"/>
                      <w:kern w:val="0"/>
                      <w:szCs w:val="21"/>
                    </w:rPr>
                    <w:t>0.4</w:t>
                  </w:r>
                </w:p>
              </w:tc>
              <w:tc>
                <w:tcPr>
                  <w:tcW w:w="1280" w:type="dxa"/>
                  <w:vMerge w:val="continue"/>
                  <w:vAlign w:val="center"/>
                </w:tcPr>
                <w:p w14:paraId="60BBB5E3">
                  <w:pPr>
                    <w:jc w:val="center"/>
                    <w:rPr>
                      <w:color w:val="auto"/>
                      <w:kern w:val="0"/>
                      <w:szCs w:val="21"/>
                    </w:rPr>
                  </w:pPr>
                </w:p>
              </w:tc>
              <w:tc>
                <w:tcPr>
                  <w:tcW w:w="1117" w:type="dxa"/>
                  <w:vMerge w:val="continue"/>
                  <w:vAlign w:val="center"/>
                </w:tcPr>
                <w:p w14:paraId="4DA852F9">
                  <w:pPr>
                    <w:jc w:val="center"/>
                    <w:rPr>
                      <w:color w:val="auto"/>
                      <w:kern w:val="0"/>
                      <w:szCs w:val="21"/>
                    </w:rPr>
                  </w:pPr>
                </w:p>
              </w:tc>
              <w:tc>
                <w:tcPr>
                  <w:tcW w:w="1522" w:type="dxa"/>
                  <w:vMerge w:val="continue"/>
                  <w:vAlign w:val="center"/>
                </w:tcPr>
                <w:p w14:paraId="5E34E933">
                  <w:pPr>
                    <w:jc w:val="center"/>
                    <w:rPr>
                      <w:color w:val="auto"/>
                      <w:kern w:val="0"/>
                      <w:szCs w:val="21"/>
                    </w:rPr>
                  </w:pPr>
                </w:p>
              </w:tc>
              <w:tc>
                <w:tcPr>
                  <w:tcW w:w="653" w:type="dxa"/>
                  <w:vMerge w:val="continue"/>
                  <w:vAlign w:val="center"/>
                </w:tcPr>
                <w:p w14:paraId="34A9E7C9">
                  <w:pPr>
                    <w:jc w:val="center"/>
                    <w:rPr>
                      <w:color w:val="auto"/>
                      <w:kern w:val="0"/>
                      <w:szCs w:val="21"/>
                    </w:rPr>
                  </w:pPr>
                </w:p>
              </w:tc>
              <w:tc>
                <w:tcPr>
                  <w:tcW w:w="970" w:type="dxa"/>
                  <w:vMerge w:val="continue"/>
                  <w:vAlign w:val="center"/>
                </w:tcPr>
                <w:p w14:paraId="63616496">
                  <w:pPr>
                    <w:jc w:val="center"/>
                    <w:rPr>
                      <w:color w:val="auto"/>
                      <w:kern w:val="0"/>
                      <w:szCs w:val="21"/>
                    </w:rPr>
                  </w:pPr>
                </w:p>
              </w:tc>
              <w:tc>
                <w:tcPr>
                  <w:tcW w:w="668" w:type="dxa"/>
                  <w:vMerge w:val="continue"/>
                  <w:vAlign w:val="center"/>
                </w:tcPr>
                <w:p w14:paraId="2D41E413">
                  <w:pPr>
                    <w:jc w:val="center"/>
                    <w:rPr>
                      <w:color w:val="auto"/>
                      <w:kern w:val="0"/>
                      <w:szCs w:val="21"/>
                    </w:rPr>
                  </w:pPr>
                </w:p>
              </w:tc>
            </w:tr>
            <w:tr w14:paraId="16AAF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10" w:type="dxa"/>
                  <w:vAlign w:val="center"/>
                </w:tcPr>
                <w:p w14:paraId="0192927F">
                  <w:pPr>
                    <w:jc w:val="center"/>
                    <w:rPr>
                      <w:color w:val="auto"/>
                      <w:kern w:val="0"/>
                      <w:szCs w:val="21"/>
                    </w:rPr>
                  </w:pPr>
                  <w:r>
                    <w:rPr>
                      <w:color w:val="auto"/>
                      <w:kern w:val="0"/>
                      <w:szCs w:val="21"/>
                    </w:rPr>
                    <w:t>5</w:t>
                  </w:r>
                </w:p>
              </w:tc>
              <w:tc>
                <w:tcPr>
                  <w:tcW w:w="755" w:type="dxa"/>
                  <w:vAlign w:val="center"/>
                </w:tcPr>
                <w:p w14:paraId="0F21A4AD">
                  <w:pPr>
                    <w:jc w:val="center"/>
                    <w:rPr>
                      <w:color w:val="auto"/>
                      <w:kern w:val="0"/>
                      <w:szCs w:val="21"/>
                    </w:rPr>
                  </w:pPr>
                  <w:r>
                    <w:rPr>
                      <w:color w:val="auto"/>
                      <w:kern w:val="0"/>
                      <w:szCs w:val="21"/>
                    </w:rPr>
                    <w:t>N</w:t>
                  </w:r>
                  <w:r>
                    <w:rPr>
                      <w:color w:val="auto"/>
                      <w:kern w:val="0"/>
                      <w:szCs w:val="21"/>
                      <w:vertAlign w:val="subscript"/>
                    </w:rPr>
                    <w:t>2</w:t>
                  </w:r>
                </w:p>
              </w:tc>
              <w:tc>
                <w:tcPr>
                  <w:tcW w:w="1034" w:type="dxa"/>
                  <w:vAlign w:val="center"/>
                </w:tcPr>
                <w:p w14:paraId="25EDACAC">
                  <w:pPr>
                    <w:jc w:val="center"/>
                    <w:rPr>
                      <w:color w:val="auto"/>
                      <w:kern w:val="0"/>
                      <w:szCs w:val="21"/>
                    </w:rPr>
                  </w:pPr>
                  <w:r>
                    <w:rPr>
                      <w:rFonts w:hint="eastAsia"/>
                      <w:color w:val="auto"/>
                      <w:kern w:val="0"/>
                      <w:szCs w:val="21"/>
                    </w:rPr>
                    <w:t>0.792</w:t>
                  </w:r>
                </w:p>
              </w:tc>
              <w:tc>
                <w:tcPr>
                  <w:tcW w:w="1280" w:type="dxa"/>
                  <w:vMerge w:val="continue"/>
                  <w:vAlign w:val="center"/>
                </w:tcPr>
                <w:p w14:paraId="427E1F7F">
                  <w:pPr>
                    <w:jc w:val="center"/>
                    <w:rPr>
                      <w:color w:val="auto"/>
                      <w:kern w:val="0"/>
                      <w:szCs w:val="21"/>
                    </w:rPr>
                  </w:pPr>
                </w:p>
              </w:tc>
              <w:tc>
                <w:tcPr>
                  <w:tcW w:w="1117" w:type="dxa"/>
                  <w:vMerge w:val="continue"/>
                  <w:vAlign w:val="center"/>
                </w:tcPr>
                <w:p w14:paraId="51AF18FE">
                  <w:pPr>
                    <w:jc w:val="center"/>
                    <w:rPr>
                      <w:color w:val="auto"/>
                      <w:kern w:val="0"/>
                      <w:szCs w:val="21"/>
                    </w:rPr>
                  </w:pPr>
                </w:p>
              </w:tc>
              <w:tc>
                <w:tcPr>
                  <w:tcW w:w="1522" w:type="dxa"/>
                  <w:vMerge w:val="continue"/>
                  <w:vAlign w:val="center"/>
                </w:tcPr>
                <w:p w14:paraId="5514DDD6">
                  <w:pPr>
                    <w:jc w:val="center"/>
                    <w:rPr>
                      <w:color w:val="auto"/>
                      <w:kern w:val="0"/>
                      <w:szCs w:val="21"/>
                    </w:rPr>
                  </w:pPr>
                </w:p>
              </w:tc>
              <w:tc>
                <w:tcPr>
                  <w:tcW w:w="653" w:type="dxa"/>
                  <w:vMerge w:val="continue"/>
                  <w:vAlign w:val="center"/>
                </w:tcPr>
                <w:p w14:paraId="4F13BEEE">
                  <w:pPr>
                    <w:jc w:val="center"/>
                    <w:rPr>
                      <w:color w:val="auto"/>
                      <w:kern w:val="0"/>
                      <w:szCs w:val="21"/>
                    </w:rPr>
                  </w:pPr>
                </w:p>
              </w:tc>
              <w:tc>
                <w:tcPr>
                  <w:tcW w:w="970" w:type="dxa"/>
                  <w:vMerge w:val="continue"/>
                  <w:vAlign w:val="center"/>
                </w:tcPr>
                <w:p w14:paraId="213AEEE8">
                  <w:pPr>
                    <w:jc w:val="center"/>
                    <w:rPr>
                      <w:color w:val="auto"/>
                      <w:kern w:val="0"/>
                      <w:szCs w:val="21"/>
                    </w:rPr>
                  </w:pPr>
                </w:p>
              </w:tc>
              <w:tc>
                <w:tcPr>
                  <w:tcW w:w="668" w:type="dxa"/>
                  <w:vMerge w:val="continue"/>
                  <w:vAlign w:val="center"/>
                </w:tcPr>
                <w:p w14:paraId="0A626648">
                  <w:pPr>
                    <w:jc w:val="center"/>
                    <w:rPr>
                      <w:color w:val="auto"/>
                      <w:kern w:val="0"/>
                      <w:szCs w:val="21"/>
                    </w:rPr>
                  </w:pPr>
                </w:p>
              </w:tc>
            </w:tr>
            <w:tr w14:paraId="393BE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0" w:type="dxa"/>
                  <w:vAlign w:val="center"/>
                </w:tcPr>
                <w:p w14:paraId="3A031FC0">
                  <w:pPr>
                    <w:jc w:val="center"/>
                    <w:rPr>
                      <w:color w:val="auto"/>
                      <w:kern w:val="0"/>
                      <w:szCs w:val="21"/>
                    </w:rPr>
                  </w:pPr>
                  <w:r>
                    <w:rPr>
                      <w:color w:val="auto"/>
                      <w:kern w:val="0"/>
                      <w:szCs w:val="21"/>
                    </w:rPr>
                    <w:t>6</w:t>
                  </w:r>
                </w:p>
              </w:tc>
              <w:tc>
                <w:tcPr>
                  <w:tcW w:w="755" w:type="dxa"/>
                  <w:vAlign w:val="center"/>
                </w:tcPr>
                <w:p w14:paraId="436E8408">
                  <w:pPr>
                    <w:jc w:val="center"/>
                    <w:rPr>
                      <w:color w:val="auto"/>
                      <w:kern w:val="0"/>
                      <w:szCs w:val="21"/>
                    </w:rPr>
                  </w:pPr>
                  <w:r>
                    <w:rPr>
                      <w:rFonts w:hint="eastAsia"/>
                      <w:color w:val="auto"/>
                      <w:kern w:val="0"/>
                      <w:szCs w:val="21"/>
                    </w:rPr>
                    <w:t>S</w:t>
                  </w:r>
                </w:p>
              </w:tc>
              <w:tc>
                <w:tcPr>
                  <w:tcW w:w="1034" w:type="dxa"/>
                  <w:vAlign w:val="center"/>
                </w:tcPr>
                <w:p w14:paraId="307F3026">
                  <w:pPr>
                    <w:ind w:firstLine="210" w:firstLineChars="100"/>
                    <w:rPr>
                      <w:color w:val="auto"/>
                      <w:kern w:val="0"/>
                      <w:szCs w:val="21"/>
                    </w:rPr>
                  </w:pPr>
                  <w:r>
                    <w:rPr>
                      <w:rFonts w:hint="eastAsia"/>
                      <w:color w:val="auto"/>
                      <w:kern w:val="0"/>
                      <w:szCs w:val="21"/>
                    </w:rPr>
                    <w:t>≤20mg/m</w:t>
                  </w:r>
                  <w:r>
                    <w:rPr>
                      <w:rFonts w:hint="eastAsia"/>
                      <w:color w:val="auto"/>
                      <w:kern w:val="0"/>
                      <w:szCs w:val="21"/>
                      <w:vertAlign w:val="superscript"/>
                    </w:rPr>
                    <w:t>3</w:t>
                  </w:r>
                </w:p>
              </w:tc>
              <w:tc>
                <w:tcPr>
                  <w:tcW w:w="1280" w:type="dxa"/>
                  <w:vMerge w:val="continue"/>
                  <w:vAlign w:val="center"/>
                </w:tcPr>
                <w:p w14:paraId="0D7977AA">
                  <w:pPr>
                    <w:jc w:val="center"/>
                    <w:rPr>
                      <w:color w:val="auto"/>
                      <w:kern w:val="0"/>
                      <w:szCs w:val="21"/>
                    </w:rPr>
                  </w:pPr>
                </w:p>
              </w:tc>
              <w:tc>
                <w:tcPr>
                  <w:tcW w:w="1117" w:type="dxa"/>
                  <w:vMerge w:val="continue"/>
                  <w:vAlign w:val="center"/>
                </w:tcPr>
                <w:p w14:paraId="4D86DA64">
                  <w:pPr>
                    <w:jc w:val="center"/>
                    <w:rPr>
                      <w:color w:val="auto"/>
                      <w:kern w:val="0"/>
                      <w:szCs w:val="21"/>
                    </w:rPr>
                  </w:pPr>
                </w:p>
              </w:tc>
              <w:tc>
                <w:tcPr>
                  <w:tcW w:w="1522" w:type="dxa"/>
                  <w:vMerge w:val="continue"/>
                  <w:vAlign w:val="center"/>
                </w:tcPr>
                <w:p w14:paraId="1333FB07">
                  <w:pPr>
                    <w:jc w:val="center"/>
                    <w:rPr>
                      <w:color w:val="auto"/>
                      <w:kern w:val="0"/>
                      <w:szCs w:val="21"/>
                    </w:rPr>
                  </w:pPr>
                </w:p>
              </w:tc>
              <w:tc>
                <w:tcPr>
                  <w:tcW w:w="653" w:type="dxa"/>
                  <w:vMerge w:val="continue"/>
                  <w:vAlign w:val="center"/>
                </w:tcPr>
                <w:p w14:paraId="1FA46F6C">
                  <w:pPr>
                    <w:jc w:val="center"/>
                    <w:rPr>
                      <w:color w:val="auto"/>
                      <w:szCs w:val="21"/>
                    </w:rPr>
                  </w:pPr>
                </w:p>
              </w:tc>
              <w:tc>
                <w:tcPr>
                  <w:tcW w:w="970" w:type="dxa"/>
                  <w:vMerge w:val="continue"/>
                  <w:vAlign w:val="center"/>
                </w:tcPr>
                <w:p w14:paraId="16163F63">
                  <w:pPr>
                    <w:jc w:val="center"/>
                    <w:rPr>
                      <w:color w:val="auto"/>
                      <w:szCs w:val="21"/>
                    </w:rPr>
                  </w:pPr>
                </w:p>
              </w:tc>
              <w:tc>
                <w:tcPr>
                  <w:tcW w:w="668" w:type="dxa"/>
                  <w:vMerge w:val="continue"/>
                  <w:vAlign w:val="center"/>
                </w:tcPr>
                <w:p w14:paraId="5426498A">
                  <w:pPr>
                    <w:jc w:val="center"/>
                    <w:rPr>
                      <w:color w:val="auto"/>
                      <w:szCs w:val="21"/>
                    </w:rPr>
                  </w:pPr>
                </w:p>
              </w:tc>
            </w:tr>
            <w:tr w14:paraId="00F51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10" w:type="dxa"/>
                  <w:vAlign w:val="center"/>
                </w:tcPr>
                <w:p w14:paraId="7D1197CF">
                  <w:pPr>
                    <w:jc w:val="center"/>
                    <w:rPr>
                      <w:color w:val="auto"/>
                      <w:kern w:val="0"/>
                      <w:szCs w:val="21"/>
                    </w:rPr>
                  </w:pPr>
                  <w:r>
                    <w:rPr>
                      <w:color w:val="auto"/>
                      <w:kern w:val="0"/>
                      <w:szCs w:val="21"/>
                    </w:rPr>
                    <w:t>7</w:t>
                  </w:r>
                </w:p>
              </w:tc>
              <w:tc>
                <w:tcPr>
                  <w:tcW w:w="755" w:type="dxa"/>
                  <w:vAlign w:val="center"/>
                </w:tcPr>
                <w:p w14:paraId="439B7CEC">
                  <w:pPr>
                    <w:jc w:val="center"/>
                    <w:rPr>
                      <w:color w:val="auto"/>
                      <w:kern w:val="0"/>
                      <w:szCs w:val="21"/>
                    </w:rPr>
                  </w:pPr>
                  <w:r>
                    <w:rPr>
                      <w:color w:val="auto"/>
                      <w:kern w:val="0"/>
                      <w:szCs w:val="21"/>
                    </w:rPr>
                    <w:t>CO</w:t>
                  </w:r>
                  <w:r>
                    <w:rPr>
                      <w:color w:val="auto"/>
                      <w:kern w:val="0"/>
                      <w:szCs w:val="21"/>
                      <w:vertAlign w:val="subscript"/>
                    </w:rPr>
                    <w:t>2</w:t>
                  </w:r>
                </w:p>
              </w:tc>
              <w:tc>
                <w:tcPr>
                  <w:tcW w:w="1034" w:type="dxa"/>
                  <w:vAlign w:val="center"/>
                </w:tcPr>
                <w:p w14:paraId="31192677">
                  <w:pPr>
                    <w:jc w:val="center"/>
                    <w:rPr>
                      <w:color w:val="auto"/>
                      <w:kern w:val="0"/>
                      <w:szCs w:val="21"/>
                    </w:rPr>
                  </w:pPr>
                  <w:r>
                    <w:rPr>
                      <w:rFonts w:hint="eastAsia"/>
                      <w:color w:val="auto"/>
                      <w:kern w:val="0"/>
                      <w:szCs w:val="21"/>
                    </w:rPr>
                    <w:t>0.803</w:t>
                  </w:r>
                </w:p>
              </w:tc>
              <w:tc>
                <w:tcPr>
                  <w:tcW w:w="1280" w:type="dxa"/>
                  <w:vMerge w:val="continue"/>
                  <w:vAlign w:val="center"/>
                </w:tcPr>
                <w:p w14:paraId="57CB4A36">
                  <w:pPr>
                    <w:jc w:val="center"/>
                    <w:rPr>
                      <w:color w:val="auto"/>
                      <w:kern w:val="0"/>
                      <w:szCs w:val="21"/>
                    </w:rPr>
                  </w:pPr>
                </w:p>
              </w:tc>
              <w:tc>
                <w:tcPr>
                  <w:tcW w:w="1117" w:type="dxa"/>
                  <w:vMerge w:val="continue"/>
                  <w:vAlign w:val="center"/>
                </w:tcPr>
                <w:p w14:paraId="4D571FF5">
                  <w:pPr>
                    <w:jc w:val="center"/>
                    <w:rPr>
                      <w:color w:val="auto"/>
                      <w:kern w:val="0"/>
                      <w:szCs w:val="21"/>
                    </w:rPr>
                  </w:pPr>
                </w:p>
              </w:tc>
              <w:tc>
                <w:tcPr>
                  <w:tcW w:w="1522" w:type="dxa"/>
                  <w:vMerge w:val="continue"/>
                  <w:vAlign w:val="center"/>
                </w:tcPr>
                <w:p w14:paraId="04867CA1">
                  <w:pPr>
                    <w:jc w:val="center"/>
                    <w:rPr>
                      <w:color w:val="auto"/>
                      <w:kern w:val="0"/>
                      <w:szCs w:val="21"/>
                    </w:rPr>
                  </w:pPr>
                </w:p>
              </w:tc>
              <w:tc>
                <w:tcPr>
                  <w:tcW w:w="653" w:type="dxa"/>
                  <w:vMerge w:val="continue"/>
                  <w:vAlign w:val="center"/>
                </w:tcPr>
                <w:p w14:paraId="2BDB2BCE">
                  <w:pPr>
                    <w:jc w:val="center"/>
                    <w:rPr>
                      <w:color w:val="auto"/>
                      <w:kern w:val="0"/>
                      <w:szCs w:val="21"/>
                    </w:rPr>
                  </w:pPr>
                </w:p>
              </w:tc>
              <w:tc>
                <w:tcPr>
                  <w:tcW w:w="970" w:type="dxa"/>
                  <w:vMerge w:val="continue"/>
                  <w:vAlign w:val="center"/>
                </w:tcPr>
                <w:p w14:paraId="08C0BF33">
                  <w:pPr>
                    <w:jc w:val="center"/>
                    <w:rPr>
                      <w:color w:val="auto"/>
                      <w:kern w:val="0"/>
                      <w:szCs w:val="21"/>
                    </w:rPr>
                  </w:pPr>
                </w:p>
              </w:tc>
              <w:tc>
                <w:tcPr>
                  <w:tcW w:w="668" w:type="dxa"/>
                  <w:vMerge w:val="continue"/>
                  <w:vAlign w:val="center"/>
                </w:tcPr>
                <w:p w14:paraId="43CF2E69">
                  <w:pPr>
                    <w:jc w:val="center"/>
                    <w:rPr>
                      <w:color w:val="auto"/>
                      <w:kern w:val="0"/>
                      <w:szCs w:val="21"/>
                    </w:rPr>
                  </w:pPr>
                </w:p>
              </w:tc>
            </w:tr>
            <w:tr w14:paraId="3E5C8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10" w:type="dxa"/>
                  <w:vAlign w:val="center"/>
                </w:tcPr>
                <w:p w14:paraId="6B8453AE">
                  <w:pPr>
                    <w:jc w:val="center"/>
                    <w:rPr>
                      <w:color w:val="auto"/>
                      <w:kern w:val="0"/>
                      <w:szCs w:val="21"/>
                    </w:rPr>
                  </w:pPr>
                  <w:r>
                    <w:rPr>
                      <w:color w:val="auto"/>
                      <w:kern w:val="0"/>
                      <w:szCs w:val="21"/>
                    </w:rPr>
                    <w:t>8</w:t>
                  </w:r>
                </w:p>
              </w:tc>
              <w:tc>
                <w:tcPr>
                  <w:tcW w:w="755" w:type="dxa"/>
                  <w:vAlign w:val="center"/>
                </w:tcPr>
                <w:p w14:paraId="631E9F36">
                  <w:pPr>
                    <w:jc w:val="center"/>
                    <w:rPr>
                      <w:color w:val="auto"/>
                      <w:kern w:val="0"/>
                      <w:szCs w:val="21"/>
                    </w:rPr>
                  </w:pPr>
                  <w:r>
                    <w:rPr>
                      <w:color w:val="auto"/>
                      <w:kern w:val="0"/>
                      <w:szCs w:val="21"/>
                    </w:rPr>
                    <w:t>H</w:t>
                  </w:r>
                  <w:r>
                    <w:rPr>
                      <w:color w:val="auto"/>
                      <w:kern w:val="0"/>
                      <w:szCs w:val="21"/>
                      <w:vertAlign w:val="subscript"/>
                    </w:rPr>
                    <w:t>2</w:t>
                  </w:r>
                  <w:r>
                    <w:rPr>
                      <w:color w:val="auto"/>
                      <w:kern w:val="0"/>
                      <w:szCs w:val="21"/>
                    </w:rPr>
                    <w:t>O</w:t>
                  </w:r>
                </w:p>
              </w:tc>
              <w:tc>
                <w:tcPr>
                  <w:tcW w:w="1034" w:type="dxa"/>
                  <w:vAlign w:val="center"/>
                </w:tcPr>
                <w:p w14:paraId="49932714">
                  <w:pPr>
                    <w:jc w:val="center"/>
                    <w:rPr>
                      <w:color w:val="auto"/>
                      <w:kern w:val="0"/>
                      <w:szCs w:val="21"/>
                    </w:rPr>
                  </w:pPr>
                  <w:r>
                    <w:rPr>
                      <w:rFonts w:hint="eastAsia"/>
                      <w:color w:val="auto"/>
                      <w:kern w:val="0"/>
                      <w:szCs w:val="21"/>
                    </w:rPr>
                    <w:t>0.149</w:t>
                  </w:r>
                </w:p>
              </w:tc>
              <w:tc>
                <w:tcPr>
                  <w:tcW w:w="1280" w:type="dxa"/>
                  <w:vMerge w:val="continue"/>
                  <w:vAlign w:val="center"/>
                </w:tcPr>
                <w:p w14:paraId="6FA5CC52">
                  <w:pPr>
                    <w:jc w:val="center"/>
                    <w:rPr>
                      <w:color w:val="auto"/>
                      <w:kern w:val="0"/>
                      <w:szCs w:val="21"/>
                    </w:rPr>
                  </w:pPr>
                </w:p>
              </w:tc>
              <w:tc>
                <w:tcPr>
                  <w:tcW w:w="1117" w:type="dxa"/>
                  <w:vMerge w:val="continue"/>
                  <w:vAlign w:val="center"/>
                </w:tcPr>
                <w:p w14:paraId="2D0D87AA">
                  <w:pPr>
                    <w:jc w:val="center"/>
                    <w:rPr>
                      <w:color w:val="auto"/>
                      <w:kern w:val="0"/>
                      <w:szCs w:val="21"/>
                    </w:rPr>
                  </w:pPr>
                </w:p>
              </w:tc>
              <w:tc>
                <w:tcPr>
                  <w:tcW w:w="1522" w:type="dxa"/>
                  <w:vMerge w:val="continue"/>
                  <w:vAlign w:val="center"/>
                </w:tcPr>
                <w:p w14:paraId="0254A2F2">
                  <w:pPr>
                    <w:jc w:val="center"/>
                    <w:rPr>
                      <w:color w:val="auto"/>
                      <w:kern w:val="0"/>
                      <w:szCs w:val="21"/>
                    </w:rPr>
                  </w:pPr>
                </w:p>
              </w:tc>
              <w:tc>
                <w:tcPr>
                  <w:tcW w:w="653" w:type="dxa"/>
                  <w:vMerge w:val="continue"/>
                  <w:vAlign w:val="center"/>
                </w:tcPr>
                <w:p w14:paraId="5FFD0D2B">
                  <w:pPr>
                    <w:jc w:val="center"/>
                    <w:rPr>
                      <w:color w:val="auto"/>
                      <w:kern w:val="0"/>
                      <w:szCs w:val="21"/>
                    </w:rPr>
                  </w:pPr>
                </w:p>
              </w:tc>
              <w:tc>
                <w:tcPr>
                  <w:tcW w:w="970" w:type="dxa"/>
                  <w:vMerge w:val="continue"/>
                  <w:vAlign w:val="center"/>
                </w:tcPr>
                <w:p w14:paraId="257F2ADC">
                  <w:pPr>
                    <w:jc w:val="center"/>
                    <w:rPr>
                      <w:color w:val="auto"/>
                      <w:kern w:val="0"/>
                      <w:szCs w:val="21"/>
                    </w:rPr>
                  </w:pPr>
                </w:p>
              </w:tc>
              <w:tc>
                <w:tcPr>
                  <w:tcW w:w="668" w:type="dxa"/>
                  <w:vMerge w:val="continue"/>
                  <w:vAlign w:val="center"/>
                </w:tcPr>
                <w:p w14:paraId="09D3953C">
                  <w:pPr>
                    <w:jc w:val="center"/>
                    <w:rPr>
                      <w:color w:val="auto"/>
                      <w:kern w:val="0"/>
                      <w:szCs w:val="21"/>
                    </w:rPr>
                  </w:pPr>
                </w:p>
              </w:tc>
            </w:tr>
          </w:tbl>
          <w:p w14:paraId="7A813742">
            <w:pPr>
              <w:pStyle w:val="73"/>
              <w:adjustRightInd/>
              <w:ind w:firstLine="482"/>
              <w:rPr>
                <w:b/>
                <w:bCs/>
                <w:color w:val="auto"/>
              </w:rPr>
            </w:pPr>
            <w:r>
              <w:rPr>
                <w:rFonts w:hint="eastAsia"/>
                <w:b/>
                <w:bCs/>
                <w:color w:val="auto"/>
              </w:rPr>
              <w:t>6、劳动定员及工作制度</w:t>
            </w:r>
          </w:p>
          <w:p w14:paraId="05929D03">
            <w:pPr>
              <w:adjustRightInd w:val="0"/>
              <w:snapToGrid w:val="0"/>
              <w:spacing w:line="360" w:lineRule="auto"/>
              <w:ind w:firstLine="480" w:firstLineChars="200"/>
              <w:rPr>
                <w:color w:val="auto"/>
                <w:sz w:val="24"/>
              </w:rPr>
            </w:pPr>
            <w:r>
              <w:rPr>
                <w:rFonts w:hint="eastAsia"/>
                <w:color w:val="auto"/>
                <w:sz w:val="24"/>
              </w:rPr>
              <w:t>（1）项目劳动定员</w:t>
            </w:r>
          </w:p>
          <w:p w14:paraId="08069672">
            <w:pPr>
              <w:adjustRightInd w:val="0"/>
              <w:snapToGrid w:val="0"/>
              <w:spacing w:line="360" w:lineRule="auto"/>
              <w:ind w:firstLine="480" w:firstLineChars="200"/>
              <w:rPr>
                <w:color w:val="auto"/>
                <w:sz w:val="24"/>
              </w:rPr>
            </w:pPr>
            <w:r>
              <w:rPr>
                <w:rFonts w:hint="eastAsia"/>
                <w:color w:val="auto"/>
                <w:sz w:val="24"/>
              </w:rPr>
              <w:t>本项目劳动定员为16人。</w:t>
            </w:r>
          </w:p>
          <w:p w14:paraId="0EE22036">
            <w:pPr>
              <w:adjustRightInd w:val="0"/>
              <w:snapToGrid w:val="0"/>
              <w:spacing w:line="360" w:lineRule="auto"/>
              <w:ind w:firstLine="480" w:firstLineChars="200"/>
              <w:rPr>
                <w:color w:val="auto"/>
                <w:sz w:val="24"/>
              </w:rPr>
            </w:pPr>
            <w:r>
              <w:rPr>
                <w:rFonts w:hint="eastAsia"/>
                <w:color w:val="auto"/>
                <w:sz w:val="24"/>
              </w:rPr>
              <w:t>（2）项目工作制度</w:t>
            </w:r>
          </w:p>
          <w:p w14:paraId="4F92490E">
            <w:pPr>
              <w:adjustRightInd w:val="0"/>
              <w:snapToGrid w:val="0"/>
              <w:spacing w:line="360" w:lineRule="auto"/>
              <w:ind w:firstLine="480" w:firstLineChars="200"/>
              <w:rPr>
                <w:color w:val="auto"/>
                <w:sz w:val="24"/>
              </w:rPr>
            </w:pPr>
            <w:r>
              <w:rPr>
                <w:rFonts w:hint="eastAsia"/>
                <w:color w:val="auto"/>
                <w:sz w:val="24"/>
              </w:rPr>
              <w:t>项目全年生产运行300天，每天实行1班制，每班工作8小时。</w:t>
            </w:r>
          </w:p>
          <w:p w14:paraId="4214E262">
            <w:pPr>
              <w:pStyle w:val="73"/>
              <w:adjustRightInd/>
              <w:ind w:firstLine="482"/>
              <w:rPr>
                <w:rStyle w:val="70"/>
                <w:b/>
                <w:bCs/>
                <w:color w:val="auto"/>
              </w:rPr>
            </w:pPr>
            <w:r>
              <w:rPr>
                <w:rFonts w:hint="eastAsia"/>
                <w:b/>
                <w:bCs/>
                <w:color w:val="auto"/>
              </w:rPr>
              <w:t>7</w:t>
            </w:r>
            <w:r>
              <w:rPr>
                <w:b/>
                <w:bCs/>
                <w:color w:val="auto"/>
              </w:rPr>
              <w:t>、</w:t>
            </w:r>
            <w:r>
              <w:rPr>
                <w:rFonts w:hint="eastAsia"/>
                <w:b/>
                <w:bCs/>
                <w:color w:val="auto"/>
              </w:rPr>
              <w:t>施工</w:t>
            </w:r>
            <w:r>
              <w:rPr>
                <w:b/>
                <w:bCs/>
                <w:color w:val="auto"/>
              </w:rPr>
              <w:t>进度</w:t>
            </w:r>
            <w:r>
              <w:rPr>
                <w:rStyle w:val="70"/>
                <w:b/>
                <w:bCs/>
                <w:color w:val="auto"/>
              </w:rPr>
              <w:t>计划</w:t>
            </w:r>
          </w:p>
          <w:p w14:paraId="34EFACE3">
            <w:pPr>
              <w:adjustRightInd w:val="0"/>
              <w:snapToGrid w:val="0"/>
              <w:spacing w:line="360" w:lineRule="auto"/>
              <w:ind w:firstLine="480" w:firstLineChars="200"/>
              <w:rPr>
                <w:color w:val="auto"/>
                <w:sz w:val="24"/>
              </w:rPr>
            </w:pPr>
            <w:r>
              <w:rPr>
                <w:rFonts w:hint="eastAsia"/>
                <w:color w:val="auto"/>
                <w:sz w:val="24"/>
              </w:rPr>
              <w:t>项目设备已基本安装完成，待取得批复后开始调试并试运营；目前危废暂存间、一般固废暂存间和事故应急池等环保设施还未建设，计划工期为2024年4月至2024年5月，共计1个月。</w:t>
            </w:r>
          </w:p>
          <w:p w14:paraId="5AD3A222">
            <w:pPr>
              <w:pStyle w:val="73"/>
              <w:adjustRightInd/>
              <w:ind w:firstLine="482"/>
              <w:rPr>
                <w:b/>
                <w:bCs/>
                <w:color w:val="auto"/>
              </w:rPr>
            </w:pPr>
            <w:r>
              <w:rPr>
                <w:rFonts w:hint="eastAsia"/>
                <w:b/>
                <w:bCs/>
                <w:color w:val="auto"/>
              </w:rPr>
              <w:t>8、项目平面布置</w:t>
            </w:r>
          </w:p>
          <w:p w14:paraId="23A7AB09">
            <w:pPr>
              <w:adjustRightInd w:val="0"/>
              <w:snapToGrid w:val="0"/>
              <w:spacing w:line="360" w:lineRule="auto"/>
              <w:ind w:firstLine="480" w:firstLineChars="200"/>
              <w:rPr>
                <w:rFonts w:cs="宋体"/>
                <w:color w:val="auto"/>
                <w:sz w:val="24"/>
              </w:rPr>
            </w:pPr>
            <w:r>
              <w:rPr>
                <w:rFonts w:hint="eastAsia"/>
                <w:color w:val="auto"/>
                <w:sz w:val="24"/>
              </w:rPr>
              <w:t>项目租用寻甸荣禾工贸有限公司的</w:t>
            </w:r>
            <w:r>
              <w:rPr>
                <w:rFonts w:hint="eastAsia" w:cs="宋体"/>
                <w:color w:val="auto"/>
                <w:sz w:val="24"/>
              </w:rPr>
              <w:t>1栋2层生产厂房</w:t>
            </w:r>
            <w:r>
              <w:rPr>
                <w:rFonts w:hint="eastAsia"/>
                <w:color w:val="auto"/>
                <w:sz w:val="24"/>
              </w:rPr>
              <w:t>进行建设</w:t>
            </w:r>
            <w:r>
              <w:rPr>
                <w:rFonts w:hint="eastAsia" w:cs="宋体"/>
                <w:color w:val="auto"/>
                <w:sz w:val="24"/>
              </w:rPr>
              <w:t>，项目区设1个出入口，位于项目区西北侧，项目区北侧为2层生活区，不设置食堂，主要为门卫值班室、</w:t>
            </w:r>
            <w:r>
              <w:rPr>
                <w:rFonts w:hint="eastAsia" w:cs="宋体"/>
                <w:color w:val="auto"/>
                <w:sz w:val="24"/>
                <w:lang w:eastAsia="zh-CN"/>
              </w:rPr>
              <w:t>办公室</w:t>
            </w:r>
            <w:r>
              <w:rPr>
                <w:rFonts w:hint="eastAsia" w:cs="宋体"/>
                <w:color w:val="auto"/>
                <w:sz w:val="24"/>
              </w:rPr>
              <w:t>、宿舍和卫生间。本次新建项目只占用生产厂房1楼，2楼闲置。其中，生产厂房1楼东北侧设置危废暂存间，西北侧设置一般固废暂存间，西侧分别设置成品堆放区和原料堆放区，西南侧设胶水搅拌间，生产区位于东北侧，共3条生产线，生产厂房北侧设废气处理系统。</w:t>
            </w:r>
          </w:p>
          <w:p w14:paraId="365AD93A">
            <w:pPr>
              <w:pStyle w:val="73"/>
              <w:adjustRightInd/>
              <w:ind w:firstLine="482"/>
              <w:rPr>
                <w:b/>
                <w:bCs/>
                <w:color w:val="auto"/>
              </w:rPr>
            </w:pPr>
            <w:r>
              <w:rPr>
                <w:rFonts w:hint="eastAsia"/>
                <w:b/>
                <w:bCs/>
                <w:color w:val="auto"/>
              </w:rPr>
              <w:t>9、环保投资</w:t>
            </w:r>
          </w:p>
          <w:p w14:paraId="1994AEDD">
            <w:pPr>
              <w:adjustRightInd w:val="0"/>
              <w:snapToGrid w:val="0"/>
              <w:spacing w:line="360" w:lineRule="auto"/>
              <w:ind w:firstLine="480" w:firstLineChars="200"/>
              <w:rPr>
                <w:color w:val="auto"/>
                <w:sz w:val="24"/>
              </w:rPr>
            </w:pPr>
            <w:r>
              <w:rPr>
                <w:color w:val="auto"/>
                <w:sz w:val="24"/>
              </w:rPr>
              <w:t>项目总投资</w:t>
            </w:r>
            <w:r>
              <w:rPr>
                <w:rFonts w:hint="eastAsia"/>
                <w:color w:val="auto"/>
                <w:sz w:val="24"/>
              </w:rPr>
              <w:t>1500</w:t>
            </w:r>
            <w:r>
              <w:rPr>
                <w:color w:val="auto"/>
                <w:sz w:val="24"/>
              </w:rPr>
              <w:t>万元，环保投资共</w:t>
            </w:r>
            <w:r>
              <w:rPr>
                <w:rFonts w:hint="eastAsia"/>
                <w:color w:val="auto"/>
                <w:sz w:val="24"/>
              </w:rPr>
              <w:t>28</w:t>
            </w:r>
            <w:r>
              <w:rPr>
                <w:color w:val="auto"/>
                <w:sz w:val="24"/>
              </w:rPr>
              <w:t>万元，占总投资的</w:t>
            </w:r>
            <w:r>
              <w:rPr>
                <w:rFonts w:hint="eastAsia"/>
                <w:color w:val="auto"/>
                <w:sz w:val="24"/>
              </w:rPr>
              <w:t>1.87</w:t>
            </w:r>
            <w:r>
              <w:rPr>
                <w:color w:val="auto"/>
                <w:sz w:val="24"/>
              </w:rPr>
              <w:t>%，项目环保投资情况见表2-</w:t>
            </w:r>
            <w:r>
              <w:rPr>
                <w:rFonts w:hint="eastAsia"/>
                <w:color w:val="auto"/>
                <w:sz w:val="24"/>
              </w:rPr>
              <w:t>6</w:t>
            </w:r>
            <w:r>
              <w:rPr>
                <w:color w:val="auto"/>
                <w:sz w:val="24"/>
              </w:rPr>
              <w:t>。</w:t>
            </w:r>
          </w:p>
          <w:p w14:paraId="21C12AC3">
            <w:pPr>
              <w:adjustRightInd w:val="0"/>
              <w:snapToGrid w:val="0"/>
              <w:jc w:val="center"/>
              <w:rPr>
                <w:b/>
                <w:bCs/>
                <w:color w:val="auto"/>
                <w:szCs w:val="21"/>
              </w:rPr>
            </w:pPr>
            <w:r>
              <w:rPr>
                <w:b/>
                <w:bCs/>
                <w:color w:val="auto"/>
                <w:szCs w:val="21"/>
              </w:rPr>
              <w:t>表2-</w:t>
            </w:r>
            <w:r>
              <w:rPr>
                <w:rFonts w:hint="eastAsia"/>
                <w:b/>
                <w:bCs/>
                <w:color w:val="auto"/>
                <w:szCs w:val="21"/>
              </w:rPr>
              <w:t>6</w:t>
            </w:r>
            <w:r>
              <w:rPr>
                <w:b/>
                <w:bCs/>
                <w:color w:val="auto"/>
                <w:szCs w:val="21"/>
              </w:rPr>
              <w:t xml:space="preserve">  项目环保投资一览表</w:t>
            </w:r>
          </w:p>
          <w:tbl>
            <w:tblPr>
              <w:tblStyle w:val="30"/>
              <w:tblW w:w="84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615"/>
              <w:gridCol w:w="1258"/>
              <w:gridCol w:w="3613"/>
              <w:gridCol w:w="689"/>
              <w:gridCol w:w="1083"/>
              <w:gridCol w:w="723"/>
            </w:tblGrid>
            <w:tr w14:paraId="2A01D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298" w:type="dxa"/>
                  <w:gridSpan w:val="3"/>
                  <w:vAlign w:val="center"/>
                </w:tcPr>
                <w:p w14:paraId="7940EF93">
                  <w:pPr>
                    <w:pStyle w:val="6"/>
                    <w:adjustRightInd w:val="0"/>
                    <w:snapToGrid w:val="0"/>
                    <w:spacing w:before="0" w:line="240" w:lineRule="auto"/>
                    <w:ind w:firstLine="0" w:firstLineChars="0"/>
                    <w:jc w:val="center"/>
                    <w:rPr>
                      <w:b/>
                      <w:color w:val="auto"/>
                      <w:sz w:val="21"/>
                      <w:szCs w:val="21"/>
                    </w:rPr>
                  </w:pPr>
                  <w:r>
                    <w:rPr>
                      <w:b/>
                      <w:color w:val="auto"/>
                      <w:sz w:val="21"/>
                      <w:szCs w:val="21"/>
                    </w:rPr>
                    <w:t>类别</w:t>
                  </w:r>
                </w:p>
              </w:tc>
              <w:tc>
                <w:tcPr>
                  <w:tcW w:w="3613" w:type="dxa"/>
                  <w:vAlign w:val="center"/>
                </w:tcPr>
                <w:p w14:paraId="38769338">
                  <w:pPr>
                    <w:pStyle w:val="6"/>
                    <w:adjustRightInd w:val="0"/>
                    <w:snapToGrid w:val="0"/>
                    <w:spacing w:before="0" w:line="240" w:lineRule="auto"/>
                    <w:ind w:firstLine="0" w:firstLineChars="0"/>
                    <w:jc w:val="center"/>
                    <w:rPr>
                      <w:b/>
                      <w:color w:val="auto"/>
                      <w:sz w:val="21"/>
                      <w:szCs w:val="21"/>
                    </w:rPr>
                  </w:pPr>
                  <w:r>
                    <w:rPr>
                      <w:b/>
                      <w:bCs/>
                      <w:color w:val="auto"/>
                      <w:sz w:val="21"/>
                      <w:szCs w:val="21"/>
                    </w:rPr>
                    <w:t>环保设施名称</w:t>
                  </w:r>
                </w:p>
              </w:tc>
              <w:tc>
                <w:tcPr>
                  <w:tcW w:w="689" w:type="dxa"/>
                  <w:vAlign w:val="center"/>
                </w:tcPr>
                <w:p w14:paraId="3C713B3A">
                  <w:pPr>
                    <w:pStyle w:val="6"/>
                    <w:adjustRightInd w:val="0"/>
                    <w:snapToGrid w:val="0"/>
                    <w:spacing w:before="0" w:line="240" w:lineRule="auto"/>
                    <w:ind w:firstLine="0" w:firstLineChars="0"/>
                    <w:jc w:val="center"/>
                    <w:rPr>
                      <w:b/>
                      <w:color w:val="auto"/>
                      <w:sz w:val="21"/>
                      <w:szCs w:val="21"/>
                    </w:rPr>
                  </w:pPr>
                  <w:r>
                    <w:rPr>
                      <w:b/>
                      <w:color w:val="auto"/>
                      <w:sz w:val="21"/>
                      <w:szCs w:val="21"/>
                    </w:rPr>
                    <w:t>数量</w:t>
                  </w:r>
                </w:p>
              </w:tc>
              <w:tc>
                <w:tcPr>
                  <w:tcW w:w="1083" w:type="dxa"/>
                  <w:vAlign w:val="center"/>
                </w:tcPr>
                <w:p w14:paraId="196CAF36">
                  <w:pPr>
                    <w:pStyle w:val="6"/>
                    <w:adjustRightInd w:val="0"/>
                    <w:snapToGrid w:val="0"/>
                    <w:spacing w:before="0" w:line="240" w:lineRule="auto"/>
                    <w:ind w:firstLine="0" w:firstLineChars="0"/>
                    <w:jc w:val="center"/>
                    <w:rPr>
                      <w:b/>
                      <w:color w:val="auto"/>
                      <w:sz w:val="21"/>
                      <w:szCs w:val="21"/>
                    </w:rPr>
                  </w:pPr>
                  <w:r>
                    <w:rPr>
                      <w:b/>
                      <w:color w:val="auto"/>
                      <w:sz w:val="21"/>
                      <w:szCs w:val="21"/>
                    </w:rPr>
                    <w:t>投资概算（万元）</w:t>
                  </w:r>
                </w:p>
              </w:tc>
              <w:tc>
                <w:tcPr>
                  <w:tcW w:w="723" w:type="dxa"/>
                  <w:vAlign w:val="center"/>
                </w:tcPr>
                <w:p w14:paraId="6B39C270">
                  <w:pPr>
                    <w:pStyle w:val="6"/>
                    <w:adjustRightInd w:val="0"/>
                    <w:snapToGrid w:val="0"/>
                    <w:spacing w:before="0" w:line="240" w:lineRule="auto"/>
                    <w:ind w:firstLine="0" w:firstLineChars="0"/>
                    <w:jc w:val="center"/>
                    <w:rPr>
                      <w:b/>
                      <w:color w:val="auto"/>
                      <w:sz w:val="21"/>
                      <w:szCs w:val="21"/>
                    </w:rPr>
                  </w:pPr>
                  <w:r>
                    <w:rPr>
                      <w:b/>
                      <w:color w:val="auto"/>
                      <w:sz w:val="21"/>
                      <w:szCs w:val="21"/>
                    </w:rPr>
                    <w:t>备注</w:t>
                  </w:r>
                </w:p>
              </w:tc>
            </w:tr>
            <w:tr w14:paraId="2B1F0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Merge w:val="restart"/>
                  <w:vAlign w:val="center"/>
                </w:tcPr>
                <w:p w14:paraId="0097B125">
                  <w:pPr>
                    <w:pStyle w:val="6"/>
                    <w:adjustRightInd w:val="0"/>
                    <w:snapToGrid w:val="0"/>
                    <w:spacing w:before="0" w:line="240" w:lineRule="auto"/>
                    <w:ind w:firstLine="0" w:firstLineChars="0"/>
                    <w:jc w:val="center"/>
                    <w:rPr>
                      <w:color w:val="auto"/>
                      <w:sz w:val="21"/>
                      <w:szCs w:val="21"/>
                    </w:rPr>
                  </w:pPr>
                  <w:r>
                    <w:rPr>
                      <w:color w:val="auto"/>
                      <w:sz w:val="21"/>
                      <w:szCs w:val="21"/>
                    </w:rPr>
                    <w:t>运营期</w:t>
                  </w:r>
                </w:p>
              </w:tc>
              <w:tc>
                <w:tcPr>
                  <w:tcW w:w="615" w:type="dxa"/>
                  <w:vMerge w:val="restart"/>
                  <w:vAlign w:val="center"/>
                </w:tcPr>
                <w:p w14:paraId="781691C8">
                  <w:pPr>
                    <w:pStyle w:val="6"/>
                    <w:adjustRightInd w:val="0"/>
                    <w:snapToGrid w:val="0"/>
                    <w:spacing w:before="0" w:line="240" w:lineRule="auto"/>
                    <w:ind w:firstLine="0" w:firstLineChars="0"/>
                    <w:jc w:val="center"/>
                    <w:rPr>
                      <w:color w:val="auto"/>
                      <w:sz w:val="21"/>
                      <w:szCs w:val="21"/>
                    </w:rPr>
                  </w:pPr>
                  <w:r>
                    <w:rPr>
                      <w:color w:val="auto"/>
                      <w:sz w:val="21"/>
                      <w:szCs w:val="21"/>
                    </w:rPr>
                    <w:t>废气</w:t>
                  </w:r>
                </w:p>
                <w:p w14:paraId="4BBD4031">
                  <w:pPr>
                    <w:pStyle w:val="6"/>
                    <w:adjustRightInd w:val="0"/>
                    <w:snapToGrid w:val="0"/>
                    <w:spacing w:before="0" w:line="240" w:lineRule="auto"/>
                    <w:ind w:firstLine="0" w:firstLineChars="0"/>
                    <w:jc w:val="center"/>
                    <w:rPr>
                      <w:color w:val="auto"/>
                      <w:sz w:val="21"/>
                      <w:szCs w:val="21"/>
                    </w:rPr>
                  </w:pPr>
                  <w:r>
                    <w:rPr>
                      <w:color w:val="auto"/>
                      <w:sz w:val="21"/>
                      <w:szCs w:val="21"/>
                    </w:rPr>
                    <w:t>治理</w:t>
                  </w:r>
                </w:p>
              </w:tc>
              <w:tc>
                <w:tcPr>
                  <w:tcW w:w="1258" w:type="dxa"/>
                  <w:vAlign w:val="center"/>
                </w:tcPr>
                <w:p w14:paraId="45C65E7B">
                  <w:pPr>
                    <w:widowControl/>
                    <w:adjustRightInd w:val="0"/>
                    <w:snapToGrid w:val="0"/>
                    <w:jc w:val="center"/>
                    <w:rPr>
                      <w:color w:val="auto"/>
                      <w:szCs w:val="21"/>
                    </w:rPr>
                  </w:pPr>
                  <w:r>
                    <w:rPr>
                      <w:color w:val="auto"/>
                      <w:szCs w:val="21"/>
                    </w:rPr>
                    <w:t>天然气燃烧废气</w:t>
                  </w:r>
                </w:p>
              </w:tc>
              <w:tc>
                <w:tcPr>
                  <w:tcW w:w="3613" w:type="dxa"/>
                  <w:vAlign w:val="center"/>
                </w:tcPr>
                <w:p w14:paraId="2A59330D">
                  <w:pPr>
                    <w:tabs>
                      <w:tab w:val="left" w:pos="3255"/>
                    </w:tabs>
                    <w:adjustRightInd w:val="0"/>
                    <w:snapToGrid w:val="0"/>
                    <w:jc w:val="center"/>
                    <w:rPr>
                      <w:color w:val="auto"/>
                      <w:szCs w:val="21"/>
                    </w:rPr>
                  </w:pPr>
                  <w:r>
                    <w:rPr>
                      <w:color w:val="auto"/>
                      <w:szCs w:val="21"/>
                    </w:rPr>
                    <w:t>1根</w:t>
                  </w:r>
                  <w:r>
                    <w:rPr>
                      <w:rFonts w:hint="eastAsia"/>
                      <w:color w:val="auto"/>
                      <w:szCs w:val="21"/>
                    </w:rPr>
                    <w:t>15</w:t>
                  </w:r>
                  <w:r>
                    <w:rPr>
                      <w:color w:val="auto"/>
                      <w:szCs w:val="21"/>
                    </w:rPr>
                    <w:t>m高排气筒（DA00</w:t>
                  </w:r>
                  <w:r>
                    <w:rPr>
                      <w:rFonts w:hint="eastAsia"/>
                      <w:color w:val="auto"/>
                      <w:szCs w:val="21"/>
                    </w:rPr>
                    <w:t>2</w:t>
                  </w:r>
                  <w:r>
                    <w:rPr>
                      <w:color w:val="auto"/>
                      <w:szCs w:val="21"/>
                    </w:rPr>
                    <w:t>）</w:t>
                  </w:r>
                </w:p>
              </w:tc>
              <w:tc>
                <w:tcPr>
                  <w:tcW w:w="689" w:type="dxa"/>
                  <w:vAlign w:val="center"/>
                </w:tcPr>
                <w:p w14:paraId="0016D36E">
                  <w:pPr>
                    <w:pStyle w:val="91"/>
                    <w:snapToGrid w:val="0"/>
                    <w:spacing w:line="240" w:lineRule="auto"/>
                    <w:ind w:firstLine="0"/>
                    <w:jc w:val="center"/>
                    <w:rPr>
                      <w:rFonts w:eastAsia="宋体"/>
                      <w:color w:val="auto"/>
                      <w:sz w:val="21"/>
                      <w:szCs w:val="21"/>
                    </w:rPr>
                  </w:pPr>
                  <w:r>
                    <w:rPr>
                      <w:rFonts w:eastAsia="宋体"/>
                      <w:color w:val="auto"/>
                      <w:sz w:val="21"/>
                      <w:szCs w:val="21"/>
                    </w:rPr>
                    <w:t>1套</w:t>
                  </w:r>
                </w:p>
              </w:tc>
              <w:tc>
                <w:tcPr>
                  <w:tcW w:w="1083" w:type="dxa"/>
                  <w:vAlign w:val="center"/>
                </w:tcPr>
                <w:p w14:paraId="6C0B2A7B">
                  <w:pPr>
                    <w:adjustRightInd w:val="0"/>
                    <w:snapToGrid w:val="0"/>
                    <w:jc w:val="center"/>
                    <w:rPr>
                      <w:color w:val="auto"/>
                      <w:szCs w:val="21"/>
                    </w:rPr>
                  </w:pPr>
                  <w:r>
                    <w:rPr>
                      <w:rFonts w:hint="eastAsia"/>
                      <w:color w:val="auto"/>
                      <w:szCs w:val="21"/>
                    </w:rPr>
                    <w:t>0.7</w:t>
                  </w:r>
                </w:p>
              </w:tc>
              <w:tc>
                <w:tcPr>
                  <w:tcW w:w="723" w:type="dxa"/>
                  <w:vAlign w:val="center"/>
                </w:tcPr>
                <w:p w14:paraId="2A15C0BC">
                  <w:pPr>
                    <w:adjustRightInd w:val="0"/>
                    <w:snapToGrid w:val="0"/>
                    <w:jc w:val="center"/>
                    <w:rPr>
                      <w:color w:val="auto"/>
                      <w:szCs w:val="21"/>
                    </w:rPr>
                  </w:pPr>
                  <w:r>
                    <w:rPr>
                      <w:color w:val="auto"/>
                      <w:szCs w:val="21"/>
                    </w:rPr>
                    <w:t>新建</w:t>
                  </w:r>
                </w:p>
              </w:tc>
            </w:tr>
            <w:tr w14:paraId="52751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25" w:type="dxa"/>
                  <w:vMerge w:val="continue"/>
                  <w:vAlign w:val="center"/>
                </w:tcPr>
                <w:p w14:paraId="0DEFF53F">
                  <w:pPr>
                    <w:pStyle w:val="6"/>
                    <w:adjustRightInd w:val="0"/>
                    <w:snapToGrid w:val="0"/>
                    <w:spacing w:before="0" w:line="240" w:lineRule="auto"/>
                    <w:ind w:firstLine="0" w:firstLineChars="0"/>
                    <w:jc w:val="center"/>
                    <w:rPr>
                      <w:color w:val="auto"/>
                      <w:sz w:val="21"/>
                      <w:szCs w:val="21"/>
                    </w:rPr>
                  </w:pPr>
                </w:p>
              </w:tc>
              <w:tc>
                <w:tcPr>
                  <w:tcW w:w="615" w:type="dxa"/>
                  <w:vMerge w:val="continue"/>
                  <w:vAlign w:val="center"/>
                </w:tcPr>
                <w:p w14:paraId="423266AB">
                  <w:pPr>
                    <w:pStyle w:val="6"/>
                    <w:adjustRightInd w:val="0"/>
                    <w:snapToGrid w:val="0"/>
                    <w:spacing w:before="0" w:line="240" w:lineRule="auto"/>
                    <w:ind w:firstLine="0" w:firstLineChars="0"/>
                    <w:jc w:val="center"/>
                    <w:rPr>
                      <w:color w:val="auto"/>
                      <w:sz w:val="21"/>
                      <w:szCs w:val="21"/>
                    </w:rPr>
                  </w:pPr>
                </w:p>
              </w:tc>
              <w:tc>
                <w:tcPr>
                  <w:tcW w:w="1258" w:type="dxa"/>
                  <w:vMerge w:val="restart"/>
                  <w:vAlign w:val="center"/>
                </w:tcPr>
                <w:p w14:paraId="51A0D894">
                  <w:pPr>
                    <w:widowControl/>
                    <w:adjustRightInd w:val="0"/>
                    <w:snapToGrid w:val="0"/>
                    <w:jc w:val="center"/>
                    <w:rPr>
                      <w:color w:val="auto"/>
                      <w:szCs w:val="21"/>
                    </w:rPr>
                  </w:pPr>
                  <w:r>
                    <w:rPr>
                      <w:rFonts w:hint="eastAsia"/>
                      <w:color w:val="auto"/>
                      <w:szCs w:val="21"/>
                    </w:rPr>
                    <w:t>有机废气</w:t>
                  </w:r>
                </w:p>
              </w:tc>
              <w:tc>
                <w:tcPr>
                  <w:tcW w:w="3613" w:type="dxa"/>
                  <w:vAlign w:val="center"/>
                </w:tcPr>
                <w:p w14:paraId="08617986">
                  <w:pPr>
                    <w:tabs>
                      <w:tab w:val="left" w:pos="3255"/>
                    </w:tabs>
                    <w:adjustRightInd w:val="0"/>
                    <w:snapToGrid w:val="0"/>
                    <w:jc w:val="center"/>
                    <w:rPr>
                      <w:color w:val="auto"/>
                      <w:szCs w:val="21"/>
                    </w:rPr>
                  </w:pPr>
                  <w:r>
                    <w:rPr>
                      <w:rFonts w:hint="eastAsia"/>
                      <w:color w:val="auto"/>
                      <w:szCs w:val="21"/>
                    </w:rPr>
                    <w:t>负压集气罩</w:t>
                  </w:r>
                </w:p>
              </w:tc>
              <w:tc>
                <w:tcPr>
                  <w:tcW w:w="689" w:type="dxa"/>
                  <w:vAlign w:val="center"/>
                </w:tcPr>
                <w:p w14:paraId="2E69F563">
                  <w:pPr>
                    <w:pStyle w:val="91"/>
                    <w:snapToGrid w:val="0"/>
                    <w:spacing w:line="240" w:lineRule="auto"/>
                    <w:ind w:firstLine="0"/>
                    <w:jc w:val="center"/>
                    <w:rPr>
                      <w:rFonts w:eastAsia="宋体"/>
                      <w:color w:val="auto"/>
                      <w:sz w:val="21"/>
                      <w:szCs w:val="21"/>
                    </w:rPr>
                  </w:pPr>
                  <w:r>
                    <w:rPr>
                      <w:rFonts w:hint="eastAsia" w:eastAsia="宋体"/>
                      <w:color w:val="auto"/>
                      <w:sz w:val="21"/>
                      <w:szCs w:val="21"/>
                    </w:rPr>
                    <w:t>3个</w:t>
                  </w:r>
                </w:p>
              </w:tc>
              <w:tc>
                <w:tcPr>
                  <w:tcW w:w="1083" w:type="dxa"/>
                  <w:vAlign w:val="center"/>
                </w:tcPr>
                <w:p w14:paraId="16F41FD6">
                  <w:pPr>
                    <w:adjustRightInd w:val="0"/>
                    <w:snapToGrid w:val="0"/>
                    <w:jc w:val="center"/>
                    <w:rPr>
                      <w:color w:val="auto"/>
                      <w:szCs w:val="21"/>
                    </w:rPr>
                  </w:pPr>
                  <w:r>
                    <w:rPr>
                      <w:rFonts w:hint="eastAsia"/>
                      <w:color w:val="auto"/>
                      <w:szCs w:val="21"/>
                    </w:rPr>
                    <w:t>2</w:t>
                  </w:r>
                </w:p>
              </w:tc>
              <w:tc>
                <w:tcPr>
                  <w:tcW w:w="723" w:type="dxa"/>
                  <w:vMerge w:val="restart"/>
                  <w:vAlign w:val="center"/>
                </w:tcPr>
                <w:p w14:paraId="5DCD9E94">
                  <w:pPr>
                    <w:adjustRightInd w:val="0"/>
                    <w:snapToGrid w:val="0"/>
                    <w:jc w:val="center"/>
                    <w:rPr>
                      <w:color w:val="auto"/>
                      <w:szCs w:val="21"/>
                    </w:rPr>
                  </w:pPr>
                  <w:r>
                    <w:rPr>
                      <w:color w:val="auto"/>
                      <w:szCs w:val="21"/>
                    </w:rPr>
                    <w:t>新建</w:t>
                  </w:r>
                </w:p>
              </w:tc>
            </w:tr>
            <w:tr w14:paraId="5F4BE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Merge w:val="continue"/>
                  <w:vAlign w:val="center"/>
                </w:tcPr>
                <w:p w14:paraId="2B97F626">
                  <w:pPr>
                    <w:pStyle w:val="6"/>
                    <w:adjustRightInd w:val="0"/>
                    <w:snapToGrid w:val="0"/>
                    <w:spacing w:before="0" w:line="240" w:lineRule="auto"/>
                    <w:ind w:firstLine="0" w:firstLineChars="0"/>
                    <w:jc w:val="center"/>
                    <w:rPr>
                      <w:color w:val="auto"/>
                      <w:sz w:val="21"/>
                      <w:szCs w:val="21"/>
                    </w:rPr>
                  </w:pPr>
                </w:p>
              </w:tc>
              <w:tc>
                <w:tcPr>
                  <w:tcW w:w="615" w:type="dxa"/>
                  <w:vMerge w:val="continue"/>
                  <w:vAlign w:val="center"/>
                </w:tcPr>
                <w:p w14:paraId="7AC52193">
                  <w:pPr>
                    <w:pStyle w:val="6"/>
                    <w:adjustRightInd w:val="0"/>
                    <w:snapToGrid w:val="0"/>
                    <w:spacing w:before="0" w:line="240" w:lineRule="auto"/>
                    <w:ind w:firstLine="0" w:firstLineChars="0"/>
                    <w:jc w:val="center"/>
                    <w:rPr>
                      <w:color w:val="auto"/>
                      <w:sz w:val="21"/>
                      <w:szCs w:val="21"/>
                    </w:rPr>
                  </w:pPr>
                </w:p>
              </w:tc>
              <w:tc>
                <w:tcPr>
                  <w:tcW w:w="1258" w:type="dxa"/>
                  <w:vMerge w:val="continue"/>
                  <w:vAlign w:val="center"/>
                </w:tcPr>
                <w:p w14:paraId="72970FAF">
                  <w:pPr>
                    <w:widowControl/>
                    <w:adjustRightInd w:val="0"/>
                    <w:snapToGrid w:val="0"/>
                    <w:jc w:val="center"/>
                    <w:rPr>
                      <w:color w:val="auto"/>
                      <w:szCs w:val="21"/>
                    </w:rPr>
                  </w:pPr>
                </w:p>
              </w:tc>
              <w:tc>
                <w:tcPr>
                  <w:tcW w:w="3613" w:type="dxa"/>
                  <w:vAlign w:val="center"/>
                </w:tcPr>
                <w:p w14:paraId="589BC2FF">
                  <w:pPr>
                    <w:tabs>
                      <w:tab w:val="left" w:pos="3255"/>
                    </w:tabs>
                    <w:adjustRightInd w:val="0"/>
                    <w:snapToGrid w:val="0"/>
                    <w:jc w:val="center"/>
                    <w:rPr>
                      <w:color w:val="auto"/>
                      <w:szCs w:val="21"/>
                    </w:rPr>
                  </w:pPr>
                  <w:r>
                    <w:rPr>
                      <w:color w:val="auto"/>
                      <w:kern w:val="0"/>
                      <w:szCs w:val="21"/>
                    </w:rPr>
                    <w:t>“UV光解+三级活性炭吸附净化装置”+</w:t>
                  </w:r>
                  <w:r>
                    <w:rPr>
                      <w:rFonts w:hint="eastAsia"/>
                      <w:color w:val="auto"/>
                      <w:kern w:val="0"/>
                      <w:szCs w:val="21"/>
                    </w:rPr>
                    <w:t>15</w:t>
                  </w:r>
                  <w:r>
                    <w:rPr>
                      <w:color w:val="auto"/>
                      <w:kern w:val="0"/>
                      <w:szCs w:val="21"/>
                    </w:rPr>
                    <w:t>m高排气筒</w:t>
                  </w:r>
                  <w:r>
                    <w:rPr>
                      <w:rFonts w:hint="eastAsia"/>
                      <w:color w:val="auto"/>
                      <w:kern w:val="0"/>
                      <w:szCs w:val="21"/>
                    </w:rPr>
                    <w:t>（DA001）</w:t>
                  </w:r>
                </w:p>
              </w:tc>
              <w:tc>
                <w:tcPr>
                  <w:tcW w:w="689" w:type="dxa"/>
                  <w:vAlign w:val="center"/>
                </w:tcPr>
                <w:p w14:paraId="1E908506">
                  <w:pPr>
                    <w:pStyle w:val="91"/>
                    <w:snapToGrid w:val="0"/>
                    <w:spacing w:line="240" w:lineRule="auto"/>
                    <w:ind w:firstLine="0"/>
                    <w:jc w:val="center"/>
                    <w:rPr>
                      <w:rFonts w:eastAsia="宋体"/>
                      <w:color w:val="auto"/>
                      <w:sz w:val="21"/>
                      <w:szCs w:val="21"/>
                    </w:rPr>
                  </w:pPr>
                  <w:r>
                    <w:rPr>
                      <w:rFonts w:hint="eastAsia" w:eastAsia="宋体"/>
                      <w:color w:val="auto"/>
                      <w:sz w:val="21"/>
                      <w:szCs w:val="21"/>
                    </w:rPr>
                    <w:t>1</w:t>
                  </w:r>
                  <w:r>
                    <w:rPr>
                      <w:rFonts w:eastAsia="宋体"/>
                      <w:color w:val="auto"/>
                      <w:sz w:val="21"/>
                      <w:szCs w:val="21"/>
                    </w:rPr>
                    <w:t>套</w:t>
                  </w:r>
                </w:p>
              </w:tc>
              <w:tc>
                <w:tcPr>
                  <w:tcW w:w="1083" w:type="dxa"/>
                  <w:vAlign w:val="center"/>
                </w:tcPr>
                <w:p w14:paraId="443A2FE9">
                  <w:pPr>
                    <w:adjustRightInd w:val="0"/>
                    <w:snapToGrid w:val="0"/>
                    <w:jc w:val="center"/>
                    <w:rPr>
                      <w:color w:val="auto"/>
                      <w:szCs w:val="21"/>
                    </w:rPr>
                  </w:pPr>
                  <w:r>
                    <w:rPr>
                      <w:rFonts w:hint="eastAsia"/>
                      <w:color w:val="auto"/>
                      <w:szCs w:val="21"/>
                    </w:rPr>
                    <w:t>13</w:t>
                  </w:r>
                </w:p>
              </w:tc>
              <w:tc>
                <w:tcPr>
                  <w:tcW w:w="723" w:type="dxa"/>
                  <w:vMerge w:val="continue"/>
                  <w:vAlign w:val="center"/>
                </w:tcPr>
                <w:p w14:paraId="21AE3D07">
                  <w:pPr>
                    <w:adjustRightInd w:val="0"/>
                    <w:snapToGrid w:val="0"/>
                    <w:jc w:val="center"/>
                    <w:rPr>
                      <w:color w:val="auto"/>
                      <w:szCs w:val="21"/>
                    </w:rPr>
                  </w:pPr>
                </w:p>
              </w:tc>
            </w:tr>
            <w:tr w14:paraId="336B4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425" w:type="dxa"/>
                  <w:vMerge w:val="continue"/>
                  <w:vAlign w:val="center"/>
                </w:tcPr>
                <w:p w14:paraId="1AE19A9E">
                  <w:pPr>
                    <w:pStyle w:val="6"/>
                    <w:adjustRightInd w:val="0"/>
                    <w:snapToGrid w:val="0"/>
                    <w:spacing w:before="0" w:line="240" w:lineRule="auto"/>
                    <w:ind w:firstLine="0" w:firstLineChars="0"/>
                    <w:jc w:val="center"/>
                    <w:rPr>
                      <w:color w:val="auto"/>
                      <w:sz w:val="21"/>
                      <w:szCs w:val="21"/>
                    </w:rPr>
                  </w:pPr>
                </w:p>
              </w:tc>
              <w:tc>
                <w:tcPr>
                  <w:tcW w:w="615" w:type="dxa"/>
                  <w:vMerge w:val="restart"/>
                  <w:vAlign w:val="center"/>
                </w:tcPr>
                <w:p w14:paraId="6F86B538">
                  <w:pPr>
                    <w:tabs>
                      <w:tab w:val="left" w:pos="3255"/>
                    </w:tabs>
                    <w:adjustRightInd w:val="0"/>
                    <w:snapToGrid w:val="0"/>
                    <w:jc w:val="center"/>
                    <w:rPr>
                      <w:color w:val="auto"/>
                      <w:szCs w:val="21"/>
                    </w:rPr>
                  </w:pPr>
                  <w:r>
                    <w:rPr>
                      <w:color w:val="auto"/>
                      <w:szCs w:val="21"/>
                    </w:rPr>
                    <w:t>废水治理</w:t>
                  </w:r>
                </w:p>
              </w:tc>
              <w:tc>
                <w:tcPr>
                  <w:tcW w:w="1258" w:type="dxa"/>
                  <w:vMerge w:val="restart"/>
                  <w:vAlign w:val="center"/>
                </w:tcPr>
                <w:p w14:paraId="769B3014">
                  <w:pPr>
                    <w:tabs>
                      <w:tab w:val="left" w:pos="3255"/>
                    </w:tabs>
                    <w:adjustRightInd w:val="0"/>
                    <w:snapToGrid w:val="0"/>
                    <w:jc w:val="center"/>
                    <w:rPr>
                      <w:color w:val="auto"/>
                      <w:szCs w:val="21"/>
                    </w:rPr>
                  </w:pPr>
                  <w:r>
                    <w:rPr>
                      <w:color w:val="auto"/>
                      <w:szCs w:val="21"/>
                    </w:rPr>
                    <w:t>生活</w:t>
                  </w:r>
                  <w:r>
                    <w:rPr>
                      <w:rFonts w:hint="eastAsia"/>
                      <w:color w:val="auto"/>
                      <w:szCs w:val="21"/>
                    </w:rPr>
                    <w:t>污水</w:t>
                  </w:r>
                </w:p>
              </w:tc>
              <w:tc>
                <w:tcPr>
                  <w:tcW w:w="3613" w:type="dxa"/>
                  <w:vAlign w:val="center"/>
                </w:tcPr>
                <w:p w14:paraId="46A45C1C">
                  <w:pPr>
                    <w:adjustRightInd w:val="0"/>
                    <w:snapToGrid w:val="0"/>
                    <w:jc w:val="center"/>
                    <w:rPr>
                      <w:color w:val="auto"/>
                      <w:szCs w:val="21"/>
                    </w:rPr>
                  </w:pPr>
                  <w:r>
                    <w:rPr>
                      <w:rFonts w:hint="eastAsia"/>
                      <w:color w:val="auto"/>
                      <w:szCs w:val="21"/>
                    </w:rPr>
                    <w:t>容积为5</w:t>
                  </w:r>
                  <w:r>
                    <w:rPr>
                      <w:color w:val="auto"/>
                      <w:szCs w:val="21"/>
                    </w:rPr>
                    <w:t>m</w:t>
                  </w:r>
                  <w:r>
                    <w:rPr>
                      <w:color w:val="auto"/>
                      <w:szCs w:val="21"/>
                      <w:vertAlign w:val="superscript"/>
                    </w:rPr>
                    <w:t>3</w:t>
                  </w:r>
                  <w:r>
                    <w:rPr>
                      <w:color w:val="auto"/>
                      <w:szCs w:val="21"/>
                    </w:rPr>
                    <w:t>的化粪池</w:t>
                  </w:r>
                </w:p>
              </w:tc>
              <w:tc>
                <w:tcPr>
                  <w:tcW w:w="689" w:type="dxa"/>
                  <w:vAlign w:val="center"/>
                </w:tcPr>
                <w:p w14:paraId="3B5186FE">
                  <w:pPr>
                    <w:pStyle w:val="91"/>
                    <w:snapToGrid w:val="0"/>
                    <w:spacing w:line="240" w:lineRule="auto"/>
                    <w:ind w:firstLine="0"/>
                    <w:jc w:val="center"/>
                    <w:rPr>
                      <w:rFonts w:eastAsia="宋体"/>
                      <w:bCs/>
                      <w:color w:val="auto"/>
                      <w:sz w:val="21"/>
                      <w:szCs w:val="21"/>
                    </w:rPr>
                  </w:pPr>
                  <w:r>
                    <w:rPr>
                      <w:rFonts w:eastAsia="宋体"/>
                      <w:bCs/>
                      <w:color w:val="auto"/>
                      <w:sz w:val="21"/>
                      <w:szCs w:val="21"/>
                    </w:rPr>
                    <w:t>1个</w:t>
                  </w:r>
                </w:p>
              </w:tc>
              <w:tc>
                <w:tcPr>
                  <w:tcW w:w="1083" w:type="dxa"/>
                  <w:vAlign w:val="center"/>
                </w:tcPr>
                <w:p w14:paraId="5E9EA32C">
                  <w:pPr>
                    <w:adjustRightInd w:val="0"/>
                    <w:snapToGrid w:val="0"/>
                    <w:jc w:val="center"/>
                    <w:rPr>
                      <w:color w:val="auto"/>
                      <w:szCs w:val="21"/>
                    </w:rPr>
                  </w:pPr>
                  <w:r>
                    <w:rPr>
                      <w:rFonts w:hint="eastAsia"/>
                      <w:color w:val="auto"/>
                      <w:szCs w:val="21"/>
                    </w:rPr>
                    <w:t>/</w:t>
                  </w:r>
                </w:p>
              </w:tc>
              <w:tc>
                <w:tcPr>
                  <w:tcW w:w="723" w:type="dxa"/>
                  <w:vAlign w:val="center"/>
                </w:tcPr>
                <w:p w14:paraId="7969B095">
                  <w:pPr>
                    <w:adjustRightInd w:val="0"/>
                    <w:snapToGrid w:val="0"/>
                    <w:jc w:val="center"/>
                    <w:rPr>
                      <w:color w:val="auto"/>
                      <w:szCs w:val="21"/>
                    </w:rPr>
                  </w:pPr>
                  <w:r>
                    <w:rPr>
                      <w:rFonts w:hint="eastAsia"/>
                      <w:color w:val="auto"/>
                      <w:szCs w:val="21"/>
                    </w:rPr>
                    <w:t>依托原有</w:t>
                  </w:r>
                </w:p>
              </w:tc>
            </w:tr>
            <w:tr w14:paraId="0B032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5" w:type="dxa"/>
                  <w:vMerge w:val="continue"/>
                  <w:vAlign w:val="center"/>
                </w:tcPr>
                <w:p w14:paraId="1C4B181B">
                  <w:pPr>
                    <w:pStyle w:val="6"/>
                    <w:adjustRightInd w:val="0"/>
                    <w:snapToGrid w:val="0"/>
                    <w:spacing w:before="0" w:line="240" w:lineRule="auto"/>
                    <w:ind w:firstLine="0" w:firstLineChars="0"/>
                    <w:jc w:val="center"/>
                    <w:rPr>
                      <w:color w:val="auto"/>
                      <w:sz w:val="21"/>
                      <w:szCs w:val="21"/>
                    </w:rPr>
                  </w:pPr>
                </w:p>
              </w:tc>
              <w:tc>
                <w:tcPr>
                  <w:tcW w:w="615" w:type="dxa"/>
                  <w:vMerge w:val="continue"/>
                  <w:vAlign w:val="center"/>
                </w:tcPr>
                <w:p w14:paraId="7F628151">
                  <w:pPr>
                    <w:tabs>
                      <w:tab w:val="left" w:pos="3255"/>
                    </w:tabs>
                    <w:adjustRightInd w:val="0"/>
                    <w:snapToGrid w:val="0"/>
                    <w:jc w:val="center"/>
                    <w:rPr>
                      <w:color w:val="auto"/>
                      <w:szCs w:val="21"/>
                    </w:rPr>
                  </w:pPr>
                </w:p>
              </w:tc>
              <w:tc>
                <w:tcPr>
                  <w:tcW w:w="1258" w:type="dxa"/>
                  <w:vMerge w:val="continue"/>
                  <w:vAlign w:val="center"/>
                </w:tcPr>
                <w:p w14:paraId="45CE06A5">
                  <w:pPr>
                    <w:tabs>
                      <w:tab w:val="left" w:pos="3255"/>
                    </w:tabs>
                    <w:adjustRightInd w:val="0"/>
                    <w:snapToGrid w:val="0"/>
                    <w:jc w:val="center"/>
                    <w:rPr>
                      <w:color w:val="auto"/>
                      <w:szCs w:val="21"/>
                    </w:rPr>
                  </w:pPr>
                </w:p>
              </w:tc>
              <w:tc>
                <w:tcPr>
                  <w:tcW w:w="3613" w:type="dxa"/>
                  <w:vAlign w:val="center"/>
                </w:tcPr>
                <w:p w14:paraId="55D25E61">
                  <w:pPr>
                    <w:adjustRightInd w:val="0"/>
                    <w:snapToGrid w:val="0"/>
                    <w:jc w:val="center"/>
                    <w:rPr>
                      <w:color w:val="auto"/>
                      <w:szCs w:val="21"/>
                    </w:rPr>
                  </w:pPr>
                  <w:r>
                    <w:rPr>
                      <w:bCs/>
                      <w:color w:val="auto"/>
                      <w:szCs w:val="21"/>
                    </w:rPr>
                    <w:t>处理规模</w:t>
                  </w:r>
                  <w:r>
                    <w:rPr>
                      <w:rFonts w:hint="eastAsia"/>
                      <w:bCs/>
                      <w:color w:val="auto"/>
                      <w:szCs w:val="21"/>
                    </w:rPr>
                    <w:t>为5</w:t>
                  </w:r>
                  <w:r>
                    <w:rPr>
                      <w:color w:val="auto"/>
                      <w:szCs w:val="21"/>
                    </w:rPr>
                    <w:t>m</w:t>
                  </w:r>
                  <w:r>
                    <w:rPr>
                      <w:color w:val="auto"/>
                      <w:szCs w:val="21"/>
                      <w:vertAlign w:val="superscript"/>
                    </w:rPr>
                    <w:t>3</w:t>
                  </w:r>
                  <w:r>
                    <w:rPr>
                      <w:color w:val="auto"/>
                      <w:szCs w:val="21"/>
                    </w:rPr>
                    <w:t>/d</w:t>
                  </w:r>
                  <w:r>
                    <w:rPr>
                      <w:rFonts w:hint="eastAsia"/>
                      <w:color w:val="auto"/>
                      <w:kern w:val="0"/>
                      <w:szCs w:val="21"/>
                    </w:rPr>
                    <w:t>的一体化污水处理设施</w:t>
                  </w:r>
                </w:p>
              </w:tc>
              <w:tc>
                <w:tcPr>
                  <w:tcW w:w="689" w:type="dxa"/>
                  <w:vAlign w:val="center"/>
                </w:tcPr>
                <w:p w14:paraId="629E2BA6">
                  <w:pPr>
                    <w:pStyle w:val="91"/>
                    <w:snapToGrid w:val="0"/>
                    <w:spacing w:line="240" w:lineRule="auto"/>
                    <w:ind w:firstLine="0"/>
                    <w:jc w:val="center"/>
                    <w:rPr>
                      <w:rFonts w:eastAsia="宋体"/>
                      <w:bCs/>
                      <w:color w:val="auto"/>
                      <w:sz w:val="21"/>
                      <w:szCs w:val="21"/>
                    </w:rPr>
                  </w:pPr>
                  <w:r>
                    <w:rPr>
                      <w:rFonts w:eastAsia="宋体"/>
                      <w:bCs/>
                      <w:color w:val="auto"/>
                      <w:sz w:val="21"/>
                      <w:szCs w:val="21"/>
                    </w:rPr>
                    <w:t>1个</w:t>
                  </w:r>
                </w:p>
              </w:tc>
              <w:tc>
                <w:tcPr>
                  <w:tcW w:w="1083" w:type="dxa"/>
                  <w:vAlign w:val="center"/>
                </w:tcPr>
                <w:p w14:paraId="25EE3461">
                  <w:pPr>
                    <w:adjustRightInd w:val="0"/>
                    <w:snapToGrid w:val="0"/>
                    <w:jc w:val="center"/>
                    <w:rPr>
                      <w:color w:val="auto"/>
                      <w:szCs w:val="21"/>
                    </w:rPr>
                  </w:pPr>
                  <w:r>
                    <w:rPr>
                      <w:rFonts w:hint="eastAsia"/>
                      <w:color w:val="auto"/>
                      <w:szCs w:val="21"/>
                    </w:rPr>
                    <w:t>/</w:t>
                  </w:r>
                </w:p>
              </w:tc>
              <w:tc>
                <w:tcPr>
                  <w:tcW w:w="723" w:type="dxa"/>
                  <w:vAlign w:val="center"/>
                </w:tcPr>
                <w:p w14:paraId="1E62F38E">
                  <w:pPr>
                    <w:adjustRightInd w:val="0"/>
                    <w:snapToGrid w:val="0"/>
                    <w:jc w:val="center"/>
                    <w:rPr>
                      <w:color w:val="auto"/>
                      <w:szCs w:val="21"/>
                    </w:rPr>
                  </w:pPr>
                  <w:r>
                    <w:rPr>
                      <w:rFonts w:hint="eastAsia"/>
                      <w:color w:val="auto"/>
                      <w:szCs w:val="21"/>
                    </w:rPr>
                    <w:t>依托原有</w:t>
                  </w:r>
                </w:p>
              </w:tc>
            </w:tr>
            <w:tr w14:paraId="71382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Merge w:val="continue"/>
                  <w:vAlign w:val="center"/>
                </w:tcPr>
                <w:p w14:paraId="33FEC2CC">
                  <w:pPr>
                    <w:pStyle w:val="6"/>
                    <w:adjustRightInd w:val="0"/>
                    <w:snapToGrid w:val="0"/>
                    <w:spacing w:before="0" w:line="240" w:lineRule="auto"/>
                    <w:ind w:firstLine="0" w:firstLineChars="0"/>
                    <w:jc w:val="center"/>
                    <w:rPr>
                      <w:color w:val="auto"/>
                      <w:sz w:val="21"/>
                      <w:szCs w:val="21"/>
                    </w:rPr>
                  </w:pPr>
                </w:p>
              </w:tc>
              <w:tc>
                <w:tcPr>
                  <w:tcW w:w="615" w:type="dxa"/>
                  <w:vMerge w:val="continue"/>
                  <w:vAlign w:val="center"/>
                </w:tcPr>
                <w:p w14:paraId="03E3D3CC">
                  <w:pPr>
                    <w:tabs>
                      <w:tab w:val="left" w:pos="3255"/>
                    </w:tabs>
                    <w:adjustRightInd w:val="0"/>
                    <w:snapToGrid w:val="0"/>
                    <w:jc w:val="center"/>
                    <w:rPr>
                      <w:color w:val="auto"/>
                      <w:szCs w:val="21"/>
                    </w:rPr>
                  </w:pPr>
                </w:p>
              </w:tc>
              <w:tc>
                <w:tcPr>
                  <w:tcW w:w="1258" w:type="dxa"/>
                  <w:vMerge w:val="continue"/>
                  <w:vAlign w:val="center"/>
                </w:tcPr>
                <w:p w14:paraId="23E74F56">
                  <w:pPr>
                    <w:tabs>
                      <w:tab w:val="left" w:pos="3255"/>
                    </w:tabs>
                    <w:adjustRightInd w:val="0"/>
                    <w:snapToGrid w:val="0"/>
                    <w:jc w:val="center"/>
                    <w:rPr>
                      <w:color w:val="auto"/>
                      <w:szCs w:val="21"/>
                    </w:rPr>
                  </w:pPr>
                </w:p>
              </w:tc>
              <w:tc>
                <w:tcPr>
                  <w:tcW w:w="3613" w:type="dxa"/>
                  <w:vAlign w:val="center"/>
                </w:tcPr>
                <w:p w14:paraId="4A4BD23B">
                  <w:pPr>
                    <w:adjustRightInd w:val="0"/>
                    <w:snapToGrid w:val="0"/>
                    <w:jc w:val="center"/>
                    <w:rPr>
                      <w:bCs/>
                      <w:color w:val="auto"/>
                      <w:szCs w:val="21"/>
                    </w:rPr>
                  </w:pPr>
                  <w:r>
                    <w:rPr>
                      <w:rFonts w:hint="eastAsia"/>
                      <w:bCs/>
                      <w:color w:val="auto"/>
                      <w:szCs w:val="21"/>
                    </w:rPr>
                    <w:t>容积为10m</w:t>
                  </w:r>
                  <w:r>
                    <w:rPr>
                      <w:rFonts w:hint="eastAsia"/>
                      <w:bCs/>
                      <w:color w:val="auto"/>
                      <w:szCs w:val="21"/>
                      <w:vertAlign w:val="superscript"/>
                    </w:rPr>
                    <w:t>3</w:t>
                  </w:r>
                  <w:r>
                    <w:rPr>
                      <w:rFonts w:hint="eastAsia"/>
                      <w:bCs/>
                      <w:color w:val="auto"/>
                      <w:szCs w:val="21"/>
                    </w:rPr>
                    <w:t>的暂存池</w:t>
                  </w:r>
                </w:p>
              </w:tc>
              <w:tc>
                <w:tcPr>
                  <w:tcW w:w="689" w:type="dxa"/>
                  <w:vAlign w:val="center"/>
                </w:tcPr>
                <w:p w14:paraId="42F7C507">
                  <w:pPr>
                    <w:pStyle w:val="91"/>
                    <w:snapToGrid w:val="0"/>
                    <w:spacing w:line="240" w:lineRule="auto"/>
                    <w:ind w:firstLine="0"/>
                    <w:jc w:val="center"/>
                    <w:rPr>
                      <w:rFonts w:eastAsia="宋体"/>
                      <w:bCs/>
                      <w:color w:val="auto"/>
                      <w:sz w:val="21"/>
                      <w:szCs w:val="21"/>
                    </w:rPr>
                  </w:pPr>
                  <w:r>
                    <w:rPr>
                      <w:rFonts w:eastAsia="宋体"/>
                      <w:bCs/>
                      <w:color w:val="auto"/>
                      <w:sz w:val="21"/>
                      <w:szCs w:val="21"/>
                    </w:rPr>
                    <w:t>1个</w:t>
                  </w:r>
                </w:p>
              </w:tc>
              <w:tc>
                <w:tcPr>
                  <w:tcW w:w="1083" w:type="dxa"/>
                  <w:vAlign w:val="center"/>
                </w:tcPr>
                <w:p w14:paraId="548EF63A">
                  <w:pPr>
                    <w:adjustRightInd w:val="0"/>
                    <w:snapToGrid w:val="0"/>
                    <w:jc w:val="center"/>
                    <w:rPr>
                      <w:color w:val="auto"/>
                      <w:szCs w:val="21"/>
                    </w:rPr>
                  </w:pPr>
                  <w:r>
                    <w:rPr>
                      <w:rFonts w:hint="eastAsia"/>
                      <w:color w:val="auto"/>
                      <w:szCs w:val="21"/>
                    </w:rPr>
                    <w:t>/</w:t>
                  </w:r>
                </w:p>
              </w:tc>
              <w:tc>
                <w:tcPr>
                  <w:tcW w:w="723" w:type="dxa"/>
                  <w:vAlign w:val="center"/>
                </w:tcPr>
                <w:p w14:paraId="2260BDC6">
                  <w:pPr>
                    <w:adjustRightInd w:val="0"/>
                    <w:snapToGrid w:val="0"/>
                    <w:jc w:val="center"/>
                    <w:rPr>
                      <w:color w:val="auto"/>
                      <w:szCs w:val="21"/>
                    </w:rPr>
                  </w:pPr>
                  <w:r>
                    <w:rPr>
                      <w:rFonts w:hint="eastAsia"/>
                      <w:color w:val="auto"/>
                      <w:szCs w:val="21"/>
                    </w:rPr>
                    <w:t>依托原有</w:t>
                  </w:r>
                </w:p>
              </w:tc>
            </w:tr>
            <w:tr w14:paraId="4D829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25" w:type="dxa"/>
                  <w:vMerge w:val="continue"/>
                  <w:vAlign w:val="center"/>
                </w:tcPr>
                <w:p w14:paraId="468F1006">
                  <w:pPr>
                    <w:pStyle w:val="6"/>
                    <w:adjustRightInd w:val="0"/>
                    <w:snapToGrid w:val="0"/>
                    <w:spacing w:before="0" w:line="240" w:lineRule="auto"/>
                    <w:ind w:firstLine="0" w:firstLineChars="0"/>
                    <w:jc w:val="center"/>
                    <w:rPr>
                      <w:color w:val="auto"/>
                      <w:sz w:val="21"/>
                      <w:szCs w:val="21"/>
                    </w:rPr>
                  </w:pPr>
                </w:p>
              </w:tc>
              <w:tc>
                <w:tcPr>
                  <w:tcW w:w="1873" w:type="dxa"/>
                  <w:gridSpan w:val="2"/>
                  <w:vAlign w:val="center"/>
                </w:tcPr>
                <w:p w14:paraId="786579A7">
                  <w:pPr>
                    <w:tabs>
                      <w:tab w:val="left" w:pos="3255"/>
                    </w:tabs>
                    <w:adjustRightInd w:val="0"/>
                    <w:snapToGrid w:val="0"/>
                    <w:jc w:val="center"/>
                    <w:rPr>
                      <w:color w:val="auto"/>
                      <w:szCs w:val="21"/>
                    </w:rPr>
                  </w:pPr>
                  <w:r>
                    <w:rPr>
                      <w:color w:val="auto"/>
                      <w:szCs w:val="21"/>
                    </w:rPr>
                    <w:t>噪声治理</w:t>
                  </w:r>
                </w:p>
              </w:tc>
              <w:tc>
                <w:tcPr>
                  <w:tcW w:w="3613" w:type="dxa"/>
                  <w:vAlign w:val="center"/>
                </w:tcPr>
                <w:p w14:paraId="4E526BE3">
                  <w:pPr>
                    <w:adjustRightInd w:val="0"/>
                    <w:snapToGrid w:val="0"/>
                    <w:jc w:val="center"/>
                    <w:rPr>
                      <w:color w:val="auto"/>
                      <w:szCs w:val="21"/>
                    </w:rPr>
                  </w:pPr>
                  <w:r>
                    <w:rPr>
                      <w:color w:val="auto"/>
                      <w:szCs w:val="21"/>
                    </w:rPr>
                    <w:t>隔音、降噪、消声减振装置</w:t>
                  </w:r>
                </w:p>
              </w:tc>
              <w:tc>
                <w:tcPr>
                  <w:tcW w:w="689" w:type="dxa"/>
                  <w:vAlign w:val="center"/>
                </w:tcPr>
                <w:p w14:paraId="6C329623">
                  <w:pPr>
                    <w:adjustRightInd w:val="0"/>
                    <w:snapToGrid w:val="0"/>
                    <w:jc w:val="center"/>
                    <w:rPr>
                      <w:color w:val="auto"/>
                      <w:szCs w:val="21"/>
                    </w:rPr>
                  </w:pPr>
                  <w:r>
                    <w:rPr>
                      <w:color w:val="auto"/>
                      <w:szCs w:val="21"/>
                    </w:rPr>
                    <w:t>/</w:t>
                  </w:r>
                </w:p>
              </w:tc>
              <w:tc>
                <w:tcPr>
                  <w:tcW w:w="1083" w:type="dxa"/>
                  <w:vAlign w:val="center"/>
                </w:tcPr>
                <w:p w14:paraId="22322CB0">
                  <w:pPr>
                    <w:adjustRightInd w:val="0"/>
                    <w:snapToGrid w:val="0"/>
                    <w:jc w:val="center"/>
                    <w:rPr>
                      <w:color w:val="auto"/>
                      <w:szCs w:val="21"/>
                    </w:rPr>
                  </w:pPr>
                  <w:r>
                    <w:rPr>
                      <w:color w:val="auto"/>
                      <w:szCs w:val="21"/>
                    </w:rPr>
                    <w:t>2</w:t>
                  </w:r>
                </w:p>
              </w:tc>
              <w:tc>
                <w:tcPr>
                  <w:tcW w:w="723" w:type="dxa"/>
                  <w:vAlign w:val="center"/>
                </w:tcPr>
                <w:p w14:paraId="79B0D4FA">
                  <w:pPr>
                    <w:adjustRightInd w:val="0"/>
                    <w:snapToGrid w:val="0"/>
                    <w:jc w:val="center"/>
                    <w:rPr>
                      <w:color w:val="auto"/>
                      <w:szCs w:val="21"/>
                    </w:rPr>
                  </w:pPr>
                  <w:r>
                    <w:rPr>
                      <w:color w:val="auto"/>
                      <w:szCs w:val="21"/>
                    </w:rPr>
                    <w:t>新建</w:t>
                  </w:r>
                </w:p>
              </w:tc>
            </w:tr>
            <w:tr w14:paraId="2D6A7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25" w:type="dxa"/>
                  <w:vMerge w:val="continue"/>
                  <w:vAlign w:val="center"/>
                </w:tcPr>
                <w:p w14:paraId="54D55079">
                  <w:pPr>
                    <w:pStyle w:val="6"/>
                    <w:adjustRightInd w:val="0"/>
                    <w:snapToGrid w:val="0"/>
                    <w:spacing w:before="0" w:line="240" w:lineRule="auto"/>
                    <w:ind w:firstLine="0" w:firstLineChars="0"/>
                    <w:jc w:val="center"/>
                    <w:rPr>
                      <w:color w:val="auto"/>
                      <w:sz w:val="21"/>
                      <w:szCs w:val="21"/>
                    </w:rPr>
                  </w:pPr>
                </w:p>
              </w:tc>
              <w:tc>
                <w:tcPr>
                  <w:tcW w:w="1873" w:type="dxa"/>
                  <w:gridSpan w:val="2"/>
                  <w:vMerge w:val="restart"/>
                  <w:vAlign w:val="center"/>
                </w:tcPr>
                <w:p w14:paraId="1348587F">
                  <w:pPr>
                    <w:pStyle w:val="6"/>
                    <w:adjustRightInd w:val="0"/>
                    <w:snapToGrid w:val="0"/>
                    <w:spacing w:before="0" w:line="240" w:lineRule="auto"/>
                    <w:ind w:firstLine="0" w:firstLineChars="0"/>
                    <w:jc w:val="center"/>
                    <w:rPr>
                      <w:color w:val="auto"/>
                      <w:sz w:val="21"/>
                      <w:szCs w:val="21"/>
                    </w:rPr>
                  </w:pPr>
                  <w:r>
                    <w:rPr>
                      <w:color w:val="auto"/>
                      <w:sz w:val="21"/>
                      <w:szCs w:val="21"/>
                    </w:rPr>
                    <w:t>固废治理</w:t>
                  </w:r>
                </w:p>
              </w:tc>
              <w:tc>
                <w:tcPr>
                  <w:tcW w:w="3613" w:type="dxa"/>
                  <w:vAlign w:val="center"/>
                </w:tcPr>
                <w:p w14:paraId="02358897">
                  <w:pPr>
                    <w:adjustRightInd w:val="0"/>
                    <w:snapToGrid w:val="0"/>
                    <w:jc w:val="center"/>
                    <w:rPr>
                      <w:color w:val="auto"/>
                      <w:szCs w:val="21"/>
                    </w:rPr>
                  </w:pPr>
                  <w:r>
                    <w:rPr>
                      <w:color w:val="auto"/>
                      <w:szCs w:val="21"/>
                    </w:rPr>
                    <w:t>带盖式生活垃圾收集桶</w:t>
                  </w:r>
                </w:p>
              </w:tc>
              <w:tc>
                <w:tcPr>
                  <w:tcW w:w="689" w:type="dxa"/>
                  <w:vAlign w:val="center"/>
                </w:tcPr>
                <w:p w14:paraId="5B500926">
                  <w:pPr>
                    <w:adjustRightInd w:val="0"/>
                    <w:snapToGrid w:val="0"/>
                    <w:jc w:val="center"/>
                    <w:rPr>
                      <w:color w:val="auto"/>
                      <w:szCs w:val="21"/>
                    </w:rPr>
                  </w:pPr>
                  <w:r>
                    <w:rPr>
                      <w:color w:val="auto"/>
                      <w:szCs w:val="21"/>
                    </w:rPr>
                    <w:t>若干</w:t>
                  </w:r>
                </w:p>
              </w:tc>
              <w:tc>
                <w:tcPr>
                  <w:tcW w:w="1083" w:type="dxa"/>
                  <w:vAlign w:val="center"/>
                </w:tcPr>
                <w:p w14:paraId="19DA816C">
                  <w:pPr>
                    <w:adjustRightInd w:val="0"/>
                    <w:snapToGrid w:val="0"/>
                    <w:jc w:val="center"/>
                    <w:rPr>
                      <w:color w:val="auto"/>
                      <w:szCs w:val="21"/>
                    </w:rPr>
                  </w:pPr>
                  <w:r>
                    <w:rPr>
                      <w:color w:val="auto"/>
                      <w:szCs w:val="21"/>
                    </w:rPr>
                    <w:t>0.</w:t>
                  </w:r>
                  <w:r>
                    <w:rPr>
                      <w:rFonts w:hint="eastAsia"/>
                      <w:color w:val="auto"/>
                      <w:szCs w:val="21"/>
                    </w:rPr>
                    <w:t>2</w:t>
                  </w:r>
                </w:p>
              </w:tc>
              <w:tc>
                <w:tcPr>
                  <w:tcW w:w="723" w:type="dxa"/>
                  <w:vAlign w:val="center"/>
                </w:tcPr>
                <w:p w14:paraId="7633C9FB">
                  <w:pPr>
                    <w:adjustRightInd w:val="0"/>
                    <w:snapToGrid w:val="0"/>
                    <w:jc w:val="center"/>
                    <w:rPr>
                      <w:color w:val="auto"/>
                      <w:szCs w:val="21"/>
                    </w:rPr>
                  </w:pPr>
                  <w:r>
                    <w:rPr>
                      <w:color w:val="auto"/>
                      <w:szCs w:val="21"/>
                    </w:rPr>
                    <w:t>新建</w:t>
                  </w:r>
                </w:p>
              </w:tc>
            </w:tr>
            <w:tr w14:paraId="43EBD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25" w:type="dxa"/>
                  <w:vMerge w:val="continue"/>
                  <w:vAlign w:val="center"/>
                </w:tcPr>
                <w:p w14:paraId="5A8059FE">
                  <w:pPr>
                    <w:pStyle w:val="6"/>
                    <w:adjustRightInd w:val="0"/>
                    <w:snapToGrid w:val="0"/>
                    <w:spacing w:before="0" w:line="240" w:lineRule="auto"/>
                    <w:ind w:firstLine="0" w:firstLineChars="0"/>
                    <w:jc w:val="center"/>
                    <w:rPr>
                      <w:color w:val="auto"/>
                      <w:sz w:val="21"/>
                      <w:szCs w:val="21"/>
                    </w:rPr>
                  </w:pPr>
                </w:p>
              </w:tc>
              <w:tc>
                <w:tcPr>
                  <w:tcW w:w="1873" w:type="dxa"/>
                  <w:gridSpan w:val="2"/>
                  <w:vMerge w:val="continue"/>
                  <w:vAlign w:val="center"/>
                </w:tcPr>
                <w:p w14:paraId="60FE6254">
                  <w:pPr>
                    <w:pStyle w:val="6"/>
                    <w:adjustRightInd w:val="0"/>
                    <w:snapToGrid w:val="0"/>
                    <w:spacing w:before="0" w:line="240" w:lineRule="auto"/>
                    <w:ind w:firstLine="0" w:firstLineChars="0"/>
                    <w:jc w:val="center"/>
                    <w:rPr>
                      <w:color w:val="auto"/>
                      <w:sz w:val="21"/>
                      <w:szCs w:val="21"/>
                    </w:rPr>
                  </w:pPr>
                </w:p>
              </w:tc>
              <w:tc>
                <w:tcPr>
                  <w:tcW w:w="3613" w:type="dxa"/>
                  <w:vAlign w:val="center"/>
                </w:tcPr>
                <w:p w14:paraId="685EB879">
                  <w:pPr>
                    <w:adjustRightInd w:val="0"/>
                    <w:snapToGrid w:val="0"/>
                    <w:jc w:val="center"/>
                    <w:rPr>
                      <w:color w:val="auto"/>
                      <w:szCs w:val="21"/>
                    </w:rPr>
                  </w:pPr>
                  <w:r>
                    <w:rPr>
                      <w:rFonts w:hint="eastAsia"/>
                      <w:color w:val="auto"/>
                      <w:szCs w:val="21"/>
                    </w:rPr>
                    <w:t>5</w:t>
                  </w:r>
                  <w:r>
                    <w:rPr>
                      <w:color w:val="auto"/>
                      <w:szCs w:val="21"/>
                    </w:rPr>
                    <w:t>m</w:t>
                  </w:r>
                  <w:r>
                    <w:rPr>
                      <w:color w:val="auto"/>
                      <w:szCs w:val="21"/>
                      <w:vertAlign w:val="superscript"/>
                    </w:rPr>
                    <w:t>2</w:t>
                  </w:r>
                  <w:r>
                    <w:rPr>
                      <w:color w:val="auto"/>
                      <w:szCs w:val="21"/>
                    </w:rPr>
                    <w:t>的一般固体废物暂存间</w:t>
                  </w:r>
                </w:p>
              </w:tc>
              <w:tc>
                <w:tcPr>
                  <w:tcW w:w="689" w:type="dxa"/>
                  <w:vAlign w:val="center"/>
                </w:tcPr>
                <w:p w14:paraId="31D9E046">
                  <w:pPr>
                    <w:adjustRightInd w:val="0"/>
                    <w:snapToGrid w:val="0"/>
                    <w:jc w:val="center"/>
                    <w:rPr>
                      <w:color w:val="auto"/>
                      <w:szCs w:val="21"/>
                    </w:rPr>
                  </w:pPr>
                  <w:r>
                    <w:rPr>
                      <w:color w:val="auto"/>
                      <w:szCs w:val="21"/>
                    </w:rPr>
                    <w:t>1间</w:t>
                  </w:r>
                </w:p>
              </w:tc>
              <w:tc>
                <w:tcPr>
                  <w:tcW w:w="1083" w:type="dxa"/>
                  <w:vAlign w:val="center"/>
                </w:tcPr>
                <w:p w14:paraId="7164E561">
                  <w:pPr>
                    <w:adjustRightInd w:val="0"/>
                    <w:snapToGrid w:val="0"/>
                    <w:jc w:val="center"/>
                    <w:rPr>
                      <w:color w:val="auto"/>
                      <w:szCs w:val="21"/>
                    </w:rPr>
                  </w:pPr>
                  <w:r>
                    <w:rPr>
                      <w:color w:val="auto"/>
                      <w:szCs w:val="21"/>
                    </w:rPr>
                    <w:t>0.5</w:t>
                  </w:r>
                </w:p>
              </w:tc>
              <w:tc>
                <w:tcPr>
                  <w:tcW w:w="723" w:type="dxa"/>
                  <w:vAlign w:val="center"/>
                </w:tcPr>
                <w:p w14:paraId="15020654">
                  <w:pPr>
                    <w:adjustRightInd w:val="0"/>
                    <w:snapToGrid w:val="0"/>
                    <w:jc w:val="center"/>
                    <w:rPr>
                      <w:color w:val="auto"/>
                      <w:szCs w:val="21"/>
                    </w:rPr>
                  </w:pPr>
                  <w:r>
                    <w:rPr>
                      <w:color w:val="auto"/>
                      <w:szCs w:val="21"/>
                    </w:rPr>
                    <w:t>新建</w:t>
                  </w:r>
                </w:p>
              </w:tc>
            </w:tr>
            <w:tr w14:paraId="6C0B7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25" w:type="dxa"/>
                  <w:vMerge w:val="continue"/>
                  <w:vAlign w:val="center"/>
                </w:tcPr>
                <w:p w14:paraId="4F44E162">
                  <w:pPr>
                    <w:pStyle w:val="6"/>
                    <w:adjustRightInd w:val="0"/>
                    <w:snapToGrid w:val="0"/>
                    <w:spacing w:before="0" w:line="240" w:lineRule="auto"/>
                    <w:ind w:firstLine="0" w:firstLineChars="0"/>
                    <w:jc w:val="center"/>
                    <w:rPr>
                      <w:color w:val="auto"/>
                      <w:sz w:val="21"/>
                      <w:szCs w:val="21"/>
                    </w:rPr>
                  </w:pPr>
                </w:p>
              </w:tc>
              <w:tc>
                <w:tcPr>
                  <w:tcW w:w="1873" w:type="dxa"/>
                  <w:gridSpan w:val="2"/>
                  <w:vMerge w:val="continue"/>
                  <w:vAlign w:val="center"/>
                </w:tcPr>
                <w:p w14:paraId="2BAEF108">
                  <w:pPr>
                    <w:pStyle w:val="6"/>
                    <w:adjustRightInd w:val="0"/>
                    <w:snapToGrid w:val="0"/>
                    <w:spacing w:before="0" w:line="240" w:lineRule="auto"/>
                    <w:ind w:firstLine="0" w:firstLineChars="0"/>
                    <w:jc w:val="center"/>
                    <w:rPr>
                      <w:color w:val="auto"/>
                      <w:sz w:val="21"/>
                      <w:szCs w:val="21"/>
                    </w:rPr>
                  </w:pPr>
                </w:p>
              </w:tc>
              <w:tc>
                <w:tcPr>
                  <w:tcW w:w="3613" w:type="dxa"/>
                  <w:vAlign w:val="center"/>
                </w:tcPr>
                <w:p w14:paraId="37A14017">
                  <w:pPr>
                    <w:adjustRightInd w:val="0"/>
                    <w:snapToGrid w:val="0"/>
                    <w:jc w:val="center"/>
                    <w:rPr>
                      <w:color w:val="auto"/>
                      <w:szCs w:val="21"/>
                    </w:rPr>
                  </w:pPr>
                  <w:r>
                    <w:rPr>
                      <w:color w:val="auto"/>
                      <w:szCs w:val="21"/>
                    </w:rPr>
                    <w:t>5m</w:t>
                  </w:r>
                  <w:r>
                    <w:rPr>
                      <w:color w:val="auto"/>
                      <w:szCs w:val="21"/>
                      <w:vertAlign w:val="superscript"/>
                    </w:rPr>
                    <w:t>2</w:t>
                  </w:r>
                  <w:r>
                    <w:rPr>
                      <w:color w:val="auto"/>
                      <w:szCs w:val="21"/>
                    </w:rPr>
                    <w:t>的危险废物暂存间</w:t>
                  </w:r>
                </w:p>
              </w:tc>
              <w:tc>
                <w:tcPr>
                  <w:tcW w:w="689" w:type="dxa"/>
                  <w:vAlign w:val="center"/>
                </w:tcPr>
                <w:p w14:paraId="0D03C468">
                  <w:pPr>
                    <w:adjustRightInd w:val="0"/>
                    <w:snapToGrid w:val="0"/>
                    <w:jc w:val="center"/>
                    <w:rPr>
                      <w:color w:val="auto"/>
                      <w:szCs w:val="21"/>
                    </w:rPr>
                  </w:pPr>
                  <w:r>
                    <w:rPr>
                      <w:color w:val="auto"/>
                      <w:szCs w:val="21"/>
                    </w:rPr>
                    <w:t>1间</w:t>
                  </w:r>
                </w:p>
              </w:tc>
              <w:tc>
                <w:tcPr>
                  <w:tcW w:w="1083" w:type="dxa"/>
                  <w:vAlign w:val="center"/>
                </w:tcPr>
                <w:p w14:paraId="1AB8CC68">
                  <w:pPr>
                    <w:adjustRightInd w:val="0"/>
                    <w:snapToGrid w:val="0"/>
                    <w:jc w:val="center"/>
                    <w:rPr>
                      <w:color w:val="auto"/>
                      <w:szCs w:val="21"/>
                    </w:rPr>
                  </w:pPr>
                  <w:r>
                    <w:rPr>
                      <w:rFonts w:hint="eastAsia"/>
                      <w:color w:val="auto"/>
                      <w:szCs w:val="21"/>
                    </w:rPr>
                    <w:t>1.5</w:t>
                  </w:r>
                </w:p>
              </w:tc>
              <w:tc>
                <w:tcPr>
                  <w:tcW w:w="723" w:type="dxa"/>
                  <w:vAlign w:val="center"/>
                </w:tcPr>
                <w:p w14:paraId="57871CD3">
                  <w:pPr>
                    <w:adjustRightInd w:val="0"/>
                    <w:snapToGrid w:val="0"/>
                    <w:jc w:val="center"/>
                    <w:rPr>
                      <w:color w:val="auto"/>
                      <w:szCs w:val="21"/>
                    </w:rPr>
                  </w:pPr>
                  <w:r>
                    <w:rPr>
                      <w:color w:val="auto"/>
                      <w:szCs w:val="21"/>
                    </w:rPr>
                    <w:t>新建</w:t>
                  </w:r>
                </w:p>
              </w:tc>
            </w:tr>
            <w:tr w14:paraId="2489C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25" w:type="dxa"/>
                  <w:vMerge w:val="continue"/>
                  <w:vAlign w:val="center"/>
                </w:tcPr>
                <w:p w14:paraId="5BC4C8A7">
                  <w:pPr>
                    <w:pStyle w:val="6"/>
                    <w:adjustRightInd w:val="0"/>
                    <w:snapToGrid w:val="0"/>
                    <w:spacing w:before="0" w:line="240" w:lineRule="auto"/>
                    <w:ind w:firstLine="0" w:firstLineChars="0"/>
                    <w:jc w:val="center"/>
                    <w:rPr>
                      <w:color w:val="auto"/>
                      <w:sz w:val="21"/>
                      <w:szCs w:val="21"/>
                    </w:rPr>
                  </w:pPr>
                </w:p>
              </w:tc>
              <w:tc>
                <w:tcPr>
                  <w:tcW w:w="1873" w:type="dxa"/>
                  <w:gridSpan w:val="2"/>
                  <w:vMerge w:val="continue"/>
                  <w:vAlign w:val="center"/>
                </w:tcPr>
                <w:p w14:paraId="5BE6AA19">
                  <w:pPr>
                    <w:pStyle w:val="6"/>
                    <w:adjustRightInd w:val="0"/>
                    <w:snapToGrid w:val="0"/>
                    <w:spacing w:before="0" w:line="240" w:lineRule="auto"/>
                    <w:ind w:firstLine="0" w:firstLineChars="0"/>
                    <w:jc w:val="center"/>
                    <w:rPr>
                      <w:color w:val="auto"/>
                      <w:sz w:val="21"/>
                      <w:szCs w:val="21"/>
                    </w:rPr>
                  </w:pPr>
                </w:p>
              </w:tc>
              <w:tc>
                <w:tcPr>
                  <w:tcW w:w="3613" w:type="dxa"/>
                  <w:vAlign w:val="center"/>
                </w:tcPr>
                <w:p w14:paraId="036728FC">
                  <w:pPr>
                    <w:adjustRightInd w:val="0"/>
                    <w:snapToGrid w:val="0"/>
                    <w:jc w:val="center"/>
                    <w:rPr>
                      <w:color w:val="auto"/>
                      <w:szCs w:val="21"/>
                    </w:rPr>
                  </w:pPr>
                  <w:r>
                    <w:rPr>
                      <w:color w:val="auto"/>
                      <w:szCs w:val="21"/>
                    </w:rPr>
                    <w:t>危险废物专用收集容器</w:t>
                  </w:r>
                </w:p>
              </w:tc>
              <w:tc>
                <w:tcPr>
                  <w:tcW w:w="689" w:type="dxa"/>
                  <w:vAlign w:val="center"/>
                </w:tcPr>
                <w:p w14:paraId="2342155C">
                  <w:pPr>
                    <w:adjustRightInd w:val="0"/>
                    <w:snapToGrid w:val="0"/>
                    <w:jc w:val="center"/>
                    <w:rPr>
                      <w:color w:val="auto"/>
                      <w:szCs w:val="21"/>
                    </w:rPr>
                  </w:pPr>
                  <w:r>
                    <w:rPr>
                      <w:color w:val="auto"/>
                      <w:szCs w:val="21"/>
                    </w:rPr>
                    <w:t>5个</w:t>
                  </w:r>
                </w:p>
              </w:tc>
              <w:tc>
                <w:tcPr>
                  <w:tcW w:w="1083" w:type="dxa"/>
                  <w:vAlign w:val="center"/>
                </w:tcPr>
                <w:p w14:paraId="2B6E1BFE">
                  <w:pPr>
                    <w:adjustRightInd w:val="0"/>
                    <w:snapToGrid w:val="0"/>
                    <w:jc w:val="center"/>
                    <w:rPr>
                      <w:color w:val="auto"/>
                      <w:szCs w:val="21"/>
                    </w:rPr>
                  </w:pPr>
                  <w:r>
                    <w:rPr>
                      <w:color w:val="auto"/>
                      <w:szCs w:val="21"/>
                    </w:rPr>
                    <w:t>0.</w:t>
                  </w:r>
                  <w:r>
                    <w:rPr>
                      <w:rFonts w:hint="eastAsia"/>
                      <w:color w:val="auto"/>
                      <w:szCs w:val="21"/>
                    </w:rPr>
                    <w:t>1</w:t>
                  </w:r>
                </w:p>
              </w:tc>
              <w:tc>
                <w:tcPr>
                  <w:tcW w:w="723" w:type="dxa"/>
                  <w:vAlign w:val="center"/>
                </w:tcPr>
                <w:p w14:paraId="67FB04C1">
                  <w:pPr>
                    <w:adjustRightInd w:val="0"/>
                    <w:snapToGrid w:val="0"/>
                    <w:jc w:val="center"/>
                    <w:rPr>
                      <w:color w:val="auto"/>
                      <w:szCs w:val="21"/>
                    </w:rPr>
                  </w:pPr>
                  <w:r>
                    <w:rPr>
                      <w:color w:val="auto"/>
                      <w:szCs w:val="21"/>
                    </w:rPr>
                    <w:t>新建</w:t>
                  </w:r>
                </w:p>
              </w:tc>
            </w:tr>
            <w:tr w14:paraId="4E538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25" w:type="dxa"/>
                  <w:vMerge w:val="continue"/>
                  <w:vAlign w:val="center"/>
                </w:tcPr>
                <w:p w14:paraId="36D606EA">
                  <w:pPr>
                    <w:pStyle w:val="6"/>
                    <w:adjustRightInd w:val="0"/>
                    <w:snapToGrid w:val="0"/>
                    <w:spacing w:before="0" w:line="240" w:lineRule="auto"/>
                    <w:ind w:firstLine="0" w:firstLineChars="0"/>
                    <w:jc w:val="center"/>
                    <w:rPr>
                      <w:color w:val="auto"/>
                      <w:sz w:val="21"/>
                      <w:szCs w:val="21"/>
                    </w:rPr>
                  </w:pPr>
                </w:p>
              </w:tc>
              <w:tc>
                <w:tcPr>
                  <w:tcW w:w="1873" w:type="dxa"/>
                  <w:gridSpan w:val="2"/>
                  <w:vMerge w:val="restart"/>
                  <w:vAlign w:val="center"/>
                </w:tcPr>
                <w:p w14:paraId="030107FF">
                  <w:pPr>
                    <w:pStyle w:val="6"/>
                    <w:adjustRightInd w:val="0"/>
                    <w:snapToGrid w:val="0"/>
                    <w:spacing w:before="0" w:line="240" w:lineRule="auto"/>
                    <w:ind w:firstLine="0" w:firstLineChars="0"/>
                    <w:jc w:val="center"/>
                    <w:rPr>
                      <w:color w:val="auto"/>
                      <w:sz w:val="21"/>
                      <w:szCs w:val="21"/>
                    </w:rPr>
                  </w:pPr>
                  <w:r>
                    <w:rPr>
                      <w:rFonts w:hint="eastAsia"/>
                      <w:color w:val="auto"/>
                      <w:sz w:val="21"/>
                      <w:szCs w:val="21"/>
                    </w:rPr>
                    <w:t>环境风险管理</w:t>
                  </w:r>
                </w:p>
              </w:tc>
              <w:tc>
                <w:tcPr>
                  <w:tcW w:w="3613" w:type="dxa"/>
                  <w:vAlign w:val="center"/>
                </w:tcPr>
                <w:p w14:paraId="40DA1BB0">
                  <w:pPr>
                    <w:adjustRightInd w:val="0"/>
                    <w:snapToGrid w:val="0"/>
                    <w:jc w:val="center"/>
                    <w:rPr>
                      <w:color w:val="auto"/>
                      <w:szCs w:val="21"/>
                    </w:rPr>
                  </w:pPr>
                  <w:r>
                    <w:rPr>
                      <w:rFonts w:hint="eastAsia"/>
                      <w:color w:val="auto"/>
                      <w:szCs w:val="21"/>
                    </w:rPr>
                    <w:t>突发环境事件应急预案</w:t>
                  </w:r>
                </w:p>
              </w:tc>
              <w:tc>
                <w:tcPr>
                  <w:tcW w:w="689" w:type="dxa"/>
                  <w:vAlign w:val="center"/>
                </w:tcPr>
                <w:p w14:paraId="22631762">
                  <w:pPr>
                    <w:adjustRightInd w:val="0"/>
                    <w:snapToGrid w:val="0"/>
                    <w:jc w:val="center"/>
                    <w:rPr>
                      <w:color w:val="auto"/>
                      <w:szCs w:val="21"/>
                    </w:rPr>
                  </w:pPr>
                  <w:r>
                    <w:rPr>
                      <w:rFonts w:hint="eastAsia"/>
                      <w:color w:val="auto"/>
                      <w:szCs w:val="21"/>
                    </w:rPr>
                    <w:t>1套</w:t>
                  </w:r>
                </w:p>
              </w:tc>
              <w:tc>
                <w:tcPr>
                  <w:tcW w:w="1083" w:type="dxa"/>
                  <w:vAlign w:val="center"/>
                </w:tcPr>
                <w:p w14:paraId="4F50B558">
                  <w:pPr>
                    <w:adjustRightInd w:val="0"/>
                    <w:snapToGrid w:val="0"/>
                    <w:jc w:val="center"/>
                    <w:rPr>
                      <w:color w:val="auto"/>
                      <w:szCs w:val="21"/>
                    </w:rPr>
                  </w:pPr>
                  <w:r>
                    <w:rPr>
                      <w:rFonts w:hint="eastAsia"/>
                      <w:color w:val="auto"/>
                      <w:szCs w:val="21"/>
                    </w:rPr>
                    <w:t>3</w:t>
                  </w:r>
                </w:p>
              </w:tc>
              <w:tc>
                <w:tcPr>
                  <w:tcW w:w="723" w:type="dxa"/>
                  <w:vAlign w:val="center"/>
                </w:tcPr>
                <w:p w14:paraId="2D4B7F1A">
                  <w:pPr>
                    <w:adjustRightInd w:val="0"/>
                    <w:snapToGrid w:val="0"/>
                    <w:jc w:val="center"/>
                    <w:rPr>
                      <w:color w:val="auto"/>
                      <w:szCs w:val="21"/>
                    </w:rPr>
                  </w:pPr>
                  <w:r>
                    <w:rPr>
                      <w:color w:val="auto"/>
                      <w:szCs w:val="21"/>
                    </w:rPr>
                    <w:t>新</w:t>
                  </w:r>
                  <w:r>
                    <w:rPr>
                      <w:rFonts w:hint="eastAsia"/>
                      <w:color w:val="auto"/>
                      <w:szCs w:val="21"/>
                    </w:rPr>
                    <w:t>增</w:t>
                  </w:r>
                </w:p>
              </w:tc>
            </w:tr>
            <w:tr w14:paraId="790BA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25" w:type="dxa"/>
                  <w:vMerge w:val="continue"/>
                  <w:vAlign w:val="center"/>
                </w:tcPr>
                <w:p w14:paraId="463C689B">
                  <w:pPr>
                    <w:pStyle w:val="6"/>
                    <w:adjustRightInd w:val="0"/>
                    <w:snapToGrid w:val="0"/>
                    <w:spacing w:before="0" w:line="240" w:lineRule="auto"/>
                    <w:ind w:firstLine="0" w:firstLineChars="0"/>
                    <w:jc w:val="center"/>
                    <w:rPr>
                      <w:color w:val="auto"/>
                      <w:sz w:val="21"/>
                      <w:szCs w:val="21"/>
                    </w:rPr>
                  </w:pPr>
                </w:p>
              </w:tc>
              <w:tc>
                <w:tcPr>
                  <w:tcW w:w="1873" w:type="dxa"/>
                  <w:gridSpan w:val="2"/>
                  <w:vMerge w:val="continue"/>
                  <w:vAlign w:val="center"/>
                </w:tcPr>
                <w:p w14:paraId="0D9EC619">
                  <w:pPr>
                    <w:pStyle w:val="6"/>
                    <w:adjustRightInd w:val="0"/>
                    <w:snapToGrid w:val="0"/>
                    <w:spacing w:before="0" w:line="240" w:lineRule="auto"/>
                    <w:ind w:firstLine="0" w:firstLineChars="0"/>
                    <w:jc w:val="center"/>
                    <w:rPr>
                      <w:color w:val="auto"/>
                      <w:sz w:val="21"/>
                      <w:szCs w:val="21"/>
                    </w:rPr>
                  </w:pPr>
                </w:p>
              </w:tc>
              <w:tc>
                <w:tcPr>
                  <w:tcW w:w="3613" w:type="dxa"/>
                  <w:vAlign w:val="center"/>
                </w:tcPr>
                <w:p w14:paraId="171E161A">
                  <w:pPr>
                    <w:adjustRightInd w:val="0"/>
                    <w:snapToGrid w:val="0"/>
                    <w:jc w:val="center"/>
                    <w:rPr>
                      <w:color w:val="auto"/>
                      <w:szCs w:val="21"/>
                    </w:rPr>
                  </w:pPr>
                  <w:r>
                    <w:rPr>
                      <w:rFonts w:hint="eastAsia"/>
                      <w:color w:val="auto"/>
                      <w:szCs w:val="21"/>
                    </w:rPr>
                    <w:t>事故应急池，不小于15m</w:t>
                  </w:r>
                  <w:r>
                    <w:rPr>
                      <w:rFonts w:hint="eastAsia"/>
                      <w:color w:val="auto"/>
                      <w:szCs w:val="21"/>
                      <w:vertAlign w:val="superscript"/>
                    </w:rPr>
                    <w:t>3</w:t>
                  </w:r>
                </w:p>
              </w:tc>
              <w:tc>
                <w:tcPr>
                  <w:tcW w:w="689" w:type="dxa"/>
                  <w:vAlign w:val="center"/>
                </w:tcPr>
                <w:p w14:paraId="432C02C0">
                  <w:pPr>
                    <w:adjustRightInd w:val="0"/>
                    <w:snapToGrid w:val="0"/>
                    <w:jc w:val="center"/>
                    <w:rPr>
                      <w:color w:val="auto"/>
                      <w:szCs w:val="21"/>
                    </w:rPr>
                  </w:pPr>
                  <w:r>
                    <w:rPr>
                      <w:rFonts w:hint="eastAsia"/>
                      <w:color w:val="auto"/>
                      <w:szCs w:val="21"/>
                    </w:rPr>
                    <w:t>1座</w:t>
                  </w:r>
                </w:p>
              </w:tc>
              <w:tc>
                <w:tcPr>
                  <w:tcW w:w="1083" w:type="dxa"/>
                  <w:vAlign w:val="center"/>
                </w:tcPr>
                <w:p w14:paraId="30A0D6F9">
                  <w:pPr>
                    <w:adjustRightInd w:val="0"/>
                    <w:snapToGrid w:val="0"/>
                    <w:jc w:val="center"/>
                    <w:rPr>
                      <w:color w:val="auto"/>
                      <w:szCs w:val="21"/>
                    </w:rPr>
                  </w:pPr>
                  <w:r>
                    <w:rPr>
                      <w:rFonts w:hint="eastAsia"/>
                      <w:color w:val="auto"/>
                      <w:szCs w:val="21"/>
                    </w:rPr>
                    <w:t>5</w:t>
                  </w:r>
                </w:p>
              </w:tc>
              <w:tc>
                <w:tcPr>
                  <w:tcW w:w="723" w:type="dxa"/>
                  <w:vAlign w:val="center"/>
                </w:tcPr>
                <w:p w14:paraId="7A948C5F">
                  <w:pPr>
                    <w:adjustRightInd w:val="0"/>
                    <w:snapToGrid w:val="0"/>
                    <w:jc w:val="center"/>
                    <w:rPr>
                      <w:color w:val="auto"/>
                      <w:szCs w:val="21"/>
                    </w:rPr>
                  </w:pPr>
                  <w:r>
                    <w:rPr>
                      <w:rFonts w:hint="eastAsia"/>
                      <w:color w:val="auto"/>
                      <w:szCs w:val="21"/>
                    </w:rPr>
                    <w:t>新建</w:t>
                  </w:r>
                </w:p>
              </w:tc>
            </w:tr>
            <w:tr w14:paraId="49B2F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600" w:type="dxa"/>
                  <w:gridSpan w:val="5"/>
                  <w:vAlign w:val="center"/>
                </w:tcPr>
                <w:p w14:paraId="679CAB27">
                  <w:pPr>
                    <w:adjustRightInd w:val="0"/>
                    <w:snapToGrid w:val="0"/>
                    <w:jc w:val="center"/>
                    <w:rPr>
                      <w:color w:val="auto"/>
                      <w:szCs w:val="21"/>
                    </w:rPr>
                  </w:pPr>
                  <w:r>
                    <w:rPr>
                      <w:color w:val="auto"/>
                      <w:szCs w:val="21"/>
                    </w:rPr>
                    <w:t>合计</w:t>
                  </w:r>
                </w:p>
              </w:tc>
              <w:tc>
                <w:tcPr>
                  <w:tcW w:w="1083" w:type="dxa"/>
                  <w:vAlign w:val="center"/>
                </w:tcPr>
                <w:p w14:paraId="7425C20C">
                  <w:pPr>
                    <w:adjustRightInd w:val="0"/>
                    <w:snapToGrid w:val="0"/>
                    <w:jc w:val="center"/>
                    <w:rPr>
                      <w:color w:val="auto"/>
                      <w:szCs w:val="21"/>
                    </w:rPr>
                  </w:pPr>
                  <w:r>
                    <w:rPr>
                      <w:rFonts w:hint="eastAsia"/>
                      <w:color w:val="auto"/>
                      <w:szCs w:val="21"/>
                    </w:rPr>
                    <w:t>28</w:t>
                  </w:r>
                </w:p>
              </w:tc>
              <w:tc>
                <w:tcPr>
                  <w:tcW w:w="723" w:type="dxa"/>
                  <w:vAlign w:val="center"/>
                </w:tcPr>
                <w:p w14:paraId="72D730F3">
                  <w:pPr>
                    <w:adjustRightInd w:val="0"/>
                    <w:snapToGrid w:val="0"/>
                    <w:jc w:val="center"/>
                    <w:rPr>
                      <w:color w:val="auto"/>
                      <w:szCs w:val="21"/>
                    </w:rPr>
                  </w:pPr>
                  <w:r>
                    <w:rPr>
                      <w:color w:val="auto"/>
                      <w:szCs w:val="21"/>
                    </w:rPr>
                    <w:t>/</w:t>
                  </w:r>
                </w:p>
              </w:tc>
            </w:tr>
          </w:tbl>
          <w:p w14:paraId="6AD15A15">
            <w:pPr>
              <w:pStyle w:val="73"/>
              <w:adjustRightInd/>
              <w:ind w:firstLine="482"/>
              <w:rPr>
                <w:b/>
                <w:bCs/>
                <w:color w:val="auto"/>
              </w:rPr>
            </w:pPr>
            <w:r>
              <w:rPr>
                <w:rFonts w:hint="eastAsia"/>
                <w:b/>
                <w:bCs/>
                <w:color w:val="auto"/>
              </w:rPr>
              <w:t>10、水量平衡</w:t>
            </w:r>
          </w:p>
          <w:p w14:paraId="2804DD1F">
            <w:pPr>
              <w:adjustRightInd w:val="0"/>
              <w:snapToGrid w:val="0"/>
              <w:spacing w:line="360" w:lineRule="auto"/>
              <w:ind w:firstLine="480" w:firstLineChars="200"/>
              <w:rPr>
                <w:color w:val="auto"/>
                <w:sz w:val="24"/>
              </w:rPr>
            </w:pPr>
            <w:r>
              <w:rPr>
                <w:rFonts w:hint="eastAsia"/>
                <w:color w:val="auto"/>
                <w:sz w:val="24"/>
              </w:rPr>
              <w:t>项目生产过程无废水产生，运营期用水主要为员工生活用水、绿化及道路洒水降尘用水。</w:t>
            </w:r>
          </w:p>
          <w:p w14:paraId="02399DEC">
            <w:pPr>
              <w:adjustRightInd w:val="0"/>
              <w:snapToGrid w:val="0"/>
              <w:spacing w:line="360" w:lineRule="auto"/>
              <w:ind w:firstLine="480" w:firstLineChars="200"/>
              <w:rPr>
                <w:color w:val="auto"/>
                <w:sz w:val="24"/>
              </w:rPr>
            </w:pPr>
            <w:r>
              <w:rPr>
                <w:rFonts w:hint="eastAsia"/>
                <w:color w:val="auto"/>
                <w:sz w:val="24"/>
              </w:rPr>
              <w:t>（1）生活用水</w:t>
            </w:r>
          </w:p>
          <w:p w14:paraId="537DA856">
            <w:pPr>
              <w:adjustRightInd w:val="0"/>
              <w:snapToGrid w:val="0"/>
              <w:spacing w:line="360" w:lineRule="auto"/>
              <w:ind w:firstLine="480" w:firstLineChars="200"/>
              <w:rPr>
                <w:color w:val="auto"/>
                <w:sz w:val="24"/>
              </w:rPr>
            </w:pPr>
            <w:r>
              <w:rPr>
                <w:color w:val="auto"/>
                <w:sz w:val="24"/>
              </w:rPr>
              <w:t>根据《云南省地方标准用水定额》</w:t>
            </w:r>
            <w:r>
              <w:rPr>
                <w:rFonts w:hint="eastAsia"/>
                <w:color w:val="auto"/>
                <w:sz w:val="24"/>
              </w:rPr>
              <w:t>（</w:t>
            </w:r>
            <w:r>
              <w:rPr>
                <w:color w:val="auto"/>
                <w:sz w:val="24"/>
              </w:rPr>
              <w:t>DB53/T168-201</w:t>
            </w:r>
            <w:r>
              <w:rPr>
                <w:rFonts w:hint="eastAsia"/>
                <w:color w:val="auto"/>
                <w:sz w:val="24"/>
              </w:rPr>
              <w:t>9）</w:t>
            </w:r>
            <w:r>
              <w:rPr>
                <w:color w:val="auto"/>
                <w:sz w:val="24"/>
              </w:rPr>
              <w:t>规定-城镇居民生活用水量按100L/（人·d）计</w:t>
            </w:r>
            <w:r>
              <w:rPr>
                <w:rFonts w:hint="eastAsia"/>
                <w:color w:val="auto"/>
                <w:sz w:val="24"/>
              </w:rPr>
              <w:t>，因本项目不设食堂，故本项目员工生活用水量按80L/（人·d）计，</w:t>
            </w:r>
            <w:r>
              <w:rPr>
                <w:color w:val="auto"/>
                <w:sz w:val="24"/>
                <w:lang w:val="zh-CN"/>
              </w:rPr>
              <w:t>项目区</w:t>
            </w:r>
            <w:r>
              <w:rPr>
                <w:rFonts w:hint="eastAsia"/>
                <w:color w:val="auto"/>
                <w:sz w:val="24"/>
              </w:rPr>
              <w:t>工作人员16</w:t>
            </w:r>
            <w:r>
              <w:rPr>
                <w:color w:val="auto"/>
                <w:sz w:val="24"/>
                <w:lang w:val="zh-CN"/>
              </w:rPr>
              <w:t>人</w:t>
            </w:r>
            <w:r>
              <w:rPr>
                <w:rFonts w:hint="eastAsia"/>
                <w:color w:val="auto"/>
                <w:sz w:val="24"/>
                <w:lang w:val="zh-CN"/>
              </w:rPr>
              <w:t>，则</w:t>
            </w:r>
            <w:r>
              <w:rPr>
                <w:rFonts w:hint="eastAsia"/>
                <w:color w:val="auto"/>
                <w:sz w:val="24"/>
              </w:rPr>
              <w:t>生活用水量为1.28</w:t>
            </w:r>
            <w:r>
              <w:rPr>
                <w:color w:val="auto"/>
                <w:sz w:val="24"/>
              </w:rPr>
              <w:t>m</w:t>
            </w:r>
            <w:r>
              <w:rPr>
                <w:color w:val="auto"/>
                <w:sz w:val="24"/>
                <w:vertAlign w:val="superscript"/>
              </w:rPr>
              <w:t>3</w:t>
            </w:r>
            <w:r>
              <w:rPr>
                <w:color w:val="auto"/>
                <w:sz w:val="24"/>
              </w:rPr>
              <w:t>/d，</w:t>
            </w:r>
            <w:r>
              <w:rPr>
                <w:rFonts w:hint="eastAsia"/>
                <w:color w:val="auto"/>
                <w:sz w:val="24"/>
              </w:rPr>
              <w:t>384</w:t>
            </w:r>
            <w:r>
              <w:rPr>
                <w:color w:val="auto"/>
                <w:sz w:val="24"/>
              </w:rPr>
              <w:t>m</w:t>
            </w:r>
            <w:r>
              <w:rPr>
                <w:color w:val="auto"/>
                <w:sz w:val="24"/>
                <w:vertAlign w:val="superscript"/>
              </w:rPr>
              <w:t>3</w:t>
            </w:r>
            <w:r>
              <w:rPr>
                <w:color w:val="auto"/>
                <w:sz w:val="24"/>
              </w:rPr>
              <w:t>/a。废水产生量按用水量的80%计，则废水量为</w:t>
            </w:r>
            <w:r>
              <w:rPr>
                <w:rFonts w:hint="eastAsia"/>
                <w:color w:val="auto"/>
                <w:sz w:val="24"/>
              </w:rPr>
              <w:t>1.024</w:t>
            </w:r>
            <w:r>
              <w:rPr>
                <w:color w:val="auto"/>
                <w:sz w:val="24"/>
              </w:rPr>
              <w:t>m</w:t>
            </w:r>
            <w:r>
              <w:rPr>
                <w:color w:val="auto"/>
                <w:sz w:val="24"/>
                <w:vertAlign w:val="superscript"/>
              </w:rPr>
              <w:t>3</w:t>
            </w:r>
            <w:r>
              <w:rPr>
                <w:color w:val="auto"/>
                <w:sz w:val="24"/>
              </w:rPr>
              <w:t>/d</w:t>
            </w:r>
            <w:r>
              <w:rPr>
                <w:rFonts w:hint="eastAsia"/>
                <w:color w:val="auto"/>
                <w:sz w:val="24"/>
                <w:lang w:val="zh-CN"/>
              </w:rPr>
              <w:t>，</w:t>
            </w:r>
            <w:r>
              <w:rPr>
                <w:rFonts w:hint="eastAsia"/>
                <w:color w:val="auto"/>
                <w:sz w:val="24"/>
              </w:rPr>
              <w:t>307.2</w:t>
            </w:r>
            <w:r>
              <w:rPr>
                <w:color w:val="auto"/>
                <w:sz w:val="24"/>
                <w:lang w:val="zh-CN"/>
              </w:rPr>
              <w:t>m</w:t>
            </w:r>
            <w:r>
              <w:rPr>
                <w:rFonts w:hint="eastAsia"/>
                <w:color w:val="auto"/>
                <w:sz w:val="24"/>
                <w:vertAlign w:val="superscript"/>
              </w:rPr>
              <w:t>3</w:t>
            </w:r>
            <w:r>
              <w:rPr>
                <w:color w:val="auto"/>
                <w:sz w:val="24"/>
                <w:lang w:val="zh-CN"/>
              </w:rPr>
              <w:t>/a</w:t>
            </w:r>
            <w:r>
              <w:rPr>
                <w:color w:val="auto"/>
                <w:sz w:val="24"/>
              </w:rPr>
              <w:t>。</w:t>
            </w:r>
          </w:p>
          <w:p w14:paraId="1244947F">
            <w:pPr>
              <w:adjustRightInd w:val="0"/>
              <w:snapToGrid w:val="0"/>
              <w:spacing w:line="360" w:lineRule="auto"/>
              <w:ind w:firstLine="480" w:firstLineChars="200"/>
              <w:rPr>
                <w:color w:val="auto"/>
                <w:sz w:val="24"/>
              </w:rPr>
            </w:pPr>
            <w:r>
              <w:rPr>
                <w:color w:val="auto"/>
                <w:sz w:val="24"/>
              </w:rPr>
              <w:t>依托使用寻甸荣禾工贸有限公司已建容积为</w:t>
            </w:r>
            <w:r>
              <w:rPr>
                <w:rFonts w:hint="eastAsia"/>
                <w:color w:val="auto"/>
                <w:sz w:val="24"/>
              </w:rPr>
              <w:t>5</w:t>
            </w:r>
            <w:r>
              <w:rPr>
                <w:color w:val="auto"/>
                <w:sz w:val="24"/>
              </w:rPr>
              <w:t>m</w:t>
            </w:r>
            <w:r>
              <w:rPr>
                <w:color w:val="auto"/>
                <w:sz w:val="24"/>
                <w:vertAlign w:val="superscript"/>
              </w:rPr>
              <w:t>3</w:t>
            </w:r>
            <w:r>
              <w:rPr>
                <w:color w:val="auto"/>
                <w:sz w:val="24"/>
              </w:rPr>
              <w:t>的化粪池</w:t>
            </w:r>
            <w:r>
              <w:rPr>
                <w:rFonts w:hint="eastAsia"/>
                <w:color w:val="auto"/>
                <w:sz w:val="24"/>
              </w:rPr>
              <w:t>和</w:t>
            </w:r>
            <w:r>
              <w:rPr>
                <w:color w:val="auto"/>
                <w:sz w:val="24"/>
              </w:rPr>
              <w:t>1座处理规模为</w:t>
            </w:r>
            <w:r>
              <w:rPr>
                <w:rFonts w:hint="eastAsia"/>
                <w:color w:val="auto"/>
                <w:sz w:val="24"/>
              </w:rPr>
              <w:t>5</w:t>
            </w:r>
            <w:r>
              <w:rPr>
                <w:color w:val="auto"/>
                <w:sz w:val="24"/>
              </w:rPr>
              <w:t>m</w:t>
            </w:r>
            <w:r>
              <w:rPr>
                <w:color w:val="auto"/>
                <w:sz w:val="24"/>
                <w:vertAlign w:val="superscript"/>
              </w:rPr>
              <w:t>3</w:t>
            </w:r>
            <w:r>
              <w:rPr>
                <w:color w:val="auto"/>
                <w:sz w:val="24"/>
              </w:rPr>
              <w:t>/d的一体化污水处理站。</w:t>
            </w:r>
            <w:r>
              <w:rPr>
                <w:rFonts w:hint="eastAsia"/>
                <w:color w:val="auto"/>
                <w:sz w:val="24"/>
              </w:rPr>
              <w:t>项目</w:t>
            </w:r>
            <w:r>
              <w:rPr>
                <w:color w:val="auto"/>
                <w:sz w:val="24"/>
              </w:rPr>
              <w:t>生活污水经化粪池</w:t>
            </w:r>
            <w:r>
              <w:rPr>
                <w:rFonts w:hint="eastAsia"/>
                <w:color w:val="auto"/>
                <w:sz w:val="24"/>
              </w:rPr>
              <w:t>预处理后至污水处理站</w:t>
            </w:r>
            <w:r>
              <w:rPr>
                <w:color w:val="auto"/>
                <w:sz w:val="24"/>
              </w:rPr>
              <w:t>处理达到《城市污水再生利用城市杂用水水质》（GB/T18920-20</w:t>
            </w:r>
            <w:r>
              <w:rPr>
                <w:rFonts w:hint="eastAsia"/>
                <w:color w:val="auto"/>
                <w:sz w:val="24"/>
              </w:rPr>
              <w:t>20</w:t>
            </w:r>
            <w:r>
              <w:rPr>
                <w:color w:val="auto"/>
                <w:sz w:val="24"/>
              </w:rPr>
              <w:t>）中</w:t>
            </w:r>
            <w:r>
              <w:rPr>
                <w:rFonts w:hint="eastAsia"/>
                <w:color w:val="auto"/>
                <w:sz w:val="24"/>
              </w:rPr>
              <w:t>城市绿化、道路清扫、消防、建筑施工</w:t>
            </w:r>
            <w:r>
              <w:rPr>
                <w:color w:val="auto"/>
                <w:sz w:val="24"/>
              </w:rPr>
              <w:t>标准</w:t>
            </w:r>
            <w:r>
              <w:rPr>
                <w:rFonts w:hint="eastAsia"/>
                <w:color w:val="auto"/>
                <w:sz w:val="24"/>
              </w:rPr>
              <w:t>后，</w:t>
            </w:r>
            <w:r>
              <w:rPr>
                <w:color w:val="auto"/>
                <w:sz w:val="24"/>
              </w:rPr>
              <w:t>回用于绿化</w:t>
            </w:r>
            <w:r>
              <w:rPr>
                <w:rFonts w:hint="eastAsia"/>
                <w:color w:val="auto"/>
                <w:sz w:val="24"/>
              </w:rPr>
              <w:t>及道路洒水降尘，</w:t>
            </w:r>
            <w:r>
              <w:rPr>
                <w:color w:val="auto"/>
                <w:sz w:val="24"/>
              </w:rPr>
              <w:t>不外排。</w:t>
            </w:r>
          </w:p>
          <w:p w14:paraId="75BC64AD">
            <w:pPr>
              <w:adjustRightInd w:val="0"/>
              <w:snapToGrid w:val="0"/>
              <w:spacing w:line="360" w:lineRule="auto"/>
              <w:ind w:firstLine="480" w:firstLineChars="200"/>
              <w:rPr>
                <w:color w:val="auto"/>
                <w:sz w:val="24"/>
              </w:rPr>
            </w:pPr>
            <w:r>
              <w:rPr>
                <w:rFonts w:hint="eastAsia"/>
                <w:color w:val="auto"/>
                <w:sz w:val="24"/>
              </w:rPr>
              <w:t>（2）生产用水</w:t>
            </w:r>
          </w:p>
          <w:p w14:paraId="6EA5082C">
            <w:pPr>
              <w:adjustRightInd w:val="0"/>
              <w:snapToGrid w:val="0"/>
              <w:spacing w:line="360" w:lineRule="auto"/>
              <w:ind w:firstLine="480" w:firstLineChars="200"/>
              <w:rPr>
                <w:color w:val="auto"/>
                <w:sz w:val="24"/>
              </w:rPr>
            </w:pPr>
            <w:r>
              <w:rPr>
                <w:rFonts w:hint="eastAsia"/>
                <w:color w:val="auto"/>
                <w:sz w:val="24"/>
              </w:rPr>
              <w:t>生产用水主要为</w:t>
            </w:r>
            <w:r>
              <w:rPr>
                <w:rFonts w:hint="eastAsia"/>
                <w:color w:val="auto"/>
                <w:sz w:val="24"/>
                <w:lang w:eastAsia="zh-CN"/>
              </w:rPr>
              <w:t>调剂</w:t>
            </w:r>
            <w:r>
              <w:rPr>
                <w:rFonts w:hint="eastAsia"/>
                <w:color w:val="auto"/>
                <w:sz w:val="24"/>
              </w:rPr>
              <w:t>用水。</w:t>
            </w:r>
          </w:p>
          <w:p w14:paraId="247A2B59">
            <w:pPr>
              <w:adjustRightInd w:val="0"/>
              <w:snapToGrid w:val="0"/>
              <w:spacing w:line="360" w:lineRule="auto"/>
              <w:ind w:firstLine="480" w:firstLineChars="200"/>
              <w:rPr>
                <w:color w:val="auto"/>
                <w:sz w:val="24"/>
              </w:rPr>
            </w:pPr>
            <w:r>
              <w:rPr>
                <w:color w:val="auto"/>
                <w:sz w:val="24"/>
              </w:rPr>
              <w:t>项目浸胶时所用的成品三聚氰胺甲醛树脂胶使用时需添加生水将成品胶调配至一定浓稠度才能使用。根据建设单位提供的经验数值，三聚氰胺甲醛树脂胶和水的调配比例为1：0.6，项目成品胶的年使用量为</w:t>
            </w:r>
            <w:r>
              <w:rPr>
                <w:rFonts w:hint="eastAsia"/>
                <w:color w:val="auto"/>
                <w:sz w:val="24"/>
              </w:rPr>
              <w:t>190.6</w:t>
            </w:r>
            <w:r>
              <w:rPr>
                <w:color w:val="auto"/>
                <w:sz w:val="24"/>
              </w:rPr>
              <w:t>t，则用水量为</w:t>
            </w:r>
            <w:r>
              <w:rPr>
                <w:rFonts w:hint="eastAsia"/>
                <w:color w:val="auto"/>
                <w:sz w:val="24"/>
              </w:rPr>
              <w:t>114.36</w:t>
            </w:r>
            <w:r>
              <w:rPr>
                <w:color w:val="auto"/>
                <w:sz w:val="24"/>
              </w:rPr>
              <w:t>t/a，</w:t>
            </w:r>
            <w:r>
              <w:rPr>
                <w:rFonts w:hint="eastAsia"/>
                <w:color w:val="auto"/>
                <w:sz w:val="24"/>
              </w:rPr>
              <w:t>0.381</w:t>
            </w:r>
            <w:r>
              <w:rPr>
                <w:color w:val="auto"/>
                <w:sz w:val="24"/>
              </w:rPr>
              <w:t>t/d。生产过程中中消耗完全，不产生废水。</w:t>
            </w:r>
          </w:p>
          <w:p w14:paraId="5EA4BCBE">
            <w:pPr>
              <w:adjustRightInd w:val="0"/>
              <w:snapToGrid w:val="0"/>
              <w:spacing w:line="360" w:lineRule="auto"/>
              <w:ind w:firstLine="480" w:firstLineChars="200"/>
              <w:rPr>
                <w:color w:val="auto"/>
                <w:sz w:val="24"/>
              </w:rPr>
            </w:pPr>
            <w:r>
              <w:rPr>
                <w:color w:val="auto"/>
                <w:sz w:val="24"/>
              </w:rPr>
              <w:t>（3）绿化及道路洒水降尘用水</w:t>
            </w:r>
          </w:p>
          <w:p w14:paraId="71A7219D">
            <w:pPr>
              <w:adjustRightInd w:val="0"/>
              <w:snapToGrid w:val="0"/>
              <w:spacing w:line="360" w:lineRule="auto"/>
              <w:ind w:firstLine="480" w:firstLineChars="200"/>
              <w:rPr>
                <w:color w:val="auto"/>
                <w:sz w:val="24"/>
              </w:rPr>
            </w:pPr>
            <w:r>
              <w:rPr>
                <w:color w:val="auto"/>
                <w:sz w:val="24"/>
              </w:rPr>
              <w:t>项目区</w:t>
            </w:r>
            <w:r>
              <w:rPr>
                <w:rFonts w:hint="eastAsia"/>
                <w:color w:val="auto"/>
                <w:sz w:val="24"/>
              </w:rPr>
              <w:t>位于综合楼北侧有 140m</w:t>
            </w:r>
            <w:r>
              <w:rPr>
                <w:rFonts w:hint="eastAsia"/>
                <w:color w:val="auto"/>
                <w:sz w:val="24"/>
                <w:vertAlign w:val="superscript"/>
              </w:rPr>
              <w:t>2</w:t>
            </w:r>
            <w:r>
              <w:rPr>
                <w:rFonts w:hint="eastAsia"/>
                <w:color w:val="auto"/>
                <w:sz w:val="24"/>
              </w:rPr>
              <w:t>的绿化面积，项目区道路面积</w:t>
            </w:r>
            <w:r>
              <w:rPr>
                <w:color w:val="auto"/>
                <w:sz w:val="24"/>
              </w:rPr>
              <w:t>约为</w:t>
            </w:r>
            <w:r>
              <w:rPr>
                <w:rFonts w:hint="eastAsia"/>
                <w:color w:val="auto"/>
                <w:sz w:val="24"/>
              </w:rPr>
              <w:t>510</w:t>
            </w:r>
            <w:r>
              <w:rPr>
                <w:color w:val="auto"/>
                <w:sz w:val="24"/>
              </w:rPr>
              <w:t>m</w:t>
            </w:r>
            <w:r>
              <w:rPr>
                <w:color w:val="auto"/>
                <w:sz w:val="24"/>
                <w:vertAlign w:val="superscript"/>
              </w:rPr>
              <w:t>2</w:t>
            </w:r>
            <w:r>
              <w:rPr>
                <w:color w:val="auto"/>
                <w:sz w:val="24"/>
              </w:rPr>
              <w:t>，根据《云南省地方标准 用水定额》（DB53/168-2019），园林绿化用水定额3L/(m</w:t>
            </w:r>
            <w:r>
              <w:rPr>
                <w:color w:val="auto"/>
                <w:sz w:val="24"/>
                <w:vertAlign w:val="superscript"/>
              </w:rPr>
              <w:t>2</w:t>
            </w:r>
            <w:r>
              <w:rPr>
                <w:color w:val="auto"/>
                <w:sz w:val="24"/>
              </w:rPr>
              <w:t>·次)，场地浇洒用水定额2L/(m</w:t>
            </w:r>
            <w:r>
              <w:rPr>
                <w:color w:val="auto"/>
                <w:sz w:val="24"/>
                <w:vertAlign w:val="superscript"/>
              </w:rPr>
              <w:t>2</w:t>
            </w:r>
            <w:r>
              <w:rPr>
                <w:color w:val="auto"/>
                <w:sz w:val="24"/>
              </w:rPr>
              <w:t>·次)。项目非雨天每天浇洒一次，则项目绿化及道路洒水降尘用水量为</w:t>
            </w:r>
            <w:r>
              <w:rPr>
                <w:rFonts w:hint="eastAsia"/>
                <w:color w:val="auto"/>
                <w:sz w:val="24"/>
              </w:rPr>
              <w:t>1.44</w:t>
            </w:r>
            <w:r>
              <w:rPr>
                <w:color w:val="auto"/>
                <w:sz w:val="24"/>
              </w:rPr>
              <w:t>m</w:t>
            </w:r>
            <w:r>
              <w:rPr>
                <w:color w:val="auto"/>
                <w:sz w:val="24"/>
                <w:vertAlign w:val="superscript"/>
              </w:rPr>
              <w:t>3</w:t>
            </w:r>
            <w:r>
              <w:rPr>
                <w:color w:val="auto"/>
                <w:sz w:val="24"/>
              </w:rPr>
              <w:t>/d，</w:t>
            </w:r>
            <w:r>
              <w:rPr>
                <w:rFonts w:hint="eastAsia"/>
                <w:color w:val="auto"/>
                <w:sz w:val="24"/>
              </w:rPr>
              <w:t>316.8</w:t>
            </w:r>
            <w:r>
              <w:rPr>
                <w:color w:val="auto"/>
                <w:sz w:val="24"/>
              </w:rPr>
              <w:t>m</w:t>
            </w:r>
            <w:r>
              <w:rPr>
                <w:color w:val="auto"/>
                <w:sz w:val="24"/>
                <w:vertAlign w:val="superscript"/>
              </w:rPr>
              <w:t>3</w:t>
            </w:r>
            <w:r>
              <w:rPr>
                <w:color w:val="auto"/>
                <w:sz w:val="24"/>
              </w:rPr>
              <w:t>/a（非雨天按2</w:t>
            </w:r>
            <w:r>
              <w:rPr>
                <w:rFonts w:hint="eastAsia"/>
                <w:color w:val="auto"/>
                <w:sz w:val="24"/>
              </w:rPr>
              <w:t>2</w:t>
            </w:r>
            <w:r>
              <w:rPr>
                <w:color w:val="auto"/>
                <w:sz w:val="24"/>
              </w:rPr>
              <w:t>0d计）。绿化用水使用污水处理站处理达标的中水，不够部分新鲜水补充。项目绿化及道路洒水全部被植物吸收或蒸发消耗，不产生废水。</w:t>
            </w:r>
          </w:p>
          <w:p w14:paraId="0DFEDCB7">
            <w:pPr>
              <w:adjustRightInd w:val="0"/>
              <w:snapToGrid w:val="0"/>
              <w:spacing w:line="360" w:lineRule="auto"/>
              <w:ind w:firstLine="480" w:firstLineChars="200"/>
              <w:rPr>
                <w:color w:val="auto"/>
                <w:sz w:val="24"/>
              </w:rPr>
            </w:pPr>
            <w:r>
              <w:rPr>
                <w:color w:val="auto"/>
                <w:sz w:val="24"/>
              </w:rPr>
              <w:t>项目</w:t>
            </w:r>
            <w:r>
              <w:rPr>
                <w:rFonts w:hint="eastAsia"/>
                <w:color w:val="auto"/>
                <w:sz w:val="24"/>
              </w:rPr>
              <w:t>用排水</w:t>
            </w:r>
            <w:r>
              <w:rPr>
                <w:color w:val="auto"/>
                <w:sz w:val="24"/>
              </w:rPr>
              <w:t>情况详见表</w:t>
            </w:r>
            <w:r>
              <w:rPr>
                <w:rFonts w:hint="eastAsia"/>
                <w:color w:val="auto"/>
                <w:sz w:val="24"/>
              </w:rPr>
              <w:t>2</w:t>
            </w:r>
            <w:r>
              <w:rPr>
                <w:color w:val="auto"/>
                <w:sz w:val="24"/>
              </w:rPr>
              <w:t>-</w:t>
            </w:r>
            <w:r>
              <w:rPr>
                <w:rFonts w:hint="eastAsia"/>
                <w:color w:val="auto"/>
                <w:sz w:val="24"/>
              </w:rPr>
              <w:t>7</w:t>
            </w:r>
            <w:r>
              <w:rPr>
                <w:color w:val="auto"/>
                <w:sz w:val="24"/>
              </w:rPr>
              <w:t>，项目水量平衡图详见图</w:t>
            </w:r>
            <w:r>
              <w:rPr>
                <w:rFonts w:hint="eastAsia"/>
                <w:color w:val="auto"/>
                <w:sz w:val="24"/>
              </w:rPr>
              <w:t>2</w:t>
            </w:r>
            <w:r>
              <w:rPr>
                <w:color w:val="auto"/>
                <w:sz w:val="24"/>
              </w:rPr>
              <w:t>-</w:t>
            </w:r>
            <w:r>
              <w:rPr>
                <w:rFonts w:hint="eastAsia"/>
                <w:color w:val="auto"/>
                <w:sz w:val="24"/>
              </w:rPr>
              <w:t>1</w:t>
            </w:r>
            <w:r>
              <w:rPr>
                <w:color w:val="auto"/>
                <w:sz w:val="24"/>
              </w:rPr>
              <w:t>。</w:t>
            </w:r>
          </w:p>
          <w:p w14:paraId="256D5DA0">
            <w:pPr>
              <w:jc w:val="center"/>
              <w:rPr>
                <w:b/>
                <w:bCs/>
                <w:color w:val="auto"/>
              </w:rPr>
            </w:pPr>
            <w:r>
              <w:rPr>
                <w:b/>
                <w:bCs/>
                <w:color w:val="auto"/>
              </w:rPr>
              <w:t>表</w:t>
            </w:r>
            <w:r>
              <w:rPr>
                <w:rFonts w:hint="eastAsia"/>
                <w:b/>
                <w:bCs/>
                <w:color w:val="auto"/>
              </w:rPr>
              <w:t>2</w:t>
            </w:r>
            <w:r>
              <w:rPr>
                <w:b/>
                <w:bCs/>
                <w:color w:val="auto"/>
              </w:rPr>
              <w:t>-</w:t>
            </w:r>
            <w:r>
              <w:rPr>
                <w:rFonts w:hint="eastAsia"/>
                <w:b/>
                <w:bCs/>
                <w:color w:val="auto"/>
              </w:rPr>
              <w:t xml:space="preserve">7  </w:t>
            </w:r>
            <w:r>
              <w:rPr>
                <w:b/>
                <w:bCs/>
                <w:color w:val="auto"/>
              </w:rPr>
              <w:t>项目</w:t>
            </w:r>
            <w:r>
              <w:rPr>
                <w:rFonts w:hint="eastAsia"/>
                <w:b/>
                <w:bCs/>
                <w:color w:val="auto"/>
              </w:rPr>
              <w:t>用排水</w:t>
            </w:r>
            <w:r>
              <w:rPr>
                <w:b/>
                <w:bCs/>
                <w:color w:val="auto"/>
              </w:rPr>
              <w:t>情况</w:t>
            </w:r>
          </w:p>
          <w:tbl>
            <w:tblPr>
              <w:tblStyle w:val="31"/>
              <w:tblW w:w="84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212"/>
              <w:gridCol w:w="1387"/>
              <w:gridCol w:w="1379"/>
              <w:gridCol w:w="720"/>
              <w:gridCol w:w="765"/>
              <w:gridCol w:w="2312"/>
            </w:tblGrid>
            <w:tr w14:paraId="0DEE9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31" w:type="dxa"/>
                  <w:vMerge w:val="restart"/>
                  <w:vAlign w:val="center"/>
                </w:tcPr>
                <w:p w14:paraId="5002E992">
                  <w:pPr>
                    <w:adjustRightInd w:val="0"/>
                    <w:snapToGrid w:val="0"/>
                    <w:jc w:val="center"/>
                    <w:rPr>
                      <w:color w:val="auto"/>
                      <w:kern w:val="0"/>
                      <w:szCs w:val="21"/>
                    </w:rPr>
                  </w:pPr>
                  <w:r>
                    <w:rPr>
                      <w:rFonts w:hint="eastAsia"/>
                      <w:color w:val="auto"/>
                      <w:kern w:val="0"/>
                      <w:szCs w:val="21"/>
                    </w:rPr>
                    <w:t>序号</w:t>
                  </w:r>
                </w:p>
              </w:tc>
              <w:tc>
                <w:tcPr>
                  <w:tcW w:w="1212" w:type="dxa"/>
                  <w:vMerge w:val="restart"/>
                  <w:vAlign w:val="center"/>
                </w:tcPr>
                <w:p w14:paraId="4668181F">
                  <w:pPr>
                    <w:adjustRightInd w:val="0"/>
                    <w:snapToGrid w:val="0"/>
                    <w:jc w:val="center"/>
                    <w:rPr>
                      <w:color w:val="auto"/>
                      <w:kern w:val="0"/>
                      <w:szCs w:val="21"/>
                    </w:rPr>
                  </w:pPr>
                  <w:r>
                    <w:rPr>
                      <w:rFonts w:hint="eastAsia"/>
                      <w:color w:val="auto"/>
                      <w:kern w:val="0"/>
                      <w:szCs w:val="21"/>
                    </w:rPr>
                    <w:t>用水项目</w:t>
                  </w:r>
                </w:p>
              </w:tc>
              <w:tc>
                <w:tcPr>
                  <w:tcW w:w="2766" w:type="dxa"/>
                  <w:gridSpan w:val="2"/>
                  <w:vAlign w:val="center"/>
                </w:tcPr>
                <w:p w14:paraId="17E33000">
                  <w:pPr>
                    <w:adjustRightInd w:val="0"/>
                    <w:snapToGrid w:val="0"/>
                    <w:jc w:val="center"/>
                    <w:rPr>
                      <w:color w:val="auto"/>
                      <w:kern w:val="0"/>
                      <w:szCs w:val="21"/>
                    </w:rPr>
                  </w:pPr>
                  <w:r>
                    <w:rPr>
                      <w:color w:val="auto"/>
                      <w:kern w:val="0"/>
                      <w:szCs w:val="21"/>
                    </w:rPr>
                    <w:t>用水量</w:t>
                  </w:r>
                </w:p>
              </w:tc>
              <w:tc>
                <w:tcPr>
                  <w:tcW w:w="1485" w:type="dxa"/>
                  <w:gridSpan w:val="2"/>
                  <w:vAlign w:val="center"/>
                </w:tcPr>
                <w:p w14:paraId="1E997218">
                  <w:pPr>
                    <w:adjustRightInd w:val="0"/>
                    <w:snapToGrid w:val="0"/>
                    <w:jc w:val="center"/>
                    <w:rPr>
                      <w:color w:val="auto"/>
                      <w:kern w:val="0"/>
                      <w:szCs w:val="21"/>
                    </w:rPr>
                  </w:pPr>
                  <w:r>
                    <w:rPr>
                      <w:rFonts w:hint="eastAsia"/>
                      <w:color w:val="auto"/>
                      <w:kern w:val="0"/>
                      <w:szCs w:val="21"/>
                    </w:rPr>
                    <w:t>产生</w:t>
                  </w:r>
                  <w:r>
                    <w:rPr>
                      <w:color w:val="auto"/>
                      <w:kern w:val="0"/>
                      <w:szCs w:val="21"/>
                    </w:rPr>
                    <w:t>量</w:t>
                  </w:r>
                </w:p>
              </w:tc>
              <w:tc>
                <w:tcPr>
                  <w:tcW w:w="2312" w:type="dxa"/>
                  <w:vMerge w:val="restart"/>
                  <w:vAlign w:val="center"/>
                </w:tcPr>
                <w:p w14:paraId="40FA6318">
                  <w:pPr>
                    <w:adjustRightInd w:val="0"/>
                    <w:snapToGrid w:val="0"/>
                    <w:jc w:val="center"/>
                    <w:rPr>
                      <w:color w:val="auto"/>
                      <w:kern w:val="0"/>
                      <w:szCs w:val="21"/>
                    </w:rPr>
                  </w:pPr>
                  <w:r>
                    <w:rPr>
                      <w:color w:val="auto"/>
                      <w:kern w:val="0"/>
                      <w:szCs w:val="21"/>
                    </w:rPr>
                    <w:t>去向/拟采取的处置措施</w:t>
                  </w:r>
                </w:p>
              </w:tc>
            </w:tr>
            <w:tr w14:paraId="67EF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631" w:type="dxa"/>
                  <w:vMerge w:val="continue"/>
                  <w:vAlign w:val="center"/>
                </w:tcPr>
                <w:p w14:paraId="67EDF96D">
                  <w:pPr>
                    <w:adjustRightInd w:val="0"/>
                    <w:snapToGrid w:val="0"/>
                    <w:jc w:val="center"/>
                    <w:rPr>
                      <w:color w:val="auto"/>
                      <w:kern w:val="0"/>
                      <w:szCs w:val="21"/>
                    </w:rPr>
                  </w:pPr>
                </w:p>
              </w:tc>
              <w:tc>
                <w:tcPr>
                  <w:tcW w:w="1212" w:type="dxa"/>
                  <w:vMerge w:val="continue"/>
                  <w:vAlign w:val="center"/>
                </w:tcPr>
                <w:p w14:paraId="6513555E">
                  <w:pPr>
                    <w:adjustRightInd w:val="0"/>
                    <w:snapToGrid w:val="0"/>
                    <w:jc w:val="center"/>
                    <w:rPr>
                      <w:color w:val="auto"/>
                      <w:kern w:val="0"/>
                      <w:szCs w:val="21"/>
                    </w:rPr>
                  </w:pPr>
                </w:p>
              </w:tc>
              <w:tc>
                <w:tcPr>
                  <w:tcW w:w="1387" w:type="dxa"/>
                  <w:vAlign w:val="center"/>
                </w:tcPr>
                <w:p w14:paraId="6423A257">
                  <w:pPr>
                    <w:adjustRightInd w:val="0"/>
                    <w:snapToGrid w:val="0"/>
                    <w:jc w:val="center"/>
                    <w:rPr>
                      <w:color w:val="auto"/>
                      <w:kern w:val="0"/>
                      <w:szCs w:val="21"/>
                    </w:rPr>
                  </w:pPr>
                  <w:r>
                    <w:rPr>
                      <w:color w:val="auto"/>
                      <w:kern w:val="0"/>
                      <w:szCs w:val="21"/>
                    </w:rPr>
                    <w:t>m</w:t>
                  </w:r>
                  <w:r>
                    <w:rPr>
                      <w:color w:val="auto"/>
                      <w:kern w:val="0"/>
                      <w:szCs w:val="21"/>
                      <w:vertAlign w:val="superscript"/>
                    </w:rPr>
                    <w:t>3</w:t>
                  </w:r>
                  <w:r>
                    <w:rPr>
                      <w:color w:val="auto"/>
                      <w:kern w:val="0"/>
                      <w:szCs w:val="21"/>
                    </w:rPr>
                    <w:t>/d</w:t>
                  </w:r>
                </w:p>
              </w:tc>
              <w:tc>
                <w:tcPr>
                  <w:tcW w:w="1379" w:type="dxa"/>
                  <w:vAlign w:val="center"/>
                </w:tcPr>
                <w:p w14:paraId="329E47F1">
                  <w:pPr>
                    <w:adjustRightInd w:val="0"/>
                    <w:snapToGrid w:val="0"/>
                    <w:jc w:val="center"/>
                    <w:rPr>
                      <w:color w:val="auto"/>
                      <w:kern w:val="0"/>
                      <w:szCs w:val="21"/>
                    </w:rPr>
                  </w:pPr>
                  <w:r>
                    <w:rPr>
                      <w:color w:val="auto"/>
                      <w:kern w:val="0"/>
                      <w:szCs w:val="21"/>
                    </w:rPr>
                    <w:t>m</w:t>
                  </w:r>
                  <w:r>
                    <w:rPr>
                      <w:color w:val="auto"/>
                      <w:kern w:val="0"/>
                      <w:szCs w:val="21"/>
                      <w:vertAlign w:val="superscript"/>
                    </w:rPr>
                    <w:t>3</w:t>
                  </w:r>
                  <w:r>
                    <w:rPr>
                      <w:color w:val="auto"/>
                      <w:kern w:val="0"/>
                      <w:szCs w:val="21"/>
                    </w:rPr>
                    <w:t>/a</w:t>
                  </w:r>
                </w:p>
              </w:tc>
              <w:tc>
                <w:tcPr>
                  <w:tcW w:w="720" w:type="dxa"/>
                  <w:vAlign w:val="center"/>
                </w:tcPr>
                <w:p w14:paraId="22B11BAD">
                  <w:pPr>
                    <w:adjustRightInd w:val="0"/>
                    <w:snapToGrid w:val="0"/>
                    <w:jc w:val="center"/>
                    <w:rPr>
                      <w:color w:val="auto"/>
                      <w:kern w:val="0"/>
                      <w:szCs w:val="21"/>
                    </w:rPr>
                  </w:pPr>
                  <w:r>
                    <w:rPr>
                      <w:color w:val="auto"/>
                      <w:kern w:val="0"/>
                      <w:szCs w:val="21"/>
                    </w:rPr>
                    <w:t>m</w:t>
                  </w:r>
                  <w:r>
                    <w:rPr>
                      <w:color w:val="auto"/>
                      <w:kern w:val="0"/>
                      <w:szCs w:val="21"/>
                      <w:vertAlign w:val="superscript"/>
                    </w:rPr>
                    <w:t>3</w:t>
                  </w:r>
                  <w:r>
                    <w:rPr>
                      <w:color w:val="auto"/>
                      <w:kern w:val="0"/>
                      <w:szCs w:val="21"/>
                    </w:rPr>
                    <w:t>/</w:t>
                  </w:r>
                  <w:r>
                    <w:rPr>
                      <w:rFonts w:hint="eastAsia"/>
                      <w:color w:val="auto"/>
                      <w:kern w:val="0"/>
                      <w:szCs w:val="21"/>
                    </w:rPr>
                    <w:t>d</w:t>
                  </w:r>
                </w:p>
              </w:tc>
              <w:tc>
                <w:tcPr>
                  <w:tcW w:w="765" w:type="dxa"/>
                  <w:vAlign w:val="center"/>
                </w:tcPr>
                <w:p w14:paraId="2FA3DD6D">
                  <w:pPr>
                    <w:adjustRightInd w:val="0"/>
                    <w:snapToGrid w:val="0"/>
                    <w:jc w:val="center"/>
                    <w:rPr>
                      <w:color w:val="auto"/>
                      <w:kern w:val="0"/>
                      <w:szCs w:val="21"/>
                    </w:rPr>
                  </w:pPr>
                  <w:r>
                    <w:rPr>
                      <w:color w:val="auto"/>
                      <w:kern w:val="0"/>
                      <w:szCs w:val="21"/>
                    </w:rPr>
                    <w:t>m</w:t>
                  </w:r>
                  <w:r>
                    <w:rPr>
                      <w:color w:val="auto"/>
                      <w:kern w:val="0"/>
                      <w:szCs w:val="21"/>
                      <w:vertAlign w:val="superscript"/>
                    </w:rPr>
                    <w:t>3</w:t>
                  </w:r>
                  <w:r>
                    <w:rPr>
                      <w:color w:val="auto"/>
                      <w:kern w:val="0"/>
                      <w:szCs w:val="21"/>
                    </w:rPr>
                    <w:t>/a</w:t>
                  </w:r>
                </w:p>
              </w:tc>
              <w:tc>
                <w:tcPr>
                  <w:tcW w:w="2312" w:type="dxa"/>
                  <w:vMerge w:val="continue"/>
                  <w:vAlign w:val="center"/>
                </w:tcPr>
                <w:p w14:paraId="4021395F">
                  <w:pPr>
                    <w:adjustRightInd w:val="0"/>
                    <w:snapToGrid w:val="0"/>
                    <w:jc w:val="center"/>
                    <w:rPr>
                      <w:color w:val="auto"/>
                      <w:kern w:val="0"/>
                      <w:szCs w:val="21"/>
                    </w:rPr>
                  </w:pPr>
                </w:p>
              </w:tc>
            </w:tr>
            <w:tr w14:paraId="3108B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631" w:type="dxa"/>
                  <w:vAlign w:val="center"/>
                </w:tcPr>
                <w:p w14:paraId="70AE2A8A">
                  <w:pPr>
                    <w:adjustRightInd w:val="0"/>
                    <w:snapToGrid w:val="0"/>
                    <w:jc w:val="center"/>
                    <w:rPr>
                      <w:color w:val="auto"/>
                      <w:kern w:val="0"/>
                      <w:szCs w:val="21"/>
                    </w:rPr>
                  </w:pPr>
                  <w:r>
                    <w:rPr>
                      <w:rFonts w:hint="eastAsia"/>
                      <w:color w:val="auto"/>
                      <w:kern w:val="0"/>
                      <w:szCs w:val="21"/>
                    </w:rPr>
                    <w:t>1</w:t>
                  </w:r>
                </w:p>
              </w:tc>
              <w:tc>
                <w:tcPr>
                  <w:tcW w:w="1212" w:type="dxa"/>
                  <w:vAlign w:val="center"/>
                </w:tcPr>
                <w:p w14:paraId="1BD6961F">
                  <w:pPr>
                    <w:adjustRightInd w:val="0"/>
                    <w:snapToGrid w:val="0"/>
                    <w:jc w:val="center"/>
                    <w:rPr>
                      <w:color w:val="auto"/>
                      <w:kern w:val="0"/>
                      <w:szCs w:val="21"/>
                    </w:rPr>
                  </w:pPr>
                  <w:r>
                    <w:rPr>
                      <w:rFonts w:hint="eastAsia"/>
                      <w:color w:val="auto"/>
                      <w:kern w:val="0"/>
                      <w:szCs w:val="21"/>
                    </w:rPr>
                    <w:t>生活用水</w:t>
                  </w:r>
                </w:p>
              </w:tc>
              <w:tc>
                <w:tcPr>
                  <w:tcW w:w="1387" w:type="dxa"/>
                  <w:vAlign w:val="center"/>
                </w:tcPr>
                <w:p w14:paraId="35D8EFB8">
                  <w:pPr>
                    <w:adjustRightInd w:val="0"/>
                    <w:snapToGrid w:val="0"/>
                    <w:jc w:val="center"/>
                    <w:rPr>
                      <w:color w:val="auto"/>
                      <w:kern w:val="0"/>
                      <w:szCs w:val="21"/>
                    </w:rPr>
                  </w:pPr>
                  <w:r>
                    <w:rPr>
                      <w:rFonts w:hint="eastAsia"/>
                      <w:color w:val="auto"/>
                      <w:kern w:val="0"/>
                      <w:szCs w:val="21"/>
                    </w:rPr>
                    <w:t>1.28</w:t>
                  </w:r>
                </w:p>
              </w:tc>
              <w:tc>
                <w:tcPr>
                  <w:tcW w:w="1379" w:type="dxa"/>
                  <w:vAlign w:val="center"/>
                </w:tcPr>
                <w:p w14:paraId="5759998C">
                  <w:pPr>
                    <w:adjustRightInd w:val="0"/>
                    <w:snapToGrid w:val="0"/>
                    <w:jc w:val="center"/>
                    <w:rPr>
                      <w:color w:val="auto"/>
                      <w:kern w:val="0"/>
                      <w:szCs w:val="21"/>
                    </w:rPr>
                  </w:pPr>
                  <w:r>
                    <w:rPr>
                      <w:rFonts w:hint="eastAsia"/>
                      <w:color w:val="auto"/>
                      <w:kern w:val="0"/>
                      <w:szCs w:val="21"/>
                    </w:rPr>
                    <w:t>384</w:t>
                  </w:r>
                </w:p>
              </w:tc>
              <w:tc>
                <w:tcPr>
                  <w:tcW w:w="720" w:type="dxa"/>
                  <w:vAlign w:val="center"/>
                </w:tcPr>
                <w:p w14:paraId="5F5261E3">
                  <w:pPr>
                    <w:adjustRightInd w:val="0"/>
                    <w:snapToGrid w:val="0"/>
                    <w:jc w:val="center"/>
                    <w:rPr>
                      <w:color w:val="auto"/>
                      <w:kern w:val="0"/>
                      <w:szCs w:val="21"/>
                    </w:rPr>
                  </w:pPr>
                  <w:r>
                    <w:rPr>
                      <w:rFonts w:hint="eastAsia"/>
                      <w:color w:val="auto"/>
                      <w:kern w:val="0"/>
                      <w:szCs w:val="21"/>
                    </w:rPr>
                    <w:t>1.024</w:t>
                  </w:r>
                </w:p>
              </w:tc>
              <w:tc>
                <w:tcPr>
                  <w:tcW w:w="765" w:type="dxa"/>
                  <w:vAlign w:val="center"/>
                </w:tcPr>
                <w:p w14:paraId="73F10E22">
                  <w:pPr>
                    <w:adjustRightInd w:val="0"/>
                    <w:snapToGrid w:val="0"/>
                    <w:jc w:val="center"/>
                    <w:rPr>
                      <w:color w:val="auto"/>
                      <w:kern w:val="0"/>
                      <w:szCs w:val="21"/>
                    </w:rPr>
                  </w:pPr>
                  <w:r>
                    <w:rPr>
                      <w:rFonts w:hint="eastAsia"/>
                      <w:color w:val="auto"/>
                      <w:kern w:val="0"/>
                      <w:szCs w:val="21"/>
                    </w:rPr>
                    <w:t>307.2</w:t>
                  </w:r>
                </w:p>
              </w:tc>
              <w:tc>
                <w:tcPr>
                  <w:tcW w:w="2312" w:type="dxa"/>
                  <w:vAlign w:val="center"/>
                </w:tcPr>
                <w:p w14:paraId="5C6A3AEE">
                  <w:pPr>
                    <w:adjustRightInd w:val="0"/>
                    <w:snapToGrid w:val="0"/>
                    <w:jc w:val="center"/>
                    <w:rPr>
                      <w:color w:val="auto"/>
                      <w:kern w:val="0"/>
                      <w:szCs w:val="21"/>
                    </w:rPr>
                  </w:pPr>
                  <w:r>
                    <w:rPr>
                      <w:rFonts w:hint="eastAsia"/>
                      <w:color w:val="auto"/>
                      <w:kern w:val="0"/>
                      <w:szCs w:val="21"/>
                    </w:rPr>
                    <w:t>生活污水经化粪池预处理后排至污水处理站处理后回用于绿化及道路洒水降尘。</w:t>
                  </w:r>
                </w:p>
              </w:tc>
            </w:tr>
            <w:tr w14:paraId="5EC44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31" w:type="dxa"/>
                  <w:vAlign w:val="center"/>
                </w:tcPr>
                <w:p w14:paraId="0DB98F25">
                  <w:pPr>
                    <w:adjustRightInd w:val="0"/>
                    <w:snapToGrid w:val="0"/>
                    <w:jc w:val="center"/>
                    <w:rPr>
                      <w:color w:val="auto"/>
                      <w:kern w:val="0"/>
                      <w:szCs w:val="21"/>
                    </w:rPr>
                  </w:pPr>
                  <w:r>
                    <w:rPr>
                      <w:rFonts w:hint="eastAsia"/>
                      <w:color w:val="auto"/>
                      <w:kern w:val="0"/>
                      <w:szCs w:val="21"/>
                    </w:rPr>
                    <w:t>2</w:t>
                  </w:r>
                </w:p>
              </w:tc>
              <w:tc>
                <w:tcPr>
                  <w:tcW w:w="1212" w:type="dxa"/>
                  <w:vAlign w:val="center"/>
                </w:tcPr>
                <w:p w14:paraId="19E0D086">
                  <w:pPr>
                    <w:adjustRightInd w:val="0"/>
                    <w:snapToGrid w:val="0"/>
                    <w:jc w:val="center"/>
                    <w:rPr>
                      <w:color w:val="auto"/>
                      <w:kern w:val="0"/>
                      <w:szCs w:val="21"/>
                    </w:rPr>
                  </w:pPr>
                  <w:r>
                    <w:rPr>
                      <w:rFonts w:hint="eastAsia"/>
                      <w:color w:val="auto"/>
                      <w:kern w:val="0"/>
                      <w:szCs w:val="21"/>
                    </w:rPr>
                    <w:t>调胶用水</w:t>
                  </w:r>
                </w:p>
              </w:tc>
              <w:tc>
                <w:tcPr>
                  <w:tcW w:w="1387" w:type="dxa"/>
                  <w:vAlign w:val="center"/>
                </w:tcPr>
                <w:p w14:paraId="2990A511">
                  <w:pPr>
                    <w:adjustRightInd w:val="0"/>
                    <w:snapToGrid w:val="0"/>
                    <w:jc w:val="center"/>
                    <w:rPr>
                      <w:color w:val="auto"/>
                      <w:kern w:val="0"/>
                      <w:szCs w:val="21"/>
                    </w:rPr>
                  </w:pPr>
                  <w:r>
                    <w:rPr>
                      <w:rFonts w:hint="eastAsia"/>
                      <w:color w:val="auto"/>
                      <w:kern w:val="0"/>
                      <w:szCs w:val="21"/>
                    </w:rPr>
                    <w:t>0.381</w:t>
                  </w:r>
                </w:p>
              </w:tc>
              <w:tc>
                <w:tcPr>
                  <w:tcW w:w="1379" w:type="dxa"/>
                  <w:vAlign w:val="center"/>
                </w:tcPr>
                <w:p w14:paraId="37D72AF0">
                  <w:pPr>
                    <w:adjustRightInd w:val="0"/>
                    <w:snapToGrid w:val="0"/>
                    <w:jc w:val="center"/>
                    <w:rPr>
                      <w:color w:val="auto"/>
                      <w:kern w:val="0"/>
                      <w:szCs w:val="21"/>
                    </w:rPr>
                  </w:pPr>
                  <w:r>
                    <w:rPr>
                      <w:rFonts w:hint="eastAsia"/>
                      <w:color w:val="auto"/>
                      <w:kern w:val="0"/>
                      <w:szCs w:val="21"/>
                    </w:rPr>
                    <w:t>114.36</w:t>
                  </w:r>
                </w:p>
              </w:tc>
              <w:tc>
                <w:tcPr>
                  <w:tcW w:w="720" w:type="dxa"/>
                  <w:vAlign w:val="center"/>
                </w:tcPr>
                <w:p w14:paraId="3B5A4FAD">
                  <w:pPr>
                    <w:adjustRightInd w:val="0"/>
                    <w:snapToGrid w:val="0"/>
                    <w:jc w:val="center"/>
                    <w:rPr>
                      <w:color w:val="auto"/>
                      <w:kern w:val="0"/>
                      <w:szCs w:val="21"/>
                    </w:rPr>
                  </w:pPr>
                  <w:r>
                    <w:rPr>
                      <w:rFonts w:hint="eastAsia"/>
                      <w:color w:val="auto"/>
                      <w:kern w:val="0"/>
                      <w:szCs w:val="21"/>
                    </w:rPr>
                    <w:t>/</w:t>
                  </w:r>
                </w:p>
              </w:tc>
              <w:tc>
                <w:tcPr>
                  <w:tcW w:w="765" w:type="dxa"/>
                  <w:vAlign w:val="center"/>
                </w:tcPr>
                <w:p w14:paraId="768B6CC1">
                  <w:pPr>
                    <w:adjustRightInd w:val="0"/>
                    <w:snapToGrid w:val="0"/>
                    <w:jc w:val="center"/>
                    <w:rPr>
                      <w:color w:val="auto"/>
                      <w:kern w:val="0"/>
                      <w:szCs w:val="21"/>
                    </w:rPr>
                  </w:pPr>
                  <w:r>
                    <w:rPr>
                      <w:rFonts w:hint="eastAsia"/>
                      <w:color w:val="auto"/>
                      <w:kern w:val="0"/>
                      <w:szCs w:val="21"/>
                    </w:rPr>
                    <w:t>/</w:t>
                  </w:r>
                </w:p>
              </w:tc>
              <w:tc>
                <w:tcPr>
                  <w:tcW w:w="2312" w:type="dxa"/>
                  <w:vAlign w:val="center"/>
                </w:tcPr>
                <w:p w14:paraId="54A27694">
                  <w:pPr>
                    <w:adjustRightInd w:val="0"/>
                    <w:snapToGrid w:val="0"/>
                    <w:jc w:val="center"/>
                    <w:rPr>
                      <w:color w:val="auto"/>
                      <w:kern w:val="0"/>
                      <w:szCs w:val="21"/>
                    </w:rPr>
                  </w:pPr>
                  <w:r>
                    <w:rPr>
                      <w:rFonts w:hint="eastAsia"/>
                      <w:color w:val="auto"/>
                      <w:kern w:val="0"/>
                      <w:szCs w:val="21"/>
                    </w:rPr>
                    <w:t>/</w:t>
                  </w:r>
                </w:p>
              </w:tc>
            </w:tr>
            <w:tr w14:paraId="070F4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31" w:type="dxa"/>
                  <w:vAlign w:val="center"/>
                </w:tcPr>
                <w:p w14:paraId="1FE67F0A">
                  <w:pPr>
                    <w:adjustRightInd w:val="0"/>
                    <w:snapToGrid w:val="0"/>
                    <w:jc w:val="center"/>
                    <w:rPr>
                      <w:color w:val="auto"/>
                      <w:kern w:val="0"/>
                      <w:szCs w:val="21"/>
                    </w:rPr>
                  </w:pPr>
                  <w:r>
                    <w:rPr>
                      <w:rFonts w:hint="eastAsia"/>
                      <w:color w:val="auto"/>
                      <w:kern w:val="0"/>
                      <w:szCs w:val="21"/>
                    </w:rPr>
                    <w:t>3</w:t>
                  </w:r>
                </w:p>
              </w:tc>
              <w:tc>
                <w:tcPr>
                  <w:tcW w:w="1212" w:type="dxa"/>
                  <w:vAlign w:val="center"/>
                </w:tcPr>
                <w:p w14:paraId="7030AB00">
                  <w:pPr>
                    <w:adjustRightInd w:val="0"/>
                    <w:snapToGrid w:val="0"/>
                    <w:jc w:val="center"/>
                    <w:rPr>
                      <w:color w:val="auto"/>
                      <w:kern w:val="0"/>
                      <w:szCs w:val="21"/>
                    </w:rPr>
                  </w:pPr>
                  <w:r>
                    <w:rPr>
                      <w:rFonts w:hint="eastAsia"/>
                      <w:color w:val="auto"/>
                      <w:kern w:val="0"/>
                      <w:szCs w:val="21"/>
                    </w:rPr>
                    <w:t>绿化、道路浇洒用水</w:t>
                  </w:r>
                </w:p>
              </w:tc>
              <w:tc>
                <w:tcPr>
                  <w:tcW w:w="1387" w:type="dxa"/>
                  <w:vAlign w:val="center"/>
                </w:tcPr>
                <w:p w14:paraId="46B5B0A8">
                  <w:pPr>
                    <w:adjustRightInd w:val="0"/>
                    <w:snapToGrid w:val="0"/>
                    <w:jc w:val="center"/>
                    <w:rPr>
                      <w:color w:val="auto"/>
                      <w:kern w:val="0"/>
                      <w:szCs w:val="21"/>
                    </w:rPr>
                  </w:pPr>
                  <w:r>
                    <w:rPr>
                      <w:rFonts w:hint="eastAsia"/>
                      <w:color w:val="auto"/>
                      <w:kern w:val="0"/>
                      <w:szCs w:val="21"/>
                      <w:lang w:val="en-US" w:eastAsia="zh-CN"/>
                    </w:rPr>
                    <w:t>0.416</w:t>
                  </w:r>
                  <w:r>
                    <w:rPr>
                      <w:rFonts w:hint="eastAsia"/>
                      <w:color w:val="auto"/>
                      <w:kern w:val="0"/>
                      <w:szCs w:val="21"/>
                    </w:rPr>
                    <w:t>（</w:t>
                  </w:r>
                  <w:r>
                    <w:rPr>
                      <w:rFonts w:hint="eastAsia"/>
                      <w:color w:val="auto"/>
                      <w:kern w:val="0"/>
                      <w:szCs w:val="21"/>
                      <w:lang w:val="en-US" w:eastAsia="zh-CN"/>
                    </w:rPr>
                    <w:t>1.024</w:t>
                  </w:r>
                  <w:r>
                    <w:rPr>
                      <w:rFonts w:hint="eastAsia"/>
                      <w:color w:val="auto"/>
                      <w:kern w:val="0"/>
                      <w:szCs w:val="21"/>
                    </w:rPr>
                    <w:t>）</w:t>
                  </w:r>
                </w:p>
              </w:tc>
              <w:tc>
                <w:tcPr>
                  <w:tcW w:w="1379" w:type="dxa"/>
                  <w:vAlign w:val="center"/>
                </w:tcPr>
                <w:p w14:paraId="1D0EBB12">
                  <w:pPr>
                    <w:adjustRightInd w:val="0"/>
                    <w:snapToGrid w:val="0"/>
                    <w:jc w:val="center"/>
                    <w:rPr>
                      <w:color w:val="auto"/>
                      <w:kern w:val="0"/>
                      <w:szCs w:val="21"/>
                    </w:rPr>
                  </w:pPr>
                  <w:r>
                    <w:rPr>
                      <w:rFonts w:hint="eastAsia"/>
                      <w:color w:val="auto"/>
                      <w:kern w:val="0"/>
                      <w:szCs w:val="21"/>
                      <w:lang w:val="en-US" w:eastAsia="zh-CN"/>
                    </w:rPr>
                    <w:t>91.52</w:t>
                  </w:r>
                  <w:r>
                    <w:rPr>
                      <w:rFonts w:hint="eastAsia"/>
                      <w:color w:val="auto"/>
                      <w:kern w:val="0"/>
                      <w:szCs w:val="21"/>
                    </w:rPr>
                    <w:t>（</w:t>
                  </w:r>
                  <w:r>
                    <w:rPr>
                      <w:rFonts w:hint="eastAsia"/>
                      <w:color w:val="auto"/>
                      <w:kern w:val="0"/>
                      <w:szCs w:val="21"/>
                      <w:lang w:val="en-US" w:eastAsia="zh-CN"/>
                    </w:rPr>
                    <w:t>225.28</w:t>
                  </w:r>
                  <w:r>
                    <w:rPr>
                      <w:rFonts w:hint="eastAsia"/>
                      <w:color w:val="auto"/>
                      <w:kern w:val="0"/>
                      <w:szCs w:val="21"/>
                    </w:rPr>
                    <w:t>）</w:t>
                  </w:r>
                </w:p>
              </w:tc>
              <w:tc>
                <w:tcPr>
                  <w:tcW w:w="720" w:type="dxa"/>
                  <w:vAlign w:val="center"/>
                </w:tcPr>
                <w:p w14:paraId="7951E894">
                  <w:pPr>
                    <w:adjustRightInd w:val="0"/>
                    <w:snapToGrid w:val="0"/>
                    <w:jc w:val="center"/>
                    <w:rPr>
                      <w:color w:val="auto"/>
                      <w:kern w:val="0"/>
                      <w:szCs w:val="21"/>
                    </w:rPr>
                  </w:pPr>
                  <w:r>
                    <w:rPr>
                      <w:rFonts w:hint="eastAsia"/>
                      <w:color w:val="auto"/>
                      <w:kern w:val="0"/>
                      <w:szCs w:val="21"/>
                    </w:rPr>
                    <w:t>/</w:t>
                  </w:r>
                </w:p>
              </w:tc>
              <w:tc>
                <w:tcPr>
                  <w:tcW w:w="765" w:type="dxa"/>
                  <w:vAlign w:val="center"/>
                </w:tcPr>
                <w:p w14:paraId="23107EE2">
                  <w:pPr>
                    <w:adjustRightInd w:val="0"/>
                    <w:snapToGrid w:val="0"/>
                    <w:jc w:val="center"/>
                    <w:rPr>
                      <w:color w:val="auto"/>
                      <w:kern w:val="0"/>
                      <w:szCs w:val="21"/>
                    </w:rPr>
                  </w:pPr>
                  <w:r>
                    <w:rPr>
                      <w:rFonts w:hint="eastAsia"/>
                      <w:color w:val="auto"/>
                      <w:kern w:val="0"/>
                      <w:szCs w:val="21"/>
                    </w:rPr>
                    <w:t>/</w:t>
                  </w:r>
                </w:p>
              </w:tc>
              <w:tc>
                <w:tcPr>
                  <w:tcW w:w="2312" w:type="dxa"/>
                  <w:vAlign w:val="center"/>
                </w:tcPr>
                <w:p w14:paraId="623E7AC0">
                  <w:pPr>
                    <w:adjustRightInd w:val="0"/>
                    <w:snapToGrid w:val="0"/>
                    <w:jc w:val="center"/>
                    <w:rPr>
                      <w:color w:val="auto"/>
                      <w:kern w:val="0"/>
                      <w:szCs w:val="21"/>
                    </w:rPr>
                  </w:pPr>
                  <w:r>
                    <w:rPr>
                      <w:rFonts w:hint="eastAsia"/>
                      <w:color w:val="auto"/>
                      <w:kern w:val="0"/>
                      <w:szCs w:val="21"/>
                    </w:rPr>
                    <w:t>全部被植物吸收或蒸发消耗</w:t>
                  </w:r>
                </w:p>
              </w:tc>
            </w:tr>
            <w:tr w14:paraId="4D8E2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3" w:type="dxa"/>
                  <w:gridSpan w:val="2"/>
                  <w:vAlign w:val="center"/>
                </w:tcPr>
                <w:p w14:paraId="7B86EEB4">
                  <w:pPr>
                    <w:adjustRightInd w:val="0"/>
                    <w:snapToGrid w:val="0"/>
                    <w:jc w:val="center"/>
                    <w:rPr>
                      <w:color w:val="auto"/>
                      <w:kern w:val="0"/>
                      <w:szCs w:val="21"/>
                    </w:rPr>
                  </w:pPr>
                  <w:r>
                    <w:rPr>
                      <w:rFonts w:hint="eastAsia"/>
                      <w:color w:val="auto"/>
                      <w:kern w:val="0"/>
                      <w:szCs w:val="21"/>
                    </w:rPr>
                    <w:t>合计</w:t>
                  </w:r>
                </w:p>
              </w:tc>
              <w:tc>
                <w:tcPr>
                  <w:tcW w:w="1387" w:type="dxa"/>
                  <w:vAlign w:val="center"/>
                </w:tcPr>
                <w:p w14:paraId="4201BB11">
                  <w:pPr>
                    <w:adjustRightInd w:val="0"/>
                    <w:snapToGrid w:val="0"/>
                    <w:jc w:val="center"/>
                    <w:rPr>
                      <w:color w:val="auto"/>
                      <w:kern w:val="0"/>
                      <w:szCs w:val="21"/>
                    </w:rPr>
                  </w:pPr>
                  <w:r>
                    <w:rPr>
                      <w:rFonts w:hint="eastAsia"/>
                      <w:color w:val="auto"/>
                      <w:kern w:val="0"/>
                      <w:szCs w:val="21"/>
                      <w:lang w:val="en-US" w:eastAsia="zh-CN"/>
                    </w:rPr>
                    <w:t>2.077</w:t>
                  </w:r>
                  <w:r>
                    <w:rPr>
                      <w:rFonts w:hint="eastAsia"/>
                      <w:color w:val="auto"/>
                      <w:kern w:val="0"/>
                      <w:szCs w:val="21"/>
                    </w:rPr>
                    <w:t>（</w:t>
                  </w:r>
                  <w:r>
                    <w:rPr>
                      <w:rFonts w:hint="eastAsia"/>
                      <w:color w:val="auto"/>
                      <w:kern w:val="0"/>
                      <w:szCs w:val="21"/>
                      <w:lang w:val="en-US" w:eastAsia="zh-CN"/>
                    </w:rPr>
                    <w:t>2.685</w:t>
                  </w:r>
                  <w:r>
                    <w:rPr>
                      <w:rFonts w:hint="eastAsia"/>
                      <w:color w:val="auto"/>
                      <w:kern w:val="0"/>
                      <w:szCs w:val="21"/>
                    </w:rPr>
                    <w:t>）</w:t>
                  </w:r>
                </w:p>
              </w:tc>
              <w:tc>
                <w:tcPr>
                  <w:tcW w:w="1379" w:type="dxa"/>
                  <w:vAlign w:val="center"/>
                </w:tcPr>
                <w:p w14:paraId="0CD580A9">
                  <w:pPr>
                    <w:adjustRightInd w:val="0"/>
                    <w:snapToGrid w:val="0"/>
                    <w:jc w:val="center"/>
                    <w:rPr>
                      <w:color w:val="auto"/>
                      <w:kern w:val="0"/>
                      <w:szCs w:val="21"/>
                    </w:rPr>
                  </w:pPr>
                  <w:r>
                    <w:rPr>
                      <w:rFonts w:hint="eastAsia"/>
                      <w:color w:val="auto"/>
                      <w:kern w:val="0"/>
                      <w:szCs w:val="21"/>
                      <w:lang w:val="en-US" w:eastAsia="zh-CN"/>
                    </w:rPr>
                    <w:t>589.88</w:t>
                  </w:r>
                  <w:r>
                    <w:rPr>
                      <w:rFonts w:hint="eastAsia"/>
                      <w:color w:val="auto"/>
                      <w:kern w:val="0"/>
                      <w:szCs w:val="21"/>
                    </w:rPr>
                    <w:t>（</w:t>
                  </w:r>
                  <w:r>
                    <w:rPr>
                      <w:rFonts w:hint="eastAsia"/>
                      <w:color w:val="auto"/>
                      <w:kern w:val="0"/>
                      <w:szCs w:val="21"/>
                      <w:lang w:val="en-US" w:eastAsia="zh-CN"/>
                    </w:rPr>
                    <w:t>723.64</w:t>
                  </w:r>
                  <w:r>
                    <w:rPr>
                      <w:rFonts w:hint="eastAsia"/>
                      <w:color w:val="auto"/>
                      <w:kern w:val="0"/>
                      <w:szCs w:val="21"/>
                    </w:rPr>
                    <w:t>）</w:t>
                  </w:r>
                </w:p>
              </w:tc>
              <w:tc>
                <w:tcPr>
                  <w:tcW w:w="720" w:type="dxa"/>
                  <w:vAlign w:val="center"/>
                </w:tcPr>
                <w:p w14:paraId="391E73CD">
                  <w:pPr>
                    <w:adjustRightInd w:val="0"/>
                    <w:snapToGrid w:val="0"/>
                    <w:jc w:val="center"/>
                    <w:rPr>
                      <w:color w:val="auto"/>
                      <w:kern w:val="0"/>
                      <w:szCs w:val="21"/>
                    </w:rPr>
                  </w:pPr>
                  <w:r>
                    <w:rPr>
                      <w:rFonts w:hint="eastAsia"/>
                      <w:color w:val="auto"/>
                      <w:kern w:val="0"/>
                      <w:szCs w:val="21"/>
                    </w:rPr>
                    <w:t>1.024</w:t>
                  </w:r>
                </w:p>
              </w:tc>
              <w:tc>
                <w:tcPr>
                  <w:tcW w:w="765" w:type="dxa"/>
                  <w:vAlign w:val="center"/>
                </w:tcPr>
                <w:p w14:paraId="4CE05BAF">
                  <w:pPr>
                    <w:adjustRightInd w:val="0"/>
                    <w:snapToGrid w:val="0"/>
                    <w:jc w:val="center"/>
                    <w:rPr>
                      <w:color w:val="auto"/>
                      <w:kern w:val="0"/>
                      <w:szCs w:val="21"/>
                    </w:rPr>
                  </w:pPr>
                  <w:r>
                    <w:rPr>
                      <w:rFonts w:hint="eastAsia"/>
                      <w:color w:val="auto"/>
                      <w:kern w:val="0"/>
                      <w:szCs w:val="21"/>
                    </w:rPr>
                    <w:t>307.2</w:t>
                  </w:r>
                </w:p>
              </w:tc>
              <w:tc>
                <w:tcPr>
                  <w:tcW w:w="2312" w:type="dxa"/>
                  <w:vAlign w:val="center"/>
                </w:tcPr>
                <w:p w14:paraId="1746F983">
                  <w:pPr>
                    <w:adjustRightInd w:val="0"/>
                    <w:snapToGrid w:val="0"/>
                    <w:jc w:val="center"/>
                    <w:rPr>
                      <w:color w:val="auto"/>
                      <w:kern w:val="0"/>
                      <w:szCs w:val="21"/>
                    </w:rPr>
                  </w:pPr>
                  <w:r>
                    <w:rPr>
                      <w:rFonts w:hint="eastAsia"/>
                      <w:color w:val="auto"/>
                      <w:kern w:val="0"/>
                      <w:szCs w:val="21"/>
                    </w:rPr>
                    <w:t>/</w:t>
                  </w:r>
                </w:p>
              </w:tc>
            </w:tr>
            <w:tr w14:paraId="3AB94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06" w:type="dxa"/>
                  <w:gridSpan w:val="7"/>
                  <w:vAlign w:val="center"/>
                </w:tcPr>
                <w:p w14:paraId="72B7BECF">
                  <w:pPr>
                    <w:adjustRightInd w:val="0"/>
                    <w:snapToGrid w:val="0"/>
                    <w:jc w:val="center"/>
                    <w:rPr>
                      <w:color w:val="auto"/>
                      <w:kern w:val="0"/>
                      <w:szCs w:val="21"/>
                    </w:rPr>
                  </w:pPr>
                  <w:r>
                    <w:rPr>
                      <w:rFonts w:hint="eastAsia"/>
                      <w:color w:val="auto"/>
                      <w:kern w:val="0"/>
                      <w:szCs w:val="21"/>
                    </w:rPr>
                    <w:t>注：（）内为</w:t>
                  </w:r>
                  <w:r>
                    <w:rPr>
                      <w:rFonts w:hint="eastAsia"/>
                      <w:color w:val="auto"/>
                      <w:kern w:val="0"/>
                      <w:szCs w:val="21"/>
                      <w:lang w:val="en-US" w:eastAsia="zh-CN"/>
                    </w:rPr>
                    <w:t>回用水</w:t>
                  </w:r>
                  <w:r>
                    <w:rPr>
                      <w:rFonts w:hint="eastAsia"/>
                      <w:color w:val="auto"/>
                      <w:kern w:val="0"/>
                      <w:szCs w:val="21"/>
                    </w:rPr>
                    <w:t>用量</w:t>
                  </w:r>
                </w:p>
              </w:tc>
            </w:tr>
          </w:tbl>
          <w:p w14:paraId="14595675">
            <w:pPr>
              <w:pStyle w:val="38"/>
              <w:snapToGrid w:val="0"/>
              <w:spacing w:line="240" w:lineRule="auto"/>
              <w:ind w:left="0" w:right="0" w:firstLine="0"/>
              <w:rPr>
                <w:color w:val="auto"/>
              </w:rPr>
            </w:pPr>
            <w:bookmarkStart w:id="4" w:name="_Toc14957218"/>
            <w:bookmarkEnd w:id="4"/>
            <w:r>
              <w:rPr>
                <w:rFonts w:hAnsi="Times New Roman"/>
                <w:color w:val="auto"/>
                <w:sz w:val="24"/>
              </w:rPr>
              <w:object>
                <v:shape id="_x0000_i1025" o:spt="75" type="#_x0000_t75" style="height:209.55pt;width:303.15pt;" o:ole="t" filled="f" o:preferrelative="t" stroked="f" coordsize="21600,21600">
                  <v:path/>
                  <v:fill on="f" focussize="0,0"/>
                  <v:stroke on="f" joinstyle="miter"/>
                  <v:imagedata r:id="rId8" o:title=""/>
                  <o:lock v:ext="edit" aspectratio="f"/>
                  <w10:wrap type="none"/>
                  <w10:anchorlock/>
                </v:shape>
                <o:OLEObject Type="Embed" ProgID="Visio.Drawing.11" ShapeID="_x0000_i1025" DrawAspect="Content" ObjectID="_1468075725" r:id="rId7">
                  <o:LockedField>false</o:LockedField>
                </o:OLEObject>
              </w:object>
            </w:r>
          </w:p>
          <w:p w14:paraId="76BB20A8">
            <w:pPr>
              <w:jc w:val="center"/>
              <w:rPr>
                <w:b/>
                <w:bCs/>
                <w:color w:val="auto"/>
              </w:rPr>
            </w:pPr>
          </w:p>
          <w:p w14:paraId="47CED3D5">
            <w:pPr>
              <w:jc w:val="center"/>
              <w:rPr>
                <w:b/>
                <w:bCs/>
                <w:color w:val="auto"/>
              </w:rPr>
            </w:pPr>
          </w:p>
          <w:p w14:paraId="7888B358">
            <w:pPr>
              <w:jc w:val="center"/>
              <w:rPr>
                <w:b/>
                <w:bCs/>
                <w:color w:val="auto"/>
              </w:rPr>
            </w:pPr>
          </w:p>
          <w:p w14:paraId="12DF04B3">
            <w:pPr>
              <w:jc w:val="center"/>
              <w:rPr>
                <w:b/>
                <w:bCs/>
                <w:color w:val="auto"/>
              </w:rPr>
            </w:pPr>
            <w:r>
              <w:rPr>
                <w:color w:val="auto"/>
                <w:sz w:val="24"/>
              </w:rPr>
              <w:object>
                <v:shape id="_x0000_i1026" o:spt="75" type="#_x0000_t75" style="height:209.55pt;width:303.15pt;" o:ole="t" filled="f" o:preferrelative="t" stroked="f" coordsize="21600,21600">
                  <v:path/>
                  <v:fill on="f" focussize="0,0"/>
                  <v:stroke on="f" joinstyle="miter"/>
                  <v:imagedata r:id="rId10" o:title=""/>
                  <o:lock v:ext="edit" aspectratio="f"/>
                  <w10:wrap type="none"/>
                  <w10:anchorlock/>
                </v:shape>
                <o:OLEObject Type="Embed" ProgID="Visio.Drawing.11" ShapeID="_x0000_i1026" DrawAspect="Content" ObjectID="_1468075726" r:id="rId9">
                  <o:LockedField>false</o:LockedField>
                </o:OLEObject>
              </w:object>
            </w:r>
          </w:p>
          <w:p w14:paraId="0DF63B67">
            <w:pPr>
              <w:jc w:val="center"/>
              <w:rPr>
                <w:color w:val="auto"/>
                <w:sz w:val="24"/>
              </w:rPr>
            </w:pPr>
            <w:r>
              <w:rPr>
                <w:b/>
                <w:bCs/>
                <w:color w:val="auto"/>
              </w:rPr>
              <w:t>图2-1  项目</w:t>
            </w:r>
            <w:r>
              <w:rPr>
                <w:rFonts w:hint="eastAsia"/>
                <w:b/>
                <w:bCs/>
                <w:color w:val="auto"/>
              </w:rPr>
              <w:t>水</w:t>
            </w:r>
            <w:r>
              <w:rPr>
                <w:b/>
                <w:bCs/>
                <w:color w:val="auto"/>
              </w:rPr>
              <w:t>平衡图（m</w:t>
            </w:r>
            <w:r>
              <w:rPr>
                <w:b/>
                <w:bCs/>
                <w:color w:val="auto"/>
                <w:vertAlign w:val="superscript"/>
              </w:rPr>
              <w:t>3</w:t>
            </w:r>
            <w:r>
              <w:rPr>
                <w:b/>
                <w:bCs/>
                <w:color w:val="auto"/>
              </w:rPr>
              <w:t>/</w:t>
            </w:r>
            <w:r>
              <w:rPr>
                <w:rFonts w:hint="eastAsia"/>
                <w:b/>
                <w:bCs/>
                <w:color w:val="auto"/>
              </w:rPr>
              <w:t>d</w:t>
            </w:r>
            <w:r>
              <w:rPr>
                <w:b/>
                <w:bCs/>
                <w:color w:val="auto"/>
              </w:rPr>
              <w:t>）</w:t>
            </w:r>
          </w:p>
        </w:tc>
      </w:tr>
      <w:tr w14:paraId="2AA19F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425" w:type="dxa"/>
            <w:vAlign w:val="center"/>
          </w:tcPr>
          <w:p w14:paraId="1C0805DE">
            <w:pPr>
              <w:pStyle w:val="28"/>
              <w:adjustRightInd w:val="0"/>
              <w:snapToGrid w:val="0"/>
              <w:spacing w:before="0" w:beforeAutospacing="0" w:after="0" w:afterAutospacing="0"/>
              <w:jc w:val="center"/>
              <w:rPr>
                <w:rFonts w:ascii="Times New Roman" w:hAnsi="Times New Roman" w:cs="宋体"/>
                <w:color w:val="auto"/>
                <w:sz w:val="21"/>
                <w:szCs w:val="21"/>
              </w:rPr>
            </w:pPr>
            <w:r>
              <w:rPr>
                <w:rFonts w:hint="eastAsia" w:ascii="Times New Roman" w:hAnsi="Times New Roman" w:cs="宋体"/>
                <w:color w:val="auto"/>
                <w:szCs w:val="24"/>
              </w:rPr>
              <w:t>工艺流程和产排污环节</w:t>
            </w:r>
          </w:p>
        </w:tc>
        <w:tc>
          <w:tcPr>
            <w:tcW w:w="8635" w:type="dxa"/>
          </w:tcPr>
          <w:p w14:paraId="7F20A20F">
            <w:pPr>
              <w:pStyle w:val="73"/>
              <w:adjustRightInd/>
              <w:ind w:firstLine="482"/>
              <w:rPr>
                <w:b/>
                <w:bCs/>
                <w:color w:val="auto"/>
              </w:rPr>
            </w:pPr>
            <w:r>
              <w:rPr>
                <w:rFonts w:hint="eastAsia"/>
                <w:b/>
                <w:bCs/>
                <w:color w:val="auto"/>
              </w:rPr>
              <w:t>主要流程简述（图示）：</w:t>
            </w:r>
          </w:p>
          <w:p w14:paraId="3E0BC453">
            <w:pPr>
              <w:pStyle w:val="73"/>
              <w:adjustRightInd/>
              <w:ind w:firstLine="482"/>
              <w:rPr>
                <w:b/>
                <w:bCs/>
                <w:color w:val="auto"/>
              </w:rPr>
            </w:pPr>
            <w:r>
              <w:rPr>
                <w:rFonts w:hint="eastAsia"/>
                <w:b/>
                <w:bCs/>
                <w:color w:val="auto"/>
              </w:rPr>
              <w:t>一、施工期工艺流程</w:t>
            </w:r>
          </w:p>
          <w:p w14:paraId="0807FFDC">
            <w:pPr>
              <w:pStyle w:val="73"/>
              <w:adjustRightInd/>
              <w:ind w:firstLine="482"/>
              <w:rPr>
                <w:b/>
                <w:bCs/>
                <w:color w:val="auto"/>
              </w:rPr>
            </w:pPr>
            <w:r>
              <w:rPr>
                <w:rFonts w:hint="eastAsia"/>
                <w:b/>
                <w:bCs/>
                <w:color w:val="auto"/>
              </w:rPr>
              <w:t>1、工艺流程简述</w:t>
            </w:r>
          </w:p>
          <w:p w14:paraId="4314E4C3">
            <w:pPr>
              <w:widowControl/>
              <w:adjustRightInd w:val="0"/>
              <w:snapToGrid w:val="0"/>
              <w:spacing w:line="360" w:lineRule="auto"/>
              <w:ind w:firstLine="480" w:firstLineChars="200"/>
              <w:rPr>
                <w:color w:val="auto"/>
                <w:sz w:val="24"/>
              </w:rPr>
            </w:pPr>
            <w:r>
              <w:rPr>
                <w:color w:val="auto"/>
                <w:sz w:val="24"/>
              </w:rPr>
              <w:t>本项目租用</w:t>
            </w:r>
            <w:r>
              <w:rPr>
                <w:rFonts w:hint="eastAsia"/>
                <w:color w:val="auto"/>
                <w:sz w:val="24"/>
              </w:rPr>
              <w:t>羊街片区</w:t>
            </w:r>
            <w:r>
              <w:rPr>
                <w:color w:val="auto"/>
                <w:sz w:val="24"/>
              </w:rPr>
              <w:t>工业园内已建厂房，</w:t>
            </w:r>
            <w:r>
              <w:rPr>
                <w:rFonts w:hint="eastAsia"/>
                <w:color w:val="auto"/>
                <w:sz w:val="24"/>
              </w:rPr>
              <w:t>经生产设备安装、环保工程建设后进行使用</w:t>
            </w:r>
            <w:r>
              <w:rPr>
                <w:color w:val="auto"/>
                <w:sz w:val="24"/>
              </w:rPr>
              <w:t>。</w:t>
            </w:r>
            <w:r>
              <w:rPr>
                <w:rFonts w:hint="eastAsia"/>
                <w:color w:val="auto"/>
                <w:sz w:val="24"/>
              </w:rPr>
              <w:t>项目施工期施工人员为10人，聘用当地居民进行施工，项目区不设施工营地，施工人员不在项目区食宿</w:t>
            </w:r>
            <w:r>
              <w:rPr>
                <w:color w:val="auto"/>
                <w:sz w:val="24"/>
              </w:rPr>
              <w:t>。</w:t>
            </w:r>
          </w:p>
          <w:p w14:paraId="20D57774">
            <w:pPr>
              <w:pStyle w:val="16"/>
              <w:snapToGrid w:val="0"/>
              <w:spacing w:after="0" w:line="360" w:lineRule="auto"/>
              <w:ind w:firstLine="0" w:firstLineChars="0"/>
              <w:rPr>
                <w:color w:val="auto"/>
                <w:szCs w:val="24"/>
              </w:rPr>
            </w:pPr>
            <w:r>
              <w:rPr>
                <w:rFonts w:hint="eastAsia"/>
                <w:color w:val="auto"/>
                <w:szCs w:val="24"/>
              </w:rPr>
              <w:t>项目施工期工艺流程见图2-3。</w:t>
            </w:r>
          </w:p>
          <w:p w14:paraId="431671BC">
            <w:pPr>
              <w:adjustRightInd w:val="0"/>
              <w:snapToGrid w:val="0"/>
              <w:jc w:val="center"/>
              <w:rPr>
                <w:color w:val="auto"/>
              </w:rPr>
            </w:pPr>
            <w:r>
              <w:rPr>
                <w:color w:val="auto"/>
              </w:rPr>
              <w:object>
                <v:shape id="_x0000_i1027" o:spt="75" type="#_x0000_t75" style="height:93.75pt;width:339.6pt;" o:ole="t" filled="f" o:preferrelative="t" stroked="f" coordsize="21600,21600">
                  <v:path/>
                  <v:fill on="f" focussize="0,0"/>
                  <v:stroke on="f" joinstyle="miter"/>
                  <v:imagedata r:id="rId12" o:title=""/>
                  <o:lock v:ext="edit" aspectratio="t"/>
                  <w10:wrap type="none"/>
                  <w10:anchorlock/>
                </v:shape>
                <o:OLEObject Type="Embed" ProgID="Visio.Drawing.11" ShapeID="_x0000_i1027" DrawAspect="Content" ObjectID="_1468075727" r:id="rId11">
                  <o:LockedField>false</o:LockedField>
                </o:OLEObject>
              </w:object>
            </w:r>
          </w:p>
          <w:p w14:paraId="4E32C9AB">
            <w:pPr>
              <w:pStyle w:val="13"/>
              <w:adjustRightInd w:val="0"/>
              <w:snapToGrid w:val="0"/>
              <w:spacing w:line="360" w:lineRule="auto"/>
              <w:jc w:val="center"/>
              <w:rPr>
                <w:rFonts w:ascii="Times New Roman" w:hAnsi="Times New Roman"/>
                <w:b/>
                <w:bCs/>
                <w:color w:val="auto"/>
              </w:rPr>
            </w:pPr>
            <w:r>
              <w:rPr>
                <w:rFonts w:ascii="Times New Roman" w:hAnsi="Times New Roman"/>
                <w:b/>
                <w:bCs/>
                <w:color w:val="auto"/>
              </w:rPr>
              <w:t>图2-</w:t>
            </w:r>
            <w:r>
              <w:rPr>
                <w:rFonts w:hint="eastAsia" w:ascii="Times New Roman" w:hAnsi="Times New Roman"/>
                <w:b/>
                <w:bCs/>
                <w:color w:val="auto"/>
              </w:rPr>
              <w:t>3</w:t>
            </w:r>
            <w:r>
              <w:rPr>
                <w:rFonts w:ascii="Times New Roman" w:hAnsi="Times New Roman"/>
                <w:b/>
                <w:bCs/>
                <w:color w:val="auto"/>
              </w:rPr>
              <w:t xml:space="preserve">  施工期工艺流程图</w:t>
            </w:r>
          </w:p>
          <w:p w14:paraId="3419F8CA">
            <w:pPr>
              <w:wordWrap w:val="0"/>
              <w:adjustRightInd w:val="0"/>
              <w:snapToGrid w:val="0"/>
              <w:spacing w:line="360" w:lineRule="auto"/>
              <w:ind w:firstLine="482" w:firstLineChars="200"/>
              <w:textAlignment w:val="baseline"/>
              <w:rPr>
                <w:b/>
                <w:bCs/>
                <w:color w:val="auto"/>
                <w:sz w:val="24"/>
              </w:rPr>
            </w:pPr>
            <w:r>
              <w:rPr>
                <w:b/>
                <w:bCs/>
                <w:color w:val="auto"/>
                <w:sz w:val="24"/>
              </w:rPr>
              <w:t>2、施工期产污环节简介</w:t>
            </w:r>
          </w:p>
          <w:p w14:paraId="55BDA026">
            <w:pPr>
              <w:widowControl/>
              <w:adjustRightInd w:val="0"/>
              <w:snapToGrid w:val="0"/>
              <w:spacing w:line="360" w:lineRule="auto"/>
              <w:ind w:firstLine="480" w:firstLineChars="200"/>
              <w:rPr>
                <w:color w:val="auto"/>
                <w:sz w:val="24"/>
              </w:rPr>
            </w:pPr>
            <w:r>
              <w:rPr>
                <w:color w:val="auto"/>
                <w:sz w:val="24"/>
              </w:rPr>
              <w:t>项目施工期主要在现有厂房内进行设备的安装</w:t>
            </w:r>
            <w:r>
              <w:rPr>
                <w:rFonts w:hint="eastAsia"/>
                <w:color w:val="auto"/>
                <w:sz w:val="24"/>
              </w:rPr>
              <w:t>及环保工程建设。项目施工期</w:t>
            </w:r>
            <w:r>
              <w:rPr>
                <w:color w:val="auto"/>
                <w:sz w:val="24"/>
              </w:rPr>
              <w:t>产生的污染物主要为</w:t>
            </w:r>
            <w:r>
              <w:rPr>
                <w:rFonts w:hint="eastAsia"/>
                <w:color w:val="auto"/>
                <w:sz w:val="24"/>
              </w:rPr>
              <w:t>施工废水、扬尘</w:t>
            </w:r>
            <w:r>
              <w:rPr>
                <w:color w:val="auto"/>
                <w:sz w:val="24"/>
              </w:rPr>
              <w:t>、</w:t>
            </w:r>
            <w:r>
              <w:rPr>
                <w:rFonts w:hint="eastAsia"/>
                <w:color w:val="auto"/>
                <w:sz w:val="24"/>
              </w:rPr>
              <w:t>固废、</w:t>
            </w:r>
            <w:r>
              <w:rPr>
                <w:color w:val="auto"/>
                <w:sz w:val="24"/>
              </w:rPr>
              <w:t>噪声等</w:t>
            </w:r>
            <w:r>
              <w:rPr>
                <w:rFonts w:hint="eastAsia"/>
                <w:color w:val="auto"/>
                <w:sz w:val="24"/>
              </w:rPr>
              <w:t>。</w:t>
            </w:r>
          </w:p>
          <w:p w14:paraId="3B4971A8">
            <w:pPr>
              <w:pStyle w:val="73"/>
              <w:adjustRightInd/>
              <w:ind w:firstLine="482"/>
              <w:rPr>
                <w:b/>
                <w:bCs/>
                <w:color w:val="auto"/>
              </w:rPr>
            </w:pPr>
            <w:r>
              <w:rPr>
                <w:rFonts w:hint="eastAsia"/>
                <w:b/>
                <w:bCs/>
                <w:color w:val="auto"/>
              </w:rPr>
              <w:t>二、运营期工艺流程</w:t>
            </w:r>
          </w:p>
          <w:p w14:paraId="32497256">
            <w:pPr>
              <w:pStyle w:val="16"/>
              <w:adjustRightInd w:val="0"/>
              <w:snapToGrid w:val="0"/>
              <w:spacing w:after="0" w:line="360" w:lineRule="auto"/>
              <w:ind w:left="0" w:leftChars="0" w:firstLine="482"/>
              <w:rPr>
                <w:b/>
                <w:bCs/>
                <w:color w:val="auto"/>
                <w:kern w:val="2"/>
                <w:szCs w:val="24"/>
                <w:lang w:bidi="ar"/>
              </w:rPr>
            </w:pPr>
            <w:r>
              <w:rPr>
                <w:rFonts w:hint="eastAsia"/>
                <w:b/>
                <w:bCs/>
                <w:color w:val="auto"/>
                <w:kern w:val="2"/>
                <w:szCs w:val="24"/>
                <w:lang w:bidi="ar"/>
              </w:rPr>
              <w:t>（1）生产工艺流程及产污环节分析</w:t>
            </w:r>
          </w:p>
          <w:p w14:paraId="0EA02633">
            <w:pPr>
              <w:pStyle w:val="16"/>
              <w:adjustRightInd w:val="0"/>
              <w:snapToGrid w:val="0"/>
              <w:spacing w:after="0" w:line="360" w:lineRule="auto"/>
              <w:ind w:left="0" w:leftChars="0" w:firstLine="480"/>
              <w:rPr>
                <w:color w:val="auto"/>
              </w:rPr>
            </w:pPr>
            <w:r>
              <w:rPr>
                <w:color w:val="auto"/>
                <w:szCs w:val="24"/>
              </w:rPr>
              <w:t>本项目</w:t>
            </w:r>
            <w:r>
              <w:rPr>
                <w:rFonts w:hint="eastAsia"/>
                <w:color w:val="auto"/>
              </w:rPr>
              <w:t>生产工艺流程及产污节点如图2-4所示。</w:t>
            </w:r>
          </w:p>
          <w:p w14:paraId="5F9CE609">
            <w:pPr>
              <w:pStyle w:val="86"/>
              <w:spacing w:line="360" w:lineRule="auto"/>
              <w:ind w:firstLine="0"/>
              <w:jc w:val="center"/>
              <w:rPr>
                <w:rFonts w:ascii="Times New Roman" w:hAnsi="Times New Roman" w:eastAsia="宋体" w:cs="Times New Roman"/>
                <w:b w:val="0"/>
                <w:color w:val="auto"/>
                <w:sz w:val="24"/>
                <w:lang w:eastAsia="zh-CN"/>
              </w:rPr>
            </w:pPr>
            <w:r>
              <w:rPr>
                <w:rFonts w:hint="eastAsia"/>
                <w:color w:val="auto"/>
                <w:sz w:val="24"/>
                <w:lang w:eastAsia="zh-CN"/>
              </w:rPr>
              <w:object>
                <v:shape id="_x0000_i1028" o:spt="75" type="#_x0000_t75" style="height:398pt;width:348pt;" o:ole="t" filled="f" o:preferrelative="t" stroked="f" coordsize="21600,21600">
                  <v:path/>
                  <v:fill on="f" focussize="0,0"/>
                  <v:stroke on="f" joinstyle="miter"/>
                  <v:imagedata r:id="rId14" o:title=""/>
                  <o:lock v:ext="edit" aspectratio="f"/>
                  <w10:wrap type="none"/>
                  <w10:anchorlock/>
                </v:shape>
                <o:OLEObject Type="Embed" ProgID="Visio.Drawing.11" ShapeID="_x0000_i1028" DrawAspect="Content" ObjectID="_1468075728" r:id="rId13">
                  <o:LockedField>false</o:LockedField>
                </o:OLEObject>
              </w:object>
            </w:r>
          </w:p>
          <w:p w14:paraId="60210D20">
            <w:pPr>
              <w:pStyle w:val="86"/>
              <w:spacing w:line="360" w:lineRule="auto"/>
              <w:ind w:firstLine="0"/>
              <w:jc w:val="center"/>
              <w:rPr>
                <w:rFonts w:ascii="Times New Roman" w:hAnsi="Times New Roman" w:eastAsia="宋体"/>
                <w:bCs/>
                <w:color w:val="auto"/>
                <w:szCs w:val="21"/>
                <w:lang w:eastAsia="zh-CN"/>
              </w:rPr>
            </w:pPr>
            <w:r>
              <w:rPr>
                <w:rFonts w:hint="eastAsia" w:ascii="Times New Roman" w:hAnsi="Times New Roman" w:eastAsia="宋体"/>
                <w:bCs/>
                <w:color w:val="auto"/>
                <w:szCs w:val="21"/>
                <w:lang w:eastAsia="zh-CN"/>
              </w:rPr>
              <w:t>图2-4  项目生产工艺流程及产污环节图</w:t>
            </w:r>
          </w:p>
          <w:p w14:paraId="408DD75C">
            <w:pPr>
              <w:pStyle w:val="86"/>
              <w:spacing w:line="360" w:lineRule="auto"/>
              <w:ind w:firstLineChars="200"/>
              <w:jc w:val="left"/>
              <w:rPr>
                <w:rFonts w:ascii="Times New Roman" w:hAnsi="Times New Roman"/>
                <w:bCs/>
                <w:color w:val="auto"/>
                <w:sz w:val="24"/>
                <w:lang w:eastAsia="zh-CN"/>
              </w:rPr>
            </w:pPr>
            <w:r>
              <w:rPr>
                <w:rFonts w:ascii="Times New Roman" w:hAnsi="Times New Roman"/>
                <w:bCs/>
                <w:color w:val="auto"/>
                <w:sz w:val="24"/>
                <w:lang w:eastAsia="zh-CN"/>
              </w:rPr>
              <w:t>主要生产工艺流程简述：</w:t>
            </w:r>
          </w:p>
          <w:p w14:paraId="73E895D6">
            <w:pPr>
              <w:pStyle w:val="73"/>
              <w:numPr>
                <w:ilvl w:val="0"/>
                <w:numId w:val="6"/>
              </w:numPr>
              <w:adjustRightInd/>
              <w:rPr>
                <w:color w:val="auto"/>
              </w:rPr>
            </w:pPr>
            <w:r>
              <w:rPr>
                <w:rFonts w:hint="eastAsia"/>
                <w:color w:val="auto"/>
              </w:rPr>
              <w:t>调胶</w:t>
            </w:r>
          </w:p>
          <w:p w14:paraId="0DE1773C">
            <w:pPr>
              <w:widowControl/>
              <w:adjustRightInd w:val="0"/>
              <w:snapToGrid w:val="0"/>
              <w:spacing w:line="360" w:lineRule="auto"/>
              <w:ind w:firstLine="480" w:firstLineChars="200"/>
              <w:rPr>
                <w:color w:val="auto"/>
                <w:sz w:val="24"/>
              </w:rPr>
            </w:pPr>
            <w:r>
              <w:rPr>
                <w:color w:val="auto"/>
                <w:sz w:val="24"/>
              </w:rPr>
              <w:t>项目外购成品</w:t>
            </w:r>
            <w:r>
              <w:rPr>
                <w:rFonts w:hint="eastAsia"/>
                <w:color w:val="auto"/>
                <w:sz w:val="24"/>
              </w:rPr>
              <w:t>密封包装</w:t>
            </w:r>
            <w:r>
              <w:rPr>
                <w:color w:val="auto"/>
                <w:sz w:val="24"/>
              </w:rPr>
              <w:t>三聚氰胺甲醛树脂，拆包后根据配方要求将三聚氰胺甲醛树脂和水按一定比例</w:t>
            </w:r>
            <w:r>
              <w:rPr>
                <w:rFonts w:hint="eastAsia"/>
                <w:color w:val="auto"/>
                <w:sz w:val="24"/>
              </w:rPr>
              <w:t>在搅拌罐中</w:t>
            </w:r>
            <w:r>
              <w:rPr>
                <w:color w:val="auto"/>
                <w:sz w:val="24"/>
              </w:rPr>
              <w:t>充分混合搅拌，配得浸渍纸生产需要的树脂胶稠度，调胶过程无需加热，</w:t>
            </w:r>
            <w:r>
              <w:rPr>
                <w:rFonts w:hint="eastAsia"/>
                <w:color w:val="auto"/>
                <w:sz w:val="24"/>
              </w:rPr>
              <w:t>调配好的树脂胶通过密封管道注入储胶罐中储存备用。</w:t>
            </w:r>
            <w:r>
              <w:rPr>
                <w:color w:val="auto"/>
                <w:sz w:val="24"/>
              </w:rPr>
              <w:t>成品胶拆包后会产生废胶水桶，搅拌过程中会产生机械噪声、甲醛和</w:t>
            </w:r>
            <w:r>
              <w:rPr>
                <w:rFonts w:hint="eastAsia"/>
                <w:color w:val="auto"/>
                <w:sz w:val="24"/>
              </w:rPr>
              <w:t>VOCs（以非甲烷总烃计）</w:t>
            </w:r>
            <w:r>
              <w:rPr>
                <w:color w:val="auto"/>
                <w:sz w:val="24"/>
              </w:rPr>
              <w:t>。</w:t>
            </w:r>
          </w:p>
          <w:p w14:paraId="539F0A8D">
            <w:pPr>
              <w:widowControl/>
              <w:adjustRightInd w:val="0"/>
              <w:snapToGrid w:val="0"/>
              <w:spacing w:line="360" w:lineRule="auto"/>
              <w:ind w:firstLine="480" w:firstLineChars="200"/>
              <w:rPr>
                <w:color w:val="auto"/>
                <w:sz w:val="24"/>
              </w:rPr>
            </w:pPr>
            <w:r>
              <w:rPr>
                <w:rFonts w:hint="eastAsia"/>
                <w:color w:val="auto"/>
                <w:sz w:val="24"/>
              </w:rPr>
              <w:t>（2）原纸拆包</w:t>
            </w:r>
          </w:p>
          <w:p w14:paraId="7EF98748">
            <w:pPr>
              <w:widowControl/>
              <w:adjustRightInd w:val="0"/>
              <w:snapToGrid w:val="0"/>
              <w:spacing w:line="360" w:lineRule="auto"/>
              <w:ind w:firstLine="480" w:firstLineChars="200"/>
              <w:rPr>
                <w:color w:val="auto"/>
                <w:sz w:val="24"/>
              </w:rPr>
            </w:pPr>
            <w:r>
              <w:rPr>
                <w:rFonts w:hint="eastAsia"/>
                <w:color w:val="auto"/>
                <w:sz w:val="24"/>
              </w:rPr>
              <w:t>将外购的原纸包装拆开后，使用叉车将原纸运送到卧式浸渍烘干一体机入纸口，此过程中会产生废包装材料和叉车噪声。</w:t>
            </w:r>
          </w:p>
          <w:p w14:paraId="247A1898">
            <w:pPr>
              <w:widowControl/>
              <w:adjustRightInd w:val="0"/>
              <w:snapToGrid w:val="0"/>
              <w:spacing w:line="360" w:lineRule="auto"/>
              <w:ind w:firstLine="480" w:firstLineChars="200"/>
              <w:rPr>
                <w:color w:val="auto"/>
                <w:sz w:val="24"/>
              </w:rPr>
            </w:pPr>
            <w:r>
              <w:rPr>
                <w:rFonts w:hint="eastAsia"/>
                <w:color w:val="auto"/>
                <w:sz w:val="24"/>
              </w:rPr>
              <w:t>（3）浸胶</w:t>
            </w:r>
          </w:p>
          <w:p w14:paraId="244E6291">
            <w:pPr>
              <w:widowControl/>
              <w:adjustRightInd w:val="0"/>
              <w:snapToGrid w:val="0"/>
              <w:spacing w:line="360" w:lineRule="auto"/>
              <w:ind w:firstLine="480" w:firstLineChars="200"/>
              <w:rPr>
                <w:color w:val="auto"/>
                <w:sz w:val="24"/>
              </w:rPr>
            </w:pPr>
            <w:r>
              <w:rPr>
                <w:rFonts w:hint="eastAsia"/>
                <w:color w:val="auto"/>
                <w:sz w:val="24"/>
              </w:rPr>
              <w:t>储胶罐中储存的三聚氰胺甲醛树脂胶通过密闭管道注入卧式浸渍烘干一体化生产设备的浸胶槽中，设定温度通过电导热至生产所需的工艺温度，将原纸进行浸渍处理，浸渍过程中产生机械噪声、甲醛和VOCs（以非甲烷总烃计）。</w:t>
            </w:r>
          </w:p>
          <w:p w14:paraId="3773616F">
            <w:pPr>
              <w:widowControl/>
              <w:adjustRightInd w:val="0"/>
              <w:snapToGrid w:val="0"/>
              <w:spacing w:line="360" w:lineRule="auto"/>
              <w:ind w:firstLine="480" w:firstLineChars="200"/>
              <w:rPr>
                <w:color w:val="auto"/>
                <w:sz w:val="24"/>
              </w:rPr>
            </w:pPr>
            <w:r>
              <w:rPr>
                <w:rFonts w:hint="eastAsia"/>
                <w:color w:val="auto"/>
                <w:sz w:val="24"/>
              </w:rPr>
              <w:t>（4）干燥</w:t>
            </w:r>
          </w:p>
          <w:p w14:paraId="4988B91E">
            <w:pPr>
              <w:widowControl/>
              <w:adjustRightInd w:val="0"/>
              <w:snapToGrid w:val="0"/>
              <w:spacing w:line="360" w:lineRule="auto"/>
              <w:ind w:firstLine="480" w:firstLineChars="200"/>
              <w:rPr>
                <w:color w:val="auto"/>
                <w:sz w:val="24"/>
              </w:rPr>
            </w:pPr>
            <w:r>
              <w:rPr>
                <w:rFonts w:hint="eastAsia"/>
                <w:color w:val="auto"/>
                <w:sz w:val="24"/>
              </w:rPr>
              <w:t>浸过三聚氰胺甲醛树脂胶的纸张通过传送皮带传送到设备烘干工段，使用对辊轴进行挤压把胶渍挤压出来后，通过热导热油加热压缩空气干燥器产生的空气对纸张进行烘干，被挤压出来的胶渍通过滑道流回浸胶槽中循环使用，烘干过程中产生机械噪声、甲醛和VOCs（以非甲烷总烃计）。</w:t>
            </w:r>
          </w:p>
          <w:p w14:paraId="009797AA">
            <w:pPr>
              <w:widowControl/>
              <w:numPr>
                <w:ilvl w:val="0"/>
                <w:numId w:val="5"/>
              </w:numPr>
              <w:adjustRightInd w:val="0"/>
              <w:snapToGrid w:val="0"/>
              <w:spacing w:line="360" w:lineRule="auto"/>
              <w:ind w:firstLine="480" w:firstLineChars="200"/>
              <w:rPr>
                <w:color w:val="auto"/>
                <w:sz w:val="24"/>
              </w:rPr>
            </w:pPr>
            <w:r>
              <w:rPr>
                <w:rFonts w:hint="eastAsia"/>
                <w:color w:val="auto"/>
                <w:sz w:val="24"/>
              </w:rPr>
              <w:t>切纸</w:t>
            </w:r>
          </w:p>
          <w:p w14:paraId="5B377F88">
            <w:pPr>
              <w:widowControl/>
              <w:adjustRightInd w:val="0"/>
              <w:snapToGrid w:val="0"/>
              <w:spacing w:line="360" w:lineRule="auto"/>
              <w:ind w:firstLine="480" w:firstLineChars="200"/>
              <w:rPr>
                <w:color w:val="auto"/>
                <w:sz w:val="24"/>
              </w:rPr>
            </w:pPr>
            <w:r>
              <w:rPr>
                <w:rFonts w:hint="eastAsia"/>
                <w:color w:val="auto"/>
                <w:sz w:val="24"/>
              </w:rPr>
              <w:t>烘干处理后的产品通过传输皮带传输至设备裁切工段，经数控机床剪切成所需要的尺寸，裁剪过程中会产生机械噪声和少许废边角料。</w:t>
            </w:r>
          </w:p>
          <w:p w14:paraId="143F95E9">
            <w:pPr>
              <w:widowControl/>
              <w:numPr>
                <w:ilvl w:val="0"/>
                <w:numId w:val="5"/>
              </w:numPr>
              <w:adjustRightInd w:val="0"/>
              <w:snapToGrid w:val="0"/>
              <w:spacing w:line="360" w:lineRule="auto"/>
              <w:ind w:firstLine="480" w:firstLineChars="200"/>
              <w:rPr>
                <w:color w:val="auto"/>
                <w:sz w:val="24"/>
              </w:rPr>
            </w:pPr>
            <w:r>
              <w:rPr>
                <w:rFonts w:hint="eastAsia"/>
                <w:color w:val="auto"/>
                <w:sz w:val="24"/>
              </w:rPr>
              <w:t>检验、包装</w:t>
            </w:r>
          </w:p>
          <w:p w14:paraId="13CEE80F">
            <w:pPr>
              <w:widowControl/>
              <w:adjustRightInd w:val="0"/>
              <w:snapToGrid w:val="0"/>
              <w:spacing w:line="360" w:lineRule="auto"/>
              <w:ind w:firstLine="480" w:firstLineChars="200"/>
              <w:rPr>
                <w:color w:val="auto"/>
                <w:sz w:val="24"/>
              </w:rPr>
            </w:pPr>
            <w:r>
              <w:rPr>
                <w:rFonts w:hint="eastAsia"/>
                <w:color w:val="auto"/>
                <w:sz w:val="24"/>
              </w:rPr>
              <w:t>剪切好的产品通过传送皮带传送至检验平台，经人工检验后将合格的产品进行包装入库，不合格的产品将作为固体废弃物统一收集处置，此环节会产生不合格产品和废包装材料。</w:t>
            </w:r>
          </w:p>
          <w:p w14:paraId="46D7879C">
            <w:pPr>
              <w:widowControl/>
              <w:adjustRightInd w:val="0"/>
              <w:snapToGrid w:val="0"/>
              <w:spacing w:line="360" w:lineRule="auto"/>
              <w:ind w:firstLine="480" w:firstLineChars="200"/>
              <w:rPr>
                <w:color w:val="auto"/>
                <w:sz w:val="24"/>
              </w:rPr>
            </w:pPr>
            <w:r>
              <w:rPr>
                <w:rFonts w:hint="eastAsia"/>
                <w:color w:val="auto"/>
                <w:sz w:val="24"/>
              </w:rPr>
              <w:t>从浸胶到裁剪整个过程皆在一体化的设备内完成。浸渍和烘干温度分</w:t>
            </w:r>
            <w:r>
              <w:rPr>
                <w:color w:val="auto"/>
                <w:sz w:val="24"/>
              </w:rPr>
              <w:t>别约80℃和150℃，</w:t>
            </w:r>
            <w:r>
              <w:rPr>
                <w:rFonts w:hint="eastAsia"/>
                <w:color w:val="auto"/>
                <w:sz w:val="24"/>
              </w:rPr>
              <w:t>浸渍保温用电加热，烘干热源由天然气燃烧加热导热油供热，天然气在模温机燃烧时会产生NOx、SO</w:t>
            </w:r>
            <w:r>
              <w:rPr>
                <w:rFonts w:hint="eastAsia"/>
                <w:color w:val="auto"/>
                <w:sz w:val="24"/>
                <w:vertAlign w:val="subscript"/>
              </w:rPr>
              <w:t>2</w:t>
            </w:r>
            <w:r>
              <w:rPr>
                <w:rFonts w:hint="eastAsia"/>
                <w:color w:val="auto"/>
                <w:sz w:val="24"/>
              </w:rPr>
              <w:t>和颗粒物。</w:t>
            </w:r>
          </w:p>
          <w:p w14:paraId="498B3821">
            <w:pPr>
              <w:pStyle w:val="16"/>
              <w:adjustRightInd w:val="0"/>
              <w:snapToGrid w:val="0"/>
              <w:spacing w:after="0" w:line="360" w:lineRule="auto"/>
              <w:ind w:firstLine="0" w:firstLineChars="0"/>
              <w:rPr>
                <w:b/>
                <w:bCs/>
                <w:color w:val="auto"/>
                <w:szCs w:val="28"/>
              </w:rPr>
            </w:pPr>
            <w:r>
              <w:rPr>
                <w:rFonts w:hint="eastAsia"/>
                <w:b/>
                <w:bCs/>
                <w:color w:val="auto"/>
                <w:szCs w:val="28"/>
              </w:rPr>
              <w:t>6、</w:t>
            </w:r>
            <w:r>
              <w:rPr>
                <w:b/>
                <w:bCs/>
                <w:color w:val="auto"/>
                <w:szCs w:val="28"/>
              </w:rPr>
              <w:t>运营期主要污染工序</w:t>
            </w:r>
          </w:p>
          <w:p w14:paraId="18D1FF83">
            <w:pPr>
              <w:adjustRightInd w:val="0"/>
              <w:snapToGrid w:val="0"/>
              <w:spacing w:line="360" w:lineRule="auto"/>
              <w:ind w:firstLine="480" w:firstLineChars="200"/>
              <w:rPr>
                <w:color w:val="auto"/>
                <w:sz w:val="24"/>
              </w:rPr>
            </w:pPr>
            <w:r>
              <w:rPr>
                <w:color w:val="auto"/>
                <w:sz w:val="24"/>
              </w:rPr>
              <w:t>本项目运营期主要污染工序详见表</w:t>
            </w:r>
            <w:r>
              <w:rPr>
                <w:rFonts w:hint="eastAsia"/>
                <w:color w:val="auto"/>
                <w:sz w:val="24"/>
              </w:rPr>
              <w:t>2-8。</w:t>
            </w:r>
          </w:p>
          <w:p w14:paraId="7F0CA904">
            <w:pPr>
              <w:jc w:val="center"/>
              <w:rPr>
                <w:b/>
                <w:bCs/>
                <w:color w:val="auto"/>
                <w:szCs w:val="22"/>
              </w:rPr>
            </w:pPr>
            <w:r>
              <w:rPr>
                <w:b/>
                <w:bCs/>
                <w:color w:val="auto"/>
                <w:szCs w:val="21"/>
              </w:rPr>
              <w:t>表</w:t>
            </w:r>
            <w:r>
              <w:rPr>
                <w:rFonts w:hint="eastAsia"/>
                <w:b/>
                <w:bCs/>
                <w:color w:val="auto"/>
                <w:szCs w:val="21"/>
              </w:rPr>
              <w:t>2</w:t>
            </w:r>
            <w:r>
              <w:rPr>
                <w:b/>
                <w:bCs/>
                <w:color w:val="auto"/>
                <w:szCs w:val="21"/>
              </w:rPr>
              <w:t>-</w:t>
            </w:r>
            <w:r>
              <w:rPr>
                <w:rFonts w:hint="eastAsia"/>
                <w:b/>
                <w:bCs/>
                <w:color w:val="auto"/>
                <w:szCs w:val="21"/>
              </w:rPr>
              <w:t>8</w:t>
            </w:r>
            <w:r>
              <w:rPr>
                <w:b/>
                <w:bCs/>
                <w:color w:val="auto"/>
                <w:szCs w:val="21"/>
              </w:rPr>
              <w:t xml:space="preserve">  运营期主要污染工序一览</w:t>
            </w:r>
          </w:p>
          <w:tbl>
            <w:tblPr>
              <w:tblStyle w:val="30"/>
              <w:tblW w:w="84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732"/>
              <w:gridCol w:w="1727"/>
              <w:gridCol w:w="3319"/>
              <w:gridCol w:w="962"/>
            </w:tblGrid>
            <w:tr w14:paraId="58474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tcBorders>
                    <w:tl2br w:val="nil"/>
                    <w:tr2bl w:val="nil"/>
                  </w:tcBorders>
                  <w:vAlign w:val="center"/>
                </w:tcPr>
                <w:p w14:paraId="54C4B04A">
                  <w:pPr>
                    <w:snapToGrid w:val="0"/>
                    <w:jc w:val="center"/>
                    <w:rPr>
                      <w:b/>
                      <w:bCs/>
                      <w:color w:val="auto"/>
                      <w:szCs w:val="21"/>
                    </w:rPr>
                  </w:pPr>
                  <w:r>
                    <w:rPr>
                      <w:b/>
                      <w:bCs/>
                      <w:color w:val="auto"/>
                      <w:szCs w:val="21"/>
                    </w:rPr>
                    <w:t>污染类别</w:t>
                  </w:r>
                </w:p>
              </w:tc>
              <w:tc>
                <w:tcPr>
                  <w:tcW w:w="1732" w:type="dxa"/>
                  <w:tcBorders>
                    <w:tl2br w:val="nil"/>
                    <w:tr2bl w:val="nil"/>
                  </w:tcBorders>
                  <w:vAlign w:val="center"/>
                </w:tcPr>
                <w:p w14:paraId="6613E189">
                  <w:pPr>
                    <w:snapToGrid w:val="0"/>
                    <w:jc w:val="center"/>
                    <w:rPr>
                      <w:b/>
                      <w:bCs/>
                      <w:color w:val="auto"/>
                      <w:szCs w:val="21"/>
                    </w:rPr>
                  </w:pPr>
                  <w:r>
                    <w:rPr>
                      <w:b/>
                      <w:bCs/>
                      <w:color w:val="auto"/>
                      <w:szCs w:val="21"/>
                    </w:rPr>
                    <w:t>产污环节</w:t>
                  </w:r>
                </w:p>
              </w:tc>
              <w:tc>
                <w:tcPr>
                  <w:tcW w:w="1727" w:type="dxa"/>
                  <w:tcBorders>
                    <w:tl2br w:val="nil"/>
                    <w:tr2bl w:val="nil"/>
                  </w:tcBorders>
                  <w:vAlign w:val="center"/>
                </w:tcPr>
                <w:p w14:paraId="437A95A9">
                  <w:pPr>
                    <w:snapToGrid w:val="0"/>
                    <w:jc w:val="center"/>
                    <w:rPr>
                      <w:b/>
                      <w:bCs/>
                      <w:color w:val="auto"/>
                      <w:szCs w:val="21"/>
                    </w:rPr>
                  </w:pPr>
                  <w:r>
                    <w:rPr>
                      <w:b/>
                      <w:bCs/>
                      <w:color w:val="auto"/>
                      <w:szCs w:val="21"/>
                    </w:rPr>
                    <w:t>主要污染物</w:t>
                  </w:r>
                </w:p>
              </w:tc>
              <w:tc>
                <w:tcPr>
                  <w:tcW w:w="3319" w:type="dxa"/>
                  <w:tcBorders>
                    <w:tl2br w:val="nil"/>
                    <w:tr2bl w:val="nil"/>
                  </w:tcBorders>
                  <w:vAlign w:val="center"/>
                </w:tcPr>
                <w:p w14:paraId="0967ED8D">
                  <w:pPr>
                    <w:snapToGrid w:val="0"/>
                    <w:jc w:val="center"/>
                    <w:rPr>
                      <w:b/>
                      <w:bCs/>
                      <w:color w:val="auto"/>
                      <w:szCs w:val="21"/>
                    </w:rPr>
                  </w:pPr>
                  <w:r>
                    <w:rPr>
                      <w:b/>
                      <w:bCs/>
                      <w:color w:val="auto"/>
                      <w:szCs w:val="21"/>
                    </w:rPr>
                    <w:t>治理措施</w:t>
                  </w:r>
                </w:p>
              </w:tc>
              <w:tc>
                <w:tcPr>
                  <w:tcW w:w="962" w:type="dxa"/>
                  <w:tcBorders>
                    <w:tl2br w:val="nil"/>
                    <w:tr2bl w:val="nil"/>
                  </w:tcBorders>
                  <w:vAlign w:val="center"/>
                </w:tcPr>
                <w:p w14:paraId="5258C989">
                  <w:pPr>
                    <w:snapToGrid w:val="0"/>
                    <w:jc w:val="center"/>
                    <w:rPr>
                      <w:b/>
                      <w:bCs/>
                      <w:color w:val="auto"/>
                      <w:szCs w:val="21"/>
                    </w:rPr>
                  </w:pPr>
                  <w:r>
                    <w:rPr>
                      <w:b/>
                      <w:bCs/>
                      <w:color w:val="auto"/>
                      <w:szCs w:val="21"/>
                    </w:rPr>
                    <w:t>排放方式</w:t>
                  </w:r>
                </w:p>
              </w:tc>
            </w:tr>
            <w:tr w14:paraId="2E851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66" w:type="dxa"/>
                  <w:vMerge w:val="restart"/>
                  <w:tcBorders>
                    <w:tl2br w:val="nil"/>
                    <w:tr2bl w:val="nil"/>
                  </w:tcBorders>
                  <w:vAlign w:val="center"/>
                </w:tcPr>
                <w:p w14:paraId="402782A9">
                  <w:pPr>
                    <w:snapToGrid w:val="0"/>
                    <w:jc w:val="center"/>
                    <w:rPr>
                      <w:color w:val="auto"/>
                      <w:szCs w:val="21"/>
                    </w:rPr>
                  </w:pPr>
                  <w:r>
                    <w:rPr>
                      <w:rFonts w:hint="eastAsia"/>
                      <w:color w:val="auto"/>
                      <w:szCs w:val="21"/>
                    </w:rPr>
                    <w:t>废气</w:t>
                  </w:r>
                </w:p>
              </w:tc>
              <w:tc>
                <w:tcPr>
                  <w:tcW w:w="1732" w:type="dxa"/>
                  <w:tcBorders>
                    <w:tl2br w:val="nil"/>
                    <w:tr2bl w:val="nil"/>
                  </w:tcBorders>
                  <w:vAlign w:val="center"/>
                </w:tcPr>
                <w:p w14:paraId="6AE57FDE">
                  <w:pPr>
                    <w:snapToGrid w:val="0"/>
                    <w:jc w:val="center"/>
                    <w:rPr>
                      <w:color w:val="auto"/>
                      <w:szCs w:val="21"/>
                    </w:rPr>
                  </w:pPr>
                  <w:r>
                    <w:rPr>
                      <w:rFonts w:hint="eastAsia"/>
                      <w:color w:val="auto"/>
                      <w:szCs w:val="21"/>
                    </w:rPr>
                    <w:t>天然气燃烧</w:t>
                  </w:r>
                </w:p>
              </w:tc>
              <w:tc>
                <w:tcPr>
                  <w:tcW w:w="1727" w:type="dxa"/>
                  <w:tcBorders>
                    <w:tl2br w:val="nil"/>
                    <w:tr2bl w:val="nil"/>
                  </w:tcBorders>
                  <w:vAlign w:val="center"/>
                </w:tcPr>
                <w:p w14:paraId="19342C37">
                  <w:pPr>
                    <w:snapToGrid w:val="0"/>
                    <w:jc w:val="center"/>
                    <w:rPr>
                      <w:color w:val="auto"/>
                      <w:szCs w:val="21"/>
                    </w:rPr>
                  </w:pPr>
                  <w:r>
                    <w:rPr>
                      <w:color w:val="auto"/>
                      <w:szCs w:val="21"/>
                    </w:rPr>
                    <w:t>烟尘、SO</w:t>
                  </w:r>
                  <w:r>
                    <w:rPr>
                      <w:color w:val="auto"/>
                      <w:szCs w:val="21"/>
                      <w:vertAlign w:val="subscript"/>
                    </w:rPr>
                    <w:t>2</w:t>
                  </w:r>
                  <w:r>
                    <w:rPr>
                      <w:color w:val="auto"/>
                      <w:szCs w:val="21"/>
                    </w:rPr>
                    <w:t>、NO</w:t>
                  </w:r>
                  <w:r>
                    <w:rPr>
                      <w:color w:val="auto"/>
                      <w:szCs w:val="21"/>
                      <w:vertAlign w:val="subscript"/>
                    </w:rPr>
                    <w:t>X</w:t>
                  </w:r>
                </w:p>
              </w:tc>
              <w:tc>
                <w:tcPr>
                  <w:tcW w:w="3319" w:type="dxa"/>
                  <w:tcBorders>
                    <w:tl2br w:val="nil"/>
                    <w:tr2bl w:val="nil"/>
                  </w:tcBorders>
                  <w:vAlign w:val="center"/>
                </w:tcPr>
                <w:p w14:paraId="1465F3F4">
                  <w:pPr>
                    <w:adjustRightInd w:val="0"/>
                    <w:snapToGrid w:val="0"/>
                    <w:jc w:val="center"/>
                    <w:rPr>
                      <w:color w:val="auto"/>
                      <w:szCs w:val="21"/>
                    </w:rPr>
                  </w:pPr>
                  <w:r>
                    <w:rPr>
                      <w:rFonts w:hint="eastAsia"/>
                      <w:color w:val="auto"/>
                      <w:szCs w:val="21"/>
                    </w:rPr>
                    <w:t>由15m高排气筒（DA002）</w:t>
                  </w:r>
                  <w:r>
                    <w:rPr>
                      <w:color w:val="auto"/>
                      <w:szCs w:val="21"/>
                    </w:rPr>
                    <w:t>排放</w:t>
                  </w:r>
                </w:p>
              </w:tc>
              <w:tc>
                <w:tcPr>
                  <w:tcW w:w="962" w:type="dxa"/>
                  <w:tcBorders>
                    <w:tl2br w:val="nil"/>
                    <w:tr2bl w:val="nil"/>
                  </w:tcBorders>
                  <w:vAlign w:val="center"/>
                </w:tcPr>
                <w:p w14:paraId="0B9239D5">
                  <w:pPr>
                    <w:snapToGrid w:val="0"/>
                    <w:jc w:val="center"/>
                    <w:rPr>
                      <w:color w:val="auto"/>
                      <w:szCs w:val="21"/>
                    </w:rPr>
                  </w:pPr>
                  <w:r>
                    <w:rPr>
                      <w:rFonts w:hint="eastAsia"/>
                      <w:color w:val="auto"/>
                      <w:szCs w:val="21"/>
                    </w:rPr>
                    <w:t>有组织</w:t>
                  </w:r>
                </w:p>
              </w:tc>
            </w:tr>
            <w:tr w14:paraId="006D4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666" w:type="dxa"/>
                  <w:vMerge w:val="continue"/>
                  <w:tcBorders>
                    <w:tl2br w:val="nil"/>
                    <w:tr2bl w:val="nil"/>
                  </w:tcBorders>
                  <w:vAlign w:val="center"/>
                </w:tcPr>
                <w:p w14:paraId="74B2EBD7">
                  <w:pPr>
                    <w:snapToGrid w:val="0"/>
                    <w:jc w:val="center"/>
                    <w:rPr>
                      <w:color w:val="auto"/>
                      <w:szCs w:val="21"/>
                    </w:rPr>
                  </w:pPr>
                </w:p>
              </w:tc>
              <w:tc>
                <w:tcPr>
                  <w:tcW w:w="1732" w:type="dxa"/>
                  <w:tcBorders>
                    <w:tl2br w:val="nil"/>
                    <w:tr2bl w:val="nil"/>
                  </w:tcBorders>
                  <w:vAlign w:val="center"/>
                </w:tcPr>
                <w:p w14:paraId="02135C62">
                  <w:pPr>
                    <w:pStyle w:val="17"/>
                    <w:widowControl w:val="0"/>
                    <w:spacing w:after="0" w:line="240" w:lineRule="auto"/>
                    <w:ind w:firstLine="0" w:firstLineChars="0"/>
                    <w:jc w:val="center"/>
                    <w:rPr>
                      <w:color w:val="auto"/>
                      <w:sz w:val="21"/>
                      <w:szCs w:val="21"/>
                    </w:rPr>
                  </w:pPr>
                  <w:r>
                    <w:rPr>
                      <w:rFonts w:hint="eastAsia"/>
                      <w:color w:val="auto"/>
                      <w:sz w:val="21"/>
                      <w:szCs w:val="21"/>
                    </w:rPr>
                    <w:t>调胶、浸胶、烘干</w:t>
                  </w:r>
                </w:p>
              </w:tc>
              <w:tc>
                <w:tcPr>
                  <w:tcW w:w="1727" w:type="dxa"/>
                  <w:tcBorders>
                    <w:tl2br w:val="nil"/>
                    <w:tr2bl w:val="nil"/>
                  </w:tcBorders>
                  <w:vAlign w:val="center"/>
                </w:tcPr>
                <w:p w14:paraId="50B110EA">
                  <w:pPr>
                    <w:pStyle w:val="17"/>
                    <w:widowControl w:val="0"/>
                    <w:spacing w:after="0" w:line="240" w:lineRule="auto"/>
                    <w:ind w:firstLine="0" w:firstLineChars="0"/>
                    <w:jc w:val="center"/>
                    <w:rPr>
                      <w:color w:val="auto"/>
                      <w:kern w:val="2"/>
                      <w:sz w:val="21"/>
                      <w:szCs w:val="21"/>
                    </w:rPr>
                  </w:pPr>
                  <w:r>
                    <w:rPr>
                      <w:rFonts w:hint="eastAsia"/>
                      <w:color w:val="auto"/>
                      <w:kern w:val="2"/>
                      <w:sz w:val="21"/>
                      <w:szCs w:val="21"/>
                    </w:rPr>
                    <w:t>甲醛、</w:t>
                  </w:r>
                  <w:r>
                    <w:rPr>
                      <w:rFonts w:hint="eastAsia"/>
                      <w:color w:val="auto"/>
                      <w:kern w:val="2"/>
                      <w:szCs w:val="24"/>
                    </w:rPr>
                    <w:t>VOCs（以非甲烷总烃计）</w:t>
                  </w:r>
                </w:p>
              </w:tc>
              <w:tc>
                <w:tcPr>
                  <w:tcW w:w="3319" w:type="dxa"/>
                  <w:tcBorders>
                    <w:tl2br w:val="nil"/>
                    <w:tr2bl w:val="nil"/>
                  </w:tcBorders>
                  <w:vAlign w:val="center"/>
                </w:tcPr>
                <w:p w14:paraId="622E3F9F">
                  <w:pPr>
                    <w:snapToGrid w:val="0"/>
                    <w:jc w:val="center"/>
                    <w:rPr>
                      <w:color w:val="auto"/>
                      <w:szCs w:val="21"/>
                    </w:rPr>
                  </w:pPr>
                  <w:r>
                    <w:rPr>
                      <w:rFonts w:hint="eastAsia"/>
                      <w:color w:val="auto"/>
                      <w:szCs w:val="21"/>
                    </w:rPr>
                    <w:t>“UV光解+三级活性炭吸附净化装置”</w:t>
                  </w:r>
                  <w:r>
                    <w:rPr>
                      <w:color w:val="auto"/>
                      <w:szCs w:val="21"/>
                      <w:lang w:val="zh-CN"/>
                    </w:rPr>
                    <w:t>处理后</w:t>
                  </w:r>
                  <w:r>
                    <w:rPr>
                      <w:rFonts w:hint="eastAsia"/>
                      <w:color w:val="auto"/>
                      <w:szCs w:val="21"/>
                    </w:rPr>
                    <w:t>由15</w:t>
                  </w:r>
                  <w:r>
                    <w:rPr>
                      <w:color w:val="auto"/>
                      <w:szCs w:val="21"/>
                    </w:rPr>
                    <w:t>m高排气筒（DA00</w:t>
                  </w:r>
                  <w:r>
                    <w:rPr>
                      <w:rFonts w:hint="eastAsia"/>
                      <w:color w:val="auto"/>
                      <w:szCs w:val="21"/>
                    </w:rPr>
                    <w:t>1</w:t>
                  </w:r>
                  <w:r>
                    <w:rPr>
                      <w:color w:val="auto"/>
                      <w:szCs w:val="21"/>
                    </w:rPr>
                    <w:t>）排放</w:t>
                  </w:r>
                </w:p>
              </w:tc>
              <w:tc>
                <w:tcPr>
                  <w:tcW w:w="962" w:type="dxa"/>
                  <w:tcBorders>
                    <w:tl2br w:val="nil"/>
                    <w:tr2bl w:val="nil"/>
                  </w:tcBorders>
                  <w:vAlign w:val="center"/>
                </w:tcPr>
                <w:p w14:paraId="4B10EA0A">
                  <w:pPr>
                    <w:snapToGrid w:val="0"/>
                    <w:jc w:val="center"/>
                    <w:rPr>
                      <w:color w:val="auto"/>
                      <w:szCs w:val="21"/>
                    </w:rPr>
                  </w:pPr>
                  <w:r>
                    <w:rPr>
                      <w:rFonts w:hint="eastAsia"/>
                      <w:color w:val="auto"/>
                      <w:szCs w:val="21"/>
                    </w:rPr>
                    <w:t>有组织</w:t>
                  </w:r>
                </w:p>
              </w:tc>
            </w:tr>
            <w:tr w14:paraId="0B000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666" w:type="dxa"/>
                  <w:tcBorders>
                    <w:tl2br w:val="nil"/>
                    <w:tr2bl w:val="nil"/>
                  </w:tcBorders>
                  <w:vAlign w:val="center"/>
                </w:tcPr>
                <w:p w14:paraId="4C348D8D">
                  <w:pPr>
                    <w:snapToGrid w:val="0"/>
                    <w:jc w:val="center"/>
                    <w:rPr>
                      <w:color w:val="auto"/>
                      <w:szCs w:val="21"/>
                    </w:rPr>
                  </w:pPr>
                  <w:r>
                    <w:rPr>
                      <w:color w:val="auto"/>
                      <w:szCs w:val="21"/>
                    </w:rPr>
                    <w:t>废水</w:t>
                  </w:r>
                </w:p>
              </w:tc>
              <w:tc>
                <w:tcPr>
                  <w:tcW w:w="1732" w:type="dxa"/>
                  <w:tcBorders>
                    <w:tl2br w:val="nil"/>
                    <w:tr2bl w:val="nil"/>
                  </w:tcBorders>
                  <w:vAlign w:val="center"/>
                </w:tcPr>
                <w:p w14:paraId="0BAC0914">
                  <w:pPr>
                    <w:snapToGrid w:val="0"/>
                    <w:jc w:val="center"/>
                    <w:rPr>
                      <w:color w:val="auto"/>
                      <w:szCs w:val="21"/>
                    </w:rPr>
                  </w:pPr>
                  <w:r>
                    <w:rPr>
                      <w:rFonts w:hint="eastAsia"/>
                      <w:color w:val="auto"/>
                      <w:szCs w:val="21"/>
                    </w:rPr>
                    <w:t>职工生活</w:t>
                  </w:r>
                </w:p>
              </w:tc>
              <w:tc>
                <w:tcPr>
                  <w:tcW w:w="1727" w:type="dxa"/>
                  <w:tcBorders>
                    <w:tl2br w:val="nil"/>
                    <w:tr2bl w:val="nil"/>
                  </w:tcBorders>
                  <w:vAlign w:val="center"/>
                </w:tcPr>
                <w:p w14:paraId="16522B6E">
                  <w:pPr>
                    <w:snapToGrid w:val="0"/>
                    <w:jc w:val="center"/>
                    <w:rPr>
                      <w:color w:val="auto"/>
                      <w:szCs w:val="21"/>
                    </w:rPr>
                  </w:pPr>
                  <w:r>
                    <w:rPr>
                      <w:color w:val="auto"/>
                      <w:szCs w:val="21"/>
                    </w:rPr>
                    <w:t>COD、BOD</w:t>
                  </w:r>
                  <w:r>
                    <w:rPr>
                      <w:color w:val="auto"/>
                      <w:szCs w:val="21"/>
                      <w:vertAlign w:val="subscript"/>
                    </w:rPr>
                    <w:t>5</w:t>
                  </w:r>
                  <w:r>
                    <w:rPr>
                      <w:color w:val="auto"/>
                      <w:szCs w:val="21"/>
                    </w:rPr>
                    <w:t>、SS、NH</w:t>
                  </w:r>
                  <w:r>
                    <w:rPr>
                      <w:color w:val="auto"/>
                      <w:szCs w:val="21"/>
                      <w:vertAlign w:val="subscript"/>
                    </w:rPr>
                    <w:t>3</w:t>
                  </w:r>
                  <w:r>
                    <w:rPr>
                      <w:color w:val="auto"/>
                      <w:szCs w:val="21"/>
                    </w:rPr>
                    <w:t>-N</w:t>
                  </w:r>
                  <w:r>
                    <w:rPr>
                      <w:rFonts w:hint="eastAsia"/>
                      <w:color w:val="auto"/>
                      <w:szCs w:val="21"/>
                    </w:rPr>
                    <w:t>、TP、动植物油</w:t>
                  </w:r>
                </w:p>
              </w:tc>
              <w:tc>
                <w:tcPr>
                  <w:tcW w:w="3319" w:type="dxa"/>
                  <w:tcBorders>
                    <w:tl2br w:val="nil"/>
                    <w:tr2bl w:val="nil"/>
                  </w:tcBorders>
                  <w:vAlign w:val="center"/>
                </w:tcPr>
                <w:p w14:paraId="15361874">
                  <w:pPr>
                    <w:adjustRightInd w:val="0"/>
                    <w:snapToGrid w:val="0"/>
                    <w:jc w:val="center"/>
                    <w:rPr>
                      <w:color w:val="auto"/>
                      <w:szCs w:val="21"/>
                    </w:rPr>
                  </w:pPr>
                  <w:r>
                    <w:rPr>
                      <w:rFonts w:hint="eastAsia"/>
                      <w:color w:val="auto"/>
                      <w:kern w:val="0"/>
                      <w:szCs w:val="21"/>
                    </w:rPr>
                    <w:t>经化粪池处理排入一体化污水处理站处理后回用于绿化及道路洒水降尘</w:t>
                  </w:r>
                </w:p>
              </w:tc>
              <w:tc>
                <w:tcPr>
                  <w:tcW w:w="962" w:type="dxa"/>
                  <w:tcBorders>
                    <w:tl2br w:val="nil"/>
                    <w:tr2bl w:val="nil"/>
                  </w:tcBorders>
                  <w:vAlign w:val="center"/>
                </w:tcPr>
                <w:p w14:paraId="0FE97CBD">
                  <w:pPr>
                    <w:snapToGrid w:val="0"/>
                    <w:jc w:val="center"/>
                    <w:rPr>
                      <w:color w:val="auto"/>
                      <w:szCs w:val="21"/>
                    </w:rPr>
                  </w:pPr>
                  <w:r>
                    <w:rPr>
                      <w:color w:val="auto"/>
                      <w:szCs w:val="21"/>
                    </w:rPr>
                    <w:t>不外排</w:t>
                  </w:r>
                </w:p>
              </w:tc>
            </w:tr>
            <w:tr w14:paraId="09AE1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66" w:type="dxa"/>
                  <w:vMerge w:val="restart"/>
                  <w:tcBorders>
                    <w:tl2br w:val="nil"/>
                    <w:tr2bl w:val="nil"/>
                  </w:tcBorders>
                  <w:vAlign w:val="center"/>
                </w:tcPr>
                <w:p w14:paraId="7A89EAA8">
                  <w:pPr>
                    <w:snapToGrid w:val="0"/>
                    <w:jc w:val="center"/>
                    <w:rPr>
                      <w:color w:val="auto"/>
                      <w:szCs w:val="21"/>
                    </w:rPr>
                  </w:pPr>
                  <w:r>
                    <w:rPr>
                      <w:color w:val="auto"/>
                      <w:szCs w:val="21"/>
                    </w:rPr>
                    <w:t>固废</w:t>
                  </w:r>
                </w:p>
              </w:tc>
              <w:tc>
                <w:tcPr>
                  <w:tcW w:w="1732" w:type="dxa"/>
                  <w:tcBorders>
                    <w:tl2br w:val="nil"/>
                    <w:tr2bl w:val="nil"/>
                  </w:tcBorders>
                  <w:vAlign w:val="center"/>
                </w:tcPr>
                <w:p w14:paraId="1434634C">
                  <w:pPr>
                    <w:snapToGrid w:val="0"/>
                    <w:jc w:val="center"/>
                    <w:rPr>
                      <w:color w:val="auto"/>
                      <w:szCs w:val="21"/>
                    </w:rPr>
                  </w:pPr>
                  <w:r>
                    <w:rPr>
                      <w:rFonts w:hint="eastAsia"/>
                      <w:color w:val="auto"/>
                      <w:szCs w:val="21"/>
                    </w:rPr>
                    <w:t>裁剪</w:t>
                  </w:r>
                </w:p>
              </w:tc>
              <w:tc>
                <w:tcPr>
                  <w:tcW w:w="1727" w:type="dxa"/>
                  <w:tcBorders>
                    <w:tl2br w:val="nil"/>
                    <w:tr2bl w:val="nil"/>
                  </w:tcBorders>
                  <w:vAlign w:val="center"/>
                </w:tcPr>
                <w:p w14:paraId="5078C45C">
                  <w:pPr>
                    <w:widowControl/>
                    <w:jc w:val="center"/>
                    <w:textAlignment w:val="center"/>
                    <w:rPr>
                      <w:color w:val="auto"/>
                      <w:szCs w:val="21"/>
                    </w:rPr>
                  </w:pPr>
                  <w:r>
                    <w:rPr>
                      <w:rFonts w:hint="eastAsia"/>
                      <w:snapToGrid w:val="0"/>
                      <w:color w:val="auto"/>
                      <w:kern w:val="21"/>
                      <w:szCs w:val="21"/>
                    </w:rPr>
                    <w:t>废边角料</w:t>
                  </w:r>
                </w:p>
              </w:tc>
              <w:tc>
                <w:tcPr>
                  <w:tcW w:w="3319" w:type="dxa"/>
                  <w:tcBorders>
                    <w:tl2br w:val="nil"/>
                    <w:tr2bl w:val="nil"/>
                  </w:tcBorders>
                  <w:vAlign w:val="center"/>
                </w:tcPr>
                <w:p w14:paraId="6C6AE089">
                  <w:pPr>
                    <w:snapToGrid w:val="0"/>
                    <w:jc w:val="center"/>
                    <w:rPr>
                      <w:color w:val="auto"/>
                      <w:szCs w:val="21"/>
                    </w:rPr>
                  </w:pPr>
                  <w:r>
                    <w:rPr>
                      <w:rFonts w:hint="eastAsia"/>
                      <w:color w:val="auto"/>
                      <w:szCs w:val="21"/>
                    </w:rPr>
                    <w:t>集中收集后外售给废品收购站</w:t>
                  </w:r>
                </w:p>
              </w:tc>
              <w:tc>
                <w:tcPr>
                  <w:tcW w:w="962" w:type="dxa"/>
                  <w:vMerge w:val="restart"/>
                  <w:tcBorders>
                    <w:tl2br w:val="nil"/>
                    <w:tr2bl w:val="nil"/>
                  </w:tcBorders>
                  <w:vAlign w:val="center"/>
                </w:tcPr>
                <w:p w14:paraId="1E462452">
                  <w:pPr>
                    <w:snapToGrid w:val="0"/>
                    <w:jc w:val="center"/>
                    <w:rPr>
                      <w:color w:val="auto"/>
                      <w:szCs w:val="21"/>
                    </w:rPr>
                  </w:pPr>
                  <w:r>
                    <w:rPr>
                      <w:color w:val="auto"/>
                      <w:szCs w:val="21"/>
                    </w:rPr>
                    <w:t>合理处置，处置率100%</w:t>
                  </w:r>
                </w:p>
              </w:tc>
            </w:tr>
            <w:tr w14:paraId="28680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66" w:type="dxa"/>
                  <w:vMerge w:val="continue"/>
                  <w:tcBorders>
                    <w:tl2br w:val="nil"/>
                    <w:tr2bl w:val="nil"/>
                  </w:tcBorders>
                  <w:vAlign w:val="center"/>
                </w:tcPr>
                <w:p w14:paraId="65EF9D40">
                  <w:pPr>
                    <w:snapToGrid w:val="0"/>
                    <w:jc w:val="center"/>
                    <w:rPr>
                      <w:color w:val="auto"/>
                      <w:szCs w:val="21"/>
                    </w:rPr>
                  </w:pPr>
                </w:p>
              </w:tc>
              <w:tc>
                <w:tcPr>
                  <w:tcW w:w="1732" w:type="dxa"/>
                  <w:tcBorders>
                    <w:tl2br w:val="nil"/>
                    <w:tr2bl w:val="nil"/>
                  </w:tcBorders>
                  <w:vAlign w:val="center"/>
                </w:tcPr>
                <w:p w14:paraId="40F46705">
                  <w:pPr>
                    <w:snapToGrid w:val="0"/>
                    <w:jc w:val="center"/>
                    <w:rPr>
                      <w:color w:val="auto"/>
                      <w:szCs w:val="21"/>
                    </w:rPr>
                  </w:pPr>
                  <w:r>
                    <w:rPr>
                      <w:rFonts w:hint="eastAsia"/>
                      <w:color w:val="auto"/>
                      <w:szCs w:val="21"/>
                    </w:rPr>
                    <w:t>检验</w:t>
                  </w:r>
                </w:p>
              </w:tc>
              <w:tc>
                <w:tcPr>
                  <w:tcW w:w="1727" w:type="dxa"/>
                  <w:tcBorders>
                    <w:tl2br w:val="nil"/>
                    <w:tr2bl w:val="nil"/>
                  </w:tcBorders>
                  <w:vAlign w:val="center"/>
                </w:tcPr>
                <w:p w14:paraId="394765CF">
                  <w:pPr>
                    <w:widowControl/>
                    <w:jc w:val="center"/>
                    <w:textAlignment w:val="center"/>
                    <w:rPr>
                      <w:snapToGrid w:val="0"/>
                      <w:color w:val="auto"/>
                      <w:kern w:val="21"/>
                      <w:szCs w:val="21"/>
                    </w:rPr>
                  </w:pPr>
                  <w:r>
                    <w:rPr>
                      <w:rFonts w:hint="eastAsia"/>
                      <w:snapToGrid w:val="0"/>
                      <w:color w:val="auto"/>
                      <w:kern w:val="21"/>
                      <w:szCs w:val="21"/>
                    </w:rPr>
                    <w:t>不合格产品</w:t>
                  </w:r>
                </w:p>
              </w:tc>
              <w:tc>
                <w:tcPr>
                  <w:tcW w:w="3319" w:type="dxa"/>
                  <w:tcBorders>
                    <w:tl2br w:val="nil"/>
                    <w:tr2bl w:val="nil"/>
                  </w:tcBorders>
                  <w:vAlign w:val="center"/>
                </w:tcPr>
                <w:p w14:paraId="17EF3DAE">
                  <w:pPr>
                    <w:snapToGrid w:val="0"/>
                    <w:jc w:val="center"/>
                    <w:rPr>
                      <w:color w:val="auto"/>
                      <w:szCs w:val="21"/>
                    </w:rPr>
                  </w:pPr>
                  <w:r>
                    <w:rPr>
                      <w:rFonts w:hint="eastAsia"/>
                      <w:color w:val="auto"/>
                      <w:szCs w:val="21"/>
                    </w:rPr>
                    <w:t>集中收集后外售给废品收购站</w:t>
                  </w:r>
                </w:p>
              </w:tc>
              <w:tc>
                <w:tcPr>
                  <w:tcW w:w="962" w:type="dxa"/>
                  <w:vMerge w:val="continue"/>
                  <w:tcBorders>
                    <w:tl2br w:val="nil"/>
                    <w:tr2bl w:val="nil"/>
                  </w:tcBorders>
                  <w:vAlign w:val="center"/>
                </w:tcPr>
                <w:p w14:paraId="2DE48DB3">
                  <w:pPr>
                    <w:snapToGrid w:val="0"/>
                    <w:jc w:val="center"/>
                    <w:rPr>
                      <w:color w:val="auto"/>
                      <w:szCs w:val="21"/>
                    </w:rPr>
                  </w:pPr>
                </w:p>
              </w:tc>
            </w:tr>
            <w:tr w14:paraId="6E33D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66" w:type="dxa"/>
                  <w:vMerge w:val="continue"/>
                  <w:tcBorders>
                    <w:tl2br w:val="nil"/>
                    <w:tr2bl w:val="nil"/>
                  </w:tcBorders>
                  <w:vAlign w:val="center"/>
                </w:tcPr>
                <w:p w14:paraId="7E8DFDDA">
                  <w:pPr>
                    <w:snapToGrid w:val="0"/>
                    <w:jc w:val="center"/>
                    <w:rPr>
                      <w:color w:val="auto"/>
                      <w:szCs w:val="21"/>
                    </w:rPr>
                  </w:pPr>
                </w:p>
              </w:tc>
              <w:tc>
                <w:tcPr>
                  <w:tcW w:w="1732" w:type="dxa"/>
                  <w:tcBorders>
                    <w:tl2br w:val="nil"/>
                    <w:tr2bl w:val="nil"/>
                  </w:tcBorders>
                  <w:vAlign w:val="center"/>
                </w:tcPr>
                <w:p w14:paraId="4025FFDB">
                  <w:pPr>
                    <w:snapToGrid w:val="0"/>
                    <w:jc w:val="center"/>
                    <w:rPr>
                      <w:color w:val="auto"/>
                      <w:szCs w:val="21"/>
                    </w:rPr>
                  </w:pPr>
                  <w:r>
                    <w:rPr>
                      <w:rFonts w:hint="eastAsia"/>
                      <w:color w:val="auto"/>
                      <w:szCs w:val="21"/>
                    </w:rPr>
                    <w:t>包装</w:t>
                  </w:r>
                </w:p>
              </w:tc>
              <w:tc>
                <w:tcPr>
                  <w:tcW w:w="1727" w:type="dxa"/>
                  <w:tcBorders>
                    <w:tl2br w:val="nil"/>
                    <w:tr2bl w:val="nil"/>
                  </w:tcBorders>
                  <w:vAlign w:val="center"/>
                </w:tcPr>
                <w:p w14:paraId="28DA4B37">
                  <w:pPr>
                    <w:widowControl/>
                    <w:jc w:val="center"/>
                    <w:textAlignment w:val="center"/>
                    <w:rPr>
                      <w:snapToGrid w:val="0"/>
                      <w:color w:val="auto"/>
                      <w:kern w:val="21"/>
                      <w:szCs w:val="21"/>
                    </w:rPr>
                  </w:pPr>
                  <w:r>
                    <w:rPr>
                      <w:rFonts w:hint="eastAsia"/>
                      <w:snapToGrid w:val="0"/>
                      <w:color w:val="auto"/>
                      <w:kern w:val="21"/>
                      <w:szCs w:val="21"/>
                    </w:rPr>
                    <w:t>废包装材料</w:t>
                  </w:r>
                </w:p>
              </w:tc>
              <w:tc>
                <w:tcPr>
                  <w:tcW w:w="3319" w:type="dxa"/>
                  <w:tcBorders>
                    <w:tl2br w:val="nil"/>
                    <w:tr2bl w:val="nil"/>
                  </w:tcBorders>
                  <w:vAlign w:val="center"/>
                </w:tcPr>
                <w:p w14:paraId="348D9459">
                  <w:pPr>
                    <w:snapToGrid w:val="0"/>
                    <w:jc w:val="center"/>
                    <w:rPr>
                      <w:color w:val="auto"/>
                      <w:szCs w:val="21"/>
                    </w:rPr>
                  </w:pPr>
                  <w:r>
                    <w:rPr>
                      <w:rFonts w:hint="eastAsia"/>
                      <w:color w:val="auto"/>
                      <w:szCs w:val="21"/>
                    </w:rPr>
                    <w:t>集中收集后外售给废品收购站</w:t>
                  </w:r>
                </w:p>
              </w:tc>
              <w:tc>
                <w:tcPr>
                  <w:tcW w:w="962" w:type="dxa"/>
                  <w:vMerge w:val="continue"/>
                  <w:tcBorders>
                    <w:tl2br w:val="nil"/>
                    <w:tr2bl w:val="nil"/>
                  </w:tcBorders>
                  <w:vAlign w:val="center"/>
                </w:tcPr>
                <w:p w14:paraId="51239969">
                  <w:pPr>
                    <w:snapToGrid w:val="0"/>
                    <w:jc w:val="center"/>
                    <w:rPr>
                      <w:color w:val="auto"/>
                      <w:szCs w:val="21"/>
                    </w:rPr>
                  </w:pPr>
                </w:p>
              </w:tc>
            </w:tr>
            <w:tr w14:paraId="1DA39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66" w:type="dxa"/>
                  <w:vMerge w:val="continue"/>
                  <w:tcBorders>
                    <w:tl2br w:val="nil"/>
                    <w:tr2bl w:val="nil"/>
                  </w:tcBorders>
                  <w:vAlign w:val="center"/>
                </w:tcPr>
                <w:p w14:paraId="3C7B278D">
                  <w:pPr>
                    <w:snapToGrid w:val="0"/>
                    <w:jc w:val="center"/>
                    <w:rPr>
                      <w:color w:val="auto"/>
                      <w:szCs w:val="21"/>
                    </w:rPr>
                  </w:pPr>
                </w:p>
              </w:tc>
              <w:tc>
                <w:tcPr>
                  <w:tcW w:w="1732" w:type="dxa"/>
                  <w:tcBorders>
                    <w:tl2br w:val="nil"/>
                    <w:tr2bl w:val="nil"/>
                  </w:tcBorders>
                  <w:vAlign w:val="center"/>
                </w:tcPr>
                <w:p w14:paraId="1D06DCC2">
                  <w:pPr>
                    <w:snapToGrid w:val="0"/>
                    <w:jc w:val="center"/>
                    <w:rPr>
                      <w:color w:val="auto"/>
                      <w:szCs w:val="21"/>
                    </w:rPr>
                  </w:pPr>
                  <w:r>
                    <w:rPr>
                      <w:rFonts w:hint="eastAsia"/>
                      <w:color w:val="auto"/>
                      <w:szCs w:val="21"/>
                    </w:rPr>
                    <w:t>员工生活</w:t>
                  </w:r>
                </w:p>
              </w:tc>
              <w:tc>
                <w:tcPr>
                  <w:tcW w:w="1727" w:type="dxa"/>
                  <w:tcBorders>
                    <w:tl2br w:val="nil"/>
                    <w:tr2bl w:val="nil"/>
                  </w:tcBorders>
                  <w:vAlign w:val="center"/>
                </w:tcPr>
                <w:p w14:paraId="225BF351">
                  <w:pPr>
                    <w:widowControl/>
                    <w:jc w:val="center"/>
                    <w:textAlignment w:val="center"/>
                    <w:rPr>
                      <w:snapToGrid w:val="0"/>
                      <w:color w:val="auto"/>
                      <w:kern w:val="21"/>
                      <w:szCs w:val="21"/>
                    </w:rPr>
                  </w:pPr>
                  <w:r>
                    <w:rPr>
                      <w:snapToGrid w:val="0"/>
                      <w:color w:val="auto"/>
                      <w:kern w:val="21"/>
                      <w:szCs w:val="21"/>
                    </w:rPr>
                    <w:t>生活垃圾</w:t>
                  </w:r>
                </w:p>
              </w:tc>
              <w:tc>
                <w:tcPr>
                  <w:tcW w:w="3319" w:type="dxa"/>
                  <w:tcBorders>
                    <w:tl2br w:val="nil"/>
                    <w:tr2bl w:val="nil"/>
                  </w:tcBorders>
                  <w:vAlign w:val="center"/>
                </w:tcPr>
                <w:p w14:paraId="4784AFA1">
                  <w:pPr>
                    <w:snapToGrid w:val="0"/>
                    <w:jc w:val="center"/>
                    <w:rPr>
                      <w:color w:val="auto"/>
                      <w:szCs w:val="21"/>
                    </w:rPr>
                  </w:pPr>
                  <w:r>
                    <w:rPr>
                      <w:rFonts w:hint="eastAsia"/>
                      <w:color w:val="auto"/>
                      <w:szCs w:val="21"/>
                    </w:rPr>
                    <w:t>集中收集</w:t>
                  </w:r>
                  <w:r>
                    <w:rPr>
                      <w:color w:val="auto"/>
                      <w:szCs w:val="21"/>
                    </w:rPr>
                    <w:t>委托环卫部门定期清运处置</w:t>
                  </w:r>
                </w:p>
              </w:tc>
              <w:tc>
                <w:tcPr>
                  <w:tcW w:w="962" w:type="dxa"/>
                  <w:vMerge w:val="continue"/>
                  <w:tcBorders>
                    <w:tl2br w:val="nil"/>
                    <w:tr2bl w:val="nil"/>
                  </w:tcBorders>
                  <w:vAlign w:val="center"/>
                </w:tcPr>
                <w:p w14:paraId="1A65192B">
                  <w:pPr>
                    <w:snapToGrid w:val="0"/>
                    <w:jc w:val="center"/>
                    <w:rPr>
                      <w:color w:val="auto"/>
                      <w:szCs w:val="21"/>
                    </w:rPr>
                  </w:pPr>
                </w:p>
              </w:tc>
            </w:tr>
            <w:tr w14:paraId="5FDD1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vMerge w:val="continue"/>
                  <w:tcBorders>
                    <w:tl2br w:val="nil"/>
                    <w:tr2bl w:val="nil"/>
                  </w:tcBorders>
                  <w:vAlign w:val="center"/>
                </w:tcPr>
                <w:p w14:paraId="744ECF8B">
                  <w:pPr>
                    <w:snapToGrid w:val="0"/>
                    <w:jc w:val="center"/>
                    <w:rPr>
                      <w:color w:val="auto"/>
                      <w:szCs w:val="21"/>
                    </w:rPr>
                  </w:pPr>
                </w:p>
              </w:tc>
              <w:tc>
                <w:tcPr>
                  <w:tcW w:w="1732" w:type="dxa"/>
                  <w:tcBorders>
                    <w:tl2br w:val="nil"/>
                    <w:tr2bl w:val="nil"/>
                  </w:tcBorders>
                  <w:vAlign w:val="center"/>
                </w:tcPr>
                <w:p w14:paraId="4029B7B9">
                  <w:pPr>
                    <w:snapToGrid w:val="0"/>
                    <w:jc w:val="center"/>
                    <w:rPr>
                      <w:color w:val="auto"/>
                      <w:szCs w:val="21"/>
                    </w:rPr>
                  </w:pPr>
                  <w:r>
                    <w:rPr>
                      <w:rFonts w:hint="eastAsia"/>
                      <w:color w:val="auto"/>
                      <w:szCs w:val="21"/>
                    </w:rPr>
                    <w:t>化粪池、一体化污水处理站</w:t>
                  </w:r>
                </w:p>
              </w:tc>
              <w:tc>
                <w:tcPr>
                  <w:tcW w:w="1727" w:type="dxa"/>
                  <w:tcBorders>
                    <w:tl2br w:val="nil"/>
                    <w:tr2bl w:val="nil"/>
                  </w:tcBorders>
                  <w:vAlign w:val="center"/>
                </w:tcPr>
                <w:p w14:paraId="6D45BFFE">
                  <w:pPr>
                    <w:widowControl/>
                    <w:jc w:val="center"/>
                    <w:textAlignment w:val="center"/>
                    <w:rPr>
                      <w:color w:val="auto"/>
                      <w:szCs w:val="21"/>
                    </w:rPr>
                  </w:pPr>
                  <w:r>
                    <w:rPr>
                      <w:rFonts w:hint="eastAsia"/>
                      <w:color w:val="auto"/>
                      <w:szCs w:val="21"/>
                    </w:rPr>
                    <w:t>污泥</w:t>
                  </w:r>
                </w:p>
              </w:tc>
              <w:tc>
                <w:tcPr>
                  <w:tcW w:w="3319" w:type="dxa"/>
                  <w:tcBorders>
                    <w:tl2br w:val="nil"/>
                    <w:tr2bl w:val="nil"/>
                  </w:tcBorders>
                  <w:vAlign w:val="center"/>
                </w:tcPr>
                <w:p w14:paraId="5B41201B">
                  <w:pPr>
                    <w:snapToGrid w:val="0"/>
                    <w:jc w:val="center"/>
                    <w:rPr>
                      <w:color w:val="auto"/>
                      <w:szCs w:val="21"/>
                    </w:rPr>
                  </w:pPr>
                  <w:r>
                    <w:rPr>
                      <w:rFonts w:hint="eastAsia"/>
                      <w:color w:val="auto"/>
                      <w:szCs w:val="21"/>
                    </w:rPr>
                    <w:t>委托环卫部门清掏清运处置</w:t>
                  </w:r>
                </w:p>
              </w:tc>
              <w:tc>
                <w:tcPr>
                  <w:tcW w:w="962" w:type="dxa"/>
                  <w:vMerge w:val="continue"/>
                  <w:tcBorders>
                    <w:tl2br w:val="nil"/>
                    <w:tr2bl w:val="nil"/>
                  </w:tcBorders>
                  <w:vAlign w:val="center"/>
                </w:tcPr>
                <w:p w14:paraId="0F0BF4D9">
                  <w:pPr>
                    <w:snapToGrid w:val="0"/>
                    <w:jc w:val="center"/>
                    <w:rPr>
                      <w:color w:val="auto"/>
                      <w:szCs w:val="21"/>
                    </w:rPr>
                  </w:pPr>
                </w:p>
              </w:tc>
            </w:tr>
            <w:tr w14:paraId="16209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66" w:type="dxa"/>
                  <w:vMerge w:val="continue"/>
                  <w:tcBorders>
                    <w:tl2br w:val="nil"/>
                    <w:tr2bl w:val="nil"/>
                  </w:tcBorders>
                  <w:vAlign w:val="center"/>
                </w:tcPr>
                <w:p w14:paraId="293B457A">
                  <w:pPr>
                    <w:snapToGrid w:val="0"/>
                    <w:jc w:val="center"/>
                    <w:rPr>
                      <w:color w:val="auto"/>
                      <w:szCs w:val="21"/>
                    </w:rPr>
                  </w:pPr>
                </w:p>
              </w:tc>
              <w:tc>
                <w:tcPr>
                  <w:tcW w:w="1732" w:type="dxa"/>
                  <w:tcBorders>
                    <w:tl2br w:val="nil"/>
                    <w:tr2bl w:val="nil"/>
                  </w:tcBorders>
                  <w:vAlign w:val="center"/>
                </w:tcPr>
                <w:p w14:paraId="58CF6806">
                  <w:pPr>
                    <w:snapToGrid w:val="0"/>
                    <w:jc w:val="center"/>
                    <w:rPr>
                      <w:color w:val="auto"/>
                      <w:szCs w:val="21"/>
                    </w:rPr>
                  </w:pPr>
                  <w:r>
                    <w:rPr>
                      <w:color w:val="auto"/>
                      <w:szCs w:val="21"/>
                    </w:rPr>
                    <w:t>机修</w:t>
                  </w:r>
                </w:p>
              </w:tc>
              <w:tc>
                <w:tcPr>
                  <w:tcW w:w="1727" w:type="dxa"/>
                  <w:tcBorders>
                    <w:tl2br w:val="nil"/>
                    <w:tr2bl w:val="nil"/>
                  </w:tcBorders>
                  <w:vAlign w:val="center"/>
                </w:tcPr>
                <w:p w14:paraId="73771800">
                  <w:pPr>
                    <w:widowControl/>
                    <w:jc w:val="center"/>
                    <w:textAlignment w:val="center"/>
                    <w:rPr>
                      <w:color w:val="auto"/>
                      <w:szCs w:val="21"/>
                    </w:rPr>
                  </w:pPr>
                  <w:r>
                    <w:rPr>
                      <w:rFonts w:hint="eastAsia"/>
                      <w:snapToGrid w:val="0"/>
                      <w:color w:val="auto"/>
                      <w:kern w:val="21"/>
                      <w:szCs w:val="21"/>
                    </w:rPr>
                    <w:t>废机油</w:t>
                  </w:r>
                </w:p>
              </w:tc>
              <w:tc>
                <w:tcPr>
                  <w:tcW w:w="3319" w:type="dxa"/>
                  <w:vMerge w:val="restart"/>
                  <w:tcBorders>
                    <w:tl2br w:val="nil"/>
                    <w:tr2bl w:val="nil"/>
                  </w:tcBorders>
                  <w:vAlign w:val="center"/>
                </w:tcPr>
                <w:p w14:paraId="3763243F">
                  <w:pPr>
                    <w:snapToGrid w:val="0"/>
                    <w:jc w:val="center"/>
                    <w:rPr>
                      <w:color w:val="auto"/>
                      <w:szCs w:val="21"/>
                    </w:rPr>
                  </w:pPr>
                  <w:r>
                    <w:rPr>
                      <w:color w:val="auto"/>
                      <w:szCs w:val="21"/>
                    </w:rPr>
                    <w:t>定期委托有资质的单位进行清运、处置</w:t>
                  </w:r>
                </w:p>
              </w:tc>
              <w:tc>
                <w:tcPr>
                  <w:tcW w:w="962" w:type="dxa"/>
                  <w:vMerge w:val="continue"/>
                  <w:tcBorders>
                    <w:tl2br w:val="nil"/>
                    <w:tr2bl w:val="nil"/>
                  </w:tcBorders>
                  <w:vAlign w:val="center"/>
                </w:tcPr>
                <w:p w14:paraId="1A83F649">
                  <w:pPr>
                    <w:snapToGrid w:val="0"/>
                    <w:jc w:val="center"/>
                    <w:rPr>
                      <w:color w:val="auto"/>
                      <w:szCs w:val="21"/>
                    </w:rPr>
                  </w:pPr>
                </w:p>
              </w:tc>
            </w:tr>
            <w:tr w14:paraId="7A766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66" w:type="dxa"/>
                  <w:vMerge w:val="continue"/>
                  <w:tcBorders>
                    <w:tl2br w:val="nil"/>
                    <w:tr2bl w:val="nil"/>
                  </w:tcBorders>
                  <w:vAlign w:val="center"/>
                </w:tcPr>
                <w:p w14:paraId="1CEE90DF">
                  <w:pPr>
                    <w:snapToGrid w:val="0"/>
                    <w:jc w:val="center"/>
                    <w:rPr>
                      <w:color w:val="auto"/>
                      <w:szCs w:val="21"/>
                    </w:rPr>
                  </w:pPr>
                </w:p>
              </w:tc>
              <w:tc>
                <w:tcPr>
                  <w:tcW w:w="1732" w:type="dxa"/>
                  <w:tcBorders>
                    <w:tl2br w:val="nil"/>
                    <w:tr2bl w:val="nil"/>
                  </w:tcBorders>
                  <w:vAlign w:val="center"/>
                </w:tcPr>
                <w:p w14:paraId="167A105E">
                  <w:pPr>
                    <w:snapToGrid w:val="0"/>
                    <w:jc w:val="center"/>
                    <w:rPr>
                      <w:color w:val="auto"/>
                      <w:szCs w:val="21"/>
                    </w:rPr>
                  </w:pPr>
                  <w:r>
                    <w:rPr>
                      <w:rFonts w:hint="eastAsia"/>
                      <w:color w:val="auto"/>
                      <w:szCs w:val="21"/>
                    </w:rPr>
                    <w:t>调胶</w:t>
                  </w:r>
                </w:p>
              </w:tc>
              <w:tc>
                <w:tcPr>
                  <w:tcW w:w="1727" w:type="dxa"/>
                  <w:tcBorders>
                    <w:tl2br w:val="nil"/>
                    <w:tr2bl w:val="nil"/>
                  </w:tcBorders>
                  <w:vAlign w:val="center"/>
                </w:tcPr>
                <w:p w14:paraId="0D37FB1B">
                  <w:pPr>
                    <w:widowControl/>
                    <w:jc w:val="center"/>
                    <w:textAlignment w:val="center"/>
                    <w:rPr>
                      <w:snapToGrid w:val="0"/>
                      <w:color w:val="auto"/>
                      <w:kern w:val="21"/>
                      <w:szCs w:val="21"/>
                    </w:rPr>
                  </w:pPr>
                  <w:r>
                    <w:rPr>
                      <w:rFonts w:hint="eastAsia"/>
                      <w:snapToGrid w:val="0"/>
                      <w:color w:val="auto"/>
                      <w:kern w:val="21"/>
                      <w:szCs w:val="21"/>
                    </w:rPr>
                    <w:t>废胶水桶</w:t>
                  </w:r>
                </w:p>
              </w:tc>
              <w:tc>
                <w:tcPr>
                  <w:tcW w:w="3319" w:type="dxa"/>
                  <w:vMerge w:val="continue"/>
                  <w:tcBorders>
                    <w:tl2br w:val="nil"/>
                    <w:tr2bl w:val="nil"/>
                  </w:tcBorders>
                  <w:vAlign w:val="center"/>
                </w:tcPr>
                <w:p w14:paraId="509B8659">
                  <w:pPr>
                    <w:snapToGrid w:val="0"/>
                    <w:jc w:val="center"/>
                    <w:rPr>
                      <w:color w:val="auto"/>
                      <w:szCs w:val="21"/>
                    </w:rPr>
                  </w:pPr>
                </w:p>
              </w:tc>
              <w:tc>
                <w:tcPr>
                  <w:tcW w:w="962" w:type="dxa"/>
                  <w:vMerge w:val="continue"/>
                  <w:tcBorders>
                    <w:tl2br w:val="nil"/>
                    <w:tr2bl w:val="nil"/>
                  </w:tcBorders>
                  <w:vAlign w:val="center"/>
                </w:tcPr>
                <w:p w14:paraId="2FB99AE1">
                  <w:pPr>
                    <w:snapToGrid w:val="0"/>
                    <w:jc w:val="center"/>
                    <w:rPr>
                      <w:color w:val="auto"/>
                      <w:szCs w:val="21"/>
                    </w:rPr>
                  </w:pPr>
                </w:p>
              </w:tc>
            </w:tr>
            <w:tr w14:paraId="287BA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66" w:type="dxa"/>
                  <w:vMerge w:val="continue"/>
                  <w:tcBorders>
                    <w:tl2br w:val="nil"/>
                    <w:tr2bl w:val="nil"/>
                  </w:tcBorders>
                  <w:vAlign w:val="center"/>
                </w:tcPr>
                <w:p w14:paraId="32939077">
                  <w:pPr>
                    <w:snapToGrid w:val="0"/>
                    <w:jc w:val="center"/>
                    <w:rPr>
                      <w:color w:val="auto"/>
                      <w:szCs w:val="21"/>
                    </w:rPr>
                  </w:pPr>
                </w:p>
              </w:tc>
              <w:tc>
                <w:tcPr>
                  <w:tcW w:w="1732" w:type="dxa"/>
                  <w:tcBorders>
                    <w:tl2br w:val="nil"/>
                    <w:tr2bl w:val="nil"/>
                  </w:tcBorders>
                  <w:vAlign w:val="center"/>
                </w:tcPr>
                <w:p w14:paraId="6945F338">
                  <w:pPr>
                    <w:snapToGrid w:val="0"/>
                    <w:jc w:val="center"/>
                    <w:rPr>
                      <w:color w:val="auto"/>
                      <w:szCs w:val="21"/>
                    </w:rPr>
                  </w:pPr>
                  <w:r>
                    <w:rPr>
                      <w:rFonts w:hint="eastAsia"/>
                      <w:color w:val="auto"/>
                      <w:szCs w:val="21"/>
                    </w:rPr>
                    <w:t>供热</w:t>
                  </w:r>
                </w:p>
              </w:tc>
              <w:tc>
                <w:tcPr>
                  <w:tcW w:w="1727" w:type="dxa"/>
                  <w:tcBorders>
                    <w:tl2br w:val="nil"/>
                    <w:tr2bl w:val="nil"/>
                  </w:tcBorders>
                  <w:vAlign w:val="center"/>
                </w:tcPr>
                <w:p w14:paraId="3E5F1FDE">
                  <w:pPr>
                    <w:widowControl/>
                    <w:jc w:val="center"/>
                    <w:textAlignment w:val="center"/>
                    <w:rPr>
                      <w:snapToGrid w:val="0"/>
                      <w:color w:val="auto"/>
                      <w:kern w:val="21"/>
                      <w:szCs w:val="21"/>
                    </w:rPr>
                  </w:pPr>
                  <w:r>
                    <w:rPr>
                      <w:rFonts w:hint="eastAsia"/>
                      <w:snapToGrid w:val="0"/>
                      <w:color w:val="auto"/>
                      <w:kern w:val="21"/>
                      <w:szCs w:val="21"/>
                    </w:rPr>
                    <w:t>废导热油</w:t>
                  </w:r>
                </w:p>
              </w:tc>
              <w:tc>
                <w:tcPr>
                  <w:tcW w:w="3319" w:type="dxa"/>
                  <w:vMerge w:val="continue"/>
                  <w:tcBorders>
                    <w:tl2br w:val="nil"/>
                    <w:tr2bl w:val="nil"/>
                  </w:tcBorders>
                  <w:vAlign w:val="center"/>
                </w:tcPr>
                <w:p w14:paraId="366055CC">
                  <w:pPr>
                    <w:snapToGrid w:val="0"/>
                    <w:jc w:val="center"/>
                    <w:rPr>
                      <w:color w:val="auto"/>
                      <w:szCs w:val="21"/>
                    </w:rPr>
                  </w:pPr>
                </w:p>
              </w:tc>
              <w:tc>
                <w:tcPr>
                  <w:tcW w:w="962" w:type="dxa"/>
                  <w:vMerge w:val="continue"/>
                  <w:tcBorders>
                    <w:tl2br w:val="nil"/>
                    <w:tr2bl w:val="nil"/>
                  </w:tcBorders>
                  <w:vAlign w:val="center"/>
                </w:tcPr>
                <w:p w14:paraId="540F0F90">
                  <w:pPr>
                    <w:snapToGrid w:val="0"/>
                    <w:jc w:val="center"/>
                    <w:rPr>
                      <w:color w:val="auto"/>
                      <w:szCs w:val="21"/>
                    </w:rPr>
                  </w:pPr>
                </w:p>
              </w:tc>
            </w:tr>
            <w:tr w14:paraId="79619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66" w:type="dxa"/>
                  <w:vMerge w:val="continue"/>
                  <w:tcBorders>
                    <w:tl2br w:val="nil"/>
                    <w:tr2bl w:val="nil"/>
                  </w:tcBorders>
                  <w:vAlign w:val="center"/>
                </w:tcPr>
                <w:p w14:paraId="3EE52E1E">
                  <w:pPr>
                    <w:snapToGrid w:val="0"/>
                    <w:jc w:val="center"/>
                    <w:rPr>
                      <w:color w:val="auto"/>
                      <w:szCs w:val="21"/>
                    </w:rPr>
                  </w:pPr>
                </w:p>
              </w:tc>
              <w:tc>
                <w:tcPr>
                  <w:tcW w:w="1732" w:type="dxa"/>
                  <w:vMerge w:val="restart"/>
                  <w:tcBorders>
                    <w:tl2br w:val="nil"/>
                    <w:tr2bl w:val="nil"/>
                  </w:tcBorders>
                  <w:vAlign w:val="center"/>
                </w:tcPr>
                <w:p w14:paraId="4DEA611E">
                  <w:pPr>
                    <w:snapToGrid w:val="0"/>
                    <w:jc w:val="center"/>
                    <w:rPr>
                      <w:color w:val="auto"/>
                      <w:szCs w:val="21"/>
                    </w:rPr>
                  </w:pPr>
                  <w:r>
                    <w:rPr>
                      <w:color w:val="auto"/>
                      <w:szCs w:val="21"/>
                    </w:rPr>
                    <w:t>废气处理</w:t>
                  </w:r>
                </w:p>
              </w:tc>
              <w:tc>
                <w:tcPr>
                  <w:tcW w:w="1727" w:type="dxa"/>
                  <w:tcBorders>
                    <w:tl2br w:val="nil"/>
                    <w:tr2bl w:val="nil"/>
                  </w:tcBorders>
                  <w:vAlign w:val="center"/>
                </w:tcPr>
                <w:p w14:paraId="7B00D365">
                  <w:pPr>
                    <w:widowControl/>
                    <w:jc w:val="center"/>
                    <w:textAlignment w:val="center"/>
                    <w:rPr>
                      <w:color w:val="auto"/>
                      <w:szCs w:val="21"/>
                    </w:rPr>
                  </w:pPr>
                  <w:r>
                    <w:rPr>
                      <w:snapToGrid w:val="0"/>
                      <w:color w:val="auto"/>
                      <w:kern w:val="21"/>
                      <w:szCs w:val="21"/>
                    </w:rPr>
                    <w:t>废弃活性炭</w:t>
                  </w:r>
                </w:p>
              </w:tc>
              <w:tc>
                <w:tcPr>
                  <w:tcW w:w="3319" w:type="dxa"/>
                  <w:vMerge w:val="continue"/>
                  <w:tcBorders>
                    <w:tl2br w:val="nil"/>
                    <w:tr2bl w:val="nil"/>
                  </w:tcBorders>
                  <w:vAlign w:val="center"/>
                </w:tcPr>
                <w:p w14:paraId="7620AE81">
                  <w:pPr>
                    <w:snapToGrid w:val="0"/>
                    <w:jc w:val="center"/>
                    <w:rPr>
                      <w:color w:val="auto"/>
                      <w:szCs w:val="21"/>
                    </w:rPr>
                  </w:pPr>
                </w:p>
              </w:tc>
              <w:tc>
                <w:tcPr>
                  <w:tcW w:w="962" w:type="dxa"/>
                  <w:vMerge w:val="continue"/>
                  <w:tcBorders>
                    <w:tl2br w:val="nil"/>
                    <w:tr2bl w:val="nil"/>
                  </w:tcBorders>
                  <w:vAlign w:val="center"/>
                </w:tcPr>
                <w:p w14:paraId="12129528">
                  <w:pPr>
                    <w:snapToGrid w:val="0"/>
                    <w:jc w:val="center"/>
                    <w:rPr>
                      <w:color w:val="auto"/>
                      <w:szCs w:val="21"/>
                    </w:rPr>
                  </w:pPr>
                </w:p>
              </w:tc>
            </w:tr>
            <w:tr w14:paraId="0BFC6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66" w:type="dxa"/>
                  <w:vMerge w:val="continue"/>
                  <w:tcBorders>
                    <w:tl2br w:val="nil"/>
                    <w:tr2bl w:val="nil"/>
                  </w:tcBorders>
                  <w:vAlign w:val="center"/>
                </w:tcPr>
                <w:p w14:paraId="1C227AD4">
                  <w:pPr>
                    <w:snapToGrid w:val="0"/>
                    <w:jc w:val="center"/>
                    <w:rPr>
                      <w:color w:val="auto"/>
                      <w:szCs w:val="21"/>
                    </w:rPr>
                  </w:pPr>
                </w:p>
              </w:tc>
              <w:tc>
                <w:tcPr>
                  <w:tcW w:w="1732" w:type="dxa"/>
                  <w:vMerge w:val="continue"/>
                  <w:tcBorders>
                    <w:tl2br w:val="nil"/>
                    <w:tr2bl w:val="nil"/>
                  </w:tcBorders>
                  <w:vAlign w:val="center"/>
                </w:tcPr>
                <w:p w14:paraId="4F288BF3">
                  <w:pPr>
                    <w:snapToGrid w:val="0"/>
                    <w:jc w:val="center"/>
                    <w:rPr>
                      <w:color w:val="auto"/>
                      <w:szCs w:val="21"/>
                    </w:rPr>
                  </w:pPr>
                </w:p>
              </w:tc>
              <w:tc>
                <w:tcPr>
                  <w:tcW w:w="1727" w:type="dxa"/>
                  <w:tcBorders>
                    <w:tl2br w:val="nil"/>
                    <w:tr2bl w:val="nil"/>
                  </w:tcBorders>
                  <w:vAlign w:val="center"/>
                </w:tcPr>
                <w:p w14:paraId="7F526ED4">
                  <w:pPr>
                    <w:widowControl/>
                    <w:jc w:val="center"/>
                    <w:textAlignment w:val="center"/>
                    <w:rPr>
                      <w:snapToGrid w:val="0"/>
                      <w:color w:val="auto"/>
                      <w:kern w:val="21"/>
                      <w:szCs w:val="21"/>
                    </w:rPr>
                  </w:pPr>
                  <w:r>
                    <w:rPr>
                      <w:rFonts w:hint="eastAsia"/>
                      <w:snapToGrid w:val="0"/>
                      <w:color w:val="auto"/>
                      <w:kern w:val="21"/>
                      <w:szCs w:val="21"/>
                    </w:rPr>
                    <w:t>废UV灯管</w:t>
                  </w:r>
                </w:p>
              </w:tc>
              <w:tc>
                <w:tcPr>
                  <w:tcW w:w="3319" w:type="dxa"/>
                  <w:vMerge w:val="continue"/>
                  <w:tcBorders>
                    <w:tl2br w:val="nil"/>
                    <w:tr2bl w:val="nil"/>
                  </w:tcBorders>
                  <w:vAlign w:val="center"/>
                </w:tcPr>
                <w:p w14:paraId="10B1755A">
                  <w:pPr>
                    <w:snapToGrid w:val="0"/>
                    <w:jc w:val="center"/>
                    <w:rPr>
                      <w:color w:val="auto"/>
                      <w:szCs w:val="21"/>
                    </w:rPr>
                  </w:pPr>
                </w:p>
              </w:tc>
              <w:tc>
                <w:tcPr>
                  <w:tcW w:w="962" w:type="dxa"/>
                  <w:vMerge w:val="continue"/>
                  <w:tcBorders>
                    <w:tl2br w:val="nil"/>
                    <w:tr2bl w:val="nil"/>
                  </w:tcBorders>
                  <w:vAlign w:val="center"/>
                </w:tcPr>
                <w:p w14:paraId="28C9B8F6">
                  <w:pPr>
                    <w:snapToGrid w:val="0"/>
                    <w:jc w:val="center"/>
                    <w:rPr>
                      <w:color w:val="auto"/>
                      <w:szCs w:val="21"/>
                    </w:rPr>
                  </w:pPr>
                </w:p>
              </w:tc>
            </w:tr>
            <w:tr w14:paraId="0EB21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66" w:type="dxa"/>
                  <w:tcBorders>
                    <w:tl2br w:val="nil"/>
                    <w:tr2bl w:val="nil"/>
                  </w:tcBorders>
                  <w:vAlign w:val="center"/>
                </w:tcPr>
                <w:p w14:paraId="3C4E2B04">
                  <w:pPr>
                    <w:snapToGrid w:val="0"/>
                    <w:jc w:val="center"/>
                    <w:rPr>
                      <w:color w:val="auto"/>
                      <w:szCs w:val="21"/>
                    </w:rPr>
                  </w:pPr>
                  <w:r>
                    <w:rPr>
                      <w:color w:val="auto"/>
                      <w:szCs w:val="21"/>
                    </w:rPr>
                    <w:t>噪声</w:t>
                  </w:r>
                </w:p>
              </w:tc>
              <w:tc>
                <w:tcPr>
                  <w:tcW w:w="1732" w:type="dxa"/>
                  <w:tcBorders>
                    <w:tl2br w:val="nil"/>
                    <w:tr2bl w:val="nil"/>
                  </w:tcBorders>
                  <w:vAlign w:val="center"/>
                </w:tcPr>
                <w:p w14:paraId="2035D53D">
                  <w:pPr>
                    <w:snapToGrid w:val="0"/>
                    <w:jc w:val="center"/>
                    <w:rPr>
                      <w:color w:val="auto"/>
                      <w:szCs w:val="21"/>
                    </w:rPr>
                  </w:pPr>
                  <w:r>
                    <w:rPr>
                      <w:rFonts w:hint="eastAsia"/>
                      <w:color w:val="auto"/>
                      <w:szCs w:val="21"/>
                    </w:rPr>
                    <w:t>生产工序</w:t>
                  </w:r>
                </w:p>
              </w:tc>
              <w:tc>
                <w:tcPr>
                  <w:tcW w:w="1727" w:type="dxa"/>
                  <w:tcBorders>
                    <w:tl2br w:val="nil"/>
                    <w:tr2bl w:val="nil"/>
                  </w:tcBorders>
                  <w:vAlign w:val="center"/>
                </w:tcPr>
                <w:p w14:paraId="6B197759">
                  <w:pPr>
                    <w:snapToGrid w:val="0"/>
                    <w:jc w:val="center"/>
                    <w:rPr>
                      <w:color w:val="auto"/>
                      <w:szCs w:val="21"/>
                    </w:rPr>
                  </w:pPr>
                  <w:r>
                    <w:rPr>
                      <w:rFonts w:hint="eastAsia"/>
                      <w:color w:val="auto"/>
                      <w:szCs w:val="21"/>
                    </w:rPr>
                    <w:t>设备噪声</w:t>
                  </w:r>
                </w:p>
              </w:tc>
              <w:tc>
                <w:tcPr>
                  <w:tcW w:w="3319" w:type="dxa"/>
                  <w:tcBorders>
                    <w:tl2br w:val="nil"/>
                    <w:tr2bl w:val="nil"/>
                  </w:tcBorders>
                  <w:vAlign w:val="center"/>
                </w:tcPr>
                <w:p w14:paraId="2EF26C33">
                  <w:pPr>
                    <w:snapToGrid w:val="0"/>
                    <w:jc w:val="center"/>
                    <w:rPr>
                      <w:color w:val="auto"/>
                      <w:szCs w:val="21"/>
                    </w:rPr>
                  </w:pPr>
                  <w:r>
                    <w:rPr>
                      <w:rFonts w:hint="eastAsia"/>
                      <w:color w:val="auto"/>
                      <w:szCs w:val="21"/>
                    </w:rPr>
                    <w:t>基础减震+厂房隔声</w:t>
                  </w:r>
                </w:p>
              </w:tc>
              <w:tc>
                <w:tcPr>
                  <w:tcW w:w="962" w:type="dxa"/>
                  <w:tcBorders>
                    <w:tl2br w:val="nil"/>
                    <w:tr2bl w:val="nil"/>
                  </w:tcBorders>
                  <w:vAlign w:val="center"/>
                </w:tcPr>
                <w:p w14:paraId="41C40392">
                  <w:pPr>
                    <w:snapToGrid w:val="0"/>
                    <w:jc w:val="center"/>
                    <w:rPr>
                      <w:color w:val="auto"/>
                      <w:szCs w:val="21"/>
                    </w:rPr>
                  </w:pPr>
                  <w:r>
                    <w:rPr>
                      <w:color w:val="auto"/>
                      <w:szCs w:val="21"/>
                    </w:rPr>
                    <w:t>间断</w:t>
                  </w:r>
                </w:p>
              </w:tc>
            </w:tr>
          </w:tbl>
          <w:p w14:paraId="7E0593A7">
            <w:pPr>
              <w:adjustRightInd w:val="0"/>
              <w:snapToGrid w:val="0"/>
              <w:spacing w:line="360" w:lineRule="auto"/>
              <w:rPr>
                <w:rFonts w:cs="宋体"/>
                <w:bCs/>
                <w:color w:val="auto"/>
                <w:szCs w:val="21"/>
              </w:rPr>
            </w:pPr>
          </w:p>
        </w:tc>
      </w:tr>
      <w:tr w14:paraId="63C6C6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9" w:hRule="atLeast"/>
          <w:jc w:val="center"/>
        </w:trPr>
        <w:tc>
          <w:tcPr>
            <w:tcW w:w="425" w:type="dxa"/>
            <w:vAlign w:val="center"/>
          </w:tcPr>
          <w:p w14:paraId="26622524">
            <w:pPr>
              <w:pStyle w:val="28"/>
              <w:adjustRightInd w:val="0"/>
              <w:snapToGrid w:val="0"/>
              <w:spacing w:before="0" w:beforeAutospacing="0" w:after="0" w:afterAutospacing="0"/>
              <w:jc w:val="center"/>
              <w:rPr>
                <w:rFonts w:ascii="Times New Roman" w:hAnsi="Times New Roman" w:cs="宋体"/>
                <w:color w:val="auto"/>
                <w:sz w:val="21"/>
                <w:szCs w:val="21"/>
              </w:rPr>
            </w:pPr>
            <w:r>
              <w:rPr>
                <w:rFonts w:hint="eastAsia" w:ascii="Times New Roman" w:hAnsi="Times New Roman" w:cs="宋体"/>
                <w:bCs/>
                <w:color w:val="auto"/>
                <w:kern w:val="2"/>
                <w:szCs w:val="24"/>
              </w:rPr>
              <w:t>与项目有关的原有环境污染问题</w:t>
            </w:r>
          </w:p>
        </w:tc>
        <w:tc>
          <w:tcPr>
            <w:tcW w:w="8635" w:type="dxa"/>
            <w:vAlign w:val="center"/>
          </w:tcPr>
          <w:p w14:paraId="27FE5FA2">
            <w:pPr>
              <w:spacing w:line="360" w:lineRule="auto"/>
              <w:ind w:firstLine="480" w:firstLineChars="200"/>
              <w:rPr>
                <w:bCs/>
                <w:color w:val="auto"/>
                <w:sz w:val="24"/>
              </w:rPr>
            </w:pPr>
            <w:r>
              <w:rPr>
                <w:rFonts w:hint="eastAsia"/>
                <w:bCs/>
                <w:color w:val="auto"/>
                <w:sz w:val="24"/>
              </w:rPr>
              <w:t>本项目为新建项目，项目租用</w:t>
            </w:r>
            <w:r>
              <w:rPr>
                <w:rFonts w:hint="eastAsia"/>
                <w:color w:val="auto"/>
                <w:sz w:val="24"/>
              </w:rPr>
              <w:t>寻甸荣禾工贸有限公司位</w:t>
            </w:r>
            <w:r>
              <w:rPr>
                <w:rFonts w:hint="eastAsia" w:cs="宋体"/>
                <w:color w:val="auto"/>
                <w:sz w:val="24"/>
              </w:rPr>
              <w:t>于寻甸县羊街镇中国昆明国际林业产业园3-12号的1栋生产厂房、1栋综合楼，简单装修后进行生产。</w:t>
            </w:r>
            <w:r>
              <w:rPr>
                <w:rFonts w:hint="eastAsia"/>
                <w:color w:val="auto"/>
                <w:sz w:val="24"/>
              </w:rPr>
              <w:t>厂房及</w:t>
            </w:r>
            <w:r>
              <w:rPr>
                <w:rFonts w:hint="eastAsia" w:cs="宋体"/>
                <w:color w:val="auto"/>
                <w:sz w:val="24"/>
              </w:rPr>
              <w:t>综合楼</w:t>
            </w:r>
            <w:r>
              <w:rPr>
                <w:rFonts w:hint="eastAsia"/>
                <w:color w:val="auto"/>
                <w:sz w:val="24"/>
              </w:rPr>
              <w:t>在项目租用前为闲置</w:t>
            </w:r>
            <w:r>
              <w:rPr>
                <w:rFonts w:hint="eastAsia"/>
                <w:bCs/>
                <w:color w:val="auto"/>
                <w:sz w:val="24"/>
              </w:rPr>
              <w:t>状态</w:t>
            </w:r>
            <w:r>
              <w:rPr>
                <w:bCs/>
                <w:color w:val="auto"/>
                <w:sz w:val="24"/>
              </w:rPr>
              <w:t>，无遗留</w:t>
            </w:r>
            <w:r>
              <w:rPr>
                <w:rFonts w:hint="eastAsia"/>
                <w:bCs/>
                <w:color w:val="auto"/>
                <w:sz w:val="24"/>
              </w:rPr>
              <w:t>环境</w:t>
            </w:r>
            <w:r>
              <w:rPr>
                <w:bCs/>
                <w:color w:val="auto"/>
                <w:sz w:val="24"/>
              </w:rPr>
              <w:t>问题</w:t>
            </w:r>
            <w:r>
              <w:rPr>
                <w:rFonts w:hint="eastAsia"/>
                <w:bCs/>
                <w:color w:val="auto"/>
                <w:sz w:val="24"/>
              </w:rPr>
              <w:t>，没有与项目有关的原有环境污染问题</w:t>
            </w:r>
            <w:r>
              <w:rPr>
                <w:bCs/>
                <w:color w:val="auto"/>
                <w:sz w:val="24"/>
              </w:rPr>
              <w:t>。</w:t>
            </w:r>
          </w:p>
          <w:p w14:paraId="17917693">
            <w:pPr>
              <w:spacing w:line="360" w:lineRule="auto"/>
              <w:ind w:firstLine="480" w:firstLineChars="200"/>
              <w:rPr>
                <w:bCs/>
                <w:color w:val="auto"/>
                <w:szCs w:val="21"/>
              </w:rPr>
            </w:pPr>
            <w:r>
              <w:rPr>
                <w:rFonts w:hint="eastAsia"/>
                <w:color w:val="auto"/>
                <w:sz w:val="24"/>
              </w:rPr>
              <w:t>寻甸荣禾工贸有限公司</w:t>
            </w:r>
            <w:r>
              <w:rPr>
                <w:rFonts w:hint="eastAsia" w:hAnsi="宋体"/>
                <w:color w:val="auto"/>
                <w:spacing w:val="-2"/>
                <w:kern w:val="0"/>
                <w:sz w:val="24"/>
              </w:rPr>
              <w:t>委托北京文华东方环境科技有限公司于2019年8月编制完成了《</w:t>
            </w:r>
            <w:bookmarkStart w:id="5" w:name="OLE_LINK6"/>
            <w:bookmarkStart w:id="6" w:name="OLE_LINK3"/>
            <w:r>
              <w:rPr>
                <w:rFonts w:hAnsi="宋体"/>
                <w:color w:val="auto"/>
                <w:spacing w:val="-2"/>
                <w:kern w:val="0"/>
                <w:sz w:val="24"/>
              </w:rPr>
              <w:t>寻甸荣禾家居制品、建材、纺织品生产线及配套设施新建项目</w:t>
            </w:r>
            <w:r>
              <w:rPr>
                <w:rFonts w:hint="eastAsia" w:hAnsi="宋体"/>
                <w:color w:val="auto"/>
                <w:spacing w:val="-2"/>
                <w:kern w:val="0"/>
                <w:sz w:val="24"/>
              </w:rPr>
              <w:t>环境影响报告表</w:t>
            </w:r>
            <w:bookmarkEnd w:id="5"/>
            <w:bookmarkEnd w:id="6"/>
            <w:r>
              <w:rPr>
                <w:rFonts w:hint="eastAsia" w:hAnsi="宋体"/>
                <w:color w:val="auto"/>
                <w:spacing w:val="-2"/>
                <w:kern w:val="0"/>
                <w:sz w:val="24"/>
              </w:rPr>
              <w:t>》，并于2019年10月取得了《昆明市生态环境局寻甸分局关于&lt;</w:t>
            </w:r>
            <w:r>
              <w:rPr>
                <w:rFonts w:hAnsi="宋体"/>
                <w:color w:val="auto"/>
                <w:spacing w:val="-2"/>
                <w:kern w:val="0"/>
                <w:sz w:val="24"/>
              </w:rPr>
              <w:t>寻甸荣禾家居制品、建材、纺织品生产线及配套设施新建项目</w:t>
            </w:r>
            <w:r>
              <w:rPr>
                <w:rFonts w:hint="eastAsia" w:hAnsi="宋体"/>
                <w:color w:val="auto"/>
                <w:spacing w:val="-2"/>
                <w:kern w:val="0"/>
                <w:sz w:val="24"/>
              </w:rPr>
              <w:t>环境影响报告表&gt;的批复》（昆生环寻[2019]101号）。根据《</w:t>
            </w:r>
            <w:r>
              <w:rPr>
                <w:rFonts w:hAnsi="宋体"/>
                <w:color w:val="auto"/>
                <w:spacing w:val="-2"/>
                <w:kern w:val="0"/>
                <w:sz w:val="24"/>
              </w:rPr>
              <w:t>寻甸荣禾家居制品、建材、纺织品生产线及配套设施新建项目</w:t>
            </w:r>
            <w:r>
              <w:rPr>
                <w:rFonts w:hint="eastAsia" w:hAnsi="宋体"/>
                <w:color w:val="auto"/>
                <w:spacing w:val="-2"/>
                <w:kern w:val="0"/>
                <w:sz w:val="24"/>
              </w:rPr>
              <w:t>环境影响报告表》，</w:t>
            </w:r>
            <w:r>
              <w:rPr>
                <w:rFonts w:hAnsi="宋体"/>
                <w:color w:val="auto"/>
                <w:spacing w:val="-2"/>
                <w:kern w:val="0"/>
                <w:sz w:val="24"/>
              </w:rPr>
              <w:t>寻甸荣禾家居制品、建材、纺织品生产线及配套设施新建项目</w:t>
            </w:r>
            <w:r>
              <w:rPr>
                <w:rFonts w:hint="eastAsia" w:hAnsi="宋体"/>
                <w:color w:val="auto"/>
                <w:spacing w:val="-2"/>
                <w:kern w:val="0"/>
                <w:sz w:val="24"/>
              </w:rPr>
              <w:t>建设内容主要包括</w:t>
            </w:r>
            <w:r>
              <w:rPr>
                <w:rFonts w:hint="eastAsia" w:cs="宋体"/>
                <w:color w:val="auto"/>
                <w:sz w:val="24"/>
              </w:rPr>
              <w:t>1栋生产厂房、1栋综合楼，并配套建设公用工程和环保工程，年产20万套钢制家具。</w:t>
            </w:r>
            <w:r>
              <w:rPr>
                <w:rFonts w:hint="eastAsia" w:hAnsi="宋体"/>
                <w:color w:val="auto"/>
                <w:spacing w:val="-2"/>
                <w:kern w:val="0"/>
                <w:sz w:val="24"/>
              </w:rPr>
              <w:t>根据调查了解，</w:t>
            </w:r>
            <w:r>
              <w:rPr>
                <w:rFonts w:hint="eastAsia"/>
                <w:color w:val="auto"/>
                <w:sz w:val="24"/>
              </w:rPr>
              <w:t>寻甸荣禾工贸有限公司</w:t>
            </w:r>
            <w:r>
              <w:rPr>
                <w:rFonts w:hint="eastAsia" w:hAnsi="宋体"/>
                <w:color w:val="auto"/>
                <w:spacing w:val="-2"/>
                <w:kern w:val="0"/>
                <w:sz w:val="24"/>
              </w:rPr>
              <w:t>已于2021年建设完成</w:t>
            </w:r>
            <w:r>
              <w:rPr>
                <w:rFonts w:hint="eastAsia"/>
                <w:color w:val="auto"/>
                <w:sz w:val="24"/>
              </w:rPr>
              <w:t>了</w:t>
            </w:r>
            <w:r>
              <w:rPr>
                <w:rFonts w:hint="eastAsia" w:cs="宋体"/>
                <w:color w:val="auto"/>
                <w:sz w:val="24"/>
              </w:rPr>
              <w:t>1栋生产厂房、1栋综合楼及绿化，并配套建设了化粪池和污水处理站及暂存池。</w:t>
            </w:r>
            <w:r>
              <w:rPr>
                <w:rFonts w:hint="eastAsia"/>
                <w:color w:val="auto"/>
                <w:sz w:val="24"/>
              </w:rPr>
              <w:t>寻甸荣禾工贸有限公司厂房及综合楼建成后一直闲置</w:t>
            </w:r>
            <w:r>
              <w:rPr>
                <w:rFonts w:hint="eastAsia" w:cs="宋体"/>
                <w:color w:val="auto"/>
                <w:sz w:val="24"/>
              </w:rPr>
              <w:t>，未建设生产线，未投产运营。现为实现厂房及综合楼价值，</w:t>
            </w:r>
            <w:r>
              <w:rPr>
                <w:rFonts w:hint="eastAsia"/>
                <w:color w:val="auto"/>
                <w:sz w:val="24"/>
              </w:rPr>
              <w:t>寻甸荣禾工贸有限公司</w:t>
            </w:r>
            <w:r>
              <w:rPr>
                <w:rFonts w:hint="eastAsia" w:cs="宋体"/>
                <w:color w:val="auto"/>
                <w:sz w:val="24"/>
              </w:rPr>
              <w:t>将已建成的1栋生产厂房、1栋综合楼全部租赁给昆明益明天下装饰材料有限责任公司使用，无其他企业入驻。</w:t>
            </w:r>
          </w:p>
        </w:tc>
      </w:tr>
    </w:tbl>
    <w:p w14:paraId="2F688AF5">
      <w:pPr>
        <w:pStyle w:val="28"/>
        <w:jc w:val="center"/>
        <w:rPr>
          <w:rFonts w:ascii="黑体" w:hAnsi="黑体" w:eastAsia="黑体"/>
          <w:snapToGrid w:val="0"/>
          <w:color w:val="auto"/>
          <w:sz w:val="36"/>
          <w:szCs w:val="36"/>
        </w:rPr>
        <w:sectPr>
          <w:pgSz w:w="11906" w:h="16838"/>
          <w:pgMar w:top="1701" w:right="1531" w:bottom="1701" w:left="1531" w:header="851" w:footer="851" w:gutter="0"/>
          <w:cols w:space="720" w:num="1"/>
          <w:docGrid w:linePitch="312" w:charSpace="0"/>
        </w:sectPr>
      </w:pPr>
    </w:p>
    <w:p w14:paraId="047B45E5">
      <w:pPr>
        <w:pStyle w:val="28"/>
        <w:jc w:val="center"/>
        <w:outlineLvl w:val="0"/>
        <w:rPr>
          <w:rFonts w:ascii="黑体" w:hAnsi="黑体" w:eastAsia="黑体"/>
          <w:snapToGrid w:val="0"/>
          <w:color w:val="auto"/>
          <w:sz w:val="30"/>
          <w:szCs w:val="30"/>
        </w:rPr>
      </w:pPr>
      <w:bookmarkStart w:id="7" w:name="_Toc23129"/>
      <w:r>
        <w:rPr>
          <w:rFonts w:hint="eastAsia" w:ascii="黑体" w:hAnsi="黑体" w:eastAsia="黑体"/>
          <w:snapToGrid w:val="0"/>
          <w:color w:val="auto"/>
          <w:sz w:val="30"/>
          <w:szCs w:val="30"/>
        </w:rPr>
        <w:t>三、区域环境质量现状、环境保护目标及评价标准</w:t>
      </w:r>
      <w:bookmarkEnd w:id="7"/>
    </w:p>
    <w:tbl>
      <w:tblPr>
        <w:tblStyle w:val="30"/>
        <w:tblW w:w="95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081"/>
      </w:tblGrid>
      <w:tr w14:paraId="4D658A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vAlign w:val="center"/>
          </w:tcPr>
          <w:p w14:paraId="345EDE86">
            <w:pPr>
              <w:adjustRightInd w:val="0"/>
              <w:snapToGrid w:val="0"/>
              <w:jc w:val="center"/>
              <w:rPr>
                <w:rFonts w:cs="宋体"/>
                <w:color w:val="auto"/>
                <w:kern w:val="0"/>
                <w:szCs w:val="21"/>
              </w:rPr>
            </w:pPr>
            <w:r>
              <w:rPr>
                <w:rFonts w:hint="eastAsia" w:cs="宋体"/>
                <w:color w:val="auto"/>
                <w:kern w:val="0"/>
                <w:szCs w:val="21"/>
              </w:rPr>
              <w:t>区域</w:t>
            </w:r>
          </w:p>
          <w:p w14:paraId="0A7955BD">
            <w:pPr>
              <w:adjustRightInd w:val="0"/>
              <w:snapToGrid w:val="0"/>
              <w:jc w:val="center"/>
              <w:rPr>
                <w:rFonts w:cs="宋体"/>
                <w:color w:val="auto"/>
                <w:kern w:val="0"/>
                <w:szCs w:val="21"/>
              </w:rPr>
            </w:pPr>
            <w:r>
              <w:rPr>
                <w:rFonts w:hint="eastAsia" w:cs="宋体"/>
                <w:color w:val="auto"/>
                <w:kern w:val="0"/>
                <w:szCs w:val="21"/>
              </w:rPr>
              <w:t>环境</w:t>
            </w:r>
          </w:p>
          <w:p w14:paraId="06F8603E">
            <w:pPr>
              <w:adjustRightInd w:val="0"/>
              <w:snapToGrid w:val="0"/>
              <w:jc w:val="center"/>
              <w:rPr>
                <w:rFonts w:cs="宋体"/>
                <w:color w:val="auto"/>
                <w:kern w:val="0"/>
                <w:szCs w:val="21"/>
              </w:rPr>
            </w:pPr>
            <w:r>
              <w:rPr>
                <w:rFonts w:hint="eastAsia" w:cs="宋体"/>
                <w:color w:val="auto"/>
                <w:kern w:val="0"/>
                <w:szCs w:val="21"/>
              </w:rPr>
              <w:t>质量</w:t>
            </w:r>
          </w:p>
          <w:p w14:paraId="5EC09FAC">
            <w:pPr>
              <w:adjustRightInd w:val="0"/>
              <w:snapToGrid w:val="0"/>
              <w:jc w:val="center"/>
              <w:rPr>
                <w:rFonts w:cs="宋体"/>
                <w:color w:val="auto"/>
                <w:kern w:val="0"/>
                <w:szCs w:val="21"/>
              </w:rPr>
            </w:pPr>
            <w:r>
              <w:rPr>
                <w:rFonts w:hint="eastAsia" w:cs="宋体"/>
                <w:color w:val="auto"/>
                <w:kern w:val="0"/>
                <w:szCs w:val="21"/>
              </w:rPr>
              <w:t>现状</w:t>
            </w:r>
          </w:p>
        </w:tc>
        <w:tc>
          <w:tcPr>
            <w:tcW w:w="9081" w:type="dxa"/>
            <w:vAlign w:val="center"/>
          </w:tcPr>
          <w:p w14:paraId="24A54AC8">
            <w:pPr>
              <w:numPr>
                <w:ilvl w:val="0"/>
                <w:numId w:val="7"/>
              </w:numPr>
              <w:adjustRightInd w:val="0"/>
              <w:snapToGrid w:val="0"/>
              <w:spacing w:line="360" w:lineRule="auto"/>
              <w:ind w:firstLine="482" w:firstLineChars="200"/>
              <w:jc w:val="left"/>
              <w:rPr>
                <w:rFonts w:cs="宋体"/>
                <w:b/>
                <w:bCs/>
                <w:color w:val="auto"/>
                <w:kern w:val="0"/>
                <w:sz w:val="24"/>
              </w:rPr>
            </w:pPr>
            <w:r>
              <w:rPr>
                <w:rFonts w:cs="宋体"/>
                <w:b/>
                <w:bCs/>
                <w:color w:val="auto"/>
                <w:kern w:val="0"/>
                <w:sz w:val="24"/>
              </w:rPr>
              <w:t>环境空气质量</w:t>
            </w:r>
            <w:r>
              <w:rPr>
                <w:rFonts w:hint="eastAsia" w:cs="宋体"/>
                <w:b/>
                <w:bCs/>
                <w:color w:val="auto"/>
                <w:kern w:val="0"/>
                <w:sz w:val="24"/>
              </w:rPr>
              <w:t>现状</w:t>
            </w:r>
          </w:p>
          <w:p w14:paraId="787054C5">
            <w:pPr>
              <w:adjustRightInd w:val="0"/>
              <w:snapToGrid w:val="0"/>
              <w:spacing w:line="360" w:lineRule="auto"/>
              <w:ind w:firstLine="482" w:firstLineChars="200"/>
              <w:jc w:val="left"/>
              <w:rPr>
                <w:b/>
                <w:bCs/>
                <w:color w:val="auto"/>
                <w:sz w:val="24"/>
              </w:rPr>
            </w:pPr>
            <w:r>
              <w:rPr>
                <w:rFonts w:hint="eastAsia"/>
                <w:b/>
                <w:bCs/>
                <w:color w:val="auto"/>
                <w:sz w:val="24"/>
              </w:rPr>
              <w:t>（1）达标区判定</w:t>
            </w:r>
          </w:p>
          <w:p w14:paraId="69D304B4">
            <w:pPr>
              <w:adjustRightInd w:val="0"/>
              <w:snapToGrid w:val="0"/>
              <w:spacing w:line="360" w:lineRule="auto"/>
              <w:ind w:firstLine="480" w:firstLineChars="200"/>
              <w:jc w:val="left"/>
              <w:rPr>
                <w:color w:val="auto"/>
                <w:sz w:val="24"/>
              </w:rPr>
            </w:pPr>
            <w:r>
              <w:rPr>
                <w:rFonts w:hint="eastAsia"/>
                <w:color w:val="auto"/>
                <w:sz w:val="24"/>
              </w:rPr>
              <w:t>项目位于寻甸县羊街镇中国昆明国际林业产业园3-12号，区域环境空气质量功能区划为二类区，执行《环境空气质量标准》（GB3095－2012）二级标准。</w:t>
            </w:r>
          </w:p>
          <w:p w14:paraId="04405BA7">
            <w:pPr>
              <w:widowControl/>
              <w:adjustRightInd w:val="0"/>
              <w:snapToGrid w:val="0"/>
              <w:spacing w:line="360" w:lineRule="auto"/>
              <w:ind w:firstLine="480" w:firstLineChars="200"/>
              <w:rPr>
                <w:color w:val="auto"/>
                <w:sz w:val="24"/>
                <w:shd w:val="clear" w:color="auto" w:fill="FFFFFF"/>
              </w:rPr>
            </w:pPr>
            <w:r>
              <w:rPr>
                <w:color w:val="auto"/>
                <w:sz w:val="24"/>
                <w:lang w:val="zh-CN"/>
              </w:rPr>
              <w:t>根据《</w:t>
            </w:r>
            <w:r>
              <w:rPr>
                <w:color w:val="auto"/>
                <w:sz w:val="24"/>
              </w:rPr>
              <w:t>202</w:t>
            </w:r>
            <w:r>
              <w:rPr>
                <w:rFonts w:hint="eastAsia"/>
                <w:color w:val="auto"/>
                <w:sz w:val="24"/>
              </w:rPr>
              <w:t>2</w:t>
            </w:r>
            <w:r>
              <w:rPr>
                <w:color w:val="auto"/>
                <w:sz w:val="24"/>
              </w:rPr>
              <w:t>年度昆明市生态环境状况公报</w:t>
            </w:r>
            <w:r>
              <w:rPr>
                <w:color w:val="auto"/>
                <w:sz w:val="24"/>
                <w:lang w:val="zh-CN"/>
              </w:rPr>
              <w:t>》</w:t>
            </w:r>
            <w:r>
              <w:rPr>
                <w:color w:val="auto"/>
                <w:sz w:val="24"/>
              </w:rPr>
              <w:t>可知</w:t>
            </w:r>
            <w:r>
              <w:rPr>
                <w:color w:val="auto"/>
                <w:sz w:val="24"/>
                <w:lang w:val="zh-CN"/>
              </w:rPr>
              <w:t>，</w:t>
            </w:r>
            <w:r>
              <w:rPr>
                <w:color w:val="auto"/>
                <w:sz w:val="24"/>
              </w:rPr>
              <w:t>昆明市</w:t>
            </w:r>
            <w:r>
              <w:rPr>
                <w:color w:val="auto"/>
                <w:sz w:val="24"/>
                <w:lang w:val="zh-CN"/>
              </w:rPr>
              <w:t>各县（市）区环境空气质量总体保持良好。与202</w:t>
            </w:r>
            <w:r>
              <w:rPr>
                <w:rFonts w:hint="eastAsia"/>
                <w:color w:val="auto"/>
                <w:sz w:val="24"/>
              </w:rPr>
              <w:t>1</w:t>
            </w:r>
            <w:r>
              <w:rPr>
                <w:color w:val="auto"/>
                <w:sz w:val="24"/>
                <w:lang w:val="zh-CN"/>
              </w:rPr>
              <w:t>年相比，安宁市、禄劝县</w:t>
            </w:r>
            <w:r>
              <w:rPr>
                <w:rFonts w:hint="eastAsia"/>
                <w:color w:val="auto"/>
                <w:sz w:val="24"/>
                <w:lang w:val="zh-CN"/>
              </w:rPr>
              <w:t>、</w:t>
            </w:r>
            <w:r>
              <w:rPr>
                <w:color w:val="auto"/>
                <w:sz w:val="24"/>
                <w:lang w:val="zh-CN"/>
              </w:rPr>
              <w:t>石林县、嵩明县、富民县、宜良县、寻甸县环境空气综合污染指数有所</w:t>
            </w:r>
            <w:r>
              <w:rPr>
                <w:rFonts w:hint="eastAsia"/>
                <w:color w:val="auto"/>
                <w:sz w:val="24"/>
              </w:rPr>
              <w:t>下降，东川区</w:t>
            </w:r>
            <w:r>
              <w:rPr>
                <w:color w:val="auto"/>
                <w:sz w:val="24"/>
                <w:lang w:val="zh-CN"/>
              </w:rPr>
              <w:t>环境空气综合污染指数有所上升。</w:t>
            </w:r>
            <w:r>
              <w:rPr>
                <w:color w:val="auto"/>
                <w:sz w:val="24"/>
              </w:rPr>
              <w:t>202</w:t>
            </w:r>
            <w:r>
              <w:rPr>
                <w:rFonts w:hint="eastAsia"/>
                <w:color w:val="auto"/>
                <w:sz w:val="24"/>
              </w:rPr>
              <w:t>2</w:t>
            </w:r>
            <w:r>
              <w:rPr>
                <w:color w:val="auto"/>
                <w:sz w:val="24"/>
              </w:rPr>
              <w:t>年寻甸县环境空气质量均能达到《环境空气质量标准》（GB3095-2012）表1中二级标准要求，</w:t>
            </w:r>
            <w:r>
              <w:rPr>
                <w:color w:val="auto"/>
                <w:sz w:val="24"/>
                <w:shd w:val="clear" w:color="auto" w:fill="FFFFFF"/>
              </w:rPr>
              <w:t>项目所在区域为环境空气质量达标区。</w:t>
            </w:r>
          </w:p>
          <w:p w14:paraId="55BD20FF">
            <w:pPr>
              <w:pStyle w:val="16"/>
              <w:adjustRightInd w:val="0"/>
              <w:snapToGrid w:val="0"/>
              <w:spacing w:after="0" w:line="360" w:lineRule="auto"/>
              <w:ind w:firstLine="0" w:firstLineChars="0"/>
              <w:rPr>
                <w:b/>
                <w:bCs/>
                <w:color w:val="auto"/>
                <w:szCs w:val="28"/>
              </w:rPr>
            </w:pPr>
            <w:r>
              <w:rPr>
                <w:rFonts w:hint="eastAsia"/>
                <w:b/>
                <w:bCs/>
                <w:color w:val="auto"/>
                <w:szCs w:val="28"/>
              </w:rPr>
              <w:t>（2）特征污染物环境质量现状</w:t>
            </w:r>
          </w:p>
          <w:p w14:paraId="1173901C">
            <w:pPr>
              <w:adjustRightInd w:val="0"/>
              <w:snapToGrid w:val="0"/>
              <w:spacing w:line="360" w:lineRule="auto"/>
              <w:ind w:firstLine="480" w:firstLineChars="200"/>
              <w:jc w:val="left"/>
              <w:rPr>
                <w:color w:val="auto"/>
                <w:sz w:val="24"/>
              </w:rPr>
            </w:pPr>
            <w:r>
              <w:rPr>
                <w:color w:val="auto"/>
                <w:sz w:val="24"/>
              </w:rPr>
              <w:t>本项目涉及的特征因子为TSP、NOx、</w:t>
            </w:r>
            <w:r>
              <w:rPr>
                <w:rFonts w:hint="eastAsia"/>
                <w:color w:val="auto"/>
                <w:sz w:val="24"/>
              </w:rPr>
              <w:t>TVOC、甲醛</w:t>
            </w:r>
            <w:r>
              <w:rPr>
                <w:color w:val="auto"/>
                <w:sz w:val="24"/>
              </w:rPr>
              <w:t>，TSP、NOx执行</w:t>
            </w:r>
            <w:r>
              <w:rPr>
                <w:color w:val="auto"/>
                <w:sz w:val="24"/>
                <w:lang w:val="zh-CN"/>
              </w:rPr>
              <w:t>《环境空气质量标准》（GB3095-2012）二级标准，</w:t>
            </w:r>
            <w:r>
              <w:rPr>
                <w:rFonts w:hint="eastAsia"/>
                <w:color w:val="auto"/>
                <w:sz w:val="24"/>
              </w:rPr>
              <w:t>TVOC、甲醛</w:t>
            </w:r>
            <w:r>
              <w:rPr>
                <w:color w:val="auto"/>
                <w:sz w:val="24"/>
                <w:lang w:val="zh-CN"/>
              </w:rPr>
              <w:t>执行</w:t>
            </w:r>
            <w:r>
              <w:rPr>
                <w:color w:val="auto"/>
                <w:sz w:val="24"/>
              </w:rPr>
              <w:t>《环境影响评价技术导则 大气环境 HJ2.2-2018》附录D中的浓度限值要求。</w:t>
            </w:r>
          </w:p>
          <w:p w14:paraId="18EEE663">
            <w:pPr>
              <w:adjustRightInd w:val="0"/>
              <w:snapToGrid w:val="0"/>
              <w:spacing w:line="360" w:lineRule="auto"/>
              <w:ind w:firstLine="480" w:firstLineChars="200"/>
              <w:jc w:val="left"/>
              <w:rPr>
                <w:color w:val="auto"/>
                <w:sz w:val="24"/>
                <w:lang w:val="zh-CN"/>
              </w:rPr>
            </w:pPr>
            <w:r>
              <w:rPr>
                <w:rFonts w:hint="eastAsia"/>
                <w:color w:val="auto"/>
                <w:sz w:val="24"/>
              </w:rPr>
              <w:t>建设单位委托云南天倪检测有限公司于2024年1月29日-1月31日对项目区下风向厂界甲醛质量现状进行了监测，</w:t>
            </w:r>
            <w:r>
              <w:rPr>
                <w:color w:val="auto"/>
                <w:sz w:val="24"/>
                <w:lang w:val="zh-CN"/>
              </w:rPr>
              <w:t>甲醛质量现状监测结果见表3-</w:t>
            </w:r>
            <w:r>
              <w:rPr>
                <w:rFonts w:hint="eastAsia"/>
                <w:color w:val="auto"/>
                <w:sz w:val="24"/>
              </w:rPr>
              <w:t>1</w:t>
            </w:r>
            <w:r>
              <w:rPr>
                <w:color w:val="auto"/>
                <w:sz w:val="24"/>
                <w:lang w:val="zh-CN"/>
              </w:rPr>
              <w:t>。</w:t>
            </w:r>
          </w:p>
          <w:p w14:paraId="7D4FDD59">
            <w:pPr>
              <w:adjustRightInd w:val="0"/>
              <w:snapToGrid w:val="0"/>
              <w:spacing w:line="360" w:lineRule="auto"/>
              <w:ind w:firstLine="480" w:firstLineChars="200"/>
              <w:jc w:val="left"/>
              <w:rPr>
                <w:color w:val="auto"/>
                <w:sz w:val="24"/>
              </w:rPr>
            </w:pPr>
            <w:r>
              <w:rPr>
                <w:color w:val="auto"/>
                <w:sz w:val="24"/>
              </w:rPr>
              <w:t>TSP、</w:t>
            </w:r>
            <w:r>
              <w:rPr>
                <w:rFonts w:hint="eastAsia"/>
                <w:color w:val="auto"/>
                <w:sz w:val="24"/>
              </w:rPr>
              <w:t>TVOC、NOx</w:t>
            </w:r>
            <w:r>
              <w:rPr>
                <w:color w:val="auto"/>
                <w:sz w:val="24"/>
              </w:rPr>
              <w:t>环境空气质量现状评价</w:t>
            </w:r>
            <w:r>
              <w:rPr>
                <w:color w:val="auto"/>
                <w:sz w:val="24"/>
                <w:lang w:val="zh-CN"/>
              </w:rPr>
              <w:t>引用云南天博环境检测有限公司</w:t>
            </w:r>
            <w:r>
              <w:rPr>
                <w:color w:val="auto"/>
                <w:sz w:val="24"/>
              </w:rPr>
              <w:t>于2021年6月22日-2021年6月29日、2021年9月21日-2021年9月27日对</w:t>
            </w:r>
            <w:r>
              <w:rPr>
                <w:color w:val="auto"/>
                <w:sz w:val="24"/>
                <w:lang w:val="zh-CN"/>
              </w:rPr>
              <w:t>《寻甸年加工喷涂铝板30万平方米项目环境影响报告书》</w:t>
            </w:r>
            <w:r>
              <w:rPr>
                <w:color w:val="auto"/>
                <w:sz w:val="24"/>
              </w:rPr>
              <w:t>的</w:t>
            </w:r>
            <w:r>
              <w:rPr>
                <w:color w:val="auto"/>
                <w:sz w:val="24"/>
                <w:lang w:val="zh-CN"/>
              </w:rPr>
              <w:t>空气质量现状监测数据</w:t>
            </w:r>
            <w:r>
              <w:rPr>
                <w:rFonts w:hint="eastAsia"/>
                <w:color w:val="auto"/>
                <w:sz w:val="24"/>
                <w:lang w:val="zh-CN"/>
              </w:rPr>
              <w:t>。</w:t>
            </w:r>
            <w:r>
              <w:rPr>
                <w:color w:val="auto"/>
                <w:sz w:val="24"/>
                <w:lang w:val="zh-CN"/>
              </w:rPr>
              <w:t>寻甸年加工喷涂铝板30万平方米项目</w:t>
            </w:r>
            <w:r>
              <w:rPr>
                <w:color w:val="auto"/>
                <w:sz w:val="24"/>
              </w:rPr>
              <w:t>位于</w:t>
            </w:r>
            <w:r>
              <w:rPr>
                <w:rFonts w:hint="eastAsia"/>
                <w:color w:val="auto"/>
                <w:sz w:val="24"/>
              </w:rPr>
              <w:t>本</w:t>
            </w:r>
            <w:r>
              <w:rPr>
                <w:color w:val="auto"/>
                <w:sz w:val="24"/>
              </w:rPr>
              <w:t>项目区</w:t>
            </w:r>
            <w:r>
              <w:rPr>
                <w:rFonts w:hint="eastAsia"/>
                <w:color w:val="auto"/>
                <w:sz w:val="24"/>
              </w:rPr>
              <w:t>东北</w:t>
            </w:r>
            <w:r>
              <w:rPr>
                <w:color w:val="auto"/>
                <w:sz w:val="24"/>
              </w:rPr>
              <w:t>侧</w:t>
            </w:r>
            <w:r>
              <w:rPr>
                <w:rFonts w:hint="eastAsia"/>
                <w:color w:val="auto"/>
                <w:sz w:val="24"/>
              </w:rPr>
              <w:t>311</w:t>
            </w:r>
            <w:r>
              <w:rPr>
                <w:color w:val="auto"/>
                <w:sz w:val="24"/>
              </w:rPr>
              <w:t>m，引用监测点</w:t>
            </w:r>
            <w:r>
              <w:rPr>
                <w:rFonts w:hint="eastAsia"/>
                <w:color w:val="auto"/>
                <w:sz w:val="24"/>
              </w:rPr>
              <w:t>1#</w:t>
            </w:r>
            <w:r>
              <w:rPr>
                <w:color w:val="auto"/>
                <w:sz w:val="24"/>
              </w:rPr>
              <w:t>为</w:t>
            </w:r>
            <w:r>
              <w:rPr>
                <w:rFonts w:hint="eastAsia"/>
                <w:color w:val="auto"/>
                <w:sz w:val="24"/>
              </w:rPr>
              <w:t>其</w:t>
            </w:r>
            <w:r>
              <w:rPr>
                <w:color w:val="auto"/>
                <w:sz w:val="24"/>
              </w:rPr>
              <w:t>项目厂址内</w:t>
            </w:r>
            <w:r>
              <w:rPr>
                <w:rFonts w:hint="eastAsia"/>
                <w:color w:val="auto"/>
                <w:sz w:val="24"/>
              </w:rPr>
              <w:t>，</w:t>
            </w:r>
            <w:r>
              <w:rPr>
                <w:color w:val="auto"/>
                <w:sz w:val="24"/>
              </w:rPr>
              <w:t>与</w:t>
            </w:r>
            <w:r>
              <w:rPr>
                <w:rFonts w:hint="eastAsia"/>
                <w:color w:val="auto"/>
                <w:sz w:val="24"/>
              </w:rPr>
              <w:t>本</w:t>
            </w:r>
            <w:r>
              <w:rPr>
                <w:color w:val="auto"/>
                <w:sz w:val="24"/>
              </w:rPr>
              <w:t>项目相距约</w:t>
            </w:r>
            <w:r>
              <w:rPr>
                <w:rFonts w:hint="eastAsia"/>
                <w:color w:val="auto"/>
                <w:sz w:val="24"/>
              </w:rPr>
              <w:t>403</w:t>
            </w:r>
            <w:r>
              <w:rPr>
                <w:color w:val="auto"/>
                <w:sz w:val="24"/>
              </w:rPr>
              <w:t>m</w:t>
            </w:r>
            <w:r>
              <w:rPr>
                <w:rFonts w:hint="eastAsia"/>
                <w:color w:val="auto"/>
                <w:sz w:val="24"/>
              </w:rPr>
              <w:t>；</w:t>
            </w:r>
            <w:r>
              <w:rPr>
                <w:color w:val="auto"/>
                <w:sz w:val="24"/>
              </w:rPr>
              <w:t>引用监测点</w:t>
            </w:r>
            <w:r>
              <w:rPr>
                <w:rFonts w:hint="eastAsia"/>
                <w:color w:val="auto"/>
                <w:sz w:val="24"/>
              </w:rPr>
              <w:t>2#</w:t>
            </w:r>
            <w:r>
              <w:rPr>
                <w:color w:val="auto"/>
                <w:sz w:val="24"/>
              </w:rPr>
              <w:t>为</w:t>
            </w:r>
            <w:r>
              <w:rPr>
                <w:rFonts w:hint="eastAsia"/>
                <w:color w:val="auto"/>
                <w:sz w:val="24"/>
              </w:rPr>
              <w:t>深沟</w:t>
            </w:r>
            <w:r>
              <w:rPr>
                <w:color w:val="auto"/>
                <w:sz w:val="24"/>
              </w:rPr>
              <w:t>村</w:t>
            </w:r>
            <w:r>
              <w:rPr>
                <w:rFonts w:hint="eastAsia"/>
                <w:color w:val="auto"/>
                <w:sz w:val="24"/>
              </w:rPr>
              <w:t>散户</w:t>
            </w:r>
            <w:r>
              <w:rPr>
                <w:color w:val="auto"/>
                <w:sz w:val="24"/>
              </w:rPr>
              <w:t>，与项目相距约</w:t>
            </w:r>
            <w:r>
              <w:rPr>
                <w:rFonts w:hint="eastAsia"/>
                <w:color w:val="auto"/>
                <w:sz w:val="24"/>
              </w:rPr>
              <w:t>954</w:t>
            </w:r>
            <w:r>
              <w:rPr>
                <w:color w:val="auto"/>
                <w:sz w:val="24"/>
              </w:rPr>
              <w:t>m。本项目引用的TSP、NOx、</w:t>
            </w:r>
            <w:r>
              <w:rPr>
                <w:rFonts w:hint="eastAsia"/>
                <w:color w:val="auto"/>
                <w:sz w:val="24"/>
              </w:rPr>
              <w:t>TVOC</w:t>
            </w:r>
            <w:r>
              <w:rPr>
                <w:color w:val="auto"/>
                <w:sz w:val="24"/>
              </w:rPr>
              <w:t>现状监测点</w:t>
            </w:r>
            <w:r>
              <w:rPr>
                <w:color w:val="auto"/>
                <w:sz w:val="24"/>
                <w:lang w:val="zh-CN"/>
              </w:rPr>
              <w:t>具备类比条件，数据在技术导则要求的“近三年”时限内，属于有效数据，故本项目</w:t>
            </w:r>
            <w:r>
              <w:rPr>
                <w:color w:val="auto"/>
                <w:sz w:val="24"/>
              </w:rPr>
              <w:t>TSP、NOx、</w:t>
            </w:r>
            <w:r>
              <w:rPr>
                <w:rFonts w:hint="eastAsia"/>
                <w:color w:val="auto"/>
                <w:sz w:val="24"/>
              </w:rPr>
              <w:t>TVOC</w:t>
            </w:r>
            <w:r>
              <w:rPr>
                <w:color w:val="auto"/>
                <w:sz w:val="24"/>
                <w:lang w:val="zh-CN"/>
              </w:rPr>
              <w:t>质量现状评价引用</w:t>
            </w:r>
            <w:r>
              <w:rPr>
                <w:color w:val="auto"/>
                <w:sz w:val="24"/>
              </w:rPr>
              <w:t>的数据具有时效性和代表性</w:t>
            </w:r>
            <w:r>
              <w:rPr>
                <w:rFonts w:hint="eastAsia"/>
                <w:color w:val="auto"/>
                <w:sz w:val="24"/>
              </w:rPr>
              <w:t>。</w:t>
            </w:r>
            <w:r>
              <w:rPr>
                <w:color w:val="auto"/>
                <w:sz w:val="24"/>
              </w:rPr>
              <w:t>引用TSP、NOx、</w:t>
            </w:r>
            <w:r>
              <w:rPr>
                <w:rFonts w:hint="eastAsia"/>
                <w:color w:val="auto"/>
                <w:sz w:val="24"/>
              </w:rPr>
              <w:t>TVOC</w:t>
            </w:r>
            <w:r>
              <w:rPr>
                <w:color w:val="auto"/>
                <w:sz w:val="24"/>
              </w:rPr>
              <w:t>质量现状引用监测结果见表</w:t>
            </w:r>
            <w:r>
              <w:rPr>
                <w:rFonts w:hint="eastAsia"/>
                <w:color w:val="auto"/>
                <w:sz w:val="24"/>
              </w:rPr>
              <w:t>3</w:t>
            </w:r>
            <w:r>
              <w:rPr>
                <w:color w:val="auto"/>
                <w:sz w:val="24"/>
              </w:rPr>
              <w:t>-</w:t>
            </w:r>
            <w:r>
              <w:rPr>
                <w:rFonts w:hint="eastAsia"/>
                <w:color w:val="auto"/>
                <w:sz w:val="24"/>
              </w:rPr>
              <w:t>2、3-3</w:t>
            </w:r>
            <w:r>
              <w:rPr>
                <w:color w:val="auto"/>
                <w:sz w:val="24"/>
              </w:rPr>
              <w:t>。</w:t>
            </w:r>
          </w:p>
          <w:p w14:paraId="0B7779E7">
            <w:pPr>
              <w:pStyle w:val="8"/>
              <w:snapToGrid w:val="0"/>
              <w:jc w:val="center"/>
              <w:rPr>
                <w:b/>
                <w:bCs/>
                <w:color w:val="auto"/>
                <w:szCs w:val="21"/>
                <w:lang w:val="zh-CN"/>
              </w:rPr>
            </w:pPr>
            <w:r>
              <w:rPr>
                <w:b/>
                <w:bCs/>
                <w:color w:val="auto"/>
                <w:szCs w:val="21"/>
                <w:lang w:val="zh-CN"/>
              </w:rPr>
              <w:t>表</w:t>
            </w:r>
            <w:r>
              <w:rPr>
                <w:rFonts w:hint="eastAsia"/>
                <w:b/>
                <w:bCs/>
                <w:color w:val="auto"/>
                <w:szCs w:val="21"/>
              </w:rPr>
              <w:t>3</w:t>
            </w:r>
            <w:r>
              <w:rPr>
                <w:b/>
                <w:bCs/>
                <w:color w:val="auto"/>
                <w:szCs w:val="21"/>
              </w:rPr>
              <w:t>-</w:t>
            </w:r>
            <w:r>
              <w:rPr>
                <w:rFonts w:hint="eastAsia"/>
                <w:b/>
                <w:bCs/>
                <w:color w:val="auto"/>
                <w:szCs w:val="21"/>
              </w:rPr>
              <w:t>1</w:t>
            </w:r>
            <w:r>
              <w:rPr>
                <w:b/>
                <w:bCs/>
                <w:color w:val="auto"/>
                <w:szCs w:val="21"/>
              </w:rPr>
              <w:t xml:space="preserve"> </w:t>
            </w:r>
            <w:r>
              <w:rPr>
                <w:rFonts w:hint="eastAsia"/>
                <w:b/>
                <w:bCs/>
                <w:color w:val="auto"/>
                <w:szCs w:val="21"/>
              </w:rPr>
              <w:t>甲醛质量现状检测</w:t>
            </w:r>
            <w:r>
              <w:rPr>
                <w:b/>
                <w:bCs/>
                <w:color w:val="auto"/>
                <w:szCs w:val="21"/>
              </w:rPr>
              <w:t>结果</w:t>
            </w:r>
          </w:p>
          <w:tbl>
            <w:tblPr>
              <w:tblStyle w:val="31"/>
              <w:tblW w:w="8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3"/>
              <w:gridCol w:w="2214"/>
              <w:gridCol w:w="2214"/>
              <w:gridCol w:w="2214"/>
            </w:tblGrid>
            <w:tr w14:paraId="17DFB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dxa"/>
                </w:tcPr>
                <w:p w14:paraId="5D7AA604">
                  <w:pPr>
                    <w:adjustRightInd w:val="0"/>
                    <w:snapToGrid w:val="0"/>
                    <w:jc w:val="center"/>
                    <w:rPr>
                      <w:b/>
                      <w:bCs/>
                      <w:color w:val="auto"/>
                      <w:szCs w:val="21"/>
                      <w:lang w:val="zh-CN"/>
                    </w:rPr>
                  </w:pPr>
                  <w:r>
                    <w:rPr>
                      <w:b/>
                      <w:bCs/>
                      <w:color w:val="auto"/>
                      <w:szCs w:val="21"/>
                    </w:rPr>
                    <w:t>检测点位</w:t>
                  </w:r>
                </w:p>
              </w:tc>
              <w:tc>
                <w:tcPr>
                  <w:tcW w:w="2214" w:type="dxa"/>
                </w:tcPr>
                <w:p w14:paraId="25D5282B">
                  <w:pPr>
                    <w:adjustRightInd w:val="0"/>
                    <w:snapToGrid w:val="0"/>
                    <w:jc w:val="center"/>
                    <w:rPr>
                      <w:b/>
                      <w:bCs/>
                      <w:color w:val="auto"/>
                      <w:szCs w:val="21"/>
                      <w:lang w:val="zh-CN"/>
                    </w:rPr>
                  </w:pPr>
                  <w:r>
                    <w:rPr>
                      <w:b/>
                      <w:bCs/>
                      <w:color w:val="auto"/>
                      <w:szCs w:val="21"/>
                    </w:rPr>
                    <w:t>采样日期</w:t>
                  </w:r>
                </w:p>
              </w:tc>
              <w:tc>
                <w:tcPr>
                  <w:tcW w:w="2214" w:type="dxa"/>
                </w:tcPr>
                <w:p w14:paraId="128715BB">
                  <w:pPr>
                    <w:adjustRightInd w:val="0"/>
                    <w:snapToGrid w:val="0"/>
                    <w:jc w:val="center"/>
                    <w:rPr>
                      <w:b/>
                      <w:bCs/>
                      <w:color w:val="auto"/>
                      <w:szCs w:val="21"/>
                      <w:lang w:val="zh-CN"/>
                    </w:rPr>
                  </w:pPr>
                  <w:r>
                    <w:rPr>
                      <w:b/>
                      <w:bCs/>
                      <w:color w:val="auto"/>
                      <w:szCs w:val="21"/>
                    </w:rPr>
                    <w:t>时间</w:t>
                  </w:r>
                </w:p>
              </w:tc>
              <w:tc>
                <w:tcPr>
                  <w:tcW w:w="2214" w:type="dxa"/>
                </w:tcPr>
                <w:p w14:paraId="57C0A7A1">
                  <w:pPr>
                    <w:adjustRightInd w:val="0"/>
                    <w:snapToGrid w:val="0"/>
                    <w:jc w:val="center"/>
                    <w:rPr>
                      <w:b/>
                      <w:bCs/>
                      <w:color w:val="auto"/>
                      <w:szCs w:val="21"/>
                      <w:lang w:val="zh-CN"/>
                    </w:rPr>
                  </w:pPr>
                  <w:r>
                    <w:rPr>
                      <w:b/>
                      <w:bCs/>
                      <w:color w:val="auto"/>
                      <w:szCs w:val="21"/>
                    </w:rPr>
                    <w:t>甲醛</w:t>
                  </w:r>
                </w:p>
              </w:tc>
            </w:tr>
            <w:tr w14:paraId="2E3C0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dxa"/>
                  <w:vMerge w:val="restart"/>
                </w:tcPr>
                <w:p w14:paraId="06AFDDC4">
                  <w:pPr>
                    <w:tabs>
                      <w:tab w:val="right" w:pos="8906"/>
                    </w:tabs>
                    <w:adjustRightInd w:val="0"/>
                    <w:snapToGrid w:val="0"/>
                    <w:jc w:val="center"/>
                    <w:rPr>
                      <w:color w:val="auto"/>
                      <w:szCs w:val="21"/>
                    </w:rPr>
                  </w:pPr>
                </w:p>
                <w:p w14:paraId="4BC99BB5">
                  <w:pPr>
                    <w:tabs>
                      <w:tab w:val="right" w:pos="8906"/>
                    </w:tabs>
                    <w:adjustRightInd w:val="0"/>
                    <w:snapToGrid w:val="0"/>
                    <w:jc w:val="center"/>
                    <w:rPr>
                      <w:color w:val="auto"/>
                      <w:szCs w:val="21"/>
                    </w:rPr>
                  </w:pPr>
                  <w:r>
                    <w:rPr>
                      <w:rFonts w:hint="eastAsia"/>
                      <w:color w:val="auto"/>
                      <w:szCs w:val="21"/>
                    </w:rPr>
                    <w:t>项目区下风向厂界</w:t>
                  </w:r>
                </w:p>
              </w:tc>
              <w:tc>
                <w:tcPr>
                  <w:tcW w:w="2214" w:type="dxa"/>
                  <w:vMerge w:val="restart"/>
                  <w:vAlign w:val="center"/>
                </w:tcPr>
                <w:p w14:paraId="446FC510">
                  <w:pPr>
                    <w:tabs>
                      <w:tab w:val="right" w:pos="8906"/>
                    </w:tabs>
                    <w:adjustRightInd w:val="0"/>
                    <w:snapToGrid w:val="0"/>
                    <w:jc w:val="center"/>
                    <w:rPr>
                      <w:color w:val="auto"/>
                      <w:szCs w:val="21"/>
                      <w:lang w:val="zh-CN"/>
                    </w:rPr>
                  </w:pPr>
                  <w:r>
                    <w:rPr>
                      <w:color w:val="auto"/>
                      <w:szCs w:val="21"/>
                    </w:rPr>
                    <w:t>202</w:t>
                  </w:r>
                  <w:r>
                    <w:rPr>
                      <w:rFonts w:hint="eastAsia"/>
                      <w:color w:val="auto"/>
                      <w:szCs w:val="21"/>
                    </w:rPr>
                    <w:t>4</w:t>
                  </w:r>
                  <w:r>
                    <w:rPr>
                      <w:color w:val="auto"/>
                      <w:szCs w:val="21"/>
                    </w:rPr>
                    <w:t>.</w:t>
                  </w:r>
                  <w:r>
                    <w:rPr>
                      <w:rFonts w:hint="eastAsia"/>
                      <w:color w:val="auto"/>
                      <w:szCs w:val="21"/>
                    </w:rPr>
                    <w:t>1</w:t>
                  </w:r>
                  <w:r>
                    <w:rPr>
                      <w:color w:val="auto"/>
                      <w:szCs w:val="21"/>
                    </w:rPr>
                    <w:t>.</w:t>
                  </w:r>
                  <w:r>
                    <w:rPr>
                      <w:rFonts w:hint="eastAsia"/>
                      <w:color w:val="auto"/>
                      <w:szCs w:val="21"/>
                    </w:rPr>
                    <w:t>2</w:t>
                  </w:r>
                  <w:r>
                    <w:rPr>
                      <w:color w:val="auto"/>
                      <w:szCs w:val="21"/>
                    </w:rPr>
                    <w:t>9</w:t>
                  </w:r>
                </w:p>
              </w:tc>
              <w:tc>
                <w:tcPr>
                  <w:tcW w:w="2214" w:type="dxa"/>
                </w:tcPr>
                <w:p w14:paraId="45443504">
                  <w:pPr>
                    <w:tabs>
                      <w:tab w:val="right" w:pos="8906"/>
                    </w:tabs>
                    <w:adjustRightInd w:val="0"/>
                    <w:snapToGrid w:val="0"/>
                    <w:jc w:val="center"/>
                    <w:rPr>
                      <w:color w:val="auto"/>
                      <w:szCs w:val="21"/>
                    </w:rPr>
                  </w:pPr>
                  <w:r>
                    <w:rPr>
                      <w:color w:val="auto"/>
                      <w:szCs w:val="21"/>
                    </w:rPr>
                    <w:t>0</w:t>
                  </w:r>
                  <w:r>
                    <w:rPr>
                      <w:rFonts w:hint="eastAsia"/>
                      <w:color w:val="auto"/>
                      <w:szCs w:val="21"/>
                    </w:rPr>
                    <w:t>2</w:t>
                  </w:r>
                  <w:r>
                    <w:rPr>
                      <w:color w:val="auto"/>
                      <w:szCs w:val="21"/>
                    </w:rPr>
                    <w:t>:</w:t>
                  </w:r>
                  <w:r>
                    <w:rPr>
                      <w:rFonts w:hint="eastAsia"/>
                      <w:color w:val="auto"/>
                      <w:szCs w:val="21"/>
                    </w:rPr>
                    <w:t>00</w:t>
                  </w:r>
                  <w:r>
                    <w:rPr>
                      <w:color w:val="auto"/>
                      <w:szCs w:val="21"/>
                    </w:rPr>
                    <w:t>~0</w:t>
                  </w:r>
                  <w:r>
                    <w:rPr>
                      <w:rFonts w:hint="eastAsia"/>
                      <w:color w:val="auto"/>
                      <w:szCs w:val="21"/>
                    </w:rPr>
                    <w:t>2</w:t>
                  </w:r>
                  <w:r>
                    <w:rPr>
                      <w:color w:val="auto"/>
                      <w:szCs w:val="21"/>
                    </w:rPr>
                    <w:t>:</w:t>
                  </w:r>
                  <w:r>
                    <w:rPr>
                      <w:rFonts w:hint="eastAsia"/>
                      <w:color w:val="auto"/>
                      <w:szCs w:val="21"/>
                    </w:rPr>
                    <w:t>20</w:t>
                  </w:r>
                </w:p>
              </w:tc>
              <w:tc>
                <w:tcPr>
                  <w:tcW w:w="2214" w:type="dxa"/>
                </w:tcPr>
                <w:p w14:paraId="6225E916">
                  <w:pPr>
                    <w:tabs>
                      <w:tab w:val="right" w:pos="8906"/>
                    </w:tabs>
                    <w:adjustRightInd w:val="0"/>
                    <w:snapToGrid w:val="0"/>
                    <w:jc w:val="center"/>
                    <w:rPr>
                      <w:color w:val="auto"/>
                      <w:szCs w:val="21"/>
                      <w:lang w:val="zh-CN"/>
                    </w:rPr>
                  </w:pPr>
                  <w:r>
                    <w:rPr>
                      <w:rFonts w:hint="eastAsia"/>
                      <w:color w:val="auto"/>
                      <w:szCs w:val="21"/>
                    </w:rPr>
                    <w:t>未检出</w:t>
                  </w:r>
                </w:p>
              </w:tc>
            </w:tr>
            <w:tr w14:paraId="207AC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dxa"/>
                  <w:vMerge w:val="continue"/>
                </w:tcPr>
                <w:p w14:paraId="1B2203DE">
                  <w:pPr>
                    <w:tabs>
                      <w:tab w:val="right" w:pos="8906"/>
                    </w:tabs>
                    <w:adjustRightInd w:val="0"/>
                    <w:snapToGrid w:val="0"/>
                    <w:jc w:val="center"/>
                    <w:rPr>
                      <w:color w:val="auto"/>
                      <w:szCs w:val="21"/>
                      <w:lang w:val="zh-CN"/>
                    </w:rPr>
                  </w:pPr>
                </w:p>
              </w:tc>
              <w:tc>
                <w:tcPr>
                  <w:tcW w:w="2214" w:type="dxa"/>
                  <w:vMerge w:val="continue"/>
                  <w:vAlign w:val="center"/>
                </w:tcPr>
                <w:p w14:paraId="2580488D">
                  <w:pPr>
                    <w:tabs>
                      <w:tab w:val="right" w:pos="8906"/>
                    </w:tabs>
                    <w:adjustRightInd w:val="0"/>
                    <w:snapToGrid w:val="0"/>
                    <w:jc w:val="center"/>
                    <w:rPr>
                      <w:color w:val="auto"/>
                      <w:szCs w:val="21"/>
                      <w:lang w:val="zh-CN"/>
                    </w:rPr>
                  </w:pPr>
                </w:p>
              </w:tc>
              <w:tc>
                <w:tcPr>
                  <w:tcW w:w="2214" w:type="dxa"/>
                </w:tcPr>
                <w:p w14:paraId="14C104AC">
                  <w:pPr>
                    <w:tabs>
                      <w:tab w:val="right" w:pos="8906"/>
                    </w:tabs>
                    <w:adjustRightInd w:val="0"/>
                    <w:snapToGrid w:val="0"/>
                    <w:jc w:val="center"/>
                    <w:rPr>
                      <w:color w:val="auto"/>
                      <w:szCs w:val="21"/>
                    </w:rPr>
                  </w:pPr>
                  <w:r>
                    <w:rPr>
                      <w:color w:val="auto"/>
                      <w:szCs w:val="21"/>
                    </w:rPr>
                    <w:t>08:</w:t>
                  </w:r>
                  <w:r>
                    <w:rPr>
                      <w:rFonts w:hint="eastAsia"/>
                      <w:color w:val="auto"/>
                      <w:szCs w:val="21"/>
                    </w:rPr>
                    <w:t>00</w:t>
                  </w:r>
                  <w:r>
                    <w:rPr>
                      <w:color w:val="auto"/>
                      <w:szCs w:val="21"/>
                    </w:rPr>
                    <w:t>~0</w:t>
                  </w:r>
                  <w:r>
                    <w:rPr>
                      <w:rFonts w:hint="eastAsia"/>
                      <w:color w:val="auto"/>
                      <w:szCs w:val="21"/>
                    </w:rPr>
                    <w:t>8</w:t>
                  </w:r>
                  <w:r>
                    <w:rPr>
                      <w:color w:val="auto"/>
                      <w:szCs w:val="21"/>
                    </w:rPr>
                    <w:t>:</w:t>
                  </w:r>
                  <w:r>
                    <w:rPr>
                      <w:rFonts w:hint="eastAsia"/>
                      <w:color w:val="auto"/>
                      <w:szCs w:val="21"/>
                    </w:rPr>
                    <w:t>20</w:t>
                  </w:r>
                </w:p>
              </w:tc>
              <w:tc>
                <w:tcPr>
                  <w:tcW w:w="2214" w:type="dxa"/>
                </w:tcPr>
                <w:p w14:paraId="4874CB8C">
                  <w:pPr>
                    <w:tabs>
                      <w:tab w:val="right" w:pos="8906"/>
                    </w:tabs>
                    <w:adjustRightInd w:val="0"/>
                    <w:snapToGrid w:val="0"/>
                    <w:jc w:val="center"/>
                    <w:rPr>
                      <w:color w:val="auto"/>
                      <w:szCs w:val="21"/>
                      <w:lang w:val="zh-CN"/>
                    </w:rPr>
                  </w:pPr>
                  <w:r>
                    <w:rPr>
                      <w:rFonts w:hint="eastAsia"/>
                      <w:color w:val="auto"/>
                      <w:szCs w:val="21"/>
                    </w:rPr>
                    <w:t>未检出</w:t>
                  </w:r>
                </w:p>
              </w:tc>
            </w:tr>
            <w:tr w14:paraId="78F47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dxa"/>
                  <w:vMerge w:val="continue"/>
                </w:tcPr>
                <w:p w14:paraId="3BD3CD03">
                  <w:pPr>
                    <w:tabs>
                      <w:tab w:val="right" w:pos="8906"/>
                    </w:tabs>
                    <w:adjustRightInd w:val="0"/>
                    <w:snapToGrid w:val="0"/>
                    <w:jc w:val="center"/>
                    <w:rPr>
                      <w:color w:val="auto"/>
                      <w:szCs w:val="21"/>
                      <w:lang w:val="zh-CN"/>
                    </w:rPr>
                  </w:pPr>
                </w:p>
              </w:tc>
              <w:tc>
                <w:tcPr>
                  <w:tcW w:w="2214" w:type="dxa"/>
                  <w:vMerge w:val="continue"/>
                  <w:vAlign w:val="center"/>
                </w:tcPr>
                <w:p w14:paraId="0A77E740">
                  <w:pPr>
                    <w:tabs>
                      <w:tab w:val="right" w:pos="8906"/>
                    </w:tabs>
                    <w:adjustRightInd w:val="0"/>
                    <w:snapToGrid w:val="0"/>
                    <w:jc w:val="center"/>
                    <w:rPr>
                      <w:color w:val="auto"/>
                      <w:szCs w:val="21"/>
                      <w:lang w:val="zh-CN"/>
                    </w:rPr>
                  </w:pPr>
                </w:p>
              </w:tc>
              <w:tc>
                <w:tcPr>
                  <w:tcW w:w="2214" w:type="dxa"/>
                </w:tcPr>
                <w:p w14:paraId="2D62C166">
                  <w:pPr>
                    <w:tabs>
                      <w:tab w:val="right" w:pos="8906"/>
                    </w:tabs>
                    <w:adjustRightInd w:val="0"/>
                    <w:snapToGrid w:val="0"/>
                    <w:jc w:val="center"/>
                    <w:rPr>
                      <w:color w:val="auto"/>
                      <w:szCs w:val="21"/>
                    </w:rPr>
                  </w:pPr>
                  <w:r>
                    <w:rPr>
                      <w:rFonts w:hint="eastAsia"/>
                      <w:color w:val="auto"/>
                      <w:szCs w:val="21"/>
                    </w:rPr>
                    <w:t>14</w:t>
                  </w:r>
                  <w:r>
                    <w:rPr>
                      <w:color w:val="auto"/>
                      <w:szCs w:val="21"/>
                    </w:rPr>
                    <w:t>:</w:t>
                  </w:r>
                  <w:r>
                    <w:rPr>
                      <w:rFonts w:hint="eastAsia"/>
                      <w:color w:val="auto"/>
                      <w:szCs w:val="21"/>
                    </w:rPr>
                    <w:t>00</w:t>
                  </w:r>
                  <w:r>
                    <w:rPr>
                      <w:color w:val="auto"/>
                      <w:szCs w:val="21"/>
                    </w:rPr>
                    <w:t>~</w:t>
                  </w:r>
                  <w:r>
                    <w:rPr>
                      <w:rFonts w:hint="eastAsia"/>
                      <w:color w:val="auto"/>
                      <w:szCs w:val="21"/>
                    </w:rPr>
                    <w:t>14</w:t>
                  </w:r>
                  <w:r>
                    <w:rPr>
                      <w:color w:val="auto"/>
                      <w:szCs w:val="21"/>
                    </w:rPr>
                    <w:t>:</w:t>
                  </w:r>
                  <w:r>
                    <w:rPr>
                      <w:rFonts w:hint="eastAsia"/>
                      <w:color w:val="auto"/>
                      <w:szCs w:val="21"/>
                    </w:rPr>
                    <w:t>20</w:t>
                  </w:r>
                </w:p>
              </w:tc>
              <w:tc>
                <w:tcPr>
                  <w:tcW w:w="2214" w:type="dxa"/>
                </w:tcPr>
                <w:p w14:paraId="1F73F3C5">
                  <w:pPr>
                    <w:tabs>
                      <w:tab w:val="right" w:pos="8906"/>
                    </w:tabs>
                    <w:adjustRightInd w:val="0"/>
                    <w:snapToGrid w:val="0"/>
                    <w:jc w:val="center"/>
                    <w:rPr>
                      <w:color w:val="auto"/>
                      <w:szCs w:val="21"/>
                      <w:lang w:val="zh-CN"/>
                    </w:rPr>
                  </w:pPr>
                  <w:r>
                    <w:rPr>
                      <w:rFonts w:hint="eastAsia"/>
                      <w:color w:val="auto"/>
                      <w:szCs w:val="21"/>
                    </w:rPr>
                    <w:t>未检出</w:t>
                  </w:r>
                </w:p>
              </w:tc>
            </w:tr>
            <w:tr w14:paraId="288D6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dxa"/>
                  <w:vMerge w:val="continue"/>
                </w:tcPr>
                <w:p w14:paraId="209349B5">
                  <w:pPr>
                    <w:tabs>
                      <w:tab w:val="right" w:pos="8906"/>
                    </w:tabs>
                    <w:adjustRightInd w:val="0"/>
                    <w:snapToGrid w:val="0"/>
                    <w:jc w:val="center"/>
                    <w:rPr>
                      <w:color w:val="auto"/>
                      <w:szCs w:val="21"/>
                      <w:lang w:val="zh-CN"/>
                    </w:rPr>
                  </w:pPr>
                </w:p>
              </w:tc>
              <w:tc>
                <w:tcPr>
                  <w:tcW w:w="2214" w:type="dxa"/>
                  <w:vMerge w:val="continue"/>
                  <w:vAlign w:val="center"/>
                </w:tcPr>
                <w:p w14:paraId="17C06E36">
                  <w:pPr>
                    <w:tabs>
                      <w:tab w:val="right" w:pos="8906"/>
                    </w:tabs>
                    <w:adjustRightInd w:val="0"/>
                    <w:snapToGrid w:val="0"/>
                    <w:jc w:val="center"/>
                    <w:rPr>
                      <w:color w:val="auto"/>
                      <w:szCs w:val="21"/>
                      <w:lang w:val="zh-CN"/>
                    </w:rPr>
                  </w:pPr>
                </w:p>
              </w:tc>
              <w:tc>
                <w:tcPr>
                  <w:tcW w:w="2214" w:type="dxa"/>
                </w:tcPr>
                <w:p w14:paraId="75A87E7F">
                  <w:pPr>
                    <w:tabs>
                      <w:tab w:val="right" w:pos="8906"/>
                    </w:tabs>
                    <w:adjustRightInd w:val="0"/>
                    <w:snapToGrid w:val="0"/>
                    <w:jc w:val="center"/>
                    <w:rPr>
                      <w:color w:val="auto"/>
                      <w:szCs w:val="21"/>
                    </w:rPr>
                  </w:pPr>
                  <w:r>
                    <w:rPr>
                      <w:rFonts w:hint="eastAsia"/>
                      <w:color w:val="auto"/>
                      <w:szCs w:val="21"/>
                    </w:rPr>
                    <w:t>20</w:t>
                  </w:r>
                  <w:r>
                    <w:rPr>
                      <w:color w:val="auto"/>
                      <w:szCs w:val="21"/>
                    </w:rPr>
                    <w:t>:</w:t>
                  </w:r>
                  <w:r>
                    <w:rPr>
                      <w:rFonts w:hint="eastAsia"/>
                      <w:color w:val="auto"/>
                      <w:szCs w:val="21"/>
                    </w:rPr>
                    <w:t>00</w:t>
                  </w:r>
                  <w:r>
                    <w:rPr>
                      <w:color w:val="auto"/>
                      <w:szCs w:val="21"/>
                    </w:rPr>
                    <w:t>~</w:t>
                  </w:r>
                  <w:r>
                    <w:rPr>
                      <w:rFonts w:hint="eastAsia"/>
                      <w:color w:val="auto"/>
                      <w:szCs w:val="21"/>
                    </w:rPr>
                    <w:t>20</w:t>
                  </w:r>
                  <w:r>
                    <w:rPr>
                      <w:color w:val="auto"/>
                      <w:szCs w:val="21"/>
                    </w:rPr>
                    <w:t>:</w:t>
                  </w:r>
                  <w:r>
                    <w:rPr>
                      <w:rFonts w:hint="eastAsia"/>
                      <w:color w:val="auto"/>
                      <w:szCs w:val="21"/>
                    </w:rPr>
                    <w:t>20</w:t>
                  </w:r>
                </w:p>
              </w:tc>
              <w:tc>
                <w:tcPr>
                  <w:tcW w:w="2214" w:type="dxa"/>
                </w:tcPr>
                <w:p w14:paraId="1EE33E77">
                  <w:pPr>
                    <w:adjustRightInd w:val="0"/>
                    <w:snapToGrid w:val="0"/>
                    <w:jc w:val="center"/>
                    <w:rPr>
                      <w:color w:val="auto"/>
                      <w:szCs w:val="21"/>
                    </w:rPr>
                  </w:pPr>
                  <w:r>
                    <w:rPr>
                      <w:rFonts w:hint="eastAsia"/>
                      <w:color w:val="auto"/>
                      <w:szCs w:val="21"/>
                    </w:rPr>
                    <w:t>未检出</w:t>
                  </w:r>
                </w:p>
              </w:tc>
            </w:tr>
            <w:tr w14:paraId="3BD04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13" w:type="dxa"/>
                  <w:vMerge w:val="continue"/>
                </w:tcPr>
                <w:p w14:paraId="674430D1">
                  <w:pPr>
                    <w:tabs>
                      <w:tab w:val="right" w:pos="8906"/>
                    </w:tabs>
                    <w:adjustRightInd w:val="0"/>
                    <w:snapToGrid w:val="0"/>
                    <w:jc w:val="center"/>
                    <w:rPr>
                      <w:color w:val="auto"/>
                      <w:szCs w:val="21"/>
                      <w:lang w:val="zh-CN"/>
                    </w:rPr>
                  </w:pPr>
                </w:p>
              </w:tc>
              <w:tc>
                <w:tcPr>
                  <w:tcW w:w="2214" w:type="dxa"/>
                  <w:vMerge w:val="restart"/>
                  <w:vAlign w:val="center"/>
                </w:tcPr>
                <w:p w14:paraId="0EE09C93">
                  <w:pPr>
                    <w:tabs>
                      <w:tab w:val="right" w:pos="8906"/>
                    </w:tabs>
                    <w:adjustRightInd w:val="0"/>
                    <w:snapToGrid w:val="0"/>
                    <w:jc w:val="center"/>
                    <w:rPr>
                      <w:color w:val="auto"/>
                      <w:szCs w:val="21"/>
                    </w:rPr>
                  </w:pPr>
                  <w:r>
                    <w:rPr>
                      <w:color w:val="auto"/>
                      <w:szCs w:val="21"/>
                    </w:rPr>
                    <w:t>202</w:t>
                  </w:r>
                  <w:r>
                    <w:rPr>
                      <w:rFonts w:hint="eastAsia"/>
                      <w:color w:val="auto"/>
                      <w:szCs w:val="21"/>
                    </w:rPr>
                    <w:t>4</w:t>
                  </w:r>
                  <w:r>
                    <w:rPr>
                      <w:color w:val="auto"/>
                      <w:szCs w:val="21"/>
                    </w:rPr>
                    <w:t>.</w:t>
                  </w:r>
                  <w:r>
                    <w:rPr>
                      <w:rFonts w:hint="eastAsia"/>
                      <w:color w:val="auto"/>
                      <w:szCs w:val="21"/>
                    </w:rPr>
                    <w:t>1</w:t>
                  </w:r>
                  <w:r>
                    <w:rPr>
                      <w:color w:val="auto"/>
                      <w:szCs w:val="21"/>
                    </w:rPr>
                    <w:t>.</w:t>
                  </w:r>
                  <w:r>
                    <w:rPr>
                      <w:rFonts w:hint="eastAsia"/>
                      <w:color w:val="auto"/>
                      <w:szCs w:val="21"/>
                    </w:rPr>
                    <w:t>30</w:t>
                  </w:r>
                </w:p>
              </w:tc>
              <w:tc>
                <w:tcPr>
                  <w:tcW w:w="2214" w:type="dxa"/>
                </w:tcPr>
                <w:p w14:paraId="2979F37B">
                  <w:pPr>
                    <w:tabs>
                      <w:tab w:val="right" w:pos="8906"/>
                    </w:tabs>
                    <w:adjustRightInd w:val="0"/>
                    <w:snapToGrid w:val="0"/>
                    <w:jc w:val="center"/>
                    <w:rPr>
                      <w:color w:val="auto"/>
                      <w:szCs w:val="21"/>
                      <w:lang w:val="zh-CN"/>
                    </w:rPr>
                  </w:pPr>
                  <w:r>
                    <w:rPr>
                      <w:color w:val="auto"/>
                      <w:szCs w:val="21"/>
                    </w:rPr>
                    <w:t>0</w:t>
                  </w:r>
                  <w:r>
                    <w:rPr>
                      <w:rFonts w:hint="eastAsia"/>
                      <w:color w:val="auto"/>
                      <w:szCs w:val="21"/>
                    </w:rPr>
                    <w:t>2</w:t>
                  </w:r>
                  <w:r>
                    <w:rPr>
                      <w:color w:val="auto"/>
                      <w:szCs w:val="21"/>
                    </w:rPr>
                    <w:t>:</w:t>
                  </w:r>
                  <w:r>
                    <w:rPr>
                      <w:rFonts w:hint="eastAsia"/>
                      <w:color w:val="auto"/>
                      <w:szCs w:val="21"/>
                    </w:rPr>
                    <w:t>00</w:t>
                  </w:r>
                  <w:r>
                    <w:rPr>
                      <w:color w:val="auto"/>
                      <w:szCs w:val="21"/>
                    </w:rPr>
                    <w:t>~0</w:t>
                  </w:r>
                  <w:r>
                    <w:rPr>
                      <w:rFonts w:hint="eastAsia"/>
                      <w:color w:val="auto"/>
                      <w:szCs w:val="21"/>
                    </w:rPr>
                    <w:t>2</w:t>
                  </w:r>
                  <w:r>
                    <w:rPr>
                      <w:color w:val="auto"/>
                      <w:szCs w:val="21"/>
                    </w:rPr>
                    <w:t>:</w:t>
                  </w:r>
                  <w:r>
                    <w:rPr>
                      <w:rFonts w:hint="eastAsia"/>
                      <w:color w:val="auto"/>
                      <w:szCs w:val="21"/>
                    </w:rPr>
                    <w:t>20</w:t>
                  </w:r>
                </w:p>
              </w:tc>
              <w:tc>
                <w:tcPr>
                  <w:tcW w:w="2214" w:type="dxa"/>
                </w:tcPr>
                <w:p w14:paraId="3DDA139B">
                  <w:pPr>
                    <w:adjustRightInd w:val="0"/>
                    <w:snapToGrid w:val="0"/>
                    <w:jc w:val="center"/>
                    <w:rPr>
                      <w:color w:val="auto"/>
                      <w:szCs w:val="21"/>
                      <w:lang w:val="zh-CN"/>
                    </w:rPr>
                  </w:pPr>
                  <w:r>
                    <w:rPr>
                      <w:rFonts w:hint="eastAsia"/>
                      <w:color w:val="auto"/>
                      <w:szCs w:val="21"/>
                    </w:rPr>
                    <w:t>未检出</w:t>
                  </w:r>
                </w:p>
              </w:tc>
            </w:tr>
            <w:tr w14:paraId="4A292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dxa"/>
                  <w:vMerge w:val="continue"/>
                </w:tcPr>
                <w:p w14:paraId="422ADE2A">
                  <w:pPr>
                    <w:tabs>
                      <w:tab w:val="right" w:pos="8906"/>
                    </w:tabs>
                    <w:adjustRightInd w:val="0"/>
                    <w:snapToGrid w:val="0"/>
                    <w:jc w:val="center"/>
                    <w:rPr>
                      <w:color w:val="auto"/>
                      <w:szCs w:val="21"/>
                      <w:lang w:val="zh-CN"/>
                    </w:rPr>
                  </w:pPr>
                </w:p>
              </w:tc>
              <w:tc>
                <w:tcPr>
                  <w:tcW w:w="2214" w:type="dxa"/>
                  <w:vMerge w:val="continue"/>
                  <w:vAlign w:val="center"/>
                </w:tcPr>
                <w:p w14:paraId="68482CFA">
                  <w:pPr>
                    <w:tabs>
                      <w:tab w:val="right" w:pos="8906"/>
                    </w:tabs>
                    <w:adjustRightInd w:val="0"/>
                    <w:snapToGrid w:val="0"/>
                    <w:jc w:val="center"/>
                    <w:rPr>
                      <w:color w:val="auto"/>
                      <w:szCs w:val="21"/>
                      <w:lang w:val="zh-CN"/>
                    </w:rPr>
                  </w:pPr>
                </w:p>
              </w:tc>
              <w:tc>
                <w:tcPr>
                  <w:tcW w:w="2214" w:type="dxa"/>
                </w:tcPr>
                <w:p w14:paraId="066FF4E1">
                  <w:pPr>
                    <w:tabs>
                      <w:tab w:val="right" w:pos="8906"/>
                    </w:tabs>
                    <w:adjustRightInd w:val="0"/>
                    <w:snapToGrid w:val="0"/>
                    <w:jc w:val="center"/>
                    <w:rPr>
                      <w:color w:val="auto"/>
                      <w:szCs w:val="21"/>
                      <w:lang w:val="zh-CN"/>
                    </w:rPr>
                  </w:pPr>
                  <w:r>
                    <w:rPr>
                      <w:color w:val="auto"/>
                      <w:szCs w:val="21"/>
                    </w:rPr>
                    <w:t>08:</w:t>
                  </w:r>
                  <w:r>
                    <w:rPr>
                      <w:rFonts w:hint="eastAsia"/>
                      <w:color w:val="auto"/>
                      <w:szCs w:val="21"/>
                    </w:rPr>
                    <w:t>00</w:t>
                  </w:r>
                  <w:r>
                    <w:rPr>
                      <w:color w:val="auto"/>
                      <w:szCs w:val="21"/>
                    </w:rPr>
                    <w:t>~0</w:t>
                  </w:r>
                  <w:r>
                    <w:rPr>
                      <w:rFonts w:hint="eastAsia"/>
                      <w:color w:val="auto"/>
                      <w:szCs w:val="21"/>
                    </w:rPr>
                    <w:t>8</w:t>
                  </w:r>
                  <w:r>
                    <w:rPr>
                      <w:color w:val="auto"/>
                      <w:szCs w:val="21"/>
                    </w:rPr>
                    <w:t>:</w:t>
                  </w:r>
                  <w:r>
                    <w:rPr>
                      <w:rFonts w:hint="eastAsia"/>
                      <w:color w:val="auto"/>
                      <w:szCs w:val="21"/>
                    </w:rPr>
                    <w:t>20</w:t>
                  </w:r>
                </w:p>
              </w:tc>
              <w:tc>
                <w:tcPr>
                  <w:tcW w:w="2214" w:type="dxa"/>
                </w:tcPr>
                <w:p w14:paraId="69CAB16B">
                  <w:pPr>
                    <w:adjustRightInd w:val="0"/>
                    <w:snapToGrid w:val="0"/>
                    <w:jc w:val="center"/>
                    <w:rPr>
                      <w:color w:val="auto"/>
                      <w:szCs w:val="21"/>
                      <w:lang w:val="zh-CN"/>
                    </w:rPr>
                  </w:pPr>
                  <w:r>
                    <w:rPr>
                      <w:rFonts w:hint="eastAsia"/>
                      <w:color w:val="auto"/>
                      <w:szCs w:val="21"/>
                    </w:rPr>
                    <w:t>未检出</w:t>
                  </w:r>
                </w:p>
              </w:tc>
            </w:tr>
            <w:tr w14:paraId="7E9CB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dxa"/>
                  <w:vMerge w:val="continue"/>
                </w:tcPr>
                <w:p w14:paraId="1830B64C">
                  <w:pPr>
                    <w:tabs>
                      <w:tab w:val="right" w:pos="8906"/>
                    </w:tabs>
                    <w:adjustRightInd w:val="0"/>
                    <w:snapToGrid w:val="0"/>
                    <w:jc w:val="center"/>
                    <w:rPr>
                      <w:color w:val="auto"/>
                      <w:szCs w:val="21"/>
                      <w:lang w:val="zh-CN"/>
                    </w:rPr>
                  </w:pPr>
                </w:p>
              </w:tc>
              <w:tc>
                <w:tcPr>
                  <w:tcW w:w="2214" w:type="dxa"/>
                  <w:vMerge w:val="continue"/>
                  <w:vAlign w:val="center"/>
                </w:tcPr>
                <w:p w14:paraId="713AD8FF">
                  <w:pPr>
                    <w:tabs>
                      <w:tab w:val="right" w:pos="8906"/>
                    </w:tabs>
                    <w:adjustRightInd w:val="0"/>
                    <w:snapToGrid w:val="0"/>
                    <w:jc w:val="center"/>
                    <w:rPr>
                      <w:color w:val="auto"/>
                      <w:szCs w:val="21"/>
                      <w:lang w:val="zh-CN"/>
                    </w:rPr>
                  </w:pPr>
                </w:p>
              </w:tc>
              <w:tc>
                <w:tcPr>
                  <w:tcW w:w="2214" w:type="dxa"/>
                </w:tcPr>
                <w:p w14:paraId="6F7956A9">
                  <w:pPr>
                    <w:tabs>
                      <w:tab w:val="right" w:pos="8906"/>
                    </w:tabs>
                    <w:adjustRightInd w:val="0"/>
                    <w:snapToGrid w:val="0"/>
                    <w:jc w:val="center"/>
                    <w:rPr>
                      <w:color w:val="auto"/>
                      <w:szCs w:val="21"/>
                      <w:lang w:val="zh-CN"/>
                    </w:rPr>
                  </w:pPr>
                  <w:r>
                    <w:rPr>
                      <w:rFonts w:hint="eastAsia"/>
                      <w:color w:val="auto"/>
                      <w:szCs w:val="21"/>
                    </w:rPr>
                    <w:t>14</w:t>
                  </w:r>
                  <w:r>
                    <w:rPr>
                      <w:color w:val="auto"/>
                      <w:szCs w:val="21"/>
                    </w:rPr>
                    <w:t>:</w:t>
                  </w:r>
                  <w:r>
                    <w:rPr>
                      <w:rFonts w:hint="eastAsia"/>
                      <w:color w:val="auto"/>
                      <w:szCs w:val="21"/>
                    </w:rPr>
                    <w:t>00</w:t>
                  </w:r>
                  <w:r>
                    <w:rPr>
                      <w:color w:val="auto"/>
                      <w:szCs w:val="21"/>
                    </w:rPr>
                    <w:t>~</w:t>
                  </w:r>
                  <w:r>
                    <w:rPr>
                      <w:rFonts w:hint="eastAsia"/>
                      <w:color w:val="auto"/>
                      <w:szCs w:val="21"/>
                    </w:rPr>
                    <w:t>14</w:t>
                  </w:r>
                  <w:r>
                    <w:rPr>
                      <w:color w:val="auto"/>
                      <w:szCs w:val="21"/>
                    </w:rPr>
                    <w:t>:</w:t>
                  </w:r>
                  <w:r>
                    <w:rPr>
                      <w:rFonts w:hint="eastAsia"/>
                      <w:color w:val="auto"/>
                      <w:szCs w:val="21"/>
                    </w:rPr>
                    <w:t>20</w:t>
                  </w:r>
                </w:p>
              </w:tc>
              <w:tc>
                <w:tcPr>
                  <w:tcW w:w="2214" w:type="dxa"/>
                </w:tcPr>
                <w:p w14:paraId="27075AC3">
                  <w:pPr>
                    <w:adjustRightInd w:val="0"/>
                    <w:snapToGrid w:val="0"/>
                    <w:jc w:val="center"/>
                    <w:rPr>
                      <w:color w:val="auto"/>
                      <w:szCs w:val="21"/>
                      <w:lang w:val="zh-CN"/>
                    </w:rPr>
                  </w:pPr>
                  <w:r>
                    <w:rPr>
                      <w:rFonts w:hint="eastAsia"/>
                      <w:color w:val="auto"/>
                      <w:szCs w:val="21"/>
                    </w:rPr>
                    <w:t>未检出</w:t>
                  </w:r>
                </w:p>
              </w:tc>
            </w:tr>
            <w:tr w14:paraId="1C351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dxa"/>
                  <w:vMerge w:val="continue"/>
                </w:tcPr>
                <w:p w14:paraId="67B15A86">
                  <w:pPr>
                    <w:tabs>
                      <w:tab w:val="right" w:pos="8906"/>
                    </w:tabs>
                    <w:adjustRightInd w:val="0"/>
                    <w:snapToGrid w:val="0"/>
                    <w:jc w:val="center"/>
                    <w:rPr>
                      <w:color w:val="auto"/>
                      <w:szCs w:val="21"/>
                      <w:lang w:val="zh-CN"/>
                    </w:rPr>
                  </w:pPr>
                </w:p>
              </w:tc>
              <w:tc>
                <w:tcPr>
                  <w:tcW w:w="2214" w:type="dxa"/>
                  <w:vMerge w:val="continue"/>
                  <w:vAlign w:val="center"/>
                </w:tcPr>
                <w:p w14:paraId="41E5200E">
                  <w:pPr>
                    <w:tabs>
                      <w:tab w:val="right" w:pos="8906"/>
                    </w:tabs>
                    <w:adjustRightInd w:val="0"/>
                    <w:snapToGrid w:val="0"/>
                    <w:jc w:val="center"/>
                    <w:rPr>
                      <w:color w:val="auto"/>
                      <w:szCs w:val="21"/>
                      <w:lang w:val="zh-CN"/>
                    </w:rPr>
                  </w:pPr>
                </w:p>
              </w:tc>
              <w:tc>
                <w:tcPr>
                  <w:tcW w:w="2214" w:type="dxa"/>
                </w:tcPr>
                <w:p w14:paraId="2CA46A04">
                  <w:pPr>
                    <w:tabs>
                      <w:tab w:val="right" w:pos="8906"/>
                    </w:tabs>
                    <w:adjustRightInd w:val="0"/>
                    <w:snapToGrid w:val="0"/>
                    <w:jc w:val="center"/>
                    <w:rPr>
                      <w:color w:val="auto"/>
                      <w:szCs w:val="21"/>
                    </w:rPr>
                  </w:pPr>
                  <w:r>
                    <w:rPr>
                      <w:rFonts w:hint="eastAsia"/>
                      <w:color w:val="auto"/>
                      <w:szCs w:val="21"/>
                    </w:rPr>
                    <w:t>20</w:t>
                  </w:r>
                  <w:r>
                    <w:rPr>
                      <w:color w:val="auto"/>
                      <w:szCs w:val="21"/>
                    </w:rPr>
                    <w:t>:</w:t>
                  </w:r>
                  <w:r>
                    <w:rPr>
                      <w:rFonts w:hint="eastAsia"/>
                      <w:color w:val="auto"/>
                      <w:szCs w:val="21"/>
                    </w:rPr>
                    <w:t>00</w:t>
                  </w:r>
                  <w:r>
                    <w:rPr>
                      <w:color w:val="auto"/>
                      <w:szCs w:val="21"/>
                    </w:rPr>
                    <w:t>~</w:t>
                  </w:r>
                  <w:r>
                    <w:rPr>
                      <w:rFonts w:hint="eastAsia"/>
                      <w:color w:val="auto"/>
                      <w:szCs w:val="21"/>
                    </w:rPr>
                    <w:t>20</w:t>
                  </w:r>
                  <w:r>
                    <w:rPr>
                      <w:color w:val="auto"/>
                      <w:szCs w:val="21"/>
                    </w:rPr>
                    <w:t>:</w:t>
                  </w:r>
                  <w:r>
                    <w:rPr>
                      <w:rFonts w:hint="eastAsia"/>
                      <w:color w:val="auto"/>
                      <w:szCs w:val="21"/>
                    </w:rPr>
                    <w:t>20</w:t>
                  </w:r>
                </w:p>
              </w:tc>
              <w:tc>
                <w:tcPr>
                  <w:tcW w:w="2214" w:type="dxa"/>
                </w:tcPr>
                <w:p w14:paraId="0220BBE6">
                  <w:pPr>
                    <w:adjustRightInd w:val="0"/>
                    <w:snapToGrid w:val="0"/>
                    <w:jc w:val="center"/>
                    <w:rPr>
                      <w:color w:val="auto"/>
                      <w:szCs w:val="21"/>
                    </w:rPr>
                  </w:pPr>
                  <w:r>
                    <w:rPr>
                      <w:rFonts w:hint="eastAsia"/>
                      <w:color w:val="auto"/>
                      <w:szCs w:val="21"/>
                    </w:rPr>
                    <w:t>未检出</w:t>
                  </w:r>
                </w:p>
              </w:tc>
            </w:tr>
            <w:tr w14:paraId="741FE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dxa"/>
                  <w:vMerge w:val="continue"/>
                </w:tcPr>
                <w:p w14:paraId="3D3C7E2A">
                  <w:pPr>
                    <w:tabs>
                      <w:tab w:val="right" w:pos="8906"/>
                    </w:tabs>
                    <w:adjustRightInd w:val="0"/>
                    <w:snapToGrid w:val="0"/>
                    <w:jc w:val="center"/>
                    <w:rPr>
                      <w:color w:val="auto"/>
                      <w:szCs w:val="21"/>
                      <w:lang w:val="zh-CN"/>
                    </w:rPr>
                  </w:pPr>
                </w:p>
              </w:tc>
              <w:tc>
                <w:tcPr>
                  <w:tcW w:w="2214" w:type="dxa"/>
                  <w:vMerge w:val="restart"/>
                  <w:vAlign w:val="center"/>
                </w:tcPr>
                <w:p w14:paraId="05039C1A">
                  <w:pPr>
                    <w:tabs>
                      <w:tab w:val="right" w:pos="8906"/>
                    </w:tabs>
                    <w:adjustRightInd w:val="0"/>
                    <w:snapToGrid w:val="0"/>
                    <w:jc w:val="center"/>
                    <w:rPr>
                      <w:color w:val="auto"/>
                      <w:szCs w:val="21"/>
                      <w:lang w:val="zh-CN"/>
                    </w:rPr>
                  </w:pPr>
                  <w:r>
                    <w:rPr>
                      <w:color w:val="auto"/>
                      <w:szCs w:val="21"/>
                    </w:rPr>
                    <w:t>202</w:t>
                  </w:r>
                  <w:r>
                    <w:rPr>
                      <w:rFonts w:hint="eastAsia"/>
                      <w:color w:val="auto"/>
                      <w:szCs w:val="21"/>
                    </w:rPr>
                    <w:t>4</w:t>
                  </w:r>
                  <w:r>
                    <w:rPr>
                      <w:color w:val="auto"/>
                      <w:szCs w:val="21"/>
                    </w:rPr>
                    <w:t>.</w:t>
                  </w:r>
                  <w:r>
                    <w:rPr>
                      <w:rFonts w:hint="eastAsia"/>
                      <w:color w:val="auto"/>
                      <w:szCs w:val="21"/>
                    </w:rPr>
                    <w:t>1</w:t>
                  </w:r>
                  <w:r>
                    <w:rPr>
                      <w:color w:val="auto"/>
                      <w:szCs w:val="21"/>
                    </w:rPr>
                    <w:t>.</w:t>
                  </w:r>
                  <w:r>
                    <w:rPr>
                      <w:rFonts w:hint="eastAsia"/>
                      <w:color w:val="auto"/>
                      <w:szCs w:val="21"/>
                    </w:rPr>
                    <w:t>31</w:t>
                  </w:r>
                </w:p>
              </w:tc>
              <w:tc>
                <w:tcPr>
                  <w:tcW w:w="2214" w:type="dxa"/>
                </w:tcPr>
                <w:p w14:paraId="09BE0717">
                  <w:pPr>
                    <w:tabs>
                      <w:tab w:val="right" w:pos="8906"/>
                    </w:tabs>
                    <w:adjustRightInd w:val="0"/>
                    <w:snapToGrid w:val="0"/>
                    <w:jc w:val="center"/>
                    <w:rPr>
                      <w:color w:val="auto"/>
                      <w:szCs w:val="21"/>
                    </w:rPr>
                  </w:pPr>
                  <w:r>
                    <w:rPr>
                      <w:color w:val="auto"/>
                      <w:szCs w:val="21"/>
                    </w:rPr>
                    <w:t>0</w:t>
                  </w:r>
                  <w:r>
                    <w:rPr>
                      <w:rFonts w:hint="eastAsia"/>
                      <w:color w:val="auto"/>
                      <w:szCs w:val="21"/>
                    </w:rPr>
                    <w:t>2</w:t>
                  </w:r>
                  <w:r>
                    <w:rPr>
                      <w:color w:val="auto"/>
                      <w:szCs w:val="21"/>
                    </w:rPr>
                    <w:t>:</w:t>
                  </w:r>
                  <w:r>
                    <w:rPr>
                      <w:rFonts w:hint="eastAsia"/>
                      <w:color w:val="auto"/>
                      <w:szCs w:val="21"/>
                    </w:rPr>
                    <w:t>00</w:t>
                  </w:r>
                  <w:r>
                    <w:rPr>
                      <w:color w:val="auto"/>
                      <w:szCs w:val="21"/>
                    </w:rPr>
                    <w:t>~0</w:t>
                  </w:r>
                  <w:r>
                    <w:rPr>
                      <w:rFonts w:hint="eastAsia"/>
                      <w:color w:val="auto"/>
                      <w:szCs w:val="21"/>
                    </w:rPr>
                    <w:t>2</w:t>
                  </w:r>
                  <w:r>
                    <w:rPr>
                      <w:color w:val="auto"/>
                      <w:szCs w:val="21"/>
                    </w:rPr>
                    <w:t>:</w:t>
                  </w:r>
                  <w:r>
                    <w:rPr>
                      <w:rFonts w:hint="eastAsia"/>
                      <w:color w:val="auto"/>
                      <w:szCs w:val="21"/>
                    </w:rPr>
                    <w:t>20</w:t>
                  </w:r>
                </w:p>
              </w:tc>
              <w:tc>
                <w:tcPr>
                  <w:tcW w:w="2214" w:type="dxa"/>
                </w:tcPr>
                <w:p w14:paraId="6145A572">
                  <w:pPr>
                    <w:adjustRightInd w:val="0"/>
                    <w:snapToGrid w:val="0"/>
                    <w:jc w:val="center"/>
                    <w:rPr>
                      <w:color w:val="auto"/>
                      <w:szCs w:val="21"/>
                    </w:rPr>
                  </w:pPr>
                  <w:r>
                    <w:rPr>
                      <w:rFonts w:hint="eastAsia"/>
                      <w:color w:val="auto"/>
                      <w:szCs w:val="21"/>
                    </w:rPr>
                    <w:t>未检出</w:t>
                  </w:r>
                </w:p>
              </w:tc>
            </w:tr>
            <w:tr w14:paraId="327E3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dxa"/>
                  <w:vMerge w:val="continue"/>
                </w:tcPr>
                <w:p w14:paraId="69C5D6EE">
                  <w:pPr>
                    <w:tabs>
                      <w:tab w:val="right" w:pos="8906"/>
                    </w:tabs>
                    <w:adjustRightInd w:val="0"/>
                    <w:snapToGrid w:val="0"/>
                    <w:jc w:val="center"/>
                    <w:rPr>
                      <w:color w:val="auto"/>
                      <w:szCs w:val="21"/>
                      <w:lang w:val="zh-CN"/>
                    </w:rPr>
                  </w:pPr>
                </w:p>
              </w:tc>
              <w:tc>
                <w:tcPr>
                  <w:tcW w:w="2214" w:type="dxa"/>
                  <w:vMerge w:val="continue"/>
                </w:tcPr>
                <w:p w14:paraId="78BC9278">
                  <w:pPr>
                    <w:tabs>
                      <w:tab w:val="right" w:pos="8906"/>
                    </w:tabs>
                    <w:adjustRightInd w:val="0"/>
                    <w:snapToGrid w:val="0"/>
                    <w:jc w:val="center"/>
                    <w:rPr>
                      <w:color w:val="auto"/>
                      <w:szCs w:val="21"/>
                      <w:lang w:val="zh-CN"/>
                    </w:rPr>
                  </w:pPr>
                </w:p>
              </w:tc>
              <w:tc>
                <w:tcPr>
                  <w:tcW w:w="2214" w:type="dxa"/>
                </w:tcPr>
                <w:p w14:paraId="1D1AEAE5">
                  <w:pPr>
                    <w:tabs>
                      <w:tab w:val="right" w:pos="8906"/>
                    </w:tabs>
                    <w:adjustRightInd w:val="0"/>
                    <w:snapToGrid w:val="0"/>
                    <w:jc w:val="center"/>
                    <w:rPr>
                      <w:color w:val="auto"/>
                      <w:szCs w:val="21"/>
                    </w:rPr>
                  </w:pPr>
                  <w:r>
                    <w:rPr>
                      <w:color w:val="auto"/>
                      <w:szCs w:val="21"/>
                    </w:rPr>
                    <w:t>08:</w:t>
                  </w:r>
                  <w:r>
                    <w:rPr>
                      <w:rFonts w:hint="eastAsia"/>
                      <w:color w:val="auto"/>
                      <w:szCs w:val="21"/>
                    </w:rPr>
                    <w:t>00</w:t>
                  </w:r>
                  <w:r>
                    <w:rPr>
                      <w:color w:val="auto"/>
                      <w:szCs w:val="21"/>
                    </w:rPr>
                    <w:t>~0</w:t>
                  </w:r>
                  <w:r>
                    <w:rPr>
                      <w:rFonts w:hint="eastAsia"/>
                      <w:color w:val="auto"/>
                      <w:szCs w:val="21"/>
                    </w:rPr>
                    <w:t>8</w:t>
                  </w:r>
                  <w:r>
                    <w:rPr>
                      <w:color w:val="auto"/>
                      <w:szCs w:val="21"/>
                    </w:rPr>
                    <w:t>:</w:t>
                  </w:r>
                  <w:r>
                    <w:rPr>
                      <w:rFonts w:hint="eastAsia"/>
                      <w:color w:val="auto"/>
                      <w:szCs w:val="21"/>
                    </w:rPr>
                    <w:t>20</w:t>
                  </w:r>
                </w:p>
              </w:tc>
              <w:tc>
                <w:tcPr>
                  <w:tcW w:w="2214" w:type="dxa"/>
                </w:tcPr>
                <w:p w14:paraId="2B0A7948">
                  <w:pPr>
                    <w:adjustRightInd w:val="0"/>
                    <w:snapToGrid w:val="0"/>
                    <w:jc w:val="center"/>
                    <w:rPr>
                      <w:color w:val="auto"/>
                      <w:szCs w:val="21"/>
                    </w:rPr>
                  </w:pPr>
                  <w:r>
                    <w:rPr>
                      <w:rFonts w:hint="eastAsia"/>
                      <w:color w:val="auto"/>
                      <w:szCs w:val="21"/>
                    </w:rPr>
                    <w:t>未检出</w:t>
                  </w:r>
                </w:p>
              </w:tc>
            </w:tr>
            <w:tr w14:paraId="1E45C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dxa"/>
                  <w:vMerge w:val="continue"/>
                </w:tcPr>
                <w:p w14:paraId="05FEF710">
                  <w:pPr>
                    <w:tabs>
                      <w:tab w:val="right" w:pos="8906"/>
                    </w:tabs>
                    <w:adjustRightInd w:val="0"/>
                    <w:snapToGrid w:val="0"/>
                    <w:jc w:val="center"/>
                    <w:rPr>
                      <w:color w:val="auto"/>
                      <w:szCs w:val="21"/>
                      <w:lang w:val="zh-CN"/>
                    </w:rPr>
                  </w:pPr>
                </w:p>
              </w:tc>
              <w:tc>
                <w:tcPr>
                  <w:tcW w:w="2214" w:type="dxa"/>
                  <w:vMerge w:val="continue"/>
                </w:tcPr>
                <w:p w14:paraId="21034A69">
                  <w:pPr>
                    <w:tabs>
                      <w:tab w:val="right" w:pos="8906"/>
                    </w:tabs>
                    <w:adjustRightInd w:val="0"/>
                    <w:snapToGrid w:val="0"/>
                    <w:jc w:val="center"/>
                    <w:rPr>
                      <w:color w:val="auto"/>
                      <w:szCs w:val="21"/>
                      <w:lang w:val="zh-CN"/>
                    </w:rPr>
                  </w:pPr>
                </w:p>
              </w:tc>
              <w:tc>
                <w:tcPr>
                  <w:tcW w:w="2214" w:type="dxa"/>
                </w:tcPr>
                <w:p w14:paraId="6BE3FDC2">
                  <w:pPr>
                    <w:tabs>
                      <w:tab w:val="right" w:pos="8906"/>
                    </w:tabs>
                    <w:adjustRightInd w:val="0"/>
                    <w:snapToGrid w:val="0"/>
                    <w:jc w:val="center"/>
                    <w:rPr>
                      <w:color w:val="auto"/>
                      <w:szCs w:val="21"/>
                    </w:rPr>
                  </w:pPr>
                  <w:r>
                    <w:rPr>
                      <w:rFonts w:hint="eastAsia"/>
                      <w:color w:val="auto"/>
                      <w:szCs w:val="21"/>
                    </w:rPr>
                    <w:t>14</w:t>
                  </w:r>
                  <w:r>
                    <w:rPr>
                      <w:color w:val="auto"/>
                      <w:szCs w:val="21"/>
                    </w:rPr>
                    <w:t>:</w:t>
                  </w:r>
                  <w:r>
                    <w:rPr>
                      <w:rFonts w:hint="eastAsia"/>
                      <w:color w:val="auto"/>
                      <w:szCs w:val="21"/>
                    </w:rPr>
                    <w:t>00</w:t>
                  </w:r>
                  <w:r>
                    <w:rPr>
                      <w:color w:val="auto"/>
                      <w:szCs w:val="21"/>
                    </w:rPr>
                    <w:t>~</w:t>
                  </w:r>
                  <w:r>
                    <w:rPr>
                      <w:rFonts w:hint="eastAsia"/>
                      <w:color w:val="auto"/>
                      <w:szCs w:val="21"/>
                    </w:rPr>
                    <w:t>14</w:t>
                  </w:r>
                  <w:r>
                    <w:rPr>
                      <w:color w:val="auto"/>
                      <w:szCs w:val="21"/>
                    </w:rPr>
                    <w:t>:</w:t>
                  </w:r>
                  <w:r>
                    <w:rPr>
                      <w:rFonts w:hint="eastAsia"/>
                      <w:color w:val="auto"/>
                      <w:szCs w:val="21"/>
                    </w:rPr>
                    <w:t>20</w:t>
                  </w:r>
                </w:p>
              </w:tc>
              <w:tc>
                <w:tcPr>
                  <w:tcW w:w="2214" w:type="dxa"/>
                </w:tcPr>
                <w:p w14:paraId="445134EC">
                  <w:pPr>
                    <w:adjustRightInd w:val="0"/>
                    <w:snapToGrid w:val="0"/>
                    <w:jc w:val="center"/>
                    <w:rPr>
                      <w:color w:val="auto"/>
                      <w:szCs w:val="21"/>
                    </w:rPr>
                  </w:pPr>
                  <w:r>
                    <w:rPr>
                      <w:rFonts w:hint="eastAsia"/>
                      <w:color w:val="auto"/>
                      <w:szCs w:val="21"/>
                    </w:rPr>
                    <w:t>未检出</w:t>
                  </w:r>
                </w:p>
              </w:tc>
            </w:tr>
            <w:tr w14:paraId="07188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dxa"/>
                  <w:vMerge w:val="continue"/>
                </w:tcPr>
                <w:p w14:paraId="3F0CB53B">
                  <w:pPr>
                    <w:tabs>
                      <w:tab w:val="right" w:pos="8906"/>
                    </w:tabs>
                    <w:adjustRightInd w:val="0"/>
                    <w:snapToGrid w:val="0"/>
                    <w:jc w:val="center"/>
                    <w:rPr>
                      <w:color w:val="auto"/>
                      <w:szCs w:val="21"/>
                      <w:lang w:val="zh-CN"/>
                    </w:rPr>
                  </w:pPr>
                </w:p>
              </w:tc>
              <w:tc>
                <w:tcPr>
                  <w:tcW w:w="2214" w:type="dxa"/>
                  <w:vMerge w:val="continue"/>
                </w:tcPr>
                <w:p w14:paraId="191A190A">
                  <w:pPr>
                    <w:tabs>
                      <w:tab w:val="right" w:pos="8906"/>
                    </w:tabs>
                    <w:adjustRightInd w:val="0"/>
                    <w:snapToGrid w:val="0"/>
                    <w:jc w:val="center"/>
                    <w:rPr>
                      <w:color w:val="auto"/>
                      <w:szCs w:val="21"/>
                      <w:lang w:val="zh-CN"/>
                    </w:rPr>
                  </w:pPr>
                </w:p>
              </w:tc>
              <w:tc>
                <w:tcPr>
                  <w:tcW w:w="2214" w:type="dxa"/>
                </w:tcPr>
                <w:p w14:paraId="7A2B770A">
                  <w:pPr>
                    <w:tabs>
                      <w:tab w:val="right" w:pos="8906"/>
                    </w:tabs>
                    <w:adjustRightInd w:val="0"/>
                    <w:snapToGrid w:val="0"/>
                    <w:jc w:val="center"/>
                    <w:rPr>
                      <w:color w:val="auto"/>
                      <w:szCs w:val="21"/>
                    </w:rPr>
                  </w:pPr>
                  <w:r>
                    <w:rPr>
                      <w:rFonts w:hint="eastAsia"/>
                      <w:color w:val="auto"/>
                      <w:szCs w:val="21"/>
                    </w:rPr>
                    <w:t>20</w:t>
                  </w:r>
                  <w:r>
                    <w:rPr>
                      <w:color w:val="auto"/>
                      <w:szCs w:val="21"/>
                    </w:rPr>
                    <w:t>:</w:t>
                  </w:r>
                  <w:r>
                    <w:rPr>
                      <w:rFonts w:hint="eastAsia"/>
                      <w:color w:val="auto"/>
                      <w:szCs w:val="21"/>
                    </w:rPr>
                    <w:t>00</w:t>
                  </w:r>
                  <w:r>
                    <w:rPr>
                      <w:color w:val="auto"/>
                      <w:szCs w:val="21"/>
                    </w:rPr>
                    <w:t>~</w:t>
                  </w:r>
                  <w:r>
                    <w:rPr>
                      <w:rFonts w:hint="eastAsia"/>
                      <w:color w:val="auto"/>
                      <w:szCs w:val="21"/>
                    </w:rPr>
                    <w:t>20</w:t>
                  </w:r>
                  <w:r>
                    <w:rPr>
                      <w:color w:val="auto"/>
                      <w:szCs w:val="21"/>
                    </w:rPr>
                    <w:t>:</w:t>
                  </w:r>
                  <w:r>
                    <w:rPr>
                      <w:rFonts w:hint="eastAsia"/>
                      <w:color w:val="auto"/>
                      <w:szCs w:val="21"/>
                    </w:rPr>
                    <w:t>20</w:t>
                  </w:r>
                </w:p>
              </w:tc>
              <w:tc>
                <w:tcPr>
                  <w:tcW w:w="2214" w:type="dxa"/>
                </w:tcPr>
                <w:p w14:paraId="377E9291">
                  <w:pPr>
                    <w:adjustRightInd w:val="0"/>
                    <w:snapToGrid w:val="0"/>
                    <w:jc w:val="center"/>
                    <w:rPr>
                      <w:color w:val="auto"/>
                      <w:szCs w:val="21"/>
                    </w:rPr>
                  </w:pPr>
                  <w:r>
                    <w:rPr>
                      <w:rFonts w:hint="eastAsia"/>
                      <w:color w:val="auto"/>
                      <w:szCs w:val="21"/>
                    </w:rPr>
                    <w:t>未检出</w:t>
                  </w:r>
                </w:p>
              </w:tc>
            </w:tr>
            <w:tr w14:paraId="77576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gridSpan w:val="3"/>
                  <w:vAlign w:val="center"/>
                </w:tcPr>
                <w:p w14:paraId="16F299C7">
                  <w:pPr>
                    <w:tabs>
                      <w:tab w:val="right" w:pos="8906"/>
                    </w:tabs>
                    <w:adjustRightInd w:val="0"/>
                    <w:snapToGrid w:val="0"/>
                    <w:jc w:val="center"/>
                    <w:rPr>
                      <w:color w:val="auto"/>
                      <w:szCs w:val="21"/>
                    </w:rPr>
                  </w:pPr>
                  <w:r>
                    <w:rPr>
                      <w:rFonts w:hint="eastAsia"/>
                      <w:color w:val="auto"/>
                      <w:szCs w:val="21"/>
                    </w:rPr>
                    <w:t>标准值</w:t>
                  </w:r>
                </w:p>
              </w:tc>
              <w:tc>
                <w:tcPr>
                  <w:tcW w:w="2214" w:type="dxa"/>
                  <w:vAlign w:val="center"/>
                </w:tcPr>
                <w:p w14:paraId="3A39F294">
                  <w:pPr>
                    <w:tabs>
                      <w:tab w:val="right" w:pos="8906"/>
                    </w:tabs>
                    <w:adjustRightInd w:val="0"/>
                    <w:snapToGrid w:val="0"/>
                    <w:jc w:val="center"/>
                    <w:rPr>
                      <w:color w:val="auto"/>
                      <w:szCs w:val="21"/>
                    </w:rPr>
                  </w:pPr>
                  <w:r>
                    <w:rPr>
                      <w:rFonts w:hint="eastAsia"/>
                      <w:color w:val="auto"/>
                      <w:szCs w:val="21"/>
                    </w:rPr>
                    <w:t>0.05</w:t>
                  </w:r>
                </w:p>
              </w:tc>
            </w:tr>
            <w:tr w14:paraId="548AA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gridSpan w:val="3"/>
                  <w:vAlign w:val="center"/>
                </w:tcPr>
                <w:p w14:paraId="7BBAB0CD">
                  <w:pPr>
                    <w:tabs>
                      <w:tab w:val="right" w:pos="8906"/>
                    </w:tabs>
                    <w:adjustRightInd w:val="0"/>
                    <w:snapToGrid w:val="0"/>
                    <w:jc w:val="center"/>
                    <w:rPr>
                      <w:color w:val="auto"/>
                      <w:szCs w:val="21"/>
                    </w:rPr>
                  </w:pPr>
                  <w:r>
                    <w:rPr>
                      <w:rFonts w:hint="eastAsia"/>
                      <w:color w:val="auto"/>
                      <w:szCs w:val="21"/>
                    </w:rPr>
                    <w:t>达标情况</w:t>
                  </w:r>
                </w:p>
              </w:tc>
              <w:tc>
                <w:tcPr>
                  <w:tcW w:w="2214" w:type="dxa"/>
                  <w:vAlign w:val="center"/>
                </w:tcPr>
                <w:p w14:paraId="2E2F4AA2">
                  <w:pPr>
                    <w:tabs>
                      <w:tab w:val="right" w:pos="8906"/>
                    </w:tabs>
                    <w:adjustRightInd w:val="0"/>
                    <w:snapToGrid w:val="0"/>
                    <w:jc w:val="center"/>
                    <w:rPr>
                      <w:color w:val="auto"/>
                      <w:szCs w:val="21"/>
                    </w:rPr>
                  </w:pPr>
                  <w:r>
                    <w:rPr>
                      <w:rFonts w:hint="eastAsia"/>
                      <w:color w:val="auto"/>
                      <w:szCs w:val="21"/>
                    </w:rPr>
                    <w:t>达标</w:t>
                  </w:r>
                </w:p>
              </w:tc>
            </w:tr>
          </w:tbl>
          <w:p w14:paraId="3411389F">
            <w:pPr>
              <w:pStyle w:val="8"/>
              <w:snapToGrid w:val="0"/>
              <w:jc w:val="center"/>
              <w:rPr>
                <w:b/>
                <w:bCs/>
                <w:color w:val="auto"/>
                <w:szCs w:val="21"/>
                <w:vertAlign w:val="superscript"/>
              </w:rPr>
            </w:pPr>
            <w:r>
              <w:rPr>
                <w:b/>
                <w:bCs/>
                <w:color w:val="auto"/>
                <w:szCs w:val="21"/>
                <w:lang w:val="zh-CN"/>
              </w:rPr>
              <w:t>表</w:t>
            </w:r>
            <w:r>
              <w:rPr>
                <w:rFonts w:hint="eastAsia"/>
                <w:b/>
                <w:bCs/>
                <w:color w:val="auto"/>
                <w:szCs w:val="21"/>
              </w:rPr>
              <w:t>3</w:t>
            </w:r>
            <w:r>
              <w:rPr>
                <w:b/>
                <w:bCs/>
                <w:color w:val="auto"/>
                <w:szCs w:val="21"/>
              </w:rPr>
              <w:t>-</w:t>
            </w:r>
            <w:r>
              <w:rPr>
                <w:rFonts w:hint="eastAsia"/>
                <w:b/>
                <w:bCs/>
                <w:color w:val="auto"/>
                <w:szCs w:val="21"/>
              </w:rPr>
              <w:t>2</w:t>
            </w:r>
            <w:r>
              <w:rPr>
                <w:b/>
                <w:bCs/>
                <w:color w:val="auto"/>
                <w:szCs w:val="21"/>
              </w:rPr>
              <w:t xml:space="preserve"> </w:t>
            </w:r>
            <w:r>
              <w:rPr>
                <w:b/>
                <w:bCs/>
                <w:color w:val="auto"/>
                <w:szCs w:val="21"/>
                <w:lang w:val="zh-CN"/>
              </w:rPr>
              <w:t>寻甸年加工喷涂铝板30万平方米项目</w:t>
            </w:r>
            <w:r>
              <w:rPr>
                <w:b/>
                <w:bCs/>
                <w:color w:val="auto"/>
                <w:szCs w:val="21"/>
              </w:rPr>
              <w:t>厂址内TSP、NOx、TVOC</w:t>
            </w:r>
            <w:r>
              <w:rPr>
                <w:rFonts w:hint="eastAsia"/>
                <w:b/>
                <w:bCs/>
                <w:color w:val="auto"/>
                <w:szCs w:val="21"/>
              </w:rPr>
              <w:t>现状检测</w:t>
            </w:r>
            <w:r>
              <w:rPr>
                <w:b/>
                <w:bCs/>
                <w:color w:val="auto"/>
                <w:szCs w:val="21"/>
              </w:rPr>
              <w:t>结果</w:t>
            </w:r>
          </w:p>
          <w:tbl>
            <w:tblPr>
              <w:tblStyle w:val="30"/>
              <w:tblW w:w="8846"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080"/>
              <w:gridCol w:w="1208"/>
              <w:gridCol w:w="1321"/>
              <w:gridCol w:w="2080"/>
              <w:gridCol w:w="1311"/>
            </w:tblGrid>
            <w:tr w14:paraId="325A6FA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6" w:type="dxa"/>
                  <w:tcBorders>
                    <w:tl2br w:val="nil"/>
                    <w:tr2bl w:val="nil"/>
                  </w:tcBorders>
                  <w:vAlign w:val="center"/>
                </w:tcPr>
                <w:p w14:paraId="37BCAA55">
                  <w:pPr>
                    <w:adjustRightInd w:val="0"/>
                    <w:snapToGrid w:val="0"/>
                    <w:jc w:val="center"/>
                    <w:rPr>
                      <w:b/>
                      <w:bCs/>
                      <w:color w:val="auto"/>
                      <w:szCs w:val="21"/>
                    </w:rPr>
                  </w:pPr>
                  <w:r>
                    <w:rPr>
                      <w:b/>
                      <w:bCs/>
                      <w:color w:val="auto"/>
                      <w:szCs w:val="21"/>
                    </w:rPr>
                    <w:t>检测点位</w:t>
                  </w:r>
                </w:p>
              </w:tc>
              <w:tc>
                <w:tcPr>
                  <w:tcW w:w="2080" w:type="dxa"/>
                  <w:tcBorders>
                    <w:tl2br w:val="nil"/>
                    <w:tr2bl w:val="nil"/>
                  </w:tcBorders>
                  <w:vAlign w:val="center"/>
                </w:tcPr>
                <w:p w14:paraId="7F562ADB">
                  <w:pPr>
                    <w:adjustRightInd w:val="0"/>
                    <w:snapToGrid w:val="0"/>
                    <w:jc w:val="center"/>
                    <w:rPr>
                      <w:b/>
                      <w:bCs/>
                      <w:color w:val="auto"/>
                      <w:szCs w:val="21"/>
                    </w:rPr>
                  </w:pPr>
                  <w:r>
                    <w:rPr>
                      <w:b/>
                      <w:bCs/>
                      <w:color w:val="auto"/>
                      <w:szCs w:val="21"/>
                    </w:rPr>
                    <w:t>采样日期</w:t>
                  </w:r>
                </w:p>
              </w:tc>
              <w:tc>
                <w:tcPr>
                  <w:tcW w:w="1208" w:type="dxa"/>
                  <w:tcBorders>
                    <w:tl2br w:val="nil"/>
                    <w:tr2bl w:val="nil"/>
                  </w:tcBorders>
                  <w:vAlign w:val="center"/>
                </w:tcPr>
                <w:p w14:paraId="15D7A057">
                  <w:pPr>
                    <w:adjustRightInd w:val="0"/>
                    <w:snapToGrid w:val="0"/>
                    <w:jc w:val="center"/>
                    <w:rPr>
                      <w:b/>
                      <w:bCs/>
                      <w:color w:val="auto"/>
                      <w:szCs w:val="21"/>
                    </w:rPr>
                  </w:pPr>
                  <w:r>
                    <w:rPr>
                      <w:b/>
                      <w:bCs/>
                      <w:color w:val="auto"/>
                      <w:szCs w:val="21"/>
                    </w:rPr>
                    <w:t>TSP（</w:t>
                  </w:r>
                  <w:r>
                    <w:rPr>
                      <w:rFonts w:hint="eastAsia"/>
                      <w:b/>
                      <w:bCs/>
                      <w:color w:val="auto"/>
                      <w:szCs w:val="21"/>
                    </w:rPr>
                    <w:t>ug/m</w:t>
                  </w:r>
                  <w:r>
                    <w:rPr>
                      <w:rFonts w:hint="eastAsia"/>
                      <w:b/>
                      <w:bCs/>
                      <w:color w:val="auto"/>
                      <w:szCs w:val="21"/>
                      <w:vertAlign w:val="superscript"/>
                    </w:rPr>
                    <w:t>3</w:t>
                  </w:r>
                  <w:r>
                    <w:rPr>
                      <w:b/>
                      <w:bCs/>
                      <w:color w:val="auto"/>
                      <w:szCs w:val="21"/>
                    </w:rPr>
                    <w:t>）</w:t>
                  </w:r>
                </w:p>
              </w:tc>
              <w:tc>
                <w:tcPr>
                  <w:tcW w:w="1321" w:type="dxa"/>
                  <w:tcBorders>
                    <w:tl2br w:val="nil"/>
                    <w:tr2bl w:val="nil"/>
                  </w:tcBorders>
                  <w:vAlign w:val="center"/>
                </w:tcPr>
                <w:p w14:paraId="36E0D1E0">
                  <w:pPr>
                    <w:adjustRightInd w:val="0"/>
                    <w:snapToGrid w:val="0"/>
                    <w:jc w:val="center"/>
                    <w:rPr>
                      <w:b/>
                      <w:bCs/>
                      <w:color w:val="auto"/>
                      <w:szCs w:val="21"/>
                    </w:rPr>
                  </w:pPr>
                  <w:r>
                    <w:rPr>
                      <w:rFonts w:hint="eastAsia"/>
                      <w:b/>
                      <w:bCs/>
                      <w:color w:val="auto"/>
                      <w:szCs w:val="21"/>
                    </w:rPr>
                    <w:t>TVOC（ug/m</w:t>
                  </w:r>
                  <w:r>
                    <w:rPr>
                      <w:rFonts w:hint="eastAsia"/>
                      <w:b/>
                      <w:bCs/>
                      <w:color w:val="auto"/>
                      <w:szCs w:val="21"/>
                      <w:vertAlign w:val="superscript"/>
                    </w:rPr>
                    <w:t>3</w:t>
                  </w:r>
                  <w:r>
                    <w:rPr>
                      <w:rFonts w:hint="eastAsia"/>
                      <w:b/>
                      <w:bCs/>
                      <w:color w:val="auto"/>
                      <w:szCs w:val="21"/>
                    </w:rPr>
                    <w:t>）</w:t>
                  </w:r>
                </w:p>
              </w:tc>
              <w:tc>
                <w:tcPr>
                  <w:tcW w:w="2080" w:type="dxa"/>
                  <w:tcBorders>
                    <w:tl2br w:val="nil"/>
                    <w:tr2bl w:val="nil"/>
                  </w:tcBorders>
                  <w:vAlign w:val="center"/>
                </w:tcPr>
                <w:p w14:paraId="48A1F556">
                  <w:pPr>
                    <w:adjustRightInd w:val="0"/>
                    <w:snapToGrid w:val="0"/>
                    <w:jc w:val="center"/>
                    <w:rPr>
                      <w:b/>
                      <w:bCs/>
                      <w:color w:val="auto"/>
                      <w:szCs w:val="21"/>
                    </w:rPr>
                  </w:pPr>
                  <w:r>
                    <w:rPr>
                      <w:b/>
                      <w:bCs/>
                      <w:color w:val="auto"/>
                      <w:szCs w:val="21"/>
                    </w:rPr>
                    <w:t>采样日期</w:t>
                  </w:r>
                </w:p>
              </w:tc>
              <w:tc>
                <w:tcPr>
                  <w:tcW w:w="1311" w:type="dxa"/>
                  <w:tcBorders>
                    <w:tl2br w:val="nil"/>
                    <w:tr2bl w:val="nil"/>
                  </w:tcBorders>
                  <w:vAlign w:val="center"/>
                </w:tcPr>
                <w:p w14:paraId="21E30137">
                  <w:pPr>
                    <w:adjustRightInd w:val="0"/>
                    <w:snapToGrid w:val="0"/>
                    <w:jc w:val="center"/>
                    <w:rPr>
                      <w:b/>
                      <w:bCs/>
                      <w:color w:val="auto"/>
                      <w:szCs w:val="21"/>
                    </w:rPr>
                  </w:pPr>
                  <w:r>
                    <w:rPr>
                      <w:rFonts w:hint="eastAsia"/>
                      <w:b/>
                      <w:bCs/>
                      <w:color w:val="auto"/>
                      <w:szCs w:val="21"/>
                    </w:rPr>
                    <w:t>NOx（ug/m</w:t>
                  </w:r>
                  <w:r>
                    <w:rPr>
                      <w:rFonts w:hint="eastAsia"/>
                      <w:b/>
                      <w:bCs/>
                      <w:color w:val="auto"/>
                      <w:szCs w:val="21"/>
                      <w:vertAlign w:val="superscript"/>
                    </w:rPr>
                    <w:t>3</w:t>
                  </w:r>
                  <w:r>
                    <w:rPr>
                      <w:rFonts w:hint="eastAsia"/>
                      <w:b/>
                      <w:bCs/>
                      <w:color w:val="auto"/>
                      <w:szCs w:val="21"/>
                    </w:rPr>
                    <w:t>）</w:t>
                  </w:r>
                </w:p>
              </w:tc>
            </w:tr>
            <w:tr w14:paraId="4D16B1C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restart"/>
                  <w:tcBorders>
                    <w:tl2br w:val="nil"/>
                    <w:tr2bl w:val="nil"/>
                  </w:tcBorders>
                  <w:vAlign w:val="center"/>
                </w:tcPr>
                <w:p w14:paraId="0702CD84">
                  <w:pPr>
                    <w:adjustRightInd w:val="0"/>
                    <w:snapToGrid w:val="0"/>
                    <w:jc w:val="center"/>
                    <w:rPr>
                      <w:color w:val="auto"/>
                      <w:szCs w:val="21"/>
                    </w:rPr>
                  </w:pPr>
                  <w:r>
                    <w:rPr>
                      <w:bCs/>
                      <w:color w:val="auto"/>
                      <w:szCs w:val="21"/>
                      <w:lang w:val="zh-CN"/>
                    </w:rPr>
                    <w:t>寻甸年加工喷涂铝板30万平方米项目</w:t>
                  </w:r>
                  <w:r>
                    <w:rPr>
                      <w:bCs/>
                      <w:color w:val="auto"/>
                      <w:szCs w:val="21"/>
                    </w:rPr>
                    <w:t>厂址内（1</w:t>
                  </w:r>
                  <w:r>
                    <w:rPr>
                      <w:rFonts w:hint="eastAsia"/>
                      <w:bCs/>
                      <w:color w:val="auto"/>
                      <w:szCs w:val="21"/>
                    </w:rPr>
                    <w:t>#</w:t>
                  </w:r>
                  <w:r>
                    <w:rPr>
                      <w:bCs/>
                      <w:color w:val="auto"/>
                      <w:szCs w:val="21"/>
                    </w:rPr>
                    <w:t>）</w:t>
                  </w:r>
                </w:p>
              </w:tc>
              <w:tc>
                <w:tcPr>
                  <w:tcW w:w="2080" w:type="dxa"/>
                  <w:vMerge w:val="restart"/>
                  <w:tcBorders>
                    <w:tl2br w:val="nil"/>
                    <w:tr2bl w:val="nil"/>
                  </w:tcBorders>
                  <w:vAlign w:val="center"/>
                </w:tcPr>
                <w:p w14:paraId="2AD208EA">
                  <w:pPr>
                    <w:adjustRightInd w:val="0"/>
                    <w:snapToGrid w:val="0"/>
                    <w:jc w:val="center"/>
                    <w:rPr>
                      <w:color w:val="auto"/>
                      <w:szCs w:val="21"/>
                    </w:rPr>
                  </w:pPr>
                  <w:r>
                    <w:rPr>
                      <w:color w:val="auto"/>
                      <w:szCs w:val="21"/>
                    </w:rPr>
                    <w:t>2021-</w:t>
                  </w:r>
                  <w:r>
                    <w:rPr>
                      <w:rFonts w:hint="eastAsia"/>
                      <w:color w:val="auto"/>
                      <w:szCs w:val="21"/>
                    </w:rPr>
                    <w:t>6</w:t>
                  </w:r>
                  <w:r>
                    <w:rPr>
                      <w:color w:val="auto"/>
                      <w:szCs w:val="21"/>
                    </w:rPr>
                    <w:t>-</w:t>
                  </w:r>
                  <w:r>
                    <w:rPr>
                      <w:rFonts w:hint="eastAsia"/>
                      <w:color w:val="auto"/>
                      <w:szCs w:val="21"/>
                    </w:rPr>
                    <w:t>22~2021-6-23</w:t>
                  </w:r>
                </w:p>
              </w:tc>
              <w:tc>
                <w:tcPr>
                  <w:tcW w:w="1208" w:type="dxa"/>
                  <w:tcBorders>
                    <w:tl2br w:val="nil"/>
                    <w:tr2bl w:val="nil"/>
                  </w:tcBorders>
                  <w:vAlign w:val="center"/>
                </w:tcPr>
                <w:p w14:paraId="2B07B8E4">
                  <w:pPr>
                    <w:adjustRightInd w:val="0"/>
                    <w:snapToGrid w:val="0"/>
                    <w:jc w:val="center"/>
                    <w:rPr>
                      <w:color w:val="auto"/>
                      <w:szCs w:val="21"/>
                    </w:rPr>
                  </w:pPr>
                  <w:r>
                    <w:rPr>
                      <w:rFonts w:hint="eastAsia"/>
                      <w:color w:val="auto"/>
                      <w:szCs w:val="21"/>
                    </w:rPr>
                    <w:t>64</w:t>
                  </w:r>
                </w:p>
              </w:tc>
              <w:tc>
                <w:tcPr>
                  <w:tcW w:w="1321" w:type="dxa"/>
                  <w:tcBorders>
                    <w:tl2br w:val="nil"/>
                    <w:tr2bl w:val="nil"/>
                  </w:tcBorders>
                  <w:vAlign w:val="center"/>
                </w:tcPr>
                <w:p w14:paraId="5B16B0DE">
                  <w:pPr>
                    <w:tabs>
                      <w:tab w:val="right" w:pos="8906"/>
                    </w:tabs>
                    <w:adjustRightInd w:val="0"/>
                    <w:snapToGrid w:val="0"/>
                    <w:jc w:val="center"/>
                    <w:rPr>
                      <w:color w:val="auto"/>
                      <w:spacing w:val="-5"/>
                      <w:szCs w:val="21"/>
                      <w:lang w:bidi="he-IL"/>
                    </w:rPr>
                  </w:pPr>
                  <w:r>
                    <w:rPr>
                      <w:color w:val="auto"/>
                      <w:szCs w:val="21"/>
                    </w:rPr>
                    <w:t>116</w:t>
                  </w:r>
                </w:p>
              </w:tc>
              <w:tc>
                <w:tcPr>
                  <w:tcW w:w="2080" w:type="dxa"/>
                  <w:vMerge w:val="restart"/>
                  <w:tcBorders>
                    <w:tl2br w:val="nil"/>
                    <w:tr2bl w:val="nil"/>
                  </w:tcBorders>
                  <w:vAlign w:val="center"/>
                </w:tcPr>
                <w:p w14:paraId="5879ADDC">
                  <w:pPr>
                    <w:autoSpaceDN w:val="0"/>
                    <w:adjustRightInd w:val="0"/>
                    <w:snapToGrid w:val="0"/>
                    <w:jc w:val="center"/>
                    <w:textAlignment w:val="center"/>
                    <w:rPr>
                      <w:color w:val="auto"/>
                      <w:szCs w:val="21"/>
                    </w:rPr>
                  </w:pPr>
                  <w:r>
                    <w:rPr>
                      <w:color w:val="auto"/>
                      <w:szCs w:val="21"/>
                    </w:rPr>
                    <w:t>2021-</w:t>
                  </w:r>
                  <w:r>
                    <w:rPr>
                      <w:rFonts w:hint="eastAsia"/>
                      <w:color w:val="auto"/>
                      <w:szCs w:val="21"/>
                    </w:rPr>
                    <w:t>9</w:t>
                  </w:r>
                  <w:r>
                    <w:rPr>
                      <w:color w:val="auto"/>
                      <w:szCs w:val="21"/>
                    </w:rPr>
                    <w:t>-</w:t>
                  </w:r>
                  <w:r>
                    <w:rPr>
                      <w:rFonts w:hint="eastAsia"/>
                      <w:color w:val="auto"/>
                      <w:szCs w:val="21"/>
                    </w:rPr>
                    <w:t>20~2021-9-21</w:t>
                  </w:r>
                </w:p>
              </w:tc>
              <w:tc>
                <w:tcPr>
                  <w:tcW w:w="1311" w:type="dxa"/>
                  <w:tcBorders>
                    <w:tl2br w:val="nil"/>
                    <w:tr2bl w:val="nil"/>
                  </w:tcBorders>
                  <w:vAlign w:val="center"/>
                </w:tcPr>
                <w:p w14:paraId="3899CCA7">
                  <w:pPr>
                    <w:tabs>
                      <w:tab w:val="right" w:pos="8906"/>
                    </w:tabs>
                    <w:adjustRightInd w:val="0"/>
                    <w:snapToGrid w:val="0"/>
                    <w:jc w:val="center"/>
                    <w:rPr>
                      <w:color w:val="auto"/>
                      <w:szCs w:val="21"/>
                    </w:rPr>
                  </w:pPr>
                  <w:r>
                    <w:rPr>
                      <w:rFonts w:hint="eastAsia"/>
                      <w:color w:val="auto"/>
                      <w:szCs w:val="21"/>
                    </w:rPr>
                    <w:t>29</w:t>
                  </w:r>
                </w:p>
              </w:tc>
            </w:tr>
            <w:tr w14:paraId="17F197B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02324AAE">
                  <w:pPr>
                    <w:adjustRightInd w:val="0"/>
                    <w:snapToGrid w:val="0"/>
                    <w:jc w:val="center"/>
                    <w:rPr>
                      <w:color w:val="auto"/>
                      <w:szCs w:val="21"/>
                    </w:rPr>
                  </w:pPr>
                </w:p>
              </w:tc>
              <w:tc>
                <w:tcPr>
                  <w:tcW w:w="2080" w:type="dxa"/>
                  <w:vMerge w:val="continue"/>
                  <w:tcBorders>
                    <w:tl2br w:val="nil"/>
                    <w:tr2bl w:val="nil"/>
                  </w:tcBorders>
                  <w:vAlign w:val="center"/>
                </w:tcPr>
                <w:p w14:paraId="6E599E1E">
                  <w:pPr>
                    <w:adjustRightInd w:val="0"/>
                    <w:snapToGrid w:val="0"/>
                    <w:jc w:val="center"/>
                    <w:rPr>
                      <w:color w:val="auto"/>
                      <w:szCs w:val="21"/>
                    </w:rPr>
                  </w:pPr>
                </w:p>
              </w:tc>
              <w:tc>
                <w:tcPr>
                  <w:tcW w:w="1208" w:type="dxa"/>
                  <w:vMerge w:val="restart"/>
                  <w:tcBorders>
                    <w:tl2br w:val="nil"/>
                    <w:tr2bl w:val="nil"/>
                  </w:tcBorders>
                  <w:vAlign w:val="center"/>
                </w:tcPr>
                <w:p w14:paraId="414A4443">
                  <w:pPr>
                    <w:adjustRightInd w:val="0"/>
                    <w:snapToGrid w:val="0"/>
                    <w:jc w:val="center"/>
                    <w:rPr>
                      <w:color w:val="auto"/>
                      <w:szCs w:val="21"/>
                    </w:rPr>
                  </w:pPr>
                  <w:r>
                    <w:rPr>
                      <w:color w:val="auto"/>
                      <w:szCs w:val="21"/>
                    </w:rPr>
                    <w:t>/</w:t>
                  </w:r>
                </w:p>
              </w:tc>
              <w:tc>
                <w:tcPr>
                  <w:tcW w:w="1321" w:type="dxa"/>
                  <w:tcBorders>
                    <w:tl2br w:val="nil"/>
                    <w:tr2bl w:val="nil"/>
                  </w:tcBorders>
                  <w:vAlign w:val="center"/>
                </w:tcPr>
                <w:p w14:paraId="39750DDC">
                  <w:pPr>
                    <w:tabs>
                      <w:tab w:val="right" w:pos="8906"/>
                    </w:tabs>
                    <w:adjustRightInd w:val="0"/>
                    <w:snapToGrid w:val="0"/>
                    <w:jc w:val="center"/>
                    <w:rPr>
                      <w:color w:val="auto"/>
                      <w:spacing w:val="-5"/>
                      <w:szCs w:val="21"/>
                      <w:lang w:bidi="he-IL"/>
                    </w:rPr>
                  </w:pPr>
                  <w:r>
                    <w:rPr>
                      <w:color w:val="auto"/>
                      <w:szCs w:val="21"/>
                    </w:rPr>
                    <w:t>162</w:t>
                  </w:r>
                </w:p>
              </w:tc>
              <w:tc>
                <w:tcPr>
                  <w:tcW w:w="2080" w:type="dxa"/>
                  <w:vMerge w:val="continue"/>
                  <w:tcBorders>
                    <w:tl2br w:val="nil"/>
                    <w:tr2bl w:val="nil"/>
                  </w:tcBorders>
                  <w:vAlign w:val="center"/>
                </w:tcPr>
                <w:p w14:paraId="769CFEFE">
                  <w:pPr>
                    <w:tabs>
                      <w:tab w:val="right" w:pos="8906"/>
                    </w:tabs>
                    <w:adjustRightInd w:val="0"/>
                    <w:snapToGrid w:val="0"/>
                    <w:jc w:val="center"/>
                    <w:rPr>
                      <w:color w:val="auto"/>
                      <w:szCs w:val="21"/>
                    </w:rPr>
                  </w:pPr>
                </w:p>
              </w:tc>
              <w:tc>
                <w:tcPr>
                  <w:tcW w:w="1311" w:type="dxa"/>
                  <w:vMerge w:val="restart"/>
                  <w:tcBorders>
                    <w:tl2br w:val="nil"/>
                    <w:tr2bl w:val="nil"/>
                  </w:tcBorders>
                  <w:vAlign w:val="center"/>
                </w:tcPr>
                <w:p w14:paraId="45BC1C23">
                  <w:pPr>
                    <w:tabs>
                      <w:tab w:val="right" w:pos="8906"/>
                    </w:tabs>
                    <w:adjustRightInd w:val="0"/>
                    <w:snapToGrid w:val="0"/>
                    <w:jc w:val="center"/>
                    <w:rPr>
                      <w:color w:val="auto"/>
                      <w:szCs w:val="21"/>
                    </w:rPr>
                  </w:pPr>
                  <w:r>
                    <w:rPr>
                      <w:color w:val="auto"/>
                      <w:szCs w:val="21"/>
                    </w:rPr>
                    <w:t>/</w:t>
                  </w:r>
                </w:p>
              </w:tc>
            </w:tr>
            <w:tr w14:paraId="316914D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7915FF5F">
                  <w:pPr>
                    <w:adjustRightInd w:val="0"/>
                    <w:snapToGrid w:val="0"/>
                    <w:jc w:val="center"/>
                    <w:rPr>
                      <w:color w:val="auto"/>
                      <w:szCs w:val="21"/>
                    </w:rPr>
                  </w:pPr>
                </w:p>
              </w:tc>
              <w:tc>
                <w:tcPr>
                  <w:tcW w:w="2080" w:type="dxa"/>
                  <w:vMerge w:val="continue"/>
                  <w:tcBorders>
                    <w:tl2br w:val="nil"/>
                    <w:tr2bl w:val="nil"/>
                  </w:tcBorders>
                  <w:vAlign w:val="center"/>
                </w:tcPr>
                <w:p w14:paraId="116DE812">
                  <w:pPr>
                    <w:adjustRightInd w:val="0"/>
                    <w:snapToGrid w:val="0"/>
                    <w:jc w:val="center"/>
                    <w:rPr>
                      <w:color w:val="auto"/>
                      <w:szCs w:val="21"/>
                    </w:rPr>
                  </w:pPr>
                </w:p>
              </w:tc>
              <w:tc>
                <w:tcPr>
                  <w:tcW w:w="1208" w:type="dxa"/>
                  <w:vMerge w:val="continue"/>
                  <w:tcBorders>
                    <w:tl2br w:val="nil"/>
                    <w:tr2bl w:val="nil"/>
                  </w:tcBorders>
                  <w:vAlign w:val="center"/>
                </w:tcPr>
                <w:p w14:paraId="5CA86E92">
                  <w:pPr>
                    <w:adjustRightInd w:val="0"/>
                    <w:snapToGrid w:val="0"/>
                    <w:jc w:val="center"/>
                    <w:rPr>
                      <w:color w:val="auto"/>
                      <w:szCs w:val="21"/>
                    </w:rPr>
                  </w:pPr>
                </w:p>
              </w:tc>
              <w:tc>
                <w:tcPr>
                  <w:tcW w:w="1321" w:type="dxa"/>
                  <w:tcBorders>
                    <w:tl2br w:val="nil"/>
                    <w:tr2bl w:val="nil"/>
                  </w:tcBorders>
                  <w:vAlign w:val="center"/>
                </w:tcPr>
                <w:p w14:paraId="63D725F9">
                  <w:pPr>
                    <w:tabs>
                      <w:tab w:val="right" w:pos="8906"/>
                    </w:tabs>
                    <w:adjustRightInd w:val="0"/>
                    <w:snapToGrid w:val="0"/>
                    <w:jc w:val="center"/>
                    <w:rPr>
                      <w:color w:val="auto"/>
                      <w:spacing w:val="-5"/>
                      <w:szCs w:val="21"/>
                      <w:lang w:bidi="he-IL"/>
                    </w:rPr>
                  </w:pPr>
                  <w:r>
                    <w:rPr>
                      <w:color w:val="auto"/>
                      <w:szCs w:val="21"/>
                    </w:rPr>
                    <w:t>143</w:t>
                  </w:r>
                </w:p>
              </w:tc>
              <w:tc>
                <w:tcPr>
                  <w:tcW w:w="2080" w:type="dxa"/>
                  <w:vMerge w:val="continue"/>
                  <w:tcBorders>
                    <w:tl2br w:val="nil"/>
                    <w:tr2bl w:val="nil"/>
                  </w:tcBorders>
                  <w:vAlign w:val="center"/>
                </w:tcPr>
                <w:p w14:paraId="29B8E88E">
                  <w:pPr>
                    <w:tabs>
                      <w:tab w:val="right" w:pos="8906"/>
                    </w:tabs>
                    <w:adjustRightInd w:val="0"/>
                    <w:snapToGrid w:val="0"/>
                    <w:jc w:val="center"/>
                    <w:rPr>
                      <w:color w:val="auto"/>
                      <w:szCs w:val="21"/>
                    </w:rPr>
                  </w:pPr>
                </w:p>
              </w:tc>
              <w:tc>
                <w:tcPr>
                  <w:tcW w:w="1311" w:type="dxa"/>
                  <w:vMerge w:val="continue"/>
                  <w:tcBorders>
                    <w:tl2br w:val="nil"/>
                    <w:tr2bl w:val="nil"/>
                  </w:tcBorders>
                  <w:vAlign w:val="center"/>
                </w:tcPr>
                <w:p w14:paraId="559710B3">
                  <w:pPr>
                    <w:tabs>
                      <w:tab w:val="right" w:pos="8906"/>
                    </w:tabs>
                    <w:adjustRightInd w:val="0"/>
                    <w:snapToGrid w:val="0"/>
                    <w:jc w:val="center"/>
                    <w:rPr>
                      <w:color w:val="auto"/>
                      <w:szCs w:val="21"/>
                    </w:rPr>
                  </w:pPr>
                </w:p>
              </w:tc>
            </w:tr>
            <w:tr w14:paraId="31DCE0E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6D3D92A5">
                  <w:pPr>
                    <w:adjustRightInd w:val="0"/>
                    <w:snapToGrid w:val="0"/>
                    <w:jc w:val="center"/>
                    <w:rPr>
                      <w:color w:val="auto"/>
                      <w:szCs w:val="21"/>
                    </w:rPr>
                  </w:pPr>
                </w:p>
              </w:tc>
              <w:tc>
                <w:tcPr>
                  <w:tcW w:w="2080" w:type="dxa"/>
                  <w:vMerge w:val="continue"/>
                  <w:tcBorders>
                    <w:tl2br w:val="nil"/>
                    <w:tr2bl w:val="nil"/>
                  </w:tcBorders>
                  <w:vAlign w:val="center"/>
                </w:tcPr>
                <w:p w14:paraId="2AAF199D">
                  <w:pPr>
                    <w:adjustRightInd w:val="0"/>
                    <w:snapToGrid w:val="0"/>
                    <w:jc w:val="center"/>
                    <w:rPr>
                      <w:color w:val="auto"/>
                      <w:szCs w:val="21"/>
                    </w:rPr>
                  </w:pPr>
                </w:p>
              </w:tc>
              <w:tc>
                <w:tcPr>
                  <w:tcW w:w="1208" w:type="dxa"/>
                  <w:vMerge w:val="continue"/>
                  <w:tcBorders>
                    <w:tl2br w:val="nil"/>
                    <w:tr2bl w:val="nil"/>
                  </w:tcBorders>
                  <w:vAlign w:val="center"/>
                </w:tcPr>
                <w:p w14:paraId="23BB3B11">
                  <w:pPr>
                    <w:adjustRightInd w:val="0"/>
                    <w:snapToGrid w:val="0"/>
                    <w:jc w:val="center"/>
                    <w:rPr>
                      <w:color w:val="auto"/>
                      <w:szCs w:val="21"/>
                    </w:rPr>
                  </w:pPr>
                </w:p>
              </w:tc>
              <w:tc>
                <w:tcPr>
                  <w:tcW w:w="1321" w:type="dxa"/>
                  <w:tcBorders>
                    <w:tl2br w:val="nil"/>
                    <w:tr2bl w:val="nil"/>
                  </w:tcBorders>
                  <w:vAlign w:val="center"/>
                </w:tcPr>
                <w:p w14:paraId="3818A4AB">
                  <w:pPr>
                    <w:tabs>
                      <w:tab w:val="right" w:pos="8906"/>
                    </w:tabs>
                    <w:adjustRightInd w:val="0"/>
                    <w:snapToGrid w:val="0"/>
                    <w:jc w:val="center"/>
                    <w:rPr>
                      <w:color w:val="auto"/>
                      <w:spacing w:val="-5"/>
                      <w:szCs w:val="21"/>
                      <w:lang w:bidi="he-IL"/>
                    </w:rPr>
                  </w:pPr>
                  <w:r>
                    <w:rPr>
                      <w:color w:val="auto"/>
                      <w:szCs w:val="21"/>
                    </w:rPr>
                    <w:t>115</w:t>
                  </w:r>
                </w:p>
              </w:tc>
              <w:tc>
                <w:tcPr>
                  <w:tcW w:w="2080" w:type="dxa"/>
                  <w:vMerge w:val="continue"/>
                  <w:tcBorders>
                    <w:tl2br w:val="nil"/>
                    <w:tr2bl w:val="nil"/>
                  </w:tcBorders>
                  <w:vAlign w:val="center"/>
                </w:tcPr>
                <w:p w14:paraId="308E3394">
                  <w:pPr>
                    <w:tabs>
                      <w:tab w:val="right" w:pos="8906"/>
                    </w:tabs>
                    <w:adjustRightInd w:val="0"/>
                    <w:snapToGrid w:val="0"/>
                    <w:jc w:val="center"/>
                    <w:rPr>
                      <w:color w:val="auto"/>
                      <w:szCs w:val="21"/>
                    </w:rPr>
                  </w:pPr>
                </w:p>
              </w:tc>
              <w:tc>
                <w:tcPr>
                  <w:tcW w:w="1311" w:type="dxa"/>
                  <w:vMerge w:val="continue"/>
                  <w:tcBorders>
                    <w:tl2br w:val="nil"/>
                    <w:tr2bl w:val="nil"/>
                  </w:tcBorders>
                  <w:vAlign w:val="center"/>
                </w:tcPr>
                <w:p w14:paraId="398BEBAA">
                  <w:pPr>
                    <w:tabs>
                      <w:tab w:val="right" w:pos="8906"/>
                    </w:tabs>
                    <w:adjustRightInd w:val="0"/>
                    <w:snapToGrid w:val="0"/>
                    <w:jc w:val="center"/>
                    <w:rPr>
                      <w:color w:val="auto"/>
                      <w:szCs w:val="21"/>
                    </w:rPr>
                  </w:pPr>
                </w:p>
              </w:tc>
            </w:tr>
            <w:tr w14:paraId="131DD27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7C62C4DF">
                  <w:pPr>
                    <w:adjustRightInd w:val="0"/>
                    <w:snapToGrid w:val="0"/>
                    <w:jc w:val="center"/>
                    <w:rPr>
                      <w:color w:val="auto"/>
                      <w:szCs w:val="21"/>
                    </w:rPr>
                  </w:pPr>
                </w:p>
              </w:tc>
              <w:tc>
                <w:tcPr>
                  <w:tcW w:w="2080" w:type="dxa"/>
                  <w:vMerge w:val="continue"/>
                  <w:tcBorders>
                    <w:tl2br w:val="nil"/>
                    <w:tr2bl w:val="nil"/>
                  </w:tcBorders>
                  <w:vAlign w:val="center"/>
                </w:tcPr>
                <w:p w14:paraId="53C50E34">
                  <w:pPr>
                    <w:adjustRightInd w:val="0"/>
                    <w:snapToGrid w:val="0"/>
                    <w:jc w:val="center"/>
                    <w:rPr>
                      <w:color w:val="auto"/>
                      <w:szCs w:val="21"/>
                    </w:rPr>
                  </w:pPr>
                </w:p>
              </w:tc>
              <w:tc>
                <w:tcPr>
                  <w:tcW w:w="1208" w:type="dxa"/>
                  <w:vMerge w:val="continue"/>
                  <w:tcBorders>
                    <w:tl2br w:val="nil"/>
                    <w:tr2bl w:val="nil"/>
                  </w:tcBorders>
                  <w:vAlign w:val="center"/>
                </w:tcPr>
                <w:p w14:paraId="676198B0">
                  <w:pPr>
                    <w:adjustRightInd w:val="0"/>
                    <w:snapToGrid w:val="0"/>
                    <w:jc w:val="center"/>
                    <w:rPr>
                      <w:color w:val="auto"/>
                      <w:szCs w:val="21"/>
                    </w:rPr>
                  </w:pPr>
                </w:p>
              </w:tc>
              <w:tc>
                <w:tcPr>
                  <w:tcW w:w="1321" w:type="dxa"/>
                  <w:tcBorders>
                    <w:tl2br w:val="nil"/>
                    <w:tr2bl w:val="nil"/>
                  </w:tcBorders>
                  <w:vAlign w:val="center"/>
                </w:tcPr>
                <w:p w14:paraId="7E752F1D">
                  <w:pPr>
                    <w:tabs>
                      <w:tab w:val="right" w:pos="8906"/>
                    </w:tabs>
                    <w:adjustRightInd w:val="0"/>
                    <w:snapToGrid w:val="0"/>
                    <w:jc w:val="center"/>
                    <w:rPr>
                      <w:color w:val="auto"/>
                      <w:spacing w:val="-5"/>
                      <w:szCs w:val="21"/>
                      <w:lang w:bidi="he-IL"/>
                    </w:rPr>
                  </w:pPr>
                  <w:r>
                    <w:rPr>
                      <w:color w:val="auto"/>
                      <w:szCs w:val="21"/>
                    </w:rPr>
                    <w:t>136</w:t>
                  </w:r>
                </w:p>
              </w:tc>
              <w:tc>
                <w:tcPr>
                  <w:tcW w:w="2080" w:type="dxa"/>
                  <w:vMerge w:val="continue"/>
                  <w:tcBorders>
                    <w:tl2br w:val="nil"/>
                    <w:tr2bl w:val="nil"/>
                  </w:tcBorders>
                  <w:vAlign w:val="center"/>
                </w:tcPr>
                <w:p w14:paraId="66754BC1">
                  <w:pPr>
                    <w:tabs>
                      <w:tab w:val="right" w:pos="8906"/>
                    </w:tabs>
                    <w:adjustRightInd w:val="0"/>
                    <w:snapToGrid w:val="0"/>
                    <w:jc w:val="center"/>
                    <w:rPr>
                      <w:color w:val="auto"/>
                      <w:szCs w:val="21"/>
                    </w:rPr>
                  </w:pPr>
                </w:p>
              </w:tc>
              <w:tc>
                <w:tcPr>
                  <w:tcW w:w="1311" w:type="dxa"/>
                  <w:vMerge w:val="continue"/>
                  <w:tcBorders>
                    <w:tl2br w:val="nil"/>
                    <w:tr2bl w:val="nil"/>
                  </w:tcBorders>
                  <w:vAlign w:val="center"/>
                </w:tcPr>
                <w:p w14:paraId="34D9D867">
                  <w:pPr>
                    <w:tabs>
                      <w:tab w:val="right" w:pos="8906"/>
                    </w:tabs>
                    <w:adjustRightInd w:val="0"/>
                    <w:snapToGrid w:val="0"/>
                    <w:jc w:val="center"/>
                    <w:rPr>
                      <w:color w:val="auto"/>
                      <w:szCs w:val="21"/>
                    </w:rPr>
                  </w:pPr>
                </w:p>
              </w:tc>
            </w:tr>
            <w:tr w14:paraId="75821B3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52A43578">
                  <w:pPr>
                    <w:adjustRightInd w:val="0"/>
                    <w:snapToGrid w:val="0"/>
                    <w:jc w:val="center"/>
                    <w:rPr>
                      <w:color w:val="auto"/>
                      <w:szCs w:val="21"/>
                    </w:rPr>
                  </w:pPr>
                </w:p>
              </w:tc>
              <w:tc>
                <w:tcPr>
                  <w:tcW w:w="2080" w:type="dxa"/>
                  <w:vMerge w:val="continue"/>
                  <w:tcBorders>
                    <w:tl2br w:val="nil"/>
                    <w:tr2bl w:val="nil"/>
                  </w:tcBorders>
                  <w:vAlign w:val="center"/>
                </w:tcPr>
                <w:p w14:paraId="47A88770">
                  <w:pPr>
                    <w:adjustRightInd w:val="0"/>
                    <w:snapToGrid w:val="0"/>
                    <w:jc w:val="center"/>
                    <w:rPr>
                      <w:color w:val="auto"/>
                      <w:szCs w:val="21"/>
                    </w:rPr>
                  </w:pPr>
                </w:p>
              </w:tc>
              <w:tc>
                <w:tcPr>
                  <w:tcW w:w="1208" w:type="dxa"/>
                  <w:vMerge w:val="continue"/>
                  <w:tcBorders>
                    <w:tl2br w:val="nil"/>
                    <w:tr2bl w:val="nil"/>
                  </w:tcBorders>
                  <w:vAlign w:val="center"/>
                </w:tcPr>
                <w:p w14:paraId="331930F5">
                  <w:pPr>
                    <w:adjustRightInd w:val="0"/>
                    <w:snapToGrid w:val="0"/>
                    <w:jc w:val="center"/>
                    <w:rPr>
                      <w:color w:val="auto"/>
                      <w:szCs w:val="21"/>
                    </w:rPr>
                  </w:pPr>
                </w:p>
              </w:tc>
              <w:tc>
                <w:tcPr>
                  <w:tcW w:w="1321" w:type="dxa"/>
                  <w:tcBorders>
                    <w:tl2br w:val="nil"/>
                    <w:tr2bl w:val="nil"/>
                  </w:tcBorders>
                  <w:vAlign w:val="center"/>
                </w:tcPr>
                <w:p w14:paraId="33B13154">
                  <w:pPr>
                    <w:tabs>
                      <w:tab w:val="right" w:pos="8906"/>
                    </w:tabs>
                    <w:adjustRightInd w:val="0"/>
                    <w:snapToGrid w:val="0"/>
                    <w:jc w:val="center"/>
                    <w:rPr>
                      <w:color w:val="auto"/>
                      <w:spacing w:val="-5"/>
                      <w:szCs w:val="21"/>
                      <w:lang w:bidi="he-IL"/>
                    </w:rPr>
                  </w:pPr>
                  <w:r>
                    <w:rPr>
                      <w:color w:val="auto"/>
                      <w:szCs w:val="21"/>
                    </w:rPr>
                    <w:t>132</w:t>
                  </w:r>
                </w:p>
              </w:tc>
              <w:tc>
                <w:tcPr>
                  <w:tcW w:w="2080" w:type="dxa"/>
                  <w:vMerge w:val="continue"/>
                  <w:tcBorders>
                    <w:tl2br w:val="nil"/>
                    <w:tr2bl w:val="nil"/>
                  </w:tcBorders>
                  <w:vAlign w:val="center"/>
                </w:tcPr>
                <w:p w14:paraId="0EB78728">
                  <w:pPr>
                    <w:tabs>
                      <w:tab w:val="right" w:pos="8906"/>
                    </w:tabs>
                    <w:adjustRightInd w:val="0"/>
                    <w:snapToGrid w:val="0"/>
                    <w:jc w:val="center"/>
                    <w:rPr>
                      <w:color w:val="auto"/>
                      <w:szCs w:val="21"/>
                    </w:rPr>
                  </w:pPr>
                </w:p>
              </w:tc>
              <w:tc>
                <w:tcPr>
                  <w:tcW w:w="1311" w:type="dxa"/>
                  <w:vMerge w:val="continue"/>
                  <w:tcBorders>
                    <w:tl2br w:val="nil"/>
                    <w:tr2bl w:val="nil"/>
                  </w:tcBorders>
                  <w:vAlign w:val="center"/>
                </w:tcPr>
                <w:p w14:paraId="5EDF4BD2">
                  <w:pPr>
                    <w:tabs>
                      <w:tab w:val="right" w:pos="8906"/>
                    </w:tabs>
                    <w:adjustRightInd w:val="0"/>
                    <w:snapToGrid w:val="0"/>
                    <w:jc w:val="center"/>
                    <w:rPr>
                      <w:color w:val="auto"/>
                      <w:szCs w:val="21"/>
                    </w:rPr>
                  </w:pPr>
                </w:p>
              </w:tc>
            </w:tr>
            <w:tr w14:paraId="4D992CB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4A83A6B6">
                  <w:pPr>
                    <w:adjustRightInd w:val="0"/>
                    <w:snapToGrid w:val="0"/>
                    <w:jc w:val="center"/>
                    <w:rPr>
                      <w:color w:val="auto"/>
                      <w:szCs w:val="21"/>
                    </w:rPr>
                  </w:pPr>
                </w:p>
              </w:tc>
              <w:tc>
                <w:tcPr>
                  <w:tcW w:w="2080" w:type="dxa"/>
                  <w:vMerge w:val="continue"/>
                  <w:tcBorders>
                    <w:tl2br w:val="nil"/>
                    <w:tr2bl w:val="nil"/>
                  </w:tcBorders>
                  <w:vAlign w:val="center"/>
                </w:tcPr>
                <w:p w14:paraId="688343C6">
                  <w:pPr>
                    <w:adjustRightInd w:val="0"/>
                    <w:snapToGrid w:val="0"/>
                    <w:jc w:val="center"/>
                    <w:rPr>
                      <w:color w:val="auto"/>
                      <w:szCs w:val="21"/>
                    </w:rPr>
                  </w:pPr>
                </w:p>
              </w:tc>
              <w:tc>
                <w:tcPr>
                  <w:tcW w:w="1208" w:type="dxa"/>
                  <w:vMerge w:val="continue"/>
                  <w:tcBorders>
                    <w:tl2br w:val="nil"/>
                    <w:tr2bl w:val="nil"/>
                  </w:tcBorders>
                  <w:vAlign w:val="center"/>
                </w:tcPr>
                <w:p w14:paraId="6EB20988">
                  <w:pPr>
                    <w:adjustRightInd w:val="0"/>
                    <w:snapToGrid w:val="0"/>
                    <w:jc w:val="center"/>
                    <w:rPr>
                      <w:color w:val="auto"/>
                      <w:szCs w:val="21"/>
                    </w:rPr>
                  </w:pPr>
                </w:p>
              </w:tc>
              <w:tc>
                <w:tcPr>
                  <w:tcW w:w="1321" w:type="dxa"/>
                  <w:tcBorders>
                    <w:tl2br w:val="nil"/>
                    <w:tr2bl w:val="nil"/>
                  </w:tcBorders>
                  <w:vAlign w:val="center"/>
                </w:tcPr>
                <w:p w14:paraId="4B106419">
                  <w:pPr>
                    <w:tabs>
                      <w:tab w:val="right" w:pos="8906"/>
                    </w:tabs>
                    <w:adjustRightInd w:val="0"/>
                    <w:snapToGrid w:val="0"/>
                    <w:jc w:val="center"/>
                    <w:rPr>
                      <w:color w:val="auto"/>
                      <w:spacing w:val="-5"/>
                      <w:szCs w:val="21"/>
                      <w:lang w:bidi="he-IL"/>
                    </w:rPr>
                  </w:pPr>
                  <w:r>
                    <w:rPr>
                      <w:color w:val="auto"/>
                      <w:szCs w:val="21"/>
                    </w:rPr>
                    <w:t>131</w:t>
                  </w:r>
                </w:p>
              </w:tc>
              <w:tc>
                <w:tcPr>
                  <w:tcW w:w="2080" w:type="dxa"/>
                  <w:vMerge w:val="continue"/>
                  <w:tcBorders>
                    <w:tl2br w:val="nil"/>
                    <w:tr2bl w:val="nil"/>
                  </w:tcBorders>
                  <w:vAlign w:val="center"/>
                </w:tcPr>
                <w:p w14:paraId="048BB87E">
                  <w:pPr>
                    <w:tabs>
                      <w:tab w:val="right" w:pos="8906"/>
                    </w:tabs>
                    <w:adjustRightInd w:val="0"/>
                    <w:snapToGrid w:val="0"/>
                    <w:jc w:val="center"/>
                    <w:rPr>
                      <w:color w:val="auto"/>
                      <w:szCs w:val="21"/>
                    </w:rPr>
                  </w:pPr>
                </w:p>
              </w:tc>
              <w:tc>
                <w:tcPr>
                  <w:tcW w:w="1311" w:type="dxa"/>
                  <w:vMerge w:val="continue"/>
                  <w:tcBorders>
                    <w:tl2br w:val="nil"/>
                    <w:tr2bl w:val="nil"/>
                  </w:tcBorders>
                  <w:vAlign w:val="center"/>
                </w:tcPr>
                <w:p w14:paraId="395F2CB6">
                  <w:pPr>
                    <w:tabs>
                      <w:tab w:val="right" w:pos="8906"/>
                    </w:tabs>
                    <w:adjustRightInd w:val="0"/>
                    <w:snapToGrid w:val="0"/>
                    <w:jc w:val="center"/>
                    <w:rPr>
                      <w:color w:val="auto"/>
                      <w:szCs w:val="21"/>
                    </w:rPr>
                  </w:pPr>
                </w:p>
              </w:tc>
            </w:tr>
            <w:tr w14:paraId="319F33A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1E12EA92">
                  <w:pPr>
                    <w:adjustRightInd w:val="0"/>
                    <w:snapToGrid w:val="0"/>
                    <w:jc w:val="center"/>
                    <w:rPr>
                      <w:color w:val="auto"/>
                      <w:szCs w:val="21"/>
                    </w:rPr>
                  </w:pPr>
                </w:p>
              </w:tc>
              <w:tc>
                <w:tcPr>
                  <w:tcW w:w="2080" w:type="dxa"/>
                  <w:vMerge w:val="continue"/>
                  <w:tcBorders>
                    <w:tl2br w:val="nil"/>
                    <w:tr2bl w:val="nil"/>
                  </w:tcBorders>
                  <w:vAlign w:val="center"/>
                </w:tcPr>
                <w:p w14:paraId="7EDC803D">
                  <w:pPr>
                    <w:adjustRightInd w:val="0"/>
                    <w:snapToGrid w:val="0"/>
                    <w:jc w:val="center"/>
                    <w:rPr>
                      <w:color w:val="auto"/>
                      <w:szCs w:val="21"/>
                    </w:rPr>
                  </w:pPr>
                </w:p>
              </w:tc>
              <w:tc>
                <w:tcPr>
                  <w:tcW w:w="1208" w:type="dxa"/>
                  <w:vMerge w:val="continue"/>
                  <w:tcBorders>
                    <w:tl2br w:val="nil"/>
                    <w:tr2bl w:val="nil"/>
                  </w:tcBorders>
                  <w:vAlign w:val="center"/>
                </w:tcPr>
                <w:p w14:paraId="29AB1A8C">
                  <w:pPr>
                    <w:adjustRightInd w:val="0"/>
                    <w:snapToGrid w:val="0"/>
                    <w:jc w:val="center"/>
                    <w:rPr>
                      <w:color w:val="auto"/>
                      <w:szCs w:val="21"/>
                    </w:rPr>
                  </w:pPr>
                </w:p>
              </w:tc>
              <w:tc>
                <w:tcPr>
                  <w:tcW w:w="1321" w:type="dxa"/>
                  <w:tcBorders>
                    <w:tl2br w:val="nil"/>
                    <w:tr2bl w:val="nil"/>
                  </w:tcBorders>
                  <w:vAlign w:val="center"/>
                </w:tcPr>
                <w:p w14:paraId="18CF2317">
                  <w:pPr>
                    <w:tabs>
                      <w:tab w:val="right" w:pos="8906"/>
                    </w:tabs>
                    <w:adjustRightInd w:val="0"/>
                    <w:snapToGrid w:val="0"/>
                    <w:jc w:val="center"/>
                    <w:rPr>
                      <w:color w:val="auto"/>
                      <w:spacing w:val="-5"/>
                      <w:szCs w:val="21"/>
                      <w:lang w:bidi="he-IL"/>
                    </w:rPr>
                  </w:pPr>
                  <w:r>
                    <w:rPr>
                      <w:color w:val="auto"/>
                      <w:szCs w:val="21"/>
                    </w:rPr>
                    <w:t>133</w:t>
                  </w:r>
                </w:p>
              </w:tc>
              <w:tc>
                <w:tcPr>
                  <w:tcW w:w="2080" w:type="dxa"/>
                  <w:vMerge w:val="continue"/>
                  <w:tcBorders>
                    <w:tl2br w:val="nil"/>
                    <w:tr2bl w:val="nil"/>
                  </w:tcBorders>
                  <w:vAlign w:val="center"/>
                </w:tcPr>
                <w:p w14:paraId="7663C26F">
                  <w:pPr>
                    <w:tabs>
                      <w:tab w:val="right" w:pos="8906"/>
                    </w:tabs>
                    <w:adjustRightInd w:val="0"/>
                    <w:snapToGrid w:val="0"/>
                    <w:jc w:val="center"/>
                    <w:rPr>
                      <w:color w:val="auto"/>
                      <w:szCs w:val="21"/>
                    </w:rPr>
                  </w:pPr>
                </w:p>
              </w:tc>
              <w:tc>
                <w:tcPr>
                  <w:tcW w:w="1311" w:type="dxa"/>
                  <w:vMerge w:val="continue"/>
                  <w:tcBorders>
                    <w:tl2br w:val="nil"/>
                    <w:tr2bl w:val="nil"/>
                  </w:tcBorders>
                  <w:vAlign w:val="center"/>
                </w:tcPr>
                <w:p w14:paraId="0453760A">
                  <w:pPr>
                    <w:tabs>
                      <w:tab w:val="right" w:pos="8906"/>
                    </w:tabs>
                    <w:adjustRightInd w:val="0"/>
                    <w:snapToGrid w:val="0"/>
                    <w:jc w:val="center"/>
                    <w:rPr>
                      <w:color w:val="auto"/>
                      <w:szCs w:val="21"/>
                    </w:rPr>
                  </w:pPr>
                </w:p>
              </w:tc>
            </w:tr>
            <w:tr w14:paraId="349DD1F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43FF23F9">
                  <w:pPr>
                    <w:adjustRightInd w:val="0"/>
                    <w:snapToGrid w:val="0"/>
                    <w:jc w:val="center"/>
                    <w:rPr>
                      <w:color w:val="auto"/>
                      <w:szCs w:val="21"/>
                    </w:rPr>
                  </w:pPr>
                </w:p>
              </w:tc>
              <w:tc>
                <w:tcPr>
                  <w:tcW w:w="2080" w:type="dxa"/>
                  <w:vMerge w:val="restart"/>
                  <w:tcBorders>
                    <w:tl2br w:val="nil"/>
                    <w:tr2bl w:val="nil"/>
                  </w:tcBorders>
                  <w:vAlign w:val="center"/>
                </w:tcPr>
                <w:p w14:paraId="38D1B858">
                  <w:pPr>
                    <w:adjustRightInd w:val="0"/>
                    <w:snapToGrid w:val="0"/>
                    <w:jc w:val="center"/>
                    <w:rPr>
                      <w:color w:val="auto"/>
                      <w:szCs w:val="21"/>
                    </w:rPr>
                  </w:pPr>
                  <w:r>
                    <w:rPr>
                      <w:color w:val="auto"/>
                      <w:szCs w:val="21"/>
                    </w:rPr>
                    <w:t>2021-</w:t>
                  </w:r>
                  <w:r>
                    <w:rPr>
                      <w:rFonts w:hint="eastAsia"/>
                      <w:color w:val="auto"/>
                      <w:szCs w:val="21"/>
                    </w:rPr>
                    <w:t>6</w:t>
                  </w:r>
                  <w:r>
                    <w:rPr>
                      <w:color w:val="auto"/>
                      <w:szCs w:val="21"/>
                    </w:rPr>
                    <w:t>-</w:t>
                  </w:r>
                  <w:r>
                    <w:rPr>
                      <w:rFonts w:hint="eastAsia"/>
                      <w:color w:val="auto"/>
                      <w:szCs w:val="21"/>
                    </w:rPr>
                    <w:t>23~2021-6-24</w:t>
                  </w:r>
                </w:p>
              </w:tc>
              <w:tc>
                <w:tcPr>
                  <w:tcW w:w="1208" w:type="dxa"/>
                  <w:tcBorders>
                    <w:tl2br w:val="nil"/>
                    <w:tr2bl w:val="nil"/>
                  </w:tcBorders>
                  <w:vAlign w:val="center"/>
                </w:tcPr>
                <w:p w14:paraId="11D56EC1">
                  <w:pPr>
                    <w:adjustRightInd w:val="0"/>
                    <w:snapToGrid w:val="0"/>
                    <w:jc w:val="center"/>
                    <w:rPr>
                      <w:color w:val="auto"/>
                      <w:szCs w:val="21"/>
                    </w:rPr>
                  </w:pPr>
                  <w:r>
                    <w:rPr>
                      <w:rFonts w:hint="eastAsia"/>
                      <w:color w:val="auto"/>
                      <w:szCs w:val="21"/>
                    </w:rPr>
                    <w:t>73</w:t>
                  </w:r>
                </w:p>
              </w:tc>
              <w:tc>
                <w:tcPr>
                  <w:tcW w:w="1321" w:type="dxa"/>
                  <w:tcBorders>
                    <w:tl2br w:val="nil"/>
                    <w:tr2bl w:val="nil"/>
                  </w:tcBorders>
                  <w:vAlign w:val="center"/>
                </w:tcPr>
                <w:p w14:paraId="134EE850">
                  <w:pPr>
                    <w:tabs>
                      <w:tab w:val="right" w:pos="8906"/>
                    </w:tabs>
                    <w:adjustRightInd w:val="0"/>
                    <w:snapToGrid w:val="0"/>
                    <w:jc w:val="center"/>
                    <w:rPr>
                      <w:color w:val="auto"/>
                      <w:spacing w:val="-5"/>
                      <w:szCs w:val="21"/>
                      <w:lang w:bidi="he-IL"/>
                    </w:rPr>
                  </w:pPr>
                  <w:r>
                    <w:rPr>
                      <w:color w:val="auto"/>
                      <w:szCs w:val="21"/>
                    </w:rPr>
                    <w:t>150</w:t>
                  </w:r>
                </w:p>
              </w:tc>
              <w:tc>
                <w:tcPr>
                  <w:tcW w:w="2080" w:type="dxa"/>
                  <w:vMerge w:val="restart"/>
                  <w:tcBorders>
                    <w:tl2br w:val="nil"/>
                    <w:tr2bl w:val="nil"/>
                  </w:tcBorders>
                  <w:vAlign w:val="center"/>
                </w:tcPr>
                <w:p w14:paraId="203FE5FD">
                  <w:pPr>
                    <w:autoSpaceDN w:val="0"/>
                    <w:adjustRightInd w:val="0"/>
                    <w:snapToGrid w:val="0"/>
                    <w:jc w:val="center"/>
                    <w:textAlignment w:val="center"/>
                    <w:rPr>
                      <w:color w:val="auto"/>
                      <w:szCs w:val="21"/>
                    </w:rPr>
                  </w:pPr>
                  <w:r>
                    <w:rPr>
                      <w:color w:val="auto"/>
                      <w:szCs w:val="21"/>
                    </w:rPr>
                    <w:t>2021-</w:t>
                  </w:r>
                  <w:r>
                    <w:rPr>
                      <w:rFonts w:hint="eastAsia"/>
                      <w:color w:val="auto"/>
                      <w:szCs w:val="21"/>
                    </w:rPr>
                    <w:t>9</w:t>
                  </w:r>
                  <w:r>
                    <w:rPr>
                      <w:color w:val="auto"/>
                      <w:szCs w:val="21"/>
                    </w:rPr>
                    <w:t>-</w:t>
                  </w:r>
                  <w:r>
                    <w:rPr>
                      <w:rFonts w:hint="eastAsia"/>
                      <w:color w:val="auto"/>
                      <w:szCs w:val="21"/>
                    </w:rPr>
                    <w:t>21~2021-9-22</w:t>
                  </w:r>
                </w:p>
              </w:tc>
              <w:tc>
                <w:tcPr>
                  <w:tcW w:w="1311" w:type="dxa"/>
                  <w:tcBorders>
                    <w:tl2br w:val="nil"/>
                    <w:tr2bl w:val="nil"/>
                  </w:tcBorders>
                  <w:vAlign w:val="center"/>
                </w:tcPr>
                <w:p w14:paraId="7096FA46">
                  <w:pPr>
                    <w:tabs>
                      <w:tab w:val="right" w:pos="8906"/>
                    </w:tabs>
                    <w:adjustRightInd w:val="0"/>
                    <w:snapToGrid w:val="0"/>
                    <w:jc w:val="center"/>
                    <w:rPr>
                      <w:color w:val="auto"/>
                      <w:szCs w:val="21"/>
                    </w:rPr>
                  </w:pPr>
                  <w:r>
                    <w:rPr>
                      <w:rFonts w:hint="eastAsia"/>
                      <w:color w:val="auto"/>
                      <w:szCs w:val="21"/>
                    </w:rPr>
                    <w:t>30</w:t>
                  </w:r>
                </w:p>
              </w:tc>
            </w:tr>
            <w:tr w14:paraId="6D92590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62118989">
                  <w:pPr>
                    <w:adjustRightInd w:val="0"/>
                    <w:snapToGrid w:val="0"/>
                    <w:jc w:val="center"/>
                    <w:rPr>
                      <w:color w:val="auto"/>
                      <w:szCs w:val="21"/>
                    </w:rPr>
                  </w:pPr>
                </w:p>
              </w:tc>
              <w:tc>
                <w:tcPr>
                  <w:tcW w:w="2080" w:type="dxa"/>
                  <w:vMerge w:val="continue"/>
                  <w:tcBorders>
                    <w:tl2br w:val="nil"/>
                    <w:tr2bl w:val="nil"/>
                  </w:tcBorders>
                  <w:vAlign w:val="center"/>
                </w:tcPr>
                <w:p w14:paraId="1723F4C0">
                  <w:pPr>
                    <w:adjustRightInd w:val="0"/>
                    <w:snapToGrid w:val="0"/>
                    <w:jc w:val="center"/>
                    <w:rPr>
                      <w:color w:val="auto"/>
                      <w:szCs w:val="21"/>
                    </w:rPr>
                  </w:pPr>
                </w:p>
              </w:tc>
              <w:tc>
                <w:tcPr>
                  <w:tcW w:w="1208" w:type="dxa"/>
                  <w:vMerge w:val="restart"/>
                  <w:tcBorders>
                    <w:tl2br w:val="nil"/>
                    <w:tr2bl w:val="nil"/>
                  </w:tcBorders>
                  <w:vAlign w:val="center"/>
                </w:tcPr>
                <w:p w14:paraId="4F1FF74C">
                  <w:pPr>
                    <w:adjustRightInd w:val="0"/>
                    <w:snapToGrid w:val="0"/>
                    <w:jc w:val="center"/>
                    <w:rPr>
                      <w:color w:val="auto"/>
                      <w:szCs w:val="21"/>
                    </w:rPr>
                  </w:pPr>
                  <w:r>
                    <w:rPr>
                      <w:color w:val="auto"/>
                      <w:szCs w:val="21"/>
                    </w:rPr>
                    <w:t>/</w:t>
                  </w:r>
                </w:p>
              </w:tc>
              <w:tc>
                <w:tcPr>
                  <w:tcW w:w="1321" w:type="dxa"/>
                  <w:tcBorders>
                    <w:tl2br w:val="nil"/>
                    <w:tr2bl w:val="nil"/>
                  </w:tcBorders>
                  <w:vAlign w:val="center"/>
                </w:tcPr>
                <w:p w14:paraId="06440192">
                  <w:pPr>
                    <w:tabs>
                      <w:tab w:val="right" w:pos="8906"/>
                    </w:tabs>
                    <w:adjustRightInd w:val="0"/>
                    <w:snapToGrid w:val="0"/>
                    <w:jc w:val="center"/>
                    <w:rPr>
                      <w:color w:val="auto"/>
                      <w:spacing w:val="-5"/>
                      <w:szCs w:val="21"/>
                      <w:lang w:bidi="he-IL"/>
                    </w:rPr>
                  </w:pPr>
                  <w:r>
                    <w:rPr>
                      <w:color w:val="auto"/>
                      <w:szCs w:val="21"/>
                    </w:rPr>
                    <w:t>204</w:t>
                  </w:r>
                </w:p>
              </w:tc>
              <w:tc>
                <w:tcPr>
                  <w:tcW w:w="2080" w:type="dxa"/>
                  <w:vMerge w:val="continue"/>
                  <w:tcBorders>
                    <w:tl2br w:val="nil"/>
                    <w:tr2bl w:val="nil"/>
                  </w:tcBorders>
                  <w:vAlign w:val="center"/>
                </w:tcPr>
                <w:p w14:paraId="276BDF1F">
                  <w:pPr>
                    <w:tabs>
                      <w:tab w:val="right" w:pos="8906"/>
                    </w:tabs>
                    <w:adjustRightInd w:val="0"/>
                    <w:snapToGrid w:val="0"/>
                    <w:jc w:val="center"/>
                    <w:rPr>
                      <w:color w:val="auto"/>
                      <w:szCs w:val="21"/>
                    </w:rPr>
                  </w:pPr>
                </w:p>
              </w:tc>
              <w:tc>
                <w:tcPr>
                  <w:tcW w:w="1311" w:type="dxa"/>
                  <w:vMerge w:val="restart"/>
                  <w:tcBorders>
                    <w:tl2br w:val="nil"/>
                    <w:tr2bl w:val="nil"/>
                  </w:tcBorders>
                  <w:vAlign w:val="center"/>
                </w:tcPr>
                <w:p w14:paraId="3EF6643D">
                  <w:pPr>
                    <w:tabs>
                      <w:tab w:val="right" w:pos="8906"/>
                    </w:tabs>
                    <w:adjustRightInd w:val="0"/>
                    <w:snapToGrid w:val="0"/>
                    <w:jc w:val="center"/>
                    <w:rPr>
                      <w:color w:val="auto"/>
                      <w:szCs w:val="21"/>
                    </w:rPr>
                  </w:pPr>
                  <w:r>
                    <w:rPr>
                      <w:color w:val="auto"/>
                      <w:szCs w:val="21"/>
                    </w:rPr>
                    <w:t>/</w:t>
                  </w:r>
                </w:p>
              </w:tc>
            </w:tr>
            <w:tr w14:paraId="106F3CD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4F51DD76">
                  <w:pPr>
                    <w:adjustRightInd w:val="0"/>
                    <w:snapToGrid w:val="0"/>
                    <w:jc w:val="center"/>
                    <w:rPr>
                      <w:color w:val="auto"/>
                      <w:szCs w:val="21"/>
                    </w:rPr>
                  </w:pPr>
                </w:p>
              </w:tc>
              <w:tc>
                <w:tcPr>
                  <w:tcW w:w="2080" w:type="dxa"/>
                  <w:vMerge w:val="continue"/>
                  <w:tcBorders>
                    <w:tl2br w:val="nil"/>
                    <w:tr2bl w:val="nil"/>
                  </w:tcBorders>
                  <w:vAlign w:val="center"/>
                </w:tcPr>
                <w:p w14:paraId="15FDFD28">
                  <w:pPr>
                    <w:adjustRightInd w:val="0"/>
                    <w:snapToGrid w:val="0"/>
                    <w:jc w:val="center"/>
                    <w:rPr>
                      <w:color w:val="auto"/>
                      <w:szCs w:val="21"/>
                    </w:rPr>
                  </w:pPr>
                </w:p>
              </w:tc>
              <w:tc>
                <w:tcPr>
                  <w:tcW w:w="1208" w:type="dxa"/>
                  <w:vMerge w:val="continue"/>
                  <w:tcBorders>
                    <w:tl2br w:val="nil"/>
                    <w:tr2bl w:val="nil"/>
                  </w:tcBorders>
                  <w:vAlign w:val="center"/>
                </w:tcPr>
                <w:p w14:paraId="0785AE27">
                  <w:pPr>
                    <w:adjustRightInd w:val="0"/>
                    <w:snapToGrid w:val="0"/>
                    <w:jc w:val="center"/>
                    <w:rPr>
                      <w:color w:val="auto"/>
                      <w:szCs w:val="21"/>
                    </w:rPr>
                  </w:pPr>
                </w:p>
              </w:tc>
              <w:tc>
                <w:tcPr>
                  <w:tcW w:w="1321" w:type="dxa"/>
                  <w:tcBorders>
                    <w:tl2br w:val="nil"/>
                    <w:tr2bl w:val="nil"/>
                  </w:tcBorders>
                  <w:vAlign w:val="center"/>
                </w:tcPr>
                <w:p w14:paraId="1C5A1E1D">
                  <w:pPr>
                    <w:tabs>
                      <w:tab w:val="right" w:pos="8906"/>
                    </w:tabs>
                    <w:adjustRightInd w:val="0"/>
                    <w:snapToGrid w:val="0"/>
                    <w:jc w:val="center"/>
                    <w:rPr>
                      <w:color w:val="auto"/>
                      <w:spacing w:val="-5"/>
                      <w:szCs w:val="21"/>
                      <w:lang w:bidi="he-IL"/>
                    </w:rPr>
                  </w:pPr>
                  <w:r>
                    <w:rPr>
                      <w:color w:val="auto"/>
                      <w:szCs w:val="21"/>
                    </w:rPr>
                    <w:t>243</w:t>
                  </w:r>
                </w:p>
              </w:tc>
              <w:tc>
                <w:tcPr>
                  <w:tcW w:w="2080" w:type="dxa"/>
                  <w:vMerge w:val="continue"/>
                  <w:tcBorders>
                    <w:tl2br w:val="nil"/>
                    <w:tr2bl w:val="nil"/>
                  </w:tcBorders>
                  <w:vAlign w:val="center"/>
                </w:tcPr>
                <w:p w14:paraId="73338268">
                  <w:pPr>
                    <w:tabs>
                      <w:tab w:val="right" w:pos="8906"/>
                    </w:tabs>
                    <w:adjustRightInd w:val="0"/>
                    <w:snapToGrid w:val="0"/>
                    <w:jc w:val="center"/>
                    <w:rPr>
                      <w:color w:val="auto"/>
                      <w:szCs w:val="21"/>
                    </w:rPr>
                  </w:pPr>
                </w:p>
              </w:tc>
              <w:tc>
                <w:tcPr>
                  <w:tcW w:w="1311" w:type="dxa"/>
                  <w:vMerge w:val="continue"/>
                  <w:tcBorders>
                    <w:tl2br w:val="nil"/>
                    <w:tr2bl w:val="nil"/>
                  </w:tcBorders>
                  <w:vAlign w:val="center"/>
                </w:tcPr>
                <w:p w14:paraId="7350A0C0">
                  <w:pPr>
                    <w:tabs>
                      <w:tab w:val="right" w:pos="8906"/>
                    </w:tabs>
                    <w:adjustRightInd w:val="0"/>
                    <w:snapToGrid w:val="0"/>
                    <w:jc w:val="center"/>
                    <w:rPr>
                      <w:color w:val="auto"/>
                      <w:szCs w:val="21"/>
                    </w:rPr>
                  </w:pPr>
                </w:p>
              </w:tc>
            </w:tr>
            <w:tr w14:paraId="639D7CA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25B43247">
                  <w:pPr>
                    <w:adjustRightInd w:val="0"/>
                    <w:snapToGrid w:val="0"/>
                    <w:jc w:val="center"/>
                    <w:rPr>
                      <w:color w:val="auto"/>
                      <w:szCs w:val="21"/>
                    </w:rPr>
                  </w:pPr>
                </w:p>
              </w:tc>
              <w:tc>
                <w:tcPr>
                  <w:tcW w:w="2080" w:type="dxa"/>
                  <w:vMerge w:val="continue"/>
                  <w:tcBorders>
                    <w:tl2br w:val="nil"/>
                    <w:tr2bl w:val="nil"/>
                  </w:tcBorders>
                  <w:vAlign w:val="center"/>
                </w:tcPr>
                <w:p w14:paraId="782BDE71">
                  <w:pPr>
                    <w:adjustRightInd w:val="0"/>
                    <w:snapToGrid w:val="0"/>
                    <w:jc w:val="center"/>
                    <w:rPr>
                      <w:color w:val="auto"/>
                      <w:szCs w:val="21"/>
                    </w:rPr>
                  </w:pPr>
                </w:p>
              </w:tc>
              <w:tc>
                <w:tcPr>
                  <w:tcW w:w="1208" w:type="dxa"/>
                  <w:vMerge w:val="continue"/>
                  <w:tcBorders>
                    <w:tl2br w:val="nil"/>
                    <w:tr2bl w:val="nil"/>
                  </w:tcBorders>
                  <w:vAlign w:val="center"/>
                </w:tcPr>
                <w:p w14:paraId="54B15140">
                  <w:pPr>
                    <w:adjustRightInd w:val="0"/>
                    <w:snapToGrid w:val="0"/>
                    <w:jc w:val="center"/>
                    <w:rPr>
                      <w:color w:val="auto"/>
                      <w:szCs w:val="21"/>
                    </w:rPr>
                  </w:pPr>
                </w:p>
              </w:tc>
              <w:tc>
                <w:tcPr>
                  <w:tcW w:w="1321" w:type="dxa"/>
                  <w:tcBorders>
                    <w:tl2br w:val="nil"/>
                    <w:tr2bl w:val="nil"/>
                  </w:tcBorders>
                  <w:vAlign w:val="center"/>
                </w:tcPr>
                <w:p w14:paraId="0EE3B7A4">
                  <w:pPr>
                    <w:tabs>
                      <w:tab w:val="right" w:pos="8906"/>
                    </w:tabs>
                    <w:adjustRightInd w:val="0"/>
                    <w:snapToGrid w:val="0"/>
                    <w:jc w:val="center"/>
                    <w:rPr>
                      <w:color w:val="auto"/>
                      <w:spacing w:val="-5"/>
                      <w:szCs w:val="21"/>
                      <w:lang w:bidi="he-IL"/>
                    </w:rPr>
                  </w:pPr>
                  <w:r>
                    <w:rPr>
                      <w:color w:val="auto"/>
                      <w:szCs w:val="21"/>
                    </w:rPr>
                    <w:t>196</w:t>
                  </w:r>
                </w:p>
              </w:tc>
              <w:tc>
                <w:tcPr>
                  <w:tcW w:w="2080" w:type="dxa"/>
                  <w:vMerge w:val="continue"/>
                  <w:tcBorders>
                    <w:tl2br w:val="nil"/>
                    <w:tr2bl w:val="nil"/>
                  </w:tcBorders>
                  <w:vAlign w:val="center"/>
                </w:tcPr>
                <w:p w14:paraId="07E3CAA3">
                  <w:pPr>
                    <w:tabs>
                      <w:tab w:val="right" w:pos="8906"/>
                    </w:tabs>
                    <w:adjustRightInd w:val="0"/>
                    <w:snapToGrid w:val="0"/>
                    <w:jc w:val="center"/>
                    <w:rPr>
                      <w:color w:val="auto"/>
                      <w:szCs w:val="21"/>
                    </w:rPr>
                  </w:pPr>
                </w:p>
              </w:tc>
              <w:tc>
                <w:tcPr>
                  <w:tcW w:w="1311" w:type="dxa"/>
                  <w:vMerge w:val="continue"/>
                  <w:tcBorders>
                    <w:tl2br w:val="nil"/>
                    <w:tr2bl w:val="nil"/>
                  </w:tcBorders>
                  <w:vAlign w:val="center"/>
                </w:tcPr>
                <w:p w14:paraId="7455F866">
                  <w:pPr>
                    <w:tabs>
                      <w:tab w:val="right" w:pos="8906"/>
                    </w:tabs>
                    <w:adjustRightInd w:val="0"/>
                    <w:snapToGrid w:val="0"/>
                    <w:jc w:val="center"/>
                    <w:rPr>
                      <w:color w:val="auto"/>
                      <w:szCs w:val="21"/>
                    </w:rPr>
                  </w:pPr>
                </w:p>
              </w:tc>
            </w:tr>
            <w:tr w14:paraId="7692002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0FE2B1FA">
                  <w:pPr>
                    <w:adjustRightInd w:val="0"/>
                    <w:snapToGrid w:val="0"/>
                    <w:jc w:val="center"/>
                    <w:rPr>
                      <w:color w:val="auto"/>
                      <w:szCs w:val="21"/>
                    </w:rPr>
                  </w:pPr>
                </w:p>
              </w:tc>
              <w:tc>
                <w:tcPr>
                  <w:tcW w:w="2080" w:type="dxa"/>
                  <w:vMerge w:val="continue"/>
                  <w:tcBorders>
                    <w:tl2br w:val="nil"/>
                    <w:tr2bl w:val="nil"/>
                  </w:tcBorders>
                  <w:vAlign w:val="center"/>
                </w:tcPr>
                <w:p w14:paraId="642EB108">
                  <w:pPr>
                    <w:adjustRightInd w:val="0"/>
                    <w:snapToGrid w:val="0"/>
                    <w:jc w:val="center"/>
                    <w:rPr>
                      <w:color w:val="auto"/>
                      <w:szCs w:val="21"/>
                    </w:rPr>
                  </w:pPr>
                </w:p>
              </w:tc>
              <w:tc>
                <w:tcPr>
                  <w:tcW w:w="1208" w:type="dxa"/>
                  <w:vMerge w:val="continue"/>
                  <w:tcBorders>
                    <w:tl2br w:val="nil"/>
                    <w:tr2bl w:val="nil"/>
                  </w:tcBorders>
                  <w:vAlign w:val="center"/>
                </w:tcPr>
                <w:p w14:paraId="05EE45C8">
                  <w:pPr>
                    <w:adjustRightInd w:val="0"/>
                    <w:snapToGrid w:val="0"/>
                    <w:jc w:val="center"/>
                    <w:rPr>
                      <w:color w:val="auto"/>
                      <w:szCs w:val="21"/>
                    </w:rPr>
                  </w:pPr>
                </w:p>
              </w:tc>
              <w:tc>
                <w:tcPr>
                  <w:tcW w:w="1321" w:type="dxa"/>
                  <w:tcBorders>
                    <w:tl2br w:val="nil"/>
                    <w:tr2bl w:val="nil"/>
                  </w:tcBorders>
                  <w:vAlign w:val="center"/>
                </w:tcPr>
                <w:p w14:paraId="4DC7528B">
                  <w:pPr>
                    <w:tabs>
                      <w:tab w:val="right" w:pos="8906"/>
                    </w:tabs>
                    <w:adjustRightInd w:val="0"/>
                    <w:snapToGrid w:val="0"/>
                    <w:jc w:val="center"/>
                    <w:rPr>
                      <w:color w:val="auto"/>
                      <w:spacing w:val="-5"/>
                      <w:szCs w:val="21"/>
                      <w:lang w:bidi="he-IL"/>
                    </w:rPr>
                  </w:pPr>
                  <w:r>
                    <w:rPr>
                      <w:color w:val="auto"/>
                      <w:szCs w:val="21"/>
                    </w:rPr>
                    <w:t>286</w:t>
                  </w:r>
                </w:p>
              </w:tc>
              <w:tc>
                <w:tcPr>
                  <w:tcW w:w="2080" w:type="dxa"/>
                  <w:vMerge w:val="continue"/>
                  <w:tcBorders>
                    <w:tl2br w:val="nil"/>
                    <w:tr2bl w:val="nil"/>
                  </w:tcBorders>
                  <w:vAlign w:val="center"/>
                </w:tcPr>
                <w:p w14:paraId="3D48A792">
                  <w:pPr>
                    <w:tabs>
                      <w:tab w:val="right" w:pos="8906"/>
                    </w:tabs>
                    <w:adjustRightInd w:val="0"/>
                    <w:snapToGrid w:val="0"/>
                    <w:jc w:val="center"/>
                    <w:rPr>
                      <w:color w:val="auto"/>
                      <w:szCs w:val="21"/>
                    </w:rPr>
                  </w:pPr>
                </w:p>
              </w:tc>
              <w:tc>
                <w:tcPr>
                  <w:tcW w:w="1311" w:type="dxa"/>
                  <w:vMerge w:val="continue"/>
                  <w:tcBorders>
                    <w:tl2br w:val="nil"/>
                    <w:tr2bl w:val="nil"/>
                  </w:tcBorders>
                  <w:vAlign w:val="center"/>
                </w:tcPr>
                <w:p w14:paraId="4AC06051">
                  <w:pPr>
                    <w:tabs>
                      <w:tab w:val="right" w:pos="8906"/>
                    </w:tabs>
                    <w:adjustRightInd w:val="0"/>
                    <w:snapToGrid w:val="0"/>
                    <w:jc w:val="center"/>
                    <w:rPr>
                      <w:color w:val="auto"/>
                      <w:szCs w:val="21"/>
                    </w:rPr>
                  </w:pPr>
                </w:p>
              </w:tc>
            </w:tr>
            <w:tr w14:paraId="335DB73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0A8EF6AC">
                  <w:pPr>
                    <w:adjustRightInd w:val="0"/>
                    <w:snapToGrid w:val="0"/>
                    <w:jc w:val="center"/>
                    <w:rPr>
                      <w:color w:val="auto"/>
                      <w:szCs w:val="21"/>
                    </w:rPr>
                  </w:pPr>
                </w:p>
              </w:tc>
              <w:tc>
                <w:tcPr>
                  <w:tcW w:w="2080" w:type="dxa"/>
                  <w:vMerge w:val="continue"/>
                  <w:tcBorders>
                    <w:tl2br w:val="nil"/>
                    <w:tr2bl w:val="nil"/>
                  </w:tcBorders>
                  <w:vAlign w:val="center"/>
                </w:tcPr>
                <w:p w14:paraId="4C29F3D1">
                  <w:pPr>
                    <w:adjustRightInd w:val="0"/>
                    <w:snapToGrid w:val="0"/>
                    <w:jc w:val="center"/>
                    <w:rPr>
                      <w:color w:val="auto"/>
                      <w:szCs w:val="21"/>
                    </w:rPr>
                  </w:pPr>
                </w:p>
              </w:tc>
              <w:tc>
                <w:tcPr>
                  <w:tcW w:w="1208" w:type="dxa"/>
                  <w:vMerge w:val="continue"/>
                  <w:tcBorders>
                    <w:tl2br w:val="nil"/>
                    <w:tr2bl w:val="nil"/>
                  </w:tcBorders>
                  <w:vAlign w:val="center"/>
                </w:tcPr>
                <w:p w14:paraId="7AD02461">
                  <w:pPr>
                    <w:adjustRightInd w:val="0"/>
                    <w:snapToGrid w:val="0"/>
                    <w:jc w:val="center"/>
                    <w:rPr>
                      <w:color w:val="auto"/>
                      <w:szCs w:val="21"/>
                    </w:rPr>
                  </w:pPr>
                </w:p>
              </w:tc>
              <w:tc>
                <w:tcPr>
                  <w:tcW w:w="1321" w:type="dxa"/>
                  <w:tcBorders>
                    <w:tl2br w:val="nil"/>
                    <w:tr2bl w:val="nil"/>
                  </w:tcBorders>
                  <w:vAlign w:val="center"/>
                </w:tcPr>
                <w:p w14:paraId="05B4AE3E">
                  <w:pPr>
                    <w:tabs>
                      <w:tab w:val="right" w:pos="8906"/>
                    </w:tabs>
                    <w:adjustRightInd w:val="0"/>
                    <w:snapToGrid w:val="0"/>
                    <w:jc w:val="center"/>
                    <w:rPr>
                      <w:color w:val="auto"/>
                      <w:spacing w:val="-5"/>
                      <w:szCs w:val="21"/>
                      <w:lang w:bidi="he-IL"/>
                    </w:rPr>
                  </w:pPr>
                  <w:r>
                    <w:rPr>
                      <w:color w:val="auto"/>
                      <w:szCs w:val="21"/>
                    </w:rPr>
                    <w:t>147</w:t>
                  </w:r>
                </w:p>
              </w:tc>
              <w:tc>
                <w:tcPr>
                  <w:tcW w:w="2080" w:type="dxa"/>
                  <w:vMerge w:val="continue"/>
                  <w:tcBorders>
                    <w:tl2br w:val="nil"/>
                    <w:tr2bl w:val="nil"/>
                  </w:tcBorders>
                  <w:vAlign w:val="center"/>
                </w:tcPr>
                <w:p w14:paraId="5A6064B6">
                  <w:pPr>
                    <w:tabs>
                      <w:tab w:val="right" w:pos="8906"/>
                    </w:tabs>
                    <w:adjustRightInd w:val="0"/>
                    <w:snapToGrid w:val="0"/>
                    <w:jc w:val="center"/>
                    <w:rPr>
                      <w:color w:val="auto"/>
                      <w:szCs w:val="21"/>
                    </w:rPr>
                  </w:pPr>
                </w:p>
              </w:tc>
              <w:tc>
                <w:tcPr>
                  <w:tcW w:w="1311" w:type="dxa"/>
                  <w:vMerge w:val="continue"/>
                  <w:tcBorders>
                    <w:tl2br w:val="nil"/>
                    <w:tr2bl w:val="nil"/>
                  </w:tcBorders>
                  <w:vAlign w:val="center"/>
                </w:tcPr>
                <w:p w14:paraId="739D6B58">
                  <w:pPr>
                    <w:tabs>
                      <w:tab w:val="right" w:pos="8906"/>
                    </w:tabs>
                    <w:adjustRightInd w:val="0"/>
                    <w:snapToGrid w:val="0"/>
                    <w:jc w:val="center"/>
                    <w:rPr>
                      <w:color w:val="auto"/>
                      <w:szCs w:val="21"/>
                    </w:rPr>
                  </w:pPr>
                </w:p>
              </w:tc>
            </w:tr>
            <w:tr w14:paraId="10C8228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636971DB">
                  <w:pPr>
                    <w:adjustRightInd w:val="0"/>
                    <w:snapToGrid w:val="0"/>
                    <w:jc w:val="center"/>
                    <w:rPr>
                      <w:color w:val="auto"/>
                      <w:szCs w:val="21"/>
                    </w:rPr>
                  </w:pPr>
                </w:p>
              </w:tc>
              <w:tc>
                <w:tcPr>
                  <w:tcW w:w="2080" w:type="dxa"/>
                  <w:vMerge w:val="continue"/>
                  <w:tcBorders>
                    <w:tl2br w:val="nil"/>
                    <w:tr2bl w:val="nil"/>
                  </w:tcBorders>
                  <w:vAlign w:val="center"/>
                </w:tcPr>
                <w:p w14:paraId="74D85127">
                  <w:pPr>
                    <w:adjustRightInd w:val="0"/>
                    <w:snapToGrid w:val="0"/>
                    <w:jc w:val="center"/>
                    <w:rPr>
                      <w:color w:val="auto"/>
                      <w:szCs w:val="21"/>
                    </w:rPr>
                  </w:pPr>
                </w:p>
              </w:tc>
              <w:tc>
                <w:tcPr>
                  <w:tcW w:w="1208" w:type="dxa"/>
                  <w:vMerge w:val="continue"/>
                  <w:tcBorders>
                    <w:tl2br w:val="nil"/>
                    <w:tr2bl w:val="nil"/>
                  </w:tcBorders>
                  <w:vAlign w:val="center"/>
                </w:tcPr>
                <w:p w14:paraId="09B9CAE1">
                  <w:pPr>
                    <w:adjustRightInd w:val="0"/>
                    <w:snapToGrid w:val="0"/>
                    <w:jc w:val="center"/>
                    <w:rPr>
                      <w:color w:val="auto"/>
                      <w:szCs w:val="21"/>
                    </w:rPr>
                  </w:pPr>
                </w:p>
              </w:tc>
              <w:tc>
                <w:tcPr>
                  <w:tcW w:w="1321" w:type="dxa"/>
                  <w:tcBorders>
                    <w:tl2br w:val="nil"/>
                    <w:tr2bl w:val="nil"/>
                  </w:tcBorders>
                  <w:vAlign w:val="center"/>
                </w:tcPr>
                <w:p w14:paraId="2C51E666">
                  <w:pPr>
                    <w:tabs>
                      <w:tab w:val="right" w:pos="8906"/>
                    </w:tabs>
                    <w:adjustRightInd w:val="0"/>
                    <w:snapToGrid w:val="0"/>
                    <w:jc w:val="center"/>
                    <w:rPr>
                      <w:color w:val="auto"/>
                      <w:spacing w:val="-5"/>
                      <w:szCs w:val="21"/>
                      <w:lang w:bidi="he-IL"/>
                    </w:rPr>
                  </w:pPr>
                  <w:r>
                    <w:rPr>
                      <w:color w:val="auto"/>
                      <w:szCs w:val="21"/>
                    </w:rPr>
                    <w:t>214</w:t>
                  </w:r>
                </w:p>
              </w:tc>
              <w:tc>
                <w:tcPr>
                  <w:tcW w:w="2080" w:type="dxa"/>
                  <w:vMerge w:val="continue"/>
                  <w:tcBorders>
                    <w:tl2br w:val="nil"/>
                    <w:tr2bl w:val="nil"/>
                  </w:tcBorders>
                  <w:vAlign w:val="center"/>
                </w:tcPr>
                <w:p w14:paraId="3F04E0D1">
                  <w:pPr>
                    <w:tabs>
                      <w:tab w:val="right" w:pos="8906"/>
                    </w:tabs>
                    <w:adjustRightInd w:val="0"/>
                    <w:snapToGrid w:val="0"/>
                    <w:jc w:val="center"/>
                    <w:rPr>
                      <w:color w:val="auto"/>
                      <w:szCs w:val="21"/>
                    </w:rPr>
                  </w:pPr>
                </w:p>
              </w:tc>
              <w:tc>
                <w:tcPr>
                  <w:tcW w:w="1311" w:type="dxa"/>
                  <w:vMerge w:val="continue"/>
                  <w:tcBorders>
                    <w:tl2br w:val="nil"/>
                    <w:tr2bl w:val="nil"/>
                  </w:tcBorders>
                  <w:vAlign w:val="center"/>
                </w:tcPr>
                <w:p w14:paraId="0B4C1DFF">
                  <w:pPr>
                    <w:tabs>
                      <w:tab w:val="right" w:pos="8906"/>
                    </w:tabs>
                    <w:adjustRightInd w:val="0"/>
                    <w:snapToGrid w:val="0"/>
                    <w:jc w:val="center"/>
                    <w:rPr>
                      <w:color w:val="auto"/>
                      <w:szCs w:val="21"/>
                    </w:rPr>
                  </w:pPr>
                </w:p>
              </w:tc>
            </w:tr>
            <w:tr w14:paraId="044B7BB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0FC88147">
                  <w:pPr>
                    <w:adjustRightInd w:val="0"/>
                    <w:snapToGrid w:val="0"/>
                    <w:jc w:val="center"/>
                    <w:rPr>
                      <w:color w:val="auto"/>
                      <w:szCs w:val="21"/>
                    </w:rPr>
                  </w:pPr>
                </w:p>
              </w:tc>
              <w:tc>
                <w:tcPr>
                  <w:tcW w:w="2080" w:type="dxa"/>
                  <w:vMerge w:val="continue"/>
                  <w:tcBorders>
                    <w:tl2br w:val="nil"/>
                    <w:tr2bl w:val="nil"/>
                  </w:tcBorders>
                  <w:vAlign w:val="center"/>
                </w:tcPr>
                <w:p w14:paraId="3F47E3D7">
                  <w:pPr>
                    <w:adjustRightInd w:val="0"/>
                    <w:snapToGrid w:val="0"/>
                    <w:jc w:val="center"/>
                    <w:rPr>
                      <w:color w:val="auto"/>
                      <w:szCs w:val="21"/>
                    </w:rPr>
                  </w:pPr>
                </w:p>
              </w:tc>
              <w:tc>
                <w:tcPr>
                  <w:tcW w:w="1208" w:type="dxa"/>
                  <w:vMerge w:val="continue"/>
                  <w:tcBorders>
                    <w:tl2br w:val="nil"/>
                    <w:tr2bl w:val="nil"/>
                  </w:tcBorders>
                  <w:vAlign w:val="center"/>
                </w:tcPr>
                <w:p w14:paraId="10F98C08">
                  <w:pPr>
                    <w:adjustRightInd w:val="0"/>
                    <w:snapToGrid w:val="0"/>
                    <w:jc w:val="center"/>
                    <w:rPr>
                      <w:color w:val="auto"/>
                      <w:szCs w:val="21"/>
                    </w:rPr>
                  </w:pPr>
                </w:p>
              </w:tc>
              <w:tc>
                <w:tcPr>
                  <w:tcW w:w="1321" w:type="dxa"/>
                  <w:tcBorders>
                    <w:tl2br w:val="nil"/>
                    <w:tr2bl w:val="nil"/>
                  </w:tcBorders>
                  <w:vAlign w:val="center"/>
                </w:tcPr>
                <w:p w14:paraId="7EC0F88D">
                  <w:pPr>
                    <w:tabs>
                      <w:tab w:val="right" w:pos="8906"/>
                    </w:tabs>
                    <w:adjustRightInd w:val="0"/>
                    <w:snapToGrid w:val="0"/>
                    <w:jc w:val="center"/>
                    <w:rPr>
                      <w:color w:val="auto"/>
                      <w:spacing w:val="-5"/>
                      <w:szCs w:val="21"/>
                      <w:lang w:bidi="he-IL"/>
                    </w:rPr>
                  </w:pPr>
                  <w:r>
                    <w:rPr>
                      <w:color w:val="auto"/>
                      <w:szCs w:val="21"/>
                    </w:rPr>
                    <w:t>208</w:t>
                  </w:r>
                </w:p>
              </w:tc>
              <w:tc>
                <w:tcPr>
                  <w:tcW w:w="2080" w:type="dxa"/>
                  <w:vMerge w:val="continue"/>
                  <w:tcBorders>
                    <w:tl2br w:val="nil"/>
                    <w:tr2bl w:val="nil"/>
                  </w:tcBorders>
                  <w:vAlign w:val="center"/>
                </w:tcPr>
                <w:p w14:paraId="2B8C238D">
                  <w:pPr>
                    <w:tabs>
                      <w:tab w:val="right" w:pos="8906"/>
                    </w:tabs>
                    <w:adjustRightInd w:val="0"/>
                    <w:snapToGrid w:val="0"/>
                    <w:jc w:val="center"/>
                    <w:rPr>
                      <w:color w:val="auto"/>
                      <w:szCs w:val="21"/>
                    </w:rPr>
                  </w:pPr>
                </w:p>
              </w:tc>
              <w:tc>
                <w:tcPr>
                  <w:tcW w:w="1311" w:type="dxa"/>
                  <w:vMerge w:val="continue"/>
                  <w:tcBorders>
                    <w:tl2br w:val="nil"/>
                    <w:tr2bl w:val="nil"/>
                  </w:tcBorders>
                  <w:vAlign w:val="center"/>
                </w:tcPr>
                <w:p w14:paraId="1F0C1840">
                  <w:pPr>
                    <w:tabs>
                      <w:tab w:val="right" w:pos="8906"/>
                    </w:tabs>
                    <w:adjustRightInd w:val="0"/>
                    <w:snapToGrid w:val="0"/>
                    <w:jc w:val="center"/>
                    <w:rPr>
                      <w:color w:val="auto"/>
                      <w:szCs w:val="21"/>
                    </w:rPr>
                  </w:pPr>
                </w:p>
              </w:tc>
            </w:tr>
            <w:tr w14:paraId="6D2598A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1D9327EB">
                  <w:pPr>
                    <w:adjustRightInd w:val="0"/>
                    <w:snapToGrid w:val="0"/>
                    <w:jc w:val="center"/>
                    <w:rPr>
                      <w:color w:val="auto"/>
                      <w:szCs w:val="21"/>
                    </w:rPr>
                  </w:pPr>
                </w:p>
              </w:tc>
              <w:tc>
                <w:tcPr>
                  <w:tcW w:w="2080" w:type="dxa"/>
                  <w:vMerge w:val="restart"/>
                  <w:tcBorders>
                    <w:tl2br w:val="nil"/>
                    <w:tr2bl w:val="nil"/>
                  </w:tcBorders>
                  <w:vAlign w:val="center"/>
                </w:tcPr>
                <w:p w14:paraId="3E3A5FEB">
                  <w:pPr>
                    <w:adjustRightInd w:val="0"/>
                    <w:snapToGrid w:val="0"/>
                    <w:jc w:val="center"/>
                    <w:rPr>
                      <w:color w:val="auto"/>
                      <w:szCs w:val="21"/>
                    </w:rPr>
                  </w:pPr>
                  <w:r>
                    <w:rPr>
                      <w:color w:val="auto"/>
                      <w:szCs w:val="21"/>
                    </w:rPr>
                    <w:t>2021-</w:t>
                  </w:r>
                  <w:r>
                    <w:rPr>
                      <w:rFonts w:hint="eastAsia"/>
                      <w:color w:val="auto"/>
                      <w:szCs w:val="21"/>
                    </w:rPr>
                    <w:t>6</w:t>
                  </w:r>
                  <w:r>
                    <w:rPr>
                      <w:color w:val="auto"/>
                      <w:szCs w:val="21"/>
                    </w:rPr>
                    <w:t>-</w:t>
                  </w:r>
                  <w:r>
                    <w:rPr>
                      <w:rFonts w:hint="eastAsia"/>
                      <w:color w:val="auto"/>
                      <w:szCs w:val="21"/>
                    </w:rPr>
                    <w:t>24~2021-6-25</w:t>
                  </w:r>
                </w:p>
              </w:tc>
              <w:tc>
                <w:tcPr>
                  <w:tcW w:w="1208" w:type="dxa"/>
                  <w:tcBorders>
                    <w:tl2br w:val="nil"/>
                    <w:tr2bl w:val="nil"/>
                  </w:tcBorders>
                  <w:vAlign w:val="center"/>
                </w:tcPr>
                <w:p w14:paraId="19FE5B41">
                  <w:pPr>
                    <w:adjustRightInd w:val="0"/>
                    <w:snapToGrid w:val="0"/>
                    <w:jc w:val="center"/>
                    <w:rPr>
                      <w:color w:val="auto"/>
                      <w:szCs w:val="21"/>
                    </w:rPr>
                  </w:pPr>
                  <w:r>
                    <w:rPr>
                      <w:rFonts w:hint="eastAsia"/>
                      <w:color w:val="auto"/>
                      <w:szCs w:val="21"/>
                    </w:rPr>
                    <w:t>63</w:t>
                  </w:r>
                </w:p>
              </w:tc>
              <w:tc>
                <w:tcPr>
                  <w:tcW w:w="1321" w:type="dxa"/>
                  <w:tcBorders>
                    <w:tl2br w:val="nil"/>
                    <w:tr2bl w:val="nil"/>
                  </w:tcBorders>
                  <w:vAlign w:val="center"/>
                </w:tcPr>
                <w:p w14:paraId="3DAA346C">
                  <w:pPr>
                    <w:tabs>
                      <w:tab w:val="right" w:pos="8906"/>
                    </w:tabs>
                    <w:adjustRightInd w:val="0"/>
                    <w:snapToGrid w:val="0"/>
                    <w:jc w:val="center"/>
                    <w:rPr>
                      <w:color w:val="auto"/>
                      <w:spacing w:val="-5"/>
                      <w:szCs w:val="21"/>
                      <w:lang w:bidi="he-IL"/>
                    </w:rPr>
                  </w:pPr>
                  <w:r>
                    <w:rPr>
                      <w:color w:val="auto"/>
                      <w:szCs w:val="21"/>
                    </w:rPr>
                    <w:t>224</w:t>
                  </w:r>
                </w:p>
              </w:tc>
              <w:tc>
                <w:tcPr>
                  <w:tcW w:w="2080" w:type="dxa"/>
                  <w:vMerge w:val="restart"/>
                  <w:tcBorders>
                    <w:tl2br w:val="nil"/>
                    <w:tr2bl w:val="nil"/>
                  </w:tcBorders>
                  <w:vAlign w:val="center"/>
                </w:tcPr>
                <w:p w14:paraId="2666E108">
                  <w:pPr>
                    <w:autoSpaceDN w:val="0"/>
                    <w:adjustRightInd w:val="0"/>
                    <w:snapToGrid w:val="0"/>
                    <w:jc w:val="center"/>
                    <w:textAlignment w:val="center"/>
                    <w:rPr>
                      <w:color w:val="auto"/>
                      <w:szCs w:val="21"/>
                    </w:rPr>
                  </w:pPr>
                  <w:r>
                    <w:rPr>
                      <w:rFonts w:hint="eastAsia"/>
                      <w:color w:val="auto"/>
                      <w:szCs w:val="21"/>
                    </w:rPr>
                    <w:t>2</w:t>
                  </w:r>
                  <w:r>
                    <w:rPr>
                      <w:color w:val="auto"/>
                      <w:szCs w:val="21"/>
                    </w:rPr>
                    <w:t>021-</w:t>
                  </w:r>
                  <w:r>
                    <w:rPr>
                      <w:rFonts w:hint="eastAsia"/>
                      <w:color w:val="auto"/>
                      <w:szCs w:val="21"/>
                    </w:rPr>
                    <w:t>9</w:t>
                  </w:r>
                  <w:r>
                    <w:rPr>
                      <w:color w:val="auto"/>
                      <w:szCs w:val="21"/>
                    </w:rPr>
                    <w:t>-</w:t>
                  </w:r>
                  <w:r>
                    <w:rPr>
                      <w:rFonts w:hint="eastAsia"/>
                      <w:color w:val="auto"/>
                      <w:szCs w:val="21"/>
                    </w:rPr>
                    <w:t>22~2021-9-23</w:t>
                  </w:r>
                </w:p>
              </w:tc>
              <w:tc>
                <w:tcPr>
                  <w:tcW w:w="1311" w:type="dxa"/>
                  <w:tcBorders>
                    <w:tl2br w:val="nil"/>
                    <w:tr2bl w:val="nil"/>
                  </w:tcBorders>
                  <w:vAlign w:val="center"/>
                </w:tcPr>
                <w:p w14:paraId="40389D4D">
                  <w:pPr>
                    <w:tabs>
                      <w:tab w:val="right" w:pos="8906"/>
                    </w:tabs>
                    <w:adjustRightInd w:val="0"/>
                    <w:snapToGrid w:val="0"/>
                    <w:jc w:val="center"/>
                    <w:rPr>
                      <w:color w:val="auto"/>
                      <w:szCs w:val="21"/>
                    </w:rPr>
                  </w:pPr>
                  <w:r>
                    <w:rPr>
                      <w:rFonts w:hint="eastAsia"/>
                      <w:color w:val="auto"/>
                      <w:szCs w:val="21"/>
                    </w:rPr>
                    <w:t>27</w:t>
                  </w:r>
                </w:p>
              </w:tc>
            </w:tr>
            <w:tr w14:paraId="015B1C0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52AD1482">
                  <w:pPr>
                    <w:adjustRightInd w:val="0"/>
                    <w:snapToGrid w:val="0"/>
                    <w:jc w:val="center"/>
                    <w:rPr>
                      <w:color w:val="auto"/>
                      <w:szCs w:val="21"/>
                    </w:rPr>
                  </w:pPr>
                </w:p>
              </w:tc>
              <w:tc>
                <w:tcPr>
                  <w:tcW w:w="2080" w:type="dxa"/>
                  <w:vMerge w:val="continue"/>
                  <w:tcBorders>
                    <w:tl2br w:val="nil"/>
                    <w:tr2bl w:val="nil"/>
                  </w:tcBorders>
                  <w:vAlign w:val="center"/>
                </w:tcPr>
                <w:p w14:paraId="05FA7FFA">
                  <w:pPr>
                    <w:adjustRightInd w:val="0"/>
                    <w:snapToGrid w:val="0"/>
                    <w:jc w:val="center"/>
                    <w:rPr>
                      <w:color w:val="auto"/>
                      <w:szCs w:val="21"/>
                    </w:rPr>
                  </w:pPr>
                </w:p>
              </w:tc>
              <w:tc>
                <w:tcPr>
                  <w:tcW w:w="1208" w:type="dxa"/>
                  <w:vMerge w:val="restart"/>
                  <w:tcBorders>
                    <w:tl2br w:val="nil"/>
                    <w:tr2bl w:val="nil"/>
                  </w:tcBorders>
                  <w:vAlign w:val="center"/>
                </w:tcPr>
                <w:p w14:paraId="5AEB936B">
                  <w:pPr>
                    <w:adjustRightInd w:val="0"/>
                    <w:snapToGrid w:val="0"/>
                    <w:jc w:val="center"/>
                    <w:rPr>
                      <w:color w:val="auto"/>
                      <w:szCs w:val="21"/>
                    </w:rPr>
                  </w:pPr>
                  <w:r>
                    <w:rPr>
                      <w:color w:val="auto"/>
                      <w:szCs w:val="21"/>
                    </w:rPr>
                    <w:t>/</w:t>
                  </w:r>
                </w:p>
              </w:tc>
              <w:tc>
                <w:tcPr>
                  <w:tcW w:w="1321" w:type="dxa"/>
                  <w:tcBorders>
                    <w:tl2br w:val="nil"/>
                    <w:tr2bl w:val="nil"/>
                  </w:tcBorders>
                  <w:vAlign w:val="center"/>
                </w:tcPr>
                <w:p w14:paraId="7821158F">
                  <w:pPr>
                    <w:tabs>
                      <w:tab w:val="right" w:pos="8906"/>
                    </w:tabs>
                    <w:adjustRightInd w:val="0"/>
                    <w:snapToGrid w:val="0"/>
                    <w:jc w:val="center"/>
                    <w:rPr>
                      <w:color w:val="auto"/>
                      <w:spacing w:val="-5"/>
                      <w:szCs w:val="21"/>
                      <w:lang w:bidi="he-IL"/>
                    </w:rPr>
                  </w:pPr>
                  <w:r>
                    <w:rPr>
                      <w:color w:val="auto"/>
                      <w:szCs w:val="21"/>
                    </w:rPr>
                    <w:t>189</w:t>
                  </w:r>
                </w:p>
              </w:tc>
              <w:tc>
                <w:tcPr>
                  <w:tcW w:w="2080" w:type="dxa"/>
                  <w:vMerge w:val="continue"/>
                  <w:tcBorders>
                    <w:tl2br w:val="nil"/>
                    <w:tr2bl w:val="nil"/>
                  </w:tcBorders>
                  <w:vAlign w:val="center"/>
                </w:tcPr>
                <w:p w14:paraId="3538BC76">
                  <w:pPr>
                    <w:tabs>
                      <w:tab w:val="right" w:pos="8906"/>
                    </w:tabs>
                    <w:adjustRightInd w:val="0"/>
                    <w:snapToGrid w:val="0"/>
                    <w:jc w:val="center"/>
                    <w:rPr>
                      <w:color w:val="auto"/>
                      <w:szCs w:val="21"/>
                    </w:rPr>
                  </w:pPr>
                </w:p>
              </w:tc>
              <w:tc>
                <w:tcPr>
                  <w:tcW w:w="1311" w:type="dxa"/>
                  <w:vMerge w:val="restart"/>
                  <w:tcBorders>
                    <w:tl2br w:val="nil"/>
                    <w:tr2bl w:val="nil"/>
                  </w:tcBorders>
                  <w:vAlign w:val="center"/>
                </w:tcPr>
                <w:p w14:paraId="233B0BE9">
                  <w:pPr>
                    <w:tabs>
                      <w:tab w:val="right" w:pos="8906"/>
                    </w:tabs>
                    <w:adjustRightInd w:val="0"/>
                    <w:snapToGrid w:val="0"/>
                    <w:jc w:val="center"/>
                    <w:rPr>
                      <w:color w:val="auto"/>
                      <w:szCs w:val="21"/>
                    </w:rPr>
                  </w:pPr>
                  <w:r>
                    <w:rPr>
                      <w:color w:val="auto"/>
                      <w:szCs w:val="21"/>
                    </w:rPr>
                    <w:t>/</w:t>
                  </w:r>
                </w:p>
              </w:tc>
            </w:tr>
            <w:tr w14:paraId="0242072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23D2ABD6">
                  <w:pPr>
                    <w:adjustRightInd w:val="0"/>
                    <w:snapToGrid w:val="0"/>
                    <w:jc w:val="center"/>
                    <w:rPr>
                      <w:color w:val="auto"/>
                      <w:szCs w:val="21"/>
                    </w:rPr>
                  </w:pPr>
                </w:p>
              </w:tc>
              <w:tc>
                <w:tcPr>
                  <w:tcW w:w="2080" w:type="dxa"/>
                  <w:vMerge w:val="continue"/>
                  <w:tcBorders>
                    <w:tl2br w:val="nil"/>
                    <w:tr2bl w:val="nil"/>
                  </w:tcBorders>
                  <w:vAlign w:val="center"/>
                </w:tcPr>
                <w:p w14:paraId="5EA5CCEF">
                  <w:pPr>
                    <w:adjustRightInd w:val="0"/>
                    <w:snapToGrid w:val="0"/>
                    <w:jc w:val="center"/>
                    <w:rPr>
                      <w:color w:val="auto"/>
                      <w:szCs w:val="21"/>
                    </w:rPr>
                  </w:pPr>
                </w:p>
              </w:tc>
              <w:tc>
                <w:tcPr>
                  <w:tcW w:w="1208" w:type="dxa"/>
                  <w:vMerge w:val="continue"/>
                  <w:tcBorders>
                    <w:tl2br w:val="nil"/>
                    <w:tr2bl w:val="nil"/>
                  </w:tcBorders>
                  <w:vAlign w:val="center"/>
                </w:tcPr>
                <w:p w14:paraId="4C041084">
                  <w:pPr>
                    <w:adjustRightInd w:val="0"/>
                    <w:snapToGrid w:val="0"/>
                    <w:jc w:val="center"/>
                    <w:rPr>
                      <w:color w:val="auto"/>
                      <w:szCs w:val="21"/>
                    </w:rPr>
                  </w:pPr>
                </w:p>
              </w:tc>
              <w:tc>
                <w:tcPr>
                  <w:tcW w:w="1321" w:type="dxa"/>
                  <w:tcBorders>
                    <w:tl2br w:val="nil"/>
                    <w:tr2bl w:val="nil"/>
                  </w:tcBorders>
                  <w:vAlign w:val="center"/>
                </w:tcPr>
                <w:p w14:paraId="41A2F1D5">
                  <w:pPr>
                    <w:tabs>
                      <w:tab w:val="right" w:pos="8906"/>
                    </w:tabs>
                    <w:adjustRightInd w:val="0"/>
                    <w:snapToGrid w:val="0"/>
                    <w:jc w:val="center"/>
                    <w:rPr>
                      <w:color w:val="auto"/>
                      <w:spacing w:val="-5"/>
                      <w:szCs w:val="21"/>
                      <w:lang w:bidi="he-IL"/>
                    </w:rPr>
                  </w:pPr>
                  <w:r>
                    <w:rPr>
                      <w:color w:val="auto"/>
                      <w:szCs w:val="21"/>
                    </w:rPr>
                    <w:t>185</w:t>
                  </w:r>
                </w:p>
              </w:tc>
              <w:tc>
                <w:tcPr>
                  <w:tcW w:w="2080" w:type="dxa"/>
                  <w:vMerge w:val="continue"/>
                  <w:tcBorders>
                    <w:tl2br w:val="nil"/>
                    <w:tr2bl w:val="nil"/>
                  </w:tcBorders>
                  <w:vAlign w:val="center"/>
                </w:tcPr>
                <w:p w14:paraId="10CA869B">
                  <w:pPr>
                    <w:tabs>
                      <w:tab w:val="right" w:pos="8906"/>
                    </w:tabs>
                    <w:adjustRightInd w:val="0"/>
                    <w:snapToGrid w:val="0"/>
                    <w:jc w:val="center"/>
                    <w:rPr>
                      <w:color w:val="auto"/>
                      <w:szCs w:val="21"/>
                    </w:rPr>
                  </w:pPr>
                </w:p>
              </w:tc>
              <w:tc>
                <w:tcPr>
                  <w:tcW w:w="1311" w:type="dxa"/>
                  <w:vMerge w:val="continue"/>
                  <w:tcBorders>
                    <w:tl2br w:val="nil"/>
                    <w:tr2bl w:val="nil"/>
                  </w:tcBorders>
                  <w:vAlign w:val="center"/>
                </w:tcPr>
                <w:p w14:paraId="6FD361E3">
                  <w:pPr>
                    <w:tabs>
                      <w:tab w:val="right" w:pos="8906"/>
                    </w:tabs>
                    <w:adjustRightInd w:val="0"/>
                    <w:snapToGrid w:val="0"/>
                    <w:jc w:val="center"/>
                    <w:rPr>
                      <w:color w:val="auto"/>
                      <w:szCs w:val="21"/>
                    </w:rPr>
                  </w:pPr>
                </w:p>
              </w:tc>
            </w:tr>
            <w:tr w14:paraId="1F71EB5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330D1F3D">
                  <w:pPr>
                    <w:adjustRightInd w:val="0"/>
                    <w:snapToGrid w:val="0"/>
                    <w:jc w:val="center"/>
                    <w:rPr>
                      <w:color w:val="auto"/>
                      <w:szCs w:val="21"/>
                    </w:rPr>
                  </w:pPr>
                </w:p>
              </w:tc>
              <w:tc>
                <w:tcPr>
                  <w:tcW w:w="2080" w:type="dxa"/>
                  <w:vMerge w:val="continue"/>
                  <w:tcBorders>
                    <w:tl2br w:val="nil"/>
                    <w:tr2bl w:val="nil"/>
                  </w:tcBorders>
                  <w:vAlign w:val="center"/>
                </w:tcPr>
                <w:p w14:paraId="52FAC225">
                  <w:pPr>
                    <w:adjustRightInd w:val="0"/>
                    <w:snapToGrid w:val="0"/>
                    <w:jc w:val="center"/>
                    <w:rPr>
                      <w:color w:val="auto"/>
                      <w:szCs w:val="21"/>
                    </w:rPr>
                  </w:pPr>
                </w:p>
              </w:tc>
              <w:tc>
                <w:tcPr>
                  <w:tcW w:w="1208" w:type="dxa"/>
                  <w:vMerge w:val="continue"/>
                  <w:tcBorders>
                    <w:tl2br w:val="nil"/>
                    <w:tr2bl w:val="nil"/>
                  </w:tcBorders>
                  <w:vAlign w:val="center"/>
                </w:tcPr>
                <w:p w14:paraId="5A6EC359">
                  <w:pPr>
                    <w:adjustRightInd w:val="0"/>
                    <w:snapToGrid w:val="0"/>
                    <w:jc w:val="center"/>
                    <w:rPr>
                      <w:color w:val="auto"/>
                      <w:szCs w:val="21"/>
                    </w:rPr>
                  </w:pPr>
                </w:p>
              </w:tc>
              <w:tc>
                <w:tcPr>
                  <w:tcW w:w="1321" w:type="dxa"/>
                  <w:tcBorders>
                    <w:tl2br w:val="nil"/>
                    <w:tr2bl w:val="nil"/>
                  </w:tcBorders>
                  <w:vAlign w:val="center"/>
                </w:tcPr>
                <w:p w14:paraId="291D641E">
                  <w:pPr>
                    <w:tabs>
                      <w:tab w:val="right" w:pos="8906"/>
                    </w:tabs>
                    <w:adjustRightInd w:val="0"/>
                    <w:snapToGrid w:val="0"/>
                    <w:jc w:val="center"/>
                    <w:rPr>
                      <w:color w:val="auto"/>
                      <w:spacing w:val="-5"/>
                      <w:szCs w:val="21"/>
                      <w:lang w:bidi="he-IL"/>
                    </w:rPr>
                  </w:pPr>
                  <w:r>
                    <w:rPr>
                      <w:color w:val="auto"/>
                      <w:szCs w:val="21"/>
                    </w:rPr>
                    <w:t>207</w:t>
                  </w:r>
                </w:p>
              </w:tc>
              <w:tc>
                <w:tcPr>
                  <w:tcW w:w="2080" w:type="dxa"/>
                  <w:vMerge w:val="continue"/>
                  <w:tcBorders>
                    <w:tl2br w:val="nil"/>
                    <w:tr2bl w:val="nil"/>
                  </w:tcBorders>
                  <w:vAlign w:val="center"/>
                </w:tcPr>
                <w:p w14:paraId="05AF2014">
                  <w:pPr>
                    <w:tabs>
                      <w:tab w:val="right" w:pos="8906"/>
                    </w:tabs>
                    <w:adjustRightInd w:val="0"/>
                    <w:snapToGrid w:val="0"/>
                    <w:jc w:val="center"/>
                    <w:rPr>
                      <w:color w:val="auto"/>
                      <w:szCs w:val="21"/>
                    </w:rPr>
                  </w:pPr>
                </w:p>
              </w:tc>
              <w:tc>
                <w:tcPr>
                  <w:tcW w:w="1311" w:type="dxa"/>
                  <w:vMerge w:val="continue"/>
                  <w:tcBorders>
                    <w:tl2br w:val="nil"/>
                    <w:tr2bl w:val="nil"/>
                  </w:tcBorders>
                  <w:vAlign w:val="center"/>
                </w:tcPr>
                <w:p w14:paraId="28BF194B">
                  <w:pPr>
                    <w:tabs>
                      <w:tab w:val="right" w:pos="8906"/>
                    </w:tabs>
                    <w:adjustRightInd w:val="0"/>
                    <w:snapToGrid w:val="0"/>
                    <w:jc w:val="center"/>
                    <w:rPr>
                      <w:color w:val="auto"/>
                      <w:szCs w:val="21"/>
                    </w:rPr>
                  </w:pPr>
                </w:p>
              </w:tc>
            </w:tr>
            <w:tr w14:paraId="1462A5D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6AFFD695">
                  <w:pPr>
                    <w:adjustRightInd w:val="0"/>
                    <w:snapToGrid w:val="0"/>
                    <w:jc w:val="center"/>
                    <w:rPr>
                      <w:color w:val="auto"/>
                      <w:szCs w:val="21"/>
                    </w:rPr>
                  </w:pPr>
                </w:p>
              </w:tc>
              <w:tc>
                <w:tcPr>
                  <w:tcW w:w="2080" w:type="dxa"/>
                  <w:vMerge w:val="continue"/>
                  <w:tcBorders>
                    <w:tl2br w:val="nil"/>
                    <w:tr2bl w:val="nil"/>
                  </w:tcBorders>
                  <w:vAlign w:val="center"/>
                </w:tcPr>
                <w:p w14:paraId="5C969470">
                  <w:pPr>
                    <w:adjustRightInd w:val="0"/>
                    <w:snapToGrid w:val="0"/>
                    <w:jc w:val="center"/>
                    <w:rPr>
                      <w:color w:val="auto"/>
                      <w:szCs w:val="21"/>
                    </w:rPr>
                  </w:pPr>
                </w:p>
              </w:tc>
              <w:tc>
                <w:tcPr>
                  <w:tcW w:w="1208" w:type="dxa"/>
                  <w:vMerge w:val="continue"/>
                  <w:tcBorders>
                    <w:tl2br w:val="nil"/>
                    <w:tr2bl w:val="nil"/>
                  </w:tcBorders>
                  <w:vAlign w:val="center"/>
                </w:tcPr>
                <w:p w14:paraId="5EFAFDCF">
                  <w:pPr>
                    <w:adjustRightInd w:val="0"/>
                    <w:snapToGrid w:val="0"/>
                    <w:jc w:val="center"/>
                    <w:rPr>
                      <w:color w:val="auto"/>
                      <w:szCs w:val="21"/>
                    </w:rPr>
                  </w:pPr>
                </w:p>
              </w:tc>
              <w:tc>
                <w:tcPr>
                  <w:tcW w:w="1321" w:type="dxa"/>
                  <w:tcBorders>
                    <w:tl2br w:val="nil"/>
                    <w:tr2bl w:val="nil"/>
                  </w:tcBorders>
                  <w:vAlign w:val="center"/>
                </w:tcPr>
                <w:p w14:paraId="46123F02">
                  <w:pPr>
                    <w:tabs>
                      <w:tab w:val="right" w:pos="8906"/>
                    </w:tabs>
                    <w:adjustRightInd w:val="0"/>
                    <w:snapToGrid w:val="0"/>
                    <w:jc w:val="center"/>
                    <w:rPr>
                      <w:color w:val="auto"/>
                      <w:spacing w:val="-5"/>
                      <w:szCs w:val="21"/>
                      <w:lang w:bidi="he-IL"/>
                    </w:rPr>
                  </w:pPr>
                  <w:r>
                    <w:rPr>
                      <w:color w:val="auto"/>
                      <w:szCs w:val="21"/>
                    </w:rPr>
                    <w:t>211</w:t>
                  </w:r>
                </w:p>
              </w:tc>
              <w:tc>
                <w:tcPr>
                  <w:tcW w:w="2080" w:type="dxa"/>
                  <w:vMerge w:val="continue"/>
                  <w:tcBorders>
                    <w:tl2br w:val="nil"/>
                    <w:tr2bl w:val="nil"/>
                  </w:tcBorders>
                  <w:vAlign w:val="center"/>
                </w:tcPr>
                <w:p w14:paraId="08970F82">
                  <w:pPr>
                    <w:tabs>
                      <w:tab w:val="right" w:pos="8906"/>
                    </w:tabs>
                    <w:adjustRightInd w:val="0"/>
                    <w:snapToGrid w:val="0"/>
                    <w:jc w:val="center"/>
                    <w:rPr>
                      <w:color w:val="auto"/>
                      <w:szCs w:val="21"/>
                    </w:rPr>
                  </w:pPr>
                </w:p>
              </w:tc>
              <w:tc>
                <w:tcPr>
                  <w:tcW w:w="1311" w:type="dxa"/>
                  <w:vMerge w:val="continue"/>
                  <w:tcBorders>
                    <w:tl2br w:val="nil"/>
                    <w:tr2bl w:val="nil"/>
                  </w:tcBorders>
                  <w:vAlign w:val="center"/>
                </w:tcPr>
                <w:p w14:paraId="6205DCCA">
                  <w:pPr>
                    <w:tabs>
                      <w:tab w:val="right" w:pos="8906"/>
                    </w:tabs>
                    <w:adjustRightInd w:val="0"/>
                    <w:snapToGrid w:val="0"/>
                    <w:jc w:val="center"/>
                    <w:rPr>
                      <w:color w:val="auto"/>
                      <w:szCs w:val="21"/>
                    </w:rPr>
                  </w:pPr>
                </w:p>
              </w:tc>
            </w:tr>
            <w:tr w14:paraId="7BF1F7C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79D0D195">
                  <w:pPr>
                    <w:adjustRightInd w:val="0"/>
                    <w:snapToGrid w:val="0"/>
                    <w:jc w:val="center"/>
                    <w:rPr>
                      <w:color w:val="auto"/>
                      <w:szCs w:val="21"/>
                    </w:rPr>
                  </w:pPr>
                </w:p>
              </w:tc>
              <w:tc>
                <w:tcPr>
                  <w:tcW w:w="2080" w:type="dxa"/>
                  <w:vMerge w:val="continue"/>
                  <w:tcBorders>
                    <w:tl2br w:val="nil"/>
                    <w:tr2bl w:val="nil"/>
                  </w:tcBorders>
                  <w:vAlign w:val="center"/>
                </w:tcPr>
                <w:p w14:paraId="05F735C2">
                  <w:pPr>
                    <w:adjustRightInd w:val="0"/>
                    <w:snapToGrid w:val="0"/>
                    <w:jc w:val="center"/>
                    <w:rPr>
                      <w:color w:val="auto"/>
                      <w:szCs w:val="21"/>
                    </w:rPr>
                  </w:pPr>
                </w:p>
              </w:tc>
              <w:tc>
                <w:tcPr>
                  <w:tcW w:w="1208" w:type="dxa"/>
                  <w:vMerge w:val="continue"/>
                  <w:tcBorders>
                    <w:tl2br w:val="nil"/>
                    <w:tr2bl w:val="nil"/>
                  </w:tcBorders>
                  <w:vAlign w:val="center"/>
                </w:tcPr>
                <w:p w14:paraId="646777BF">
                  <w:pPr>
                    <w:adjustRightInd w:val="0"/>
                    <w:snapToGrid w:val="0"/>
                    <w:jc w:val="center"/>
                    <w:rPr>
                      <w:color w:val="auto"/>
                      <w:szCs w:val="21"/>
                    </w:rPr>
                  </w:pPr>
                </w:p>
              </w:tc>
              <w:tc>
                <w:tcPr>
                  <w:tcW w:w="1321" w:type="dxa"/>
                  <w:tcBorders>
                    <w:tl2br w:val="nil"/>
                    <w:tr2bl w:val="nil"/>
                  </w:tcBorders>
                  <w:vAlign w:val="center"/>
                </w:tcPr>
                <w:p w14:paraId="604D2CE3">
                  <w:pPr>
                    <w:tabs>
                      <w:tab w:val="right" w:pos="8906"/>
                    </w:tabs>
                    <w:adjustRightInd w:val="0"/>
                    <w:snapToGrid w:val="0"/>
                    <w:jc w:val="center"/>
                    <w:rPr>
                      <w:color w:val="auto"/>
                      <w:spacing w:val="-5"/>
                      <w:szCs w:val="21"/>
                      <w:lang w:bidi="he-IL"/>
                    </w:rPr>
                  </w:pPr>
                  <w:r>
                    <w:rPr>
                      <w:color w:val="auto"/>
                      <w:szCs w:val="21"/>
                    </w:rPr>
                    <w:t>225</w:t>
                  </w:r>
                </w:p>
              </w:tc>
              <w:tc>
                <w:tcPr>
                  <w:tcW w:w="2080" w:type="dxa"/>
                  <w:vMerge w:val="continue"/>
                  <w:tcBorders>
                    <w:tl2br w:val="nil"/>
                    <w:tr2bl w:val="nil"/>
                  </w:tcBorders>
                  <w:vAlign w:val="center"/>
                </w:tcPr>
                <w:p w14:paraId="03765BBA">
                  <w:pPr>
                    <w:tabs>
                      <w:tab w:val="right" w:pos="8906"/>
                    </w:tabs>
                    <w:adjustRightInd w:val="0"/>
                    <w:snapToGrid w:val="0"/>
                    <w:jc w:val="center"/>
                    <w:rPr>
                      <w:color w:val="auto"/>
                      <w:szCs w:val="21"/>
                    </w:rPr>
                  </w:pPr>
                </w:p>
              </w:tc>
              <w:tc>
                <w:tcPr>
                  <w:tcW w:w="1311" w:type="dxa"/>
                  <w:vMerge w:val="continue"/>
                  <w:tcBorders>
                    <w:tl2br w:val="nil"/>
                    <w:tr2bl w:val="nil"/>
                  </w:tcBorders>
                  <w:vAlign w:val="center"/>
                </w:tcPr>
                <w:p w14:paraId="2AE49DD8">
                  <w:pPr>
                    <w:tabs>
                      <w:tab w:val="right" w:pos="8906"/>
                    </w:tabs>
                    <w:adjustRightInd w:val="0"/>
                    <w:snapToGrid w:val="0"/>
                    <w:jc w:val="center"/>
                    <w:rPr>
                      <w:color w:val="auto"/>
                      <w:szCs w:val="21"/>
                    </w:rPr>
                  </w:pPr>
                </w:p>
              </w:tc>
            </w:tr>
            <w:tr w14:paraId="2846882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4E4EE6C7">
                  <w:pPr>
                    <w:adjustRightInd w:val="0"/>
                    <w:snapToGrid w:val="0"/>
                    <w:jc w:val="center"/>
                    <w:rPr>
                      <w:color w:val="auto"/>
                      <w:szCs w:val="21"/>
                    </w:rPr>
                  </w:pPr>
                </w:p>
              </w:tc>
              <w:tc>
                <w:tcPr>
                  <w:tcW w:w="2080" w:type="dxa"/>
                  <w:vMerge w:val="continue"/>
                  <w:tcBorders>
                    <w:tl2br w:val="nil"/>
                    <w:tr2bl w:val="nil"/>
                  </w:tcBorders>
                  <w:vAlign w:val="center"/>
                </w:tcPr>
                <w:p w14:paraId="16D1A8C1">
                  <w:pPr>
                    <w:adjustRightInd w:val="0"/>
                    <w:snapToGrid w:val="0"/>
                    <w:jc w:val="center"/>
                    <w:rPr>
                      <w:color w:val="auto"/>
                      <w:szCs w:val="21"/>
                    </w:rPr>
                  </w:pPr>
                </w:p>
              </w:tc>
              <w:tc>
                <w:tcPr>
                  <w:tcW w:w="1208" w:type="dxa"/>
                  <w:vMerge w:val="continue"/>
                  <w:tcBorders>
                    <w:tl2br w:val="nil"/>
                    <w:tr2bl w:val="nil"/>
                  </w:tcBorders>
                  <w:vAlign w:val="center"/>
                </w:tcPr>
                <w:p w14:paraId="58BEADC1">
                  <w:pPr>
                    <w:adjustRightInd w:val="0"/>
                    <w:snapToGrid w:val="0"/>
                    <w:jc w:val="center"/>
                    <w:rPr>
                      <w:color w:val="auto"/>
                      <w:szCs w:val="21"/>
                    </w:rPr>
                  </w:pPr>
                </w:p>
              </w:tc>
              <w:tc>
                <w:tcPr>
                  <w:tcW w:w="1321" w:type="dxa"/>
                  <w:tcBorders>
                    <w:tl2br w:val="nil"/>
                    <w:tr2bl w:val="nil"/>
                  </w:tcBorders>
                  <w:vAlign w:val="center"/>
                </w:tcPr>
                <w:p w14:paraId="3EBB68E7">
                  <w:pPr>
                    <w:tabs>
                      <w:tab w:val="right" w:pos="8906"/>
                    </w:tabs>
                    <w:adjustRightInd w:val="0"/>
                    <w:snapToGrid w:val="0"/>
                    <w:jc w:val="center"/>
                    <w:rPr>
                      <w:color w:val="auto"/>
                      <w:spacing w:val="-5"/>
                      <w:szCs w:val="21"/>
                      <w:lang w:bidi="he-IL"/>
                    </w:rPr>
                  </w:pPr>
                  <w:r>
                    <w:rPr>
                      <w:color w:val="auto"/>
                      <w:szCs w:val="21"/>
                    </w:rPr>
                    <w:t>238</w:t>
                  </w:r>
                </w:p>
              </w:tc>
              <w:tc>
                <w:tcPr>
                  <w:tcW w:w="2080" w:type="dxa"/>
                  <w:vMerge w:val="continue"/>
                  <w:tcBorders>
                    <w:tl2br w:val="nil"/>
                    <w:tr2bl w:val="nil"/>
                  </w:tcBorders>
                  <w:vAlign w:val="center"/>
                </w:tcPr>
                <w:p w14:paraId="20821003">
                  <w:pPr>
                    <w:tabs>
                      <w:tab w:val="right" w:pos="8906"/>
                    </w:tabs>
                    <w:adjustRightInd w:val="0"/>
                    <w:snapToGrid w:val="0"/>
                    <w:jc w:val="center"/>
                    <w:rPr>
                      <w:color w:val="auto"/>
                      <w:szCs w:val="21"/>
                    </w:rPr>
                  </w:pPr>
                </w:p>
              </w:tc>
              <w:tc>
                <w:tcPr>
                  <w:tcW w:w="1311" w:type="dxa"/>
                  <w:vMerge w:val="continue"/>
                  <w:tcBorders>
                    <w:tl2br w:val="nil"/>
                    <w:tr2bl w:val="nil"/>
                  </w:tcBorders>
                  <w:vAlign w:val="center"/>
                </w:tcPr>
                <w:p w14:paraId="7EDA0F9C">
                  <w:pPr>
                    <w:tabs>
                      <w:tab w:val="right" w:pos="8906"/>
                    </w:tabs>
                    <w:adjustRightInd w:val="0"/>
                    <w:snapToGrid w:val="0"/>
                    <w:jc w:val="center"/>
                    <w:rPr>
                      <w:color w:val="auto"/>
                      <w:szCs w:val="21"/>
                    </w:rPr>
                  </w:pPr>
                </w:p>
              </w:tc>
            </w:tr>
            <w:tr w14:paraId="64E9E9D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7F0C9D18">
                  <w:pPr>
                    <w:adjustRightInd w:val="0"/>
                    <w:snapToGrid w:val="0"/>
                    <w:jc w:val="center"/>
                    <w:rPr>
                      <w:color w:val="auto"/>
                      <w:szCs w:val="21"/>
                    </w:rPr>
                  </w:pPr>
                </w:p>
              </w:tc>
              <w:tc>
                <w:tcPr>
                  <w:tcW w:w="2080" w:type="dxa"/>
                  <w:vMerge w:val="continue"/>
                  <w:tcBorders>
                    <w:tl2br w:val="nil"/>
                    <w:tr2bl w:val="nil"/>
                  </w:tcBorders>
                  <w:vAlign w:val="center"/>
                </w:tcPr>
                <w:p w14:paraId="22F18195">
                  <w:pPr>
                    <w:adjustRightInd w:val="0"/>
                    <w:snapToGrid w:val="0"/>
                    <w:jc w:val="center"/>
                    <w:rPr>
                      <w:color w:val="auto"/>
                      <w:szCs w:val="21"/>
                    </w:rPr>
                  </w:pPr>
                </w:p>
              </w:tc>
              <w:tc>
                <w:tcPr>
                  <w:tcW w:w="1208" w:type="dxa"/>
                  <w:vMerge w:val="continue"/>
                  <w:tcBorders>
                    <w:tl2br w:val="nil"/>
                    <w:tr2bl w:val="nil"/>
                  </w:tcBorders>
                  <w:vAlign w:val="center"/>
                </w:tcPr>
                <w:p w14:paraId="70622A38">
                  <w:pPr>
                    <w:adjustRightInd w:val="0"/>
                    <w:snapToGrid w:val="0"/>
                    <w:jc w:val="center"/>
                    <w:rPr>
                      <w:color w:val="auto"/>
                      <w:szCs w:val="21"/>
                    </w:rPr>
                  </w:pPr>
                </w:p>
              </w:tc>
              <w:tc>
                <w:tcPr>
                  <w:tcW w:w="1321" w:type="dxa"/>
                  <w:tcBorders>
                    <w:tl2br w:val="nil"/>
                    <w:tr2bl w:val="nil"/>
                  </w:tcBorders>
                  <w:vAlign w:val="center"/>
                </w:tcPr>
                <w:p w14:paraId="1F4DA8CD">
                  <w:pPr>
                    <w:tabs>
                      <w:tab w:val="right" w:pos="8906"/>
                    </w:tabs>
                    <w:adjustRightInd w:val="0"/>
                    <w:snapToGrid w:val="0"/>
                    <w:jc w:val="center"/>
                    <w:rPr>
                      <w:color w:val="auto"/>
                      <w:spacing w:val="-5"/>
                      <w:szCs w:val="21"/>
                      <w:lang w:bidi="he-IL"/>
                    </w:rPr>
                  </w:pPr>
                  <w:r>
                    <w:rPr>
                      <w:color w:val="auto"/>
                      <w:szCs w:val="21"/>
                    </w:rPr>
                    <w:t>200</w:t>
                  </w:r>
                </w:p>
              </w:tc>
              <w:tc>
                <w:tcPr>
                  <w:tcW w:w="2080" w:type="dxa"/>
                  <w:vMerge w:val="continue"/>
                  <w:tcBorders>
                    <w:tl2br w:val="nil"/>
                    <w:tr2bl w:val="nil"/>
                  </w:tcBorders>
                  <w:vAlign w:val="center"/>
                </w:tcPr>
                <w:p w14:paraId="78390ADB">
                  <w:pPr>
                    <w:tabs>
                      <w:tab w:val="right" w:pos="8906"/>
                    </w:tabs>
                    <w:adjustRightInd w:val="0"/>
                    <w:snapToGrid w:val="0"/>
                    <w:jc w:val="center"/>
                    <w:rPr>
                      <w:color w:val="auto"/>
                      <w:szCs w:val="21"/>
                    </w:rPr>
                  </w:pPr>
                </w:p>
              </w:tc>
              <w:tc>
                <w:tcPr>
                  <w:tcW w:w="1311" w:type="dxa"/>
                  <w:vMerge w:val="continue"/>
                  <w:tcBorders>
                    <w:tl2br w:val="nil"/>
                    <w:tr2bl w:val="nil"/>
                  </w:tcBorders>
                  <w:vAlign w:val="center"/>
                </w:tcPr>
                <w:p w14:paraId="6E1B0C50">
                  <w:pPr>
                    <w:tabs>
                      <w:tab w:val="right" w:pos="8906"/>
                    </w:tabs>
                    <w:adjustRightInd w:val="0"/>
                    <w:snapToGrid w:val="0"/>
                    <w:jc w:val="center"/>
                    <w:rPr>
                      <w:color w:val="auto"/>
                      <w:szCs w:val="21"/>
                    </w:rPr>
                  </w:pPr>
                </w:p>
              </w:tc>
            </w:tr>
            <w:tr w14:paraId="638966C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324CF2F6">
                  <w:pPr>
                    <w:adjustRightInd w:val="0"/>
                    <w:snapToGrid w:val="0"/>
                    <w:jc w:val="center"/>
                    <w:rPr>
                      <w:color w:val="auto"/>
                      <w:szCs w:val="21"/>
                    </w:rPr>
                  </w:pPr>
                </w:p>
              </w:tc>
              <w:tc>
                <w:tcPr>
                  <w:tcW w:w="2080" w:type="dxa"/>
                  <w:vMerge w:val="restart"/>
                  <w:tcBorders>
                    <w:tl2br w:val="nil"/>
                    <w:tr2bl w:val="nil"/>
                  </w:tcBorders>
                  <w:vAlign w:val="center"/>
                </w:tcPr>
                <w:p w14:paraId="000BB3C4">
                  <w:pPr>
                    <w:adjustRightInd w:val="0"/>
                    <w:snapToGrid w:val="0"/>
                    <w:jc w:val="center"/>
                    <w:rPr>
                      <w:color w:val="auto"/>
                      <w:szCs w:val="21"/>
                    </w:rPr>
                  </w:pPr>
                  <w:r>
                    <w:rPr>
                      <w:color w:val="auto"/>
                      <w:szCs w:val="21"/>
                    </w:rPr>
                    <w:t>2021-</w:t>
                  </w:r>
                  <w:r>
                    <w:rPr>
                      <w:rFonts w:hint="eastAsia"/>
                      <w:color w:val="auto"/>
                      <w:szCs w:val="21"/>
                    </w:rPr>
                    <w:t>6</w:t>
                  </w:r>
                  <w:r>
                    <w:rPr>
                      <w:color w:val="auto"/>
                      <w:szCs w:val="21"/>
                    </w:rPr>
                    <w:t>-</w:t>
                  </w:r>
                  <w:r>
                    <w:rPr>
                      <w:rFonts w:hint="eastAsia"/>
                      <w:color w:val="auto"/>
                      <w:szCs w:val="21"/>
                    </w:rPr>
                    <w:t>25~2021-6-26</w:t>
                  </w:r>
                </w:p>
              </w:tc>
              <w:tc>
                <w:tcPr>
                  <w:tcW w:w="1208" w:type="dxa"/>
                  <w:tcBorders>
                    <w:tl2br w:val="nil"/>
                    <w:tr2bl w:val="nil"/>
                  </w:tcBorders>
                  <w:vAlign w:val="center"/>
                </w:tcPr>
                <w:p w14:paraId="0021E77C">
                  <w:pPr>
                    <w:adjustRightInd w:val="0"/>
                    <w:snapToGrid w:val="0"/>
                    <w:jc w:val="center"/>
                    <w:rPr>
                      <w:color w:val="auto"/>
                      <w:szCs w:val="21"/>
                    </w:rPr>
                  </w:pPr>
                  <w:r>
                    <w:rPr>
                      <w:rFonts w:hint="eastAsia"/>
                      <w:color w:val="auto"/>
                      <w:szCs w:val="21"/>
                    </w:rPr>
                    <w:t>67</w:t>
                  </w:r>
                </w:p>
              </w:tc>
              <w:tc>
                <w:tcPr>
                  <w:tcW w:w="1321" w:type="dxa"/>
                  <w:tcBorders>
                    <w:tl2br w:val="nil"/>
                    <w:tr2bl w:val="nil"/>
                  </w:tcBorders>
                  <w:vAlign w:val="center"/>
                </w:tcPr>
                <w:p w14:paraId="72F7AE0B">
                  <w:pPr>
                    <w:tabs>
                      <w:tab w:val="right" w:pos="8906"/>
                    </w:tabs>
                    <w:adjustRightInd w:val="0"/>
                    <w:snapToGrid w:val="0"/>
                    <w:jc w:val="center"/>
                    <w:rPr>
                      <w:color w:val="auto"/>
                      <w:spacing w:val="-5"/>
                      <w:szCs w:val="21"/>
                      <w:lang w:bidi="he-IL"/>
                    </w:rPr>
                  </w:pPr>
                  <w:r>
                    <w:rPr>
                      <w:color w:val="auto"/>
                      <w:szCs w:val="21"/>
                    </w:rPr>
                    <w:t>216</w:t>
                  </w:r>
                </w:p>
              </w:tc>
              <w:tc>
                <w:tcPr>
                  <w:tcW w:w="2080" w:type="dxa"/>
                  <w:vMerge w:val="restart"/>
                  <w:tcBorders>
                    <w:tl2br w:val="nil"/>
                    <w:tr2bl w:val="nil"/>
                  </w:tcBorders>
                  <w:vAlign w:val="center"/>
                </w:tcPr>
                <w:p w14:paraId="08CB196E">
                  <w:pPr>
                    <w:autoSpaceDN w:val="0"/>
                    <w:adjustRightInd w:val="0"/>
                    <w:snapToGrid w:val="0"/>
                    <w:jc w:val="center"/>
                    <w:textAlignment w:val="center"/>
                    <w:rPr>
                      <w:color w:val="auto"/>
                      <w:szCs w:val="21"/>
                    </w:rPr>
                  </w:pPr>
                  <w:r>
                    <w:rPr>
                      <w:rFonts w:hint="eastAsia"/>
                      <w:color w:val="auto"/>
                      <w:szCs w:val="21"/>
                    </w:rPr>
                    <w:t>2</w:t>
                  </w:r>
                  <w:r>
                    <w:rPr>
                      <w:color w:val="auto"/>
                      <w:szCs w:val="21"/>
                    </w:rPr>
                    <w:t>021-</w:t>
                  </w:r>
                  <w:r>
                    <w:rPr>
                      <w:rFonts w:hint="eastAsia"/>
                      <w:color w:val="auto"/>
                      <w:szCs w:val="21"/>
                    </w:rPr>
                    <w:t>9</w:t>
                  </w:r>
                  <w:r>
                    <w:rPr>
                      <w:color w:val="auto"/>
                      <w:szCs w:val="21"/>
                    </w:rPr>
                    <w:t>-</w:t>
                  </w:r>
                  <w:r>
                    <w:rPr>
                      <w:rFonts w:hint="eastAsia"/>
                      <w:color w:val="auto"/>
                      <w:szCs w:val="21"/>
                    </w:rPr>
                    <w:t>23~2021-9-24</w:t>
                  </w:r>
                </w:p>
              </w:tc>
              <w:tc>
                <w:tcPr>
                  <w:tcW w:w="1311" w:type="dxa"/>
                  <w:tcBorders>
                    <w:tl2br w:val="nil"/>
                    <w:tr2bl w:val="nil"/>
                  </w:tcBorders>
                  <w:vAlign w:val="center"/>
                </w:tcPr>
                <w:p w14:paraId="18D5A998">
                  <w:pPr>
                    <w:tabs>
                      <w:tab w:val="right" w:pos="8906"/>
                    </w:tabs>
                    <w:adjustRightInd w:val="0"/>
                    <w:snapToGrid w:val="0"/>
                    <w:jc w:val="center"/>
                    <w:rPr>
                      <w:color w:val="auto"/>
                      <w:szCs w:val="21"/>
                    </w:rPr>
                  </w:pPr>
                  <w:r>
                    <w:rPr>
                      <w:rFonts w:hint="eastAsia"/>
                      <w:color w:val="auto"/>
                      <w:szCs w:val="21"/>
                    </w:rPr>
                    <w:t>28</w:t>
                  </w:r>
                </w:p>
              </w:tc>
            </w:tr>
            <w:tr w14:paraId="5B7CE08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47B7203D">
                  <w:pPr>
                    <w:adjustRightInd w:val="0"/>
                    <w:snapToGrid w:val="0"/>
                    <w:jc w:val="center"/>
                    <w:rPr>
                      <w:color w:val="auto"/>
                      <w:szCs w:val="21"/>
                    </w:rPr>
                  </w:pPr>
                </w:p>
              </w:tc>
              <w:tc>
                <w:tcPr>
                  <w:tcW w:w="2080" w:type="dxa"/>
                  <w:vMerge w:val="continue"/>
                  <w:tcBorders>
                    <w:tl2br w:val="nil"/>
                    <w:tr2bl w:val="nil"/>
                  </w:tcBorders>
                  <w:vAlign w:val="center"/>
                </w:tcPr>
                <w:p w14:paraId="14E5253A">
                  <w:pPr>
                    <w:adjustRightInd w:val="0"/>
                    <w:snapToGrid w:val="0"/>
                    <w:jc w:val="center"/>
                    <w:rPr>
                      <w:color w:val="auto"/>
                      <w:szCs w:val="21"/>
                    </w:rPr>
                  </w:pPr>
                </w:p>
              </w:tc>
              <w:tc>
                <w:tcPr>
                  <w:tcW w:w="1208" w:type="dxa"/>
                  <w:vMerge w:val="restart"/>
                  <w:tcBorders>
                    <w:tl2br w:val="nil"/>
                    <w:tr2bl w:val="nil"/>
                  </w:tcBorders>
                  <w:vAlign w:val="center"/>
                </w:tcPr>
                <w:p w14:paraId="4BC161C3">
                  <w:pPr>
                    <w:adjustRightInd w:val="0"/>
                    <w:snapToGrid w:val="0"/>
                    <w:jc w:val="center"/>
                    <w:rPr>
                      <w:color w:val="auto"/>
                      <w:szCs w:val="21"/>
                    </w:rPr>
                  </w:pPr>
                  <w:r>
                    <w:rPr>
                      <w:color w:val="auto"/>
                      <w:szCs w:val="21"/>
                    </w:rPr>
                    <w:t>/</w:t>
                  </w:r>
                </w:p>
              </w:tc>
              <w:tc>
                <w:tcPr>
                  <w:tcW w:w="1321" w:type="dxa"/>
                  <w:tcBorders>
                    <w:tl2br w:val="nil"/>
                    <w:tr2bl w:val="nil"/>
                  </w:tcBorders>
                  <w:vAlign w:val="center"/>
                </w:tcPr>
                <w:p w14:paraId="0636A21D">
                  <w:pPr>
                    <w:tabs>
                      <w:tab w:val="right" w:pos="8906"/>
                    </w:tabs>
                    <w:adjustRightInd w:val="0"/>
                    <w:snapToGrid w:val="0"/>
                    <w:jc w:val="center"/>
                    <w:rPr>
                      <w:color w:val="auto"/>
                      <w:spacing w:val="-5"/>
                      <w:szCs w:val="21"/>
                      <w:lang w:bidi="he-IL"/>
                    </w:rPr>
                  </w:pPr>
                  <w:r>
                    <w:rPr>
                      <w:color w:val="auto"/>
                      <w:szCs w:val="21"/>
                    </w:rPr>
                    <w:t>192</w:t>
                  </w:r>
                </w:p>
              </w:tc>
              <w:tc>
                <w:tcPr>
                  <w:tcW w:w="2080" w:type="dxa"/>
                  <w:vMerge w:val="continue"/>
                  <w:tcBorders>
                    <w:tl2br w:val="nil"/>
                    <w:tr2bl w:val="nil"/>
                  </w:tcBorders>
                  <w:vAlign w:val="center"/>
                </w:tcPr>
                <w:p w14:paraId="7F6F5EE9">
                  <w:pPr>
                    <w:tabs>
                      <w:tab w:val="right" w:pos="8906"/>
                    </w:tabs>
                    <w:adjustRightInd w:val="0"/>
                    <w:snapToGrid w:val="0"/>
                    <w:jc w:val="center"/>
                    <w:rPr>
                      <w:color w:val="auto"/>
                      <w:szCs w:val="21"/>
                    </w:rPr>
                  </w:pPr>
                </w:p>
              </w:tc>
              <w:tc>
                <w:tcPr>
                  <w:tcW w:w="1311" w:type="dxa"/>
                  <w:vMerge w:val="restart"/>
                  <w:tcBorders>
                    <w:tl2br w:val="nil"/>
                    <w:tr2bl w:val="nil"/>
                  </w:tcBorders>
                  <w:vAlign w:val="center"/>
                </w:tcPr>
                <w:p w14:paraId="5BF7F40A">
                  <w:pPr>
                    <w:tabs>
                      <w:tab w:val="right" w:pos="8906"/>
                    </w:tabs>
                    <w:adjustRightInd w:val="0"/>
                    <w:snapToGrid w:val="0"/>
                    <w:jc w:val="center"/>
                    <w:rPr>
                      <w:color w:val="auto"/>
                      <w:szCs w:val="21"/>
                    </w:rPr>
                  </w:pPr>
                  <w:r>
                    <w:rPr>
                      <w:color w:val="auto"/>
                      <w:szCs w:val="21"/>
                    </w:rPr>
                    <w:t>/</w:t>
                  </w:r>
                </w:p>
              </w:tc>
            </w:tr>
            <w:tr w14:paraId="6B7C494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32A497D4">
                  <w:pPr>
                    <w:adjustRightInd w:val="0"/>
                    <w:snapToGrid w:val="0"/>
                    <w:jc w:val="center"/>
                    <w:rPr>
                      <w:color w:val="auto"/>
                      <w:szCs w:val="21"/>
                    </w:rPr>
                  </w:pPr>
                </w:p>
              </w:tc>
              <w:tc>
                <w:tcPr>
                  <w:tcW w:w="2080" w:type="dxa"/>
                  <w:vMerge w:val="continue"/>
                  <w:tcBorders>
                    <w:tl2br w:val="nil"/>
                    <w:tr2bl w:val="nil"/>
                  </w:tcBorders>
                  <w:vAlign w:val="center"/>
                </w:tcPr>
                <w:p w14:paraId="51C03F2D">
                  <w:pPr>
                    <w:adjustRightInd w:val="0"/>
                    <w:snapToGrid w:val="0"/>
                    <w:jc w:val="center"/>
                    <w:rPr>
                      <w:color w:val="auto"/>
                      <w:szCs w:val="21"/>
                    </w:rPr>
                  </w:pPr>
                </w:p>
              </w:tc>
              <w:tc>
                <w:tcPr>
                  <w:tcW w:w="1208" w:type="dxa"/>
                  <w:vMerge w:val="continue"/>
                  <w:tcBorders>
                    <w:tl2br w:val="nil"/>
                    <w:tr2bl w:val="nil"/>
                  </w:tcBorders>
                  <w:vAlign w:val="center"/>
                </w:tcPr>
                <w:p w14:paraId="1DC28F6B">
                  <w:pPr>
                    <w:adjustRightInd w:val="0"/>
                    <w:snapToGrid w:val="0"/>
                    <w:jc w:val="center"/>
                    <w:rPr>
                      <w:color w:val="auto"/>
                      <w:szCs w:val="21"/>
                    </w:rPr>
                  </w:pPr>
                </w:p>
              </w:tc>
              <w:tc>
                <w:tcPr>
                  <w:tcW w:w="1321" w:type="dxa"/>
                  <w:tcBorders>
                    <w:tl2br w:val="nil"/>
                    <w:tr2bl w:val="nil"/>
                  </w:tcBorders>
                  <w:vAlign w:val="center"/>
                </w:tcPr>
                <w:p w14:paraId="540B7058">
                  <w:pPr>
                    <w:tabs>
                      <w:tab w:val="right" w:pos="8906"/>
                    </w:tabs>
                    <w:adjustRightInd w:val="0"/>
                    <w:snapToGrid w:val="0"/>
                    <w:jc w:val="center"/>
                    <w:rPr>
                      <w:color w:val="auto"/>
                      <w:spacing w:val="-5"/>
                      <w:szCs w:val="21"/>
                      <w:lang w:bidi="he-IL"/>
                    </w:rPr>
                  </w:pPr>
                  <w:r>
                    <w:rPr>
                      <w:color w:val="auto"/>
                      <w:szCs w:val="21"/>
                    </w:rPr>
                    <w:t>218</w:t>
                  </w:r>
                </w:p>
              </w:tc>
              <w:tc>
                <w:tcPr>
                  <w:tcW w:w="2080" w:type="dxa"/>
                  <w:vMerge w:val="continue"/>
                  <w:tcBorders>
                    <w:tl2br w:val="nil"/>
                    <w:tr2bl w:val="nil"/>
                  </w:tcBorders>
                  <w:vAlign w:val="center"/>
                </w:tcPr>
                <w:p w14:paraId="3A010CFB">
                  <w:pPr>
                    <w:tabs>
                      <w:tab w:val="right" w:pos="8906"/>
                    </w:tabs>
                    <w:adjustRightInd w:val="0"/>
                    <w:snapToGrid w:val="0"/>
                    <w:jc w:val="center"/>
                    <w:rPr>
                      <w:color w:val="auto"/>
                      <w:szCs w:val="21"/>
                    </w:rPr>
                  </w:pPr>
                </w:p>
              </w:tc>
              <w:tc>
                <w:tcPr>
                  <w:tcW w:w="1311" w:type="dxa"/>
                  <w:vMerge w:val="continue"/>
                  <w:tcBorders>
                    <w:tl2br w:val="nil"/>
                    <w:tr2bl w:val="nil"/>
                  </w:tcBorders>
                  <w:vAlign w:val="center"/>
                </w:tcPr>
                <w:p w14:paraId="48EFF85C">
                  <w:pPr>
                    <w:tabs>
                      <w:tab w:val="right" w:pos="8906"/>
                    </w:tabs>
                    <w:adjustRightInd w:val="0"/>
                    <w:snapToGrid w:val="0"/>
                    <w:jc w:val="center"/>
                    <w:rPr>
                      <w:color w:val="auto"/>
                      <w:szCs w:val="21"/>
                    </w:rPr>
                  </w:pPr>
                </w:p>
              </w:tc>
            </w:tr>
            <w:tr w14:paraId="51D1527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3711D50C">
                  <w:pPr>
                    <w:adjustRightInd w:val="0"/>
                    <w:snapToGrid w:val="0"/>
                    <w:jc w:val="center"/>
                    <w:rPr>
                      <w:color w:val="auto"/>
                      <w:szCs w:val="21"/>
                    </w:rPr>
                  </w:pPr>
                </w:p>
              </w:tc>
              <w:tc>
                <w:tcPr>
                  <w:tcW w:w="2080" w:type="dxa"/>
                  <w:vMerge w:val="continue"/>
                  <w:tcBorders>
                    <w:tl2br w:val="nil"/>
                    <w:tr2bl w:val="nil"/>
                  </w:tcBorders>
                  <w:vAlign w:val="center"/>
                </w:tcPr>
                <w:p w14:paraId="2B374408">
                  <w:pPr>
                    <w:adjustRightInd w:val="0"/>
                    <w:snapToGrid w:val="0"/>
                    <w:jc w:val="center"/>
                    <w:rPr>
                      <w:color w:val="auto"/>
                      <w:szCs w:val="21"/>
                    </w:rPr>
                  </w:pPr>
                </w:p>
              </w:tc>
              <w:tc>
                <w:tcPr>
                  <w:tcW w:w="1208" w:type="dxa"/>
                  <w:vMerge w:val="continue"/>
                  <w:tcBorders>
                    <w:tl2br w:val="nil"/>
                    <w:tr2bl w:val="nil"/>
                  </w:tcBorders>
                  <w:vAlign w:val="center"/>
                </w:tcPr>
                <w:p w14:paraId="0FA5C322">
                  <w:pPr>
                    <w:adjustRightInd w:val="0"/>
                    <w:snapToGrid w:val="0"/>
                    <w:jc w:val="center"/>
                    <w:rPr>
                      <w:color w:val="auto"/>
                      <w:szCs w:val="21"/>
                    </w:rPr>
                  </w:pPr>
                </w:p>
              </w:tc>
              <w:tc>
                <w:tcPr>
                  <w:tcW w:w="1321" w:type="dxa"/>
                  <w:tcBorders>
                    <w:tl2br w:val="nil"/>
                    <w:tr2bl w:val="nil"/>
                  </w:tcBorders>
                  <w:vAlign w:val="center"/>
                </w:tcPr>
                <w:p w14:paraId="01DB1A2E">
                  <w:pPr>
                    <w:tabs>
                      <w:tab w:val="right" w:pos="8906"/>
                    </w:tabs>
                    <w:adjustRightInd w:val="0"/>
                    <w:snapToGrid w:val="0"/>
                    <w:jc w:val="center"/>
                    <w:rPr>
                      <w:color w:val="auto"/>
                      <w:spacing w:val="-5"/>
                      <w:szCs w:val="21"/>
                      <w:lang w:bidi="he-IL"/>
                    </w:rPr>
                  </w:pPr>
                  <w:r>
                    <w:rPr>
                      <w:color w:val="auto"/>
                      <w:szCs w:val="21"/>
                    </w:rPr>
                    <w:t>223</w:t>
                  </w:r>
                </w:p>
              </w:tc>
              <w:tc>
                <w:tcPr>
                  <w:tcW w:w="2080" w:type="dxa"/>
                  <w:vMerge w:val="continue"/>
                  <w:tcBorders>
                    <w:tl2br w:val="nil"/>
                    <w:tr2bl w:val="nil"/>
                  </w:tcBorders>
                  <w:vAlign w:val="center"/>
                </w:tcPr>
                <w:p w14:paraId="3E78DCE7">
                  <w:pPr>
                    <w:tabs>
                      <w:tab w:val="right" w:pos="8906"/>
                    </w:tabs>
                    <w:adjustRightInd w:val="0"/>
                    <w:snapToGrid w:val="0"/>
                    <w:jc w:val="center"/>
                    <w:rPr>
                      <w:color w:val="auto"/>
                      <w:szCs w:val="21"/>
                    </w:rPr>
                  </w:pPr>
                </w:p>
              </w:tc>
              <w:tc>
                <w:tcPr>
                  <w:tcW w:w="1311" w:type="dxa"/>
                  <w:vMerge w:val="continue"/>
                  <w:tcBorders>
                    <w:tl2br w:val="nil"/>
                    <w:tr2bl w:val="nil"/>
                  </w:tcBorders>
                  <w:vAlign w:val="center"/>
                </w:tcPr>
                <w:p w14:paraId="7DFD2686">
                  <w:pPr>
                    <w:tabs>
                      <w:tab w:val="right" w:pos="8906"/>
                    </w:tabs>
                    <w:adjustRightInd w:val="0"/>
                    <w:snapToGrid w:val="0"/>
                    <w:jc w:val="center"/>
                    <w:rPr>
                      <w:color w:val="auto"/>
                      <w:szCs w:val="21"/>
                    </w:rPr>
                  </w:pPr>
                </w:p>
              </w:tc>
            </w:tr>
            <w:tr w14:paraId="7ADE329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7AD13F9A">
                  <w:pPr>
                    <w:adjustRightInd w:val="0"/>
                    <w:snapToGrid w:val="0"/>
                    <w:jc w:val="center"/>
                    <w:rPr>
                      <w:color w:val="auto"/>
                      <w:szCs w:val="21"/>
                    </w:rPr>
                  </w:pPr>
                </w:p>
              </w:tc>
              <w:tc>
                <w:tcPr>
                  <w:tcW w:w="2080" w:type="dxa"/>
                  <w:vMerge w:val="continue"/>
                  <w:tcBorders>
                    <w:tl2br w:val="nil"/>
                    <w:tr2bl w:val="nil"/>
                  </w:tcBorders>
                  <w:vAlign w:val="center"/>
                </w:tcPr>
                <w:p w14:paraId="3464D6E7">
                  <w:pPr>
                    <w:adjustRightInd w:val="0"/>
                    <w:snapToGrid w:val="0"/>
                    <w:jc w:val="center"/>
                    <w:rPr>
                      <w:color w:val="auto"/>
                      <w:szCs w:val="21"/>
                    </w:rPr>
                  </w:pPr>
                </w:p>
              </w:tc>
              <w:tc>
                <w:tcPr>
                  <w:tcW w:w="1208" w:type="dxa"/>
                  <w:vMerge w:val="continue"/>
                  <w:tcBorders>
                    <w:tl2br w:val="nil"/>
                    <w:tr2bl w:val="nil"/>
                  </w:tcBorders>
                  <w:vAlign w:val="center"/>
                </w:tcPr>
                <w:p w14:paraId="41B3E61C">
                  <w:pPr>
                    <w:adjustRightInd w:val="0"/>
                    <w:snapToGrid w:val="0"/>
                    <w:jc w:val="center"/>
                    <w:rPr>
                      <w:color w:val="auto"/>
                      <w:szCs w:val="21"/>
                    </w:rPr>
                  </w:pPr>
                </w:p>
              </w:tc>
              <w:tc>
                <w:tcPr>
                  <w:tcW w:w="1321" w:type="dxa"/>
                  <w:tcBorders>
                    <w:tl2br w:val="nil"/>
                    <w:tr2bl w:val="nil"/>
                  </w:tcBorders>
                  <w:vAlign w:val="center"/>
                </w:tcPr>
                <w:p w14:paraId="7212B5B2">
                  <w:pPr>
                    <w:tabs>
                      <w:tab w:val="right" w:pos="8906"/>
                    </w:tabs>
                    <w:adjustRightInd w:val="0"/>
                    <w:snapToGrid w:val="0"/>
                    <w:jc w:val="center"/>
                    <w:rPr>
                      <w:color w:val="auto"/>
                      <w:spacing w:val="-5"/>
                      <w:szCs w:val="21"/>
                      <w:lang w:bidi="he-IL"/>
                    </w:rPr>
                  </w:pPr>
                  <w:r>
                    <w:rPr>
                      <w:color w:val="auto"/>
                      <w:szCs w:val="21"/>
                    </w:rPr>
                    <w:t>150</w:t>
                  </w:r>
                </w:p>
              </w:tc>
              <w:tc>
                <w:tcPr>
                  <w:tcW w:w="2080" w:type="dxa"/>
                  <w:vMerge w:val="continue"/>
                  <w:tcBorders>
                    <w:tl2br w:val="nil"/>
                    <w:tr2bl w:val="nil"/>
                  </w:tcBorders>
                  <w:vAlign w:val="center"/>
                </w:tcPr>
                <w:p w14:paraId="02536E08">
                  <w:pPr>
                    <w:tabs>
                      <w:tab w:val="right" w:pos="8906"/>
                    </w:tabs>
                    <w:adjustRightInd w:val="0"/>
                    <w:snapToGrid w:val="0"/>
                    <w:jc w:val="center"/>
                    <w:rPr>
                      <w:color w:val="auto"/>
                      <w:szCs w:val="21"/>
                    </w:rPr>
                  </w:pPr>
                </w:p>
              </w:tc>
              <w:tc>
                <w:tcPr>
                  <w:tcW w:w="1311" w:type="dxa"/>
                  <w:vMerge w:val="continue"/>
                  <w:tcBorders>
                    <w:tl2br w:val="nil"/>
                    <w:tr2bl w:val="nil"/>
                  </w:tcBorders>
                  <w:vAlign w:val="center"/>
                </w:tcPr>
                <w:p w14:paraId="70074960">
                  <w:pPr>
                    <w:tabs>
                      <w:tab w:val="right" w:pos="8906"/>
                    </w:tabs>
                    <w:adjustRightInd w:val="0"/>
                    <w:snapToGrid w:val="0"/>
                    <w:jc w:val="center"/>
                    <w:rPr>
                      <w:color w:val="auto"/>
                      <w:szCs w:val="21"/>
                    </w:rPr>
                  </w:pPr>
                </w:p>
              </w:tc>
            </w:tr>
            <w:tr w14:paraId="7C0CB67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733E30C9">
                  <w:pPr>
                    <w:adjustRightInd w:val="0"/>
                    <w:snapToGrid w:val="0"/>
                    <w:jc w:val="center"/>
                    <w:rPr>
                      <w:color w:val="auto"/>
                      <w:szCs w:val="21"/>
                    </w:rPr>
                  </w:pPr>
                </w:p>
              </w:tc>
              <w:tc>
                <w:tcPr>
                  <w:tcW w:w="2080" w:type="dxa"/>
                  <w:vMerge w:val="continue"/>
                  <w:tcBorders>
                    <w:tl2br w:val="nil"/>
                    <w:tr2bl w:val="nil"/>
                  </w:tcBorders>
                  <w:vAlign w:val="center"/>
                </w:tcPr>
                <w:p w14:paraId="7BBE8CF3">
                  <w:pPr>
                    <w:adjustRightInd w:val="0"/>
                    <w:snapToGrid w:val="0"/>
                    <w:jc w:val="center"/>
                    <w:rPr>
                      <w:color w:val="auto"/>
                      <w:szCs w:val="21"/>
                    </w:rPr>
                  </w:pPr>
                </w:p>
              </w:tc>
              <w:tc>
                <w:tcPr>
                  <w:tcW w:w="1208" w:type="dxa"/>
                  <w:vMerge w:val="continue"/>
                  <w:tcBorders>
                    <w:tl2br w:val="nil"/>
                    <w:tr2bl w:val="nil"/>
                  </w:tcBorders>
                  <w:vAlign w:val="center"/>
                </w:tcPr>
                <w:p w14:paraId="27ED2C7F">
                  <w:pPr>
                    <w:adjustRightInd w:val="0"/>
                    <w:snapToGrid w:val="0"/>
                    <w:jc w:val="center"/>
                    <w:rPr>
                      <w:color w:val="auto"/>
                      <w:szCs w:val="21"/>
                    </w:rPr>
                  </w:pPr>
                </w:p>
              </w:tc>
              <w:tc>
                <w:tcPr>
                  <w:tcW w:w="1321" w:type="dxa"/>
                  <w:tcBorders>
                    <w:tl2br w:val="nil"/>
                    <w:tr2bl w:val="nil"/>
                  </w:tcBorders>
                  <w:vAlign w:val="center"/>
                </w:tcPr>
                <w:p w14:paraId="10D1EC67">
                  <w:pPr>
                    <w:tabs>
                      <w:tab w:val="right" w:pos="8906"/>
                    </w:tabs>
                    <w:adjustRightInd w:val="0"/>
                    <w:snapToGrid w:val="0"/>
                    <w:jc w:val="center"/>
                    <w:rPr>
                      <w:color w:val="auto"/>
                      <w:spacing w:val="-5"/>
                      <w:szCs w:val="21"/>
                      <w:lang w:bidi="he-IL"/>
                    </w:rPr>
                  </w:pPr>
                  <w:r>
                    <w:rPr>
                      <w:color w:val="auto"/>
                      <w:szCs w:val="21"/>
                    </w:rPr>
                    <w:t>147</w:t>
                  </w:r>
                </w:p>
              </w:tc>
              <w:tc>
                <w:tcPr>
                  <w:tcW w:w="2080" w:type="dxa"/>
                  <w:vMerge w:val="continue"/>
                  <w:tcBorders>
                    <w:tl2br w:val="nil"/>
                    <w:tr2bl w:val="nil"/>
                  </w:tcBorders>
                  <w:vAlign w:val="center"/>
                </w:tcPr>
                <w:p w14:paraId="380E466A">
                  <w:pPr>
                    <w:tabs>
                      <w:tab w:val="right" w:pos="8906"/>
                    </w:tabs>
                    <w:adjustRightInd w:val="0"/>
                    <w:snapToGrid w:val="0"/>
                    <w:jc w:val="center"/>
                    <w:rPr>
                      <w:color w:val="auto"/>
                      <w:szCs w:val="21"/>
                    </w:rPr>
                  </w:pPr>
                </w:p>
              </w:tc>
              <w:tc>
                <w:tcPr>
                  <w:tcW w:w="1311" w:type="dxa"/>
                  <w:vMerge w:val="continue"/>
                  <w:tcBorders>
                    <w:tl2br w:val="nil"/>
                    <w:tr2bl w:val="nil"/>
                  </w:tcBorders>
                  <w:vAlign w:val="center"/>
                </w:tcPr>
                <w:p w14:paraId="3D849CAB">
                  <w:pPr>
                    <w:tabs>
                      <w:tab w:val="right" w:pos="8906"/>
                    </w:tabs>
                    <w:adjustRightInd w:val="0"/>
                    <w:snapToGrid w:val="0"/>
                    <w:jc w:val="center"/>
                    <w:rPr>
                      <w:color w:val="auto"/>
                      <w:szCs w:val="21"/>
                    </w:rPr>
                  </w:pPr>
                </w:p>
              </w:tc>
            </w:tr>
            <w:tr w14:paraId="6C4D4A1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161570D2">
                  <w:pPr>
                    <w:adjustRightInd w:val="0"/>
                    <w:snapToGrid w:val="0"/>
                    <w:jc w:val="center"/>
                    <w:rPr>
                      <w:color w:val="auto"/>
                      <w:szCs w:val="21"/>
                    </w:rPr>
                  </w:pPr>
                </w:p>
              </w:tc>
              <w:tc>
                <w:tcPr>
                  <w:tcW w:w="2080" w:type="dxa"/>
                  <w:vMerge w:val="continue"/>
                  <w:tcBorders>
                    <w:tl2br w:val="nil"/>
                    <w:tr2bl w:val="nil"/>
                  </w:tcBorders>
                  <w:vAlign w:val="center"/>
                </w:tcPr>
                <w:p w14:paraId="374A7626">
                  <w:pPr>
                    <w:adjustRightInd w:val="0"/>
                    <w:snapToGrid w:val="0"/>
                    <w:jc w:val="center"/>
                    <w:rPr>
                      <w:color w:val="auto"/>
                      <w:szCs w:val="21"/>
                    </w:rPr>
                  </w:pPr>
                </w:p>
              </w:tc>
              <w:tc>
                <w:tcPr>
                  <w:tcW w:w="1208" w:type="dxa"/>
                  <w:vMerge w:val="continue"/>
                  <w:tcBorders>
                    <w:tl2br w:val="nil"/>
                    <w:tr2bl w:val="nil"/>
                  </w:tcBorders>
                  <w:vAlign w:val="center"/>
                </w:tcPr>
                <w:p w14:paraId="512F1551">
                  <w:pPr>
                    <w:adjustRightInd w:val="0"/>
                    <w:snapToGrid w:val="0"/>
                    <w:jc w:val="center"/>
                    <w:rPr>
                      <w:color w:val="auto"/>
                      <w:szCs w:val="21"/>
                    </w:rPr>
                  </w:pPr>
                </w:p>
              </w:tc>
              <w:tc>
                <w:tcPr>
                  <w:tcW w:w="1321" w:type="dxa"/>
                  <w:tcBorders>
                    <w:tl2br w:val="nil"/>
                    <w:tr2bl w:val="nil"/>
                  </w:tcBorders>
                  <w:vAlign w:val="center"/>
                </w:tcPr>
                <w:p w14:paraId="077E12F2">
                  <w:pPr>
                    <w:tabs>
                      <w:tab w:val="right" w:pos="8906"/>
                    </w:tabs>
                    <w:adjustRightInd w:val="0"/>
                    <w:snapToGrid w:val="0"/>
                    <w:jc w:val="center"/>
                    <w:rPr>
                      <w:color w:val="auto"/>
                      <w:spacing w:val="-5"/>
                      <w:szCs w:val="21"/>
                      <w:lang w:bidi="he-IL"/>
                    </w:rPr>
                  </w:pPr>
                  <w:r>
                    <w:rPr>
                      <w:color w:val="auto"/>
                      <w:szCs w:val="21"/>
                    </w:rPr>
                    <w:t>191</w:t>
                  </w:r>
                </w:p>
              </w:tc>
              <w:tc>
                <w:tcPr>
                  <w:tcW w:w="2080" w:type="dxa"/>
                  <w:vMerge w:val="continue"/>
                  <w:tcBorders>
                    <w:tl2br w:val="nil"/>
                    <w:tr2bl w:val="nil"/>
                  </w:tcBorders>
                  <w:vAlign w:val="center"/>
                </w:tcPr>
                <w:p w14:paraId="050EDFE1">
                  <w:pPr>
                    <w:tabs>
                      <w:tab w:val="right" w:pos="8906"/>
                    </w:tabs>
                    <w:adjustRightInd w:val="0"/>
                    <w:snapToGrid w:val="0"/>
                    <w:jc w:val="center"/>
                    <w:rPr>
                      <w:color w:val="auto"/>
                      <w:szCs w:val="21"/>
                    </w:rPr>
                  </w:pPr>
                </w:p>
              </w:tc>
              <w:tc>
                <w:tcPr>
                  <w:tcW w:w="1311" w:type="dxa"/>
                  <w:vMerge w:val="continue"/>
                  <w:tcBorders>
                    <w:tl2br w:val="nil"/>
                    <w:tr2bl w:val="nil"/>
                  </w:tcBorders>
                  <w:vAlign w:val="center"/>
                </w:tcPr>
                <w:p w14:paraId="768D5498">
                  <w:pPr>
                    <w:tabs>
                      <w:tab w:val="right" w:pos="8906"/>
                    </w:tabs>
                    <w:adjustRightInd w:val="0"/>
                    <w:snapToGrid w:val="0"/>
                    <w:jc w:val="center"/>
                    <w:rPr>
                      <w:color w:val="auto"/>
                      <w:szCs w:val="21"/>
                    </w:rPr>
                  </w:pPr>
                </w:p>
              </w:tc>
            </w:tr>
            <w:tr w14:paraId="38BDA24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16CE0612">
                  <w:pPr>
                    <w:adjustRightInd w:val="0"/>
                    <w:snapToGrid w:val="0"/>
                    <w:jc w:val="center"/>
                    <w:rPr>
                      <w:color w:val="auto"/>
                      <w:szCs w:val="21"/>
                    </w:rPr>
                  </w:pPr>
                </w:p>
              </w:tc>
              <w:tc>
                <w:tcPr>
                  <w:tcW w:w="2080" w:type="dxa"/>
                  <w:vMerge w:val="continue"/>
                  <w:tcBorders>
                    <w:tl2br w:val="nil"/>
                    <w:tr2bl w:val="nil"/>
                  </w:tcBorders>
                  <w:vAlign w:val="center"/>
                </w:tcPr>
                <w:p w14:paraId="7AF996BA">
                  <w:pPr>
                    <w:adjustRightInd w:val="0"/>
                    <w:snapToGrid w:val="0"/>
                    <w:jc w:val="center"/>
                    <w:rPr>
                      <w:color w:val="auto"/>
                      <w:szCs w:val="21"/>
                    </w:rPr>
                  </w:pPr>
                </w:p>
              </w:tc>
              <w:tc>
                <w:tcPr>
                  <w:tcW w:w="1208" w:type="dxa"/>
                  <w:vMerge w:val="continue"/>
                  <w:tcBorders>
                    <w:tl2br w:val="nil"/>
                    <w:tr2bl w:val="nil"/>
                  </w:tcBorders>
                  <w:vAlign w:val="center"/>
                </w:tcPr>
                <w:p w14:paraId="3A72E12B">
                  <w:pPr>
                    <w:adjustRightInd w:val="0"/>
                    <w:snapToGrid w:val="0"/>
                    <w:jc w:val="center"/>
                    <w:rPr>
                      <w:color w:val="auto"/>
                      <w:szCs w:val="21"/>
                    </w:rPr>
                  </w:pPr>
                </w:p>
              </w:tc>
              <w:tc>
                <w:tcPr>
                  <w:tcW w:w="1321" w:type="dxa"/>
                  <w:tcBorders>
                    <w:tl2br w:val="nil"/>
                    <w:tr2bl w:val="nil"/>
                  </w:tcBorders>
                  <w:vAlign w:val="center"/>
                </w:tcPr>
                <w:p w14:paraId="5F798203">
                  <w:pPr>
                    <w:tabs>
                      <w:tab w:val="right" w:pos="8906"/>
                    </w:tabs>
                    <w:adjustRightInd w:val="0"/>
                    <w:snapToGrid w:val="0"/>
                    <w:jc w:val="center"/>
                    <w:rPr>
                      <w:color w:val="auto"/>
                      <w:spacing w:val="-5"/>
                      <w:szCs w:val="21"/>
                      <w:lang w:bidi="he-IL"/>
                    </w:rPr>
                  </w:pPr>
                  <w:r>
                    <w:rPr>
                      <w:color w:val="auto"/>
                      <w:szCs w:val="21"/>
                    </w:rPr>
                    <w:t>132</w:t>
                  </w:r>
                </w:p>
              </w:tc>
              <w:tc>
                <w:tcPr>
                  <w:tcW w:w="2080" w:type="dxa"/>
                  <w:vMerge w:val="continue"/>
                  <w:tcBorders>
                    <w:tl2br w:val="nil"/>
                    <w:tr2bl w:val="nil"/>
                  </w:tcBorders>
                  <w:vAlign w:val="center"/>
                </w:tcPr>
                <w:p w14:paraId="049F0AC9">
                  <w:pPr>
                    <w:tabs>
                      <w:tab w:val="right" w:pos="8906"/>
                    </w:tabs>
                    <w:adjustRightInd w:val="0"/>
                    <w:snapToGrid w:val="0"/>
                    <w:jc w:val="center"/>
                    <w:rPr>
                      <w:color w:val="auto"/>
                      <w:szCs w:val="21"/>
                    </w:rPr>
                  </w:pPr>
                </w:p>
              </w:tc>
              <w:tc>
                <w:tcPr>
                  <w:tcW w:w="1311" w:type="dxa"/>
                  <w:vMerge w:val="continue"/>
                  <w:tcBorders>
                    <w:tl2br w:val="nil"/>
                    <w:tr2bl w:val="nil"/>
                  </w:tcBorders>
                  <w:vAlign w:val="center"/>
                </w:tcPr>
                <w:p w14:paraId="3064C47F">
                  <w:pPr>
                    <w:tabs>
                      <w:tab w:val="right" w:pos="8906"/>
                    </w:tabs>
                    <w:adjustRightInd w:val="0"/>
                    <w:snapToGrid w:val="0"/>
                    <w:jc w:val="center"/>
                    <w:rPr>
                      <w:color w:val="auto"/>
                      <w:szCs w:val="21"/>
                    </w:rPr>
                  </w:pPr>
                </w:p>
              </w:tc>
            </w:tr>
            <w:tr w14:paraId="35A6E1D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4271605E">
                  <w:pPr>
                    <w:adjustRightInd w:val="0"/>
                    <w:snapToGrid w:val="0"/>
                    <w:jc w:val="center"/>
                    <w:rPr>
                      <w:color w:val="auto"/>
                      <w:szCs w:val="21"/>
                    </w:rPr>
                  </w:pPr>
                </w:p>
              </w:tc>
              <w:tc>
                <w:tcPr>
                  <w:tcW w:w="2080" w:type="dxa"/>
                  <w:vMerge w:val="restart"/>
                  <w:tcBorders>
                    <w:tl2br w:val="nil"/>
                    <w:tr2bl w:val="nil"/>
                  </w:tcBorders>
                  <w:vAlign w:val="center"/>
                </w:tcPr>
                <w:p w14:paraId="1B11D781">
                  <w:pPr>
                    <w:adjustRightInd w:val="0"/>
                    <w:snapToGrid w:val="0"/>
                    <w:jc w:val="center"/>
                    <w:rPr>
                      <w:color w:val="auto"/>
                      <w:szCs w:val="21"/>
                    </w:rPr>
                  </w:pPr>
                  <w:r>
                    <w:rPr>
                      <w:color w:val="auto"/>
                      <w:szCs w:val="21"/>
                    </w:rPr>
                    <w:t>2021-</w:t>
                  </w:r>
                  <w:r>
                    <w:rPr>
                      <w:rFonts w:hint="eastAsia"/>
                      <w:color w:val="auto"/>
                      <w:szCs w:val="21"/>
                    </w:rPr>
                    <w:t>6</w:t>
                  </w:r>
                  <w:r>
                    <w:rPr>
                      <w:color w:val="auto"/>
                      <w:szCs w:val="21"/>
                    </w:rPr>
                    <w:t>-</w:t>
                  </w:r>
                  <w:r>
                    <w:rPr>
                      <w:rFonts w:hint="eastAsia"/>
                      <w:color w:val="auto"/>
                      <w:szCs w:val="21"/>
                    </w:rPr>
                    <w:t>26~2021-6-27</w:t>
                  </w:r>
                </w:p>
              </w:tc>
              <w:tc>
                <w:tcPr>
                  <w:tcW w:w="1208" w:type="dxa"/>
                  <w:tcBorders>
                    <w:tl2br w:val="nil"/>
                    <w:tr2bl w:val="nil"/>
                  </w:tcBorders>
                  <w:vAlign w:val="center"/>
                </w:tcPr>
                <w:p w14:paraId="6443A726">
                  <w:pPr>
                    <w:adjustRightInd w:val="0"/>
                    <w:snapToGrid w:val="0"/>
                    <w:jc w:val="center"/>
                    <w:rPr>
                      <w:color w:val="auto"/>
                      <w:szCs w:val="21"/>
                    </w:rPr>
                  </w:pPr>
                  <w:r>
                    <w:rPr>
                      <w:rFonts w:hint="eastAsia"/>
                      <w:color w:val="auto"/>
                      <w:szCs w:val="21"/>
                    </w:rPr>
                    <w:t>61</w:t>
                  </w:r>
                </w:p>
              </w:tc>
              <w:tc>
                <w:tcPr>
                  <w:tcW w:w="1321" w:type="dxa"/>
                  <w:tcBorders>
                    <w:tl2br w:val="nil"/>
                    <w:tr2bl w:val="nil"/>
                  </w:tcBorders>
                  <w:vAlign w:val="center"/>
                </w:tcPr>
                <w:p w14:paraId="57B554F6">
                  <w:pPr>
                    <w:tabs>
                      <w:tab w:val="right" w:pos="8906"/>
                    </w:tabs>
                    <w:adjustRightInd w:val="0"/>
                    <w:snapToGrid w:val="0"/>
                    <w:jc w:val="center"/>
                    <w:rPr>
                      <w:color w:val="auto"/>
                      <w:spacing w:val="-5"/>
                      <w:szCs w:val="21"/>
                      <w:lang w:bidi="he-IL"/>
                    </w:rPr>
                  </w:pPr>
                  <w:r>
                    <w:rPr>
                      <w:color w:val="auto"/>
                      <w:szCs w:val="21"/>
                    </w:rPr>
                    <w:t>146</w:t>
                  </w:r>
                </w:p>
              </w:tc>
              <w:tc>
                <w:tcPr>
                  <w:tcW w:w="2080" w:type="dxa"/>
                  <w:vMerge w:val="restart"/>
                  <w:tcBorders>
                    <w:tl2br w:val="nil"/>
                    <w:tr2bl w:val="nil"/>
                  </w:tcBorders>
                  <w:vAlign w:val="center"/>
                </w:tcPr>
                <w:p w14:paraId="163768CE">
                  <w:pPr>
                    <w:autoSpaceDN w:val="0"/>
                    <w:adjustRightInd w:val="0"/>
                    <w:snapToGrid w:val="0"/>
                    <w:jc w:val="center"/>
                    <w:textAlignment w:val="center"/>
                    <w:rPr>
                      <w:color w:val="auto"/>
                      <w:szCs w:val="21"/>
                    </w:rPr>
                  </w:pPr>
                  <w:r>
                    <w:rPr>
                      <w:rFonts w:hint="eastAsia"/>
                      <w:color w:val="auto"/>
                      <w:szCs w:val="21"/>
                    </w:rPr>
                    <w:t>2</w:t>
                  </w:r>
                  <w:r>
                    <w:rPr>
                      <w:color w:val="auto"/>
                      <w:szCs w:val="21"/>
                    </w:rPr>
                    <w:t>021-</w:t>
                  </w:r>
                  <w:r>
                    <w:rPr>
                      <w:rFonts w:hint="eastAsia"/>
                      <w:color w:val="auto"/>
                      <w:szCs w:val="21"/>
                    </w:rPr>
                    <w:t>9</w:t>
                  </w:r>
                  <w:r>
                    <w:rPr>
                      <w:color w:val="auto"/>
                      <w:szCs w:val="21"/>
                    </w:rPr>
                    <w:t>-</w:t>
                  </w:r>
                  <w:r>
                    <w:rPr>
                      <w:rFonts w:hint="eastAsia"/>
                      <w:color w:val="auto"/>
                      <w:szCs w:val="21"/>
                    </w:rPr>
                    <w:t>24~2021-9-25</w:t>
                  </w:r>
                </w:p>
              </w:tc>
              <w:tc>
                <w:tcPr>
                  <w:tcW w:w="1311" w:type="dxa"/>
                  <w:tcBorders>
                    <w:tl2br w:val="nil"/>
                    <w:tr2bl w:val="nil"/>
                  </w:tcBorders>
                  <w:vAlign w:val="center"/>
                </w:tcPr>
                <w:p w14:paraId="2D7FFBB8">
                  <w:pPr>
                    <w:tabs>
                      <w:tab w:val="right" w:pos="8906"/>
                    </w:tabs>
                    <w:adjustRightInd w:val="0"/>
                    <w:snapToGrid w:val="0"/>
                    <w:jc w:val="center"/>
                    <w:rPr>
                      <w:color w:val="auto"/>
                      <w:szCs w:val="21"/>
                    </w:rPr>
                  </w:pPr>
                  <w:r>
                    <w:rPr>
                      <w:rFonts w:hint="eastAsia"/>
                      <w:color w:val="auto"/>
                      <w:szCs w:val="21"/>
                    </w:rPr>
                    <w:t>27</w:t>
                  </w:r>
                </w:p>
              </w:tc>
            </w:tr>
            <w:tr w14:paraId="37B2149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5EA2820E">
                  <w:pPr>
                    <w:adjustRightInd w:val="0"/>
                    <w:snapToGrid w:val="0"/>
                    <w:jc w:val="center"/>
                    <w:rPr>
                      <w:color w:val="auto"/>
                      <w:szCs w:val="21"/>
                    </w:rPr>
                  </w:pPr>
                </w:p>
              </w:tc>
              <w:tc>
                <w:tcPr>
                  <w:tcW w:w="2080" w:type="dxa"/>
                  <w:vMerge w:val="continue"/>
                  <w:tcBorders>
                    <w:tl2br w:val="nil"/>
                    <w:tr2bl w:val="nil"/>
                  </w:tcBorders>
                  <w:vAlign w:val="center"/>
                </w:tcPr>
                <w:p w14:paraId="5D99518D">
                  <w:pPr>
                    <w:adjustRightInd w:val="0"/>
                    <w:snapToGrid w:val="0"/>
                    <w:jc w:val="center"/>
                    <w:rPr>
                      <w:color w:val="auto"/>
                      <w:szCs w:val="21"/>
                    </w:rPr>
                  </w:pPr>
                </w:p>
              </w:tc>
              <w:tc>
                <w:tcPr>
                  <w:tcW w:w="1208" w:type="dxa"/>
                  <w:vMerge w:val="restart"/>
                  <w:tcBorders>
                    <w:tl2br w:val="nil"/>
                    <w:tr2bl w:val="nil"/>
                  </w:tcBorders>
                  <w:vAlign w:val="center"/>
                </w:tcPr>
                <w:p w14:paraId="331DDFF8">
                  <w:pPr>
                    <w:adjustRightInd w:val="0"/>
                    <w:snapToGrid w:val="0"/>
                    <w:jc w:val="center"/>
                    <w:rPr>
                      <w:color w:val="auto"/>
                      <w:szCs w:val="21"/>
                    </w:rPr>
                  </w:pPr>
                  <w:r>
                    <w:rPr>
                      <w:color w:val="auto"/>
                      <w:szCs w:val="21"/>
                    </w:rPr>
                    <w:t>/</w:t>
                  </w:r>
                </w:p>
              </w:tc>
              <w:tc>
                <w:tcPr>
                  <w:tcW w:w="1321" w:type="dxa"/>
                  <w:tcBorders>
                    <w:tl2br w:val="nil"/>
                    <w:tr2bl w:val="nil"/>
                  </w:tcBorders>
                  <w:vAlign w:val="center"/>
                </w:tcPr>
                <w:p w14:paraId="280CE453">
                  <w:pPr>
                    <w:tabs>
                      <w:tab w:val="right" w:pos="8906"/>
                    </w:tabs>
                    <w:adjustRightInd w:val="0"/>
                    <w:snapToGrid w:val="0"/>
                    <w:jc w:val="center"/>
                    <w:rPr>
                      <w:color w:val="auto"/>
                      <w:spacing w:val="-5"/>
                      <w:szCs w:val="21"/>
                      <w:lang w:bidi="he-IL"/>
                    </w:rPr>
                  </w:pPr>
                  <w:r>
                    <w:rPr>
                      <w:color w:val="auto"/>
                      <w:szCs w:val="21"/>
                    </w:rPr>
                    <w:t>157</w:t>
                  </w:r>
                </w:p>
              </w:tc>
              <w:tc>
                <w:tcPr>
                  <w:tcW w:w="2080" w:type="dxa"/>
                  <w:vMerge w:val="continue"/>
                  <w:tcBorders>
                    <w:tl2br w:val="nil"/>
                    <w:tr2bl w:val="nil"/>
                  </w:tcBorders>
                  <w:vAlign w:val="center"/>
                </w:tcPr>
                <w:p w14:paraId="35870634">
                  <w:pPr>
                    <w:tabs>
                      <w:tab w:val="right" w:pos="8906"/>
                    </w:tabs>
                    <w:adjustRightInd w:val="0"/>
                    <w:snapToGrid w:val="0"/>
                    <w:jc w:val="center"/>
                    <w:rPr>
                      <w:color w:val="auto"/>
                      <w:szCs w:val="21"/>
                    </w:rPr>
                  </w:pPr>
                </w:p>
              </w:tc>
              <w:tc>
                <w:tcPr>
                  <w:tcW w:w="1311" w:type="dxa"/>
                  <w:vMerge w:val="restart"/>
                  <w:tcBorders>
                    <w:tl2br w:val="nil"/>
                    <w:tr2bl w:val="nil"/>
                  </w:tcBorders>
                  <w:vAlign w:val="center"/>
                </w:tcPr>
                <w:p w14:paraId="3FB65FEF">
                  <w:pPr>
                    <w:tabs>
                      <w:tab w:val="right" w:pos="8906"/>
                    </w:tabs>
                    <w:adjustRightInd w:val="0"/>
                    <w:snapToGrid w:val="0"/>
                    <w:jc w:val="center"/>
                    <w:rPr>
                      <w:color w:val="auto"/>
                      <w:szCs w:val="21"/>
                    </w:rPr>
                  </w:pPr>
                  <w:r>
                    <w:rPr>
                      <w:color w:val="auto"/>
                      <w:szCs w:val="21"/>
                    </w:rPr>
                    <w:t>/</w:t>
                  </w:r>
                </w:p>
              </w:tc>
            </w:tr>
            <w:tr w14:paraId="2B1D2C8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28416D82">
                  <w:pPr>
                    <w:adjustRightInd w:val="0"/>
                    <w:snapToGrid w:val="0"/>
                    <w:jc w:val="center"/>
                    <w:rPr>
                      <w:color w:val="auto"/>
                      <w:szCs w:val="21"/>
                    </w:rPr>
                  </w:pPr>
                </w:p>
              </w:tc>
              <w:tc>
                <w:tcPr>
                  <w:tcW w:w="2080" w:type="dxa"/>
                  <w:vMerge w:val="continue"/>
                  <w:tcBorders>
                    <w:tl2br w:val="nil"/>
                    <w:tr2bl w:val="nil"/>
                  </w:tcBorders>
                  <w:vAlign w:val="center"/>
                </w:tcPr>
                <w:p w14:paraId="2DDEA766">
                  <w:pPr>
                    <w:adjustRightInd w:val="0"/>
                    <w:snapToGrid w:val="0"/>
                    <w:jc w:val="center"/>
                    <w:rPr>
                      <w:color w:val="auto"/>
                      <w:szCs w:val="21"/>
                    </w:rPr>
                  </w:pPr>
                </w:p>
              </w:tc>
              <w:tc>
                <w:tcPr>
                  <w:tcW w:w="1208" w:type="dxa"/>
                  <w:vMerge w:val="continue"/>
                  <w:tcBorders>
                    <w:tl2br w:val="nil"/>
                    <w:tr2bl w:val="nil"/>
                  </w:tcBorders>
                  <w:vAlign w:val="center"/>
                </w:tcPr>
                <w:p w14:paraId="4D0216CF">
                  <w:pPr>
                    <w:adjustRightInd w:val="0"/>
                    <w:snapToGrid w:val="0"/>
                    <w:jc w:val="center"/>
                    <w:rPr>
                      <w:color w:val="auto"/>
                      <w:szCs w:val="21"/>
                    </w:rPr>
                  </w:pPr>
                </w:p>
              </w:tc>
              <w:tc>
                <w:tcPr>
                  <w:tcW w:w="1321" w:type="dxa"/>
                  <w:tcBorders>
                    <w:tl2br w:val="nil"/>
                    <w:tr2bl w:val="nil"/>
                  </w:tcBorders>
                  <w:vAlign w:val="center"/>
                </w:tcPr>
                <w:p w14:paraId="00141B3A">
                  <w:pPr>
                    <w:tabs>
                      <w:tab w:val="right" w:pos="8906"/>
                    </w:tabs>
                    <w:adjustRightInd w:val="0"/>
                    <w:snapToGrid w:val="0"/>
                    <w:jc w:val="center"/>
                    <w:rPr>
                      <w:color w:val="auto"/>
                      <w:spacing w:val="-5"/>
                      <w:szCs w:val="21"/>
                      <w:lang w:bidi="he-IL"/>
                    </w:rPr>
                  </w:pPr>
                  <w:r>
                    <w:rPr>
                      <w:color w:val="auto"/>
                      <w:szCs w:val="21"/>
                    </w:rPr>
                    <w:t>159</w:t>
                  </w:r>
                </w:p>
              </w:tc>
              <w:tc>
                <w:tcPr>
                  <w:tcW w:w="2080" w:type="dxa"/>
                  <w:vMerge w:val="continue"/>
                  <w:tcBorders>
                    <w:tl2br w:val="nil"/>
                    <w:tr2bl w:val="nil"/>
                  </w:tcBorders>
                  <w:vAlign w:val="center"/>
                </w:tcPr>
                <w:p w14:paraId="2860434E">
                  <w:pPr>
                    <w:tabs>
                      <w:tab w:val="right" w:pos="8906"/>
                    </w:tabs>
                    <w:adjustRightInd w:val="0"/>
                    <w:snapToGrid w:val="0"/>
                    <w:jc w:val="center"/>
                    <w:rPr>
                      <w:color w:val="auto"/>
                      <w:szCs w:val="21"/>
                    </w:rPr>
                  </w:pPr>
                </w:p>
              </w:tc>
              <w:tc>
                <w:tcPr>
                  <w:tcW w:w="1311" w:type="dxa"/>
                  <w:vMerge w:val="continue"/>
                  <w:tcBorders>
                    <w:tl2br w:val="nil"/>
                    <w:tr2bl w:val="nil"/>
                  </w:tcBorders>
                  <w:vAlign w:val="center"/>
                </w:tcPr>
                <w:p w14:paraId="5F72E49C">
                  <w:pPr>
                    <w:tabs>
                      <w:tab w:val="right" w:pos="8906"/>
                    </w:tabs>
                    <w:adjustRightInd w:val="0"/>
                    <w:snapToGrid w:val="0"/>
                    <w:jc w:val="center"/>
                    <w:rPr>
                      <w:color w:val="auto"/>
                      <w:szCs w:val="21"/>
                    </w:rPr>
                  </w:pPr>
                </w:p>
              </w:tc>
            </w:tr>
            <w:tr w14:paraId="55E70BF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2CE423D0">
                  <w:pPr>
                    <w:adjustRightInd w:val="0"/>
                    <w:snapToGrid w:val="0"/>
                    <w:jc w:val="center"/>
                    <w:rPr>
                      <w:color w:val="auto"/>
                      <w:szCs w:val="21"/>
                    </w:rPr>
                  </w:pPr>
                </w:p>
              </w:tc>
              <w:tc>
                <w:tcPr>
                  <w:tcW w:w="2080" w:type="dxa"/>
                  <w:vMerge w:val="continue"/>
                  <w:tcBorders>
                    <w:tl2br w:val="nil"/>
                    <w:tr2bl w:val="nil"/>
                  </w:tcBorders>
                  <w:vAlign w:val="center"/>
                </w:tcPr>
                <w:p w14:paraId="1972A16A">
                  <w:pPr>
                    <w:adjustRightInd w:val="0"/>
                    <w:snapToGrid w:val="0"/>
                    <w:jc w:val="center"/>
                    <w:rPr>
                      <w:color w:val="auto"/>
                      <w:szCs w:val="21"/>
                    </w:rPr>
                  </w:pPr>
                </w:p>
              </w:tc>
              <w:tc>
                <w:tcPr>
                  <w:tcW w:w="1208" w:type="dxa"/>
                  <w:vMerge w:val="continue"/>
                  <w:tcBorders>
                    <w:tl2br w:val="nil"/>
                    <w:tr2bl w:val="nil"/>
                  </w:tcBorders>
                  <w:vAlign w:val="center"/>
                </w:tcPr>
                <w:p w14:paraId="474EFC9A">
                  <w:pPr>
                    <w:adjustRightInd w:val="0"/>
                    <w:snapToGrid w:val="0"/>
                    <w:jc w:val="center"/>
                    <w:rPr>
                      <w:color w:val="auto"/>
                      <w:szCs w:val="21"/>
                    </w:rPr>
                  </w:pPr>
                </w:p>
              </w:tc>
              <w:tc>
                <w:tcPr>
                  <w:tcW w:w="1321" w:type="dxa"/>
                  <w:tcBorders>
                    <w:tl2br w:val="nil"/>
                    <w:tr2bl w:val="nil"/>
                  </w:tcBorders>
                  <w:vAlign w:val="center"/>
                </w:tcPr>
                <w:p w14:paraId="760D5409">
                  <w:pPr>
                    <w:tabs>
                      <w:tab w:val="right" w:pos="8906"/>
                    </w:tabs>
                    <w:adjustRightInd w:val="0"/>
                    <w:snapToGrid w:val="0"/>
                    <w:jc w:val="center"/>
                    <w:rPr>
                      <w:color w:val="auto"/>
                      <w:spacing w:val="-5"/>
                      <w:szCs w:val="21"/>
                      <w:lang w:bidi="he-IL"/>
                    </w:rPr>
                  </w:pPr>
                  <w:r>
                    <w:rPr>
                      <w:color w:val="auto"/>
                      <w:szCs w:val="21"/>
                    </w:rPr>
                    <w:t>151</w:t>
                  </w:r>
                </w:p>
              </w:tc>
              <w:tc>
                <w:tcPr>
                  <w:tcW w:w="2080" w:type="dxa"/>
                  <w:vMerge w:val="continue"/>
                  <w:tcBorders>
                    <w:tl2br w:val="nil"/>
                    <w:tr2bl w:val="nil"/>
                  </w:tcBorders>
                  <w:vAlign w:val="center"/>
                </w:tcPr>
                <w:p w14:paraId="427F6F8D">
                  <w:pPr>
                    <w:tabs>
                      <w:tab w:val="right" w:pos="8906"/>
                    </w:tabs>
                    <w:adjustRightInd w:val="0"/>
                    <w:snapToGrid w:val="0"/>
                    <w:jc w:val="center"/>
                    <w:rPr>
                      <w:color w:val="auto"/>
                      <w:szCs w:val="21"/>
                    </w:rPr>
                  </w:pPr>
                </w:p>
              </w:tc>
              <w:tc>
                <w:tcPr>
                  <w:tcW w:w="1311" w:type="dxa"/>
                  <w:vMerge w:val="continue"/>
                  <w:tcBorders>
                    <w:tl2br w:val="nil"/>
                    <w:tr2bl w:val="nil"/>
                  </w:tcBorders>
                  <w:vAlign w:val="center"/>
                </w:tcPr>
                <w:p w14:paraId="1ABA9EB6">
                  <w:pPr>
                    <w:tabs>
                      <w:tab w:val="right" w:pos="8906"/>
                    </w:tabs>
                    <w:adjustRightInd w:val="0"/>
                    <w:snapToGrid w:val="0"/>
                    <w:jc w:val="center"/>
                    <w:rPr>
                      <w:color w:val="auto"/>
                      <w:szCs w:val="21"/>
                    </w:rPr>
                  </w:pPr>
                </w:p>
              </w:tc>
            </w:tr>
            <w:tr w14:paraId="24C2CE6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29F38EA4">
                  <w:pPr>
                    <w:adjustRightInd w:val="0"/>
                    <w:snapToGrid w:val="0"/>
                    <w:jc w:val="center"/>
                    <w:rPr>
                      <w:color w:val="auto"/>
                      <w:szCs w:val="21"/>
                    </w:rPr>
                  </w:pPr>
                </w:p>
              </w:tc>
              <w:tc>
                <w:tcPr>
                  <w:tcW w:w="2080" w:type="dxa"/>
                  <w:vMerge w:val="continue"/>
                  <w:tcBorders>
                    <w:tl2br w:val="nil"/>
                    <w:tr2bl w:val="nil"/>
                  </w:tcBorders>
                  <w:vAlign w:val="center"/>
                </w:tcPr>
                <w:p w14:paraId="2510D45B">
                  <w:pPr>
                    <w:adjustRightInd w:val="0"/>
                    <w:snapToGrid w:val="0"/>
                    <w:jc w:val="center"/>
                    <w:rPr>
                      <w:color w:val="auto"/>
                      <w:szCs w:val="21"/>
                    </w:rPr>
                  </w:pPr>
                </w:p>
              </w:tc>
              <w:tc>
                <w:tcPr>
                  <w:tcW w:w="1208" w:type="dxa"/>
                  <w:vMerge w:val="continue"/>
                  <w:tcBorders>
                    <w:tl2br w:val="nil"/>
                    <w:tr2bl w:val="nil"/>
                  </w:tcBorders>
                  <w:vAlign w:val="center"/>
                </w:tcPr>
                <w:p w14:paraId="48F1DCFC">
                  <w:pPr>
                    <w:adjustRightInd w:val="0"/>
                    <w:snapToGrid w:val="0"/>
                    <w:jc w:val="center"/>
                    <w:rPr>
                      <w:color w:val="auto"/>
                      <w:szCs w:val="21"/>
                    </w:rPr>
                  </w:pPr>
                </w:p>
              </w:tc>
              <w:tc>
                <w:tcPr>
                  <w:tcW w:w="1321" w:type="dxa"/>
                  <w:tcBorders>
                    <w:tl2br w:val="nil"/>
                    <w:tr2bl w:val="nil"/>
                  </w:tcBorders>
                  <w:vAlign w:val="center"/>
                </w:tcPr>
                <w:p w14:paraId="289AD019">
                  <w:pPr>
                    <w:tabs>
                      <w:tab w:val="right" w:pos="8906"/>
                    </w:tabs>
                    <w:adjustRightInd w:val="0"/>
                    <w:snapToGrid w:val="0"/>
                    <w:jc w:val="center"/>
                    <w:rPr>
                      <w:color w:val="auto"/>
                      <w:spacing w:val="-5"/>
                      <w:szCs w:val="21"/>
                      <w:lang w:bidi="he-IL"/>
                    </w:rPr>
                  </w:pPr>
                  <w:r>
                    <w:rPr>
                      <w:color w:val="auto"/>
                      <w:szCs w:val="21"/>
                    </w:rPr>
                    <w:t>148</w:t>
                  </w:r>
                </w:p>
              </w:tc>
              <w:tc>
                <w:tcPr>
                  <w:tcW w:w="2080" w:type="dxa"/>
                  <w:vMerge w:val="continue"/>
                  <w:tcBorders>
                    <w:tl2br w:val="nil"/>
                    <w:tr2bl w:val="nil"/>
                  </w:tcBorders>
                  <w:vAlign w:val="center"/>
                </w:tcPr>
                <w:p w14:paraId="77065B64">
                  <w:pPr>
                    <w:tabs>
                      <w:tab w:val="right" w:pos="8906"/>
                    </w:tabs>
                    <w:adjustRightInd w:val="0"/>
                    <w:snapToGrid w:val="0"/>
                    <w:jc w:val="center"/>
                    <w:rPr>
                      <w:color w:val="auto"/>
                      <w:szCs w:val="21"/>
                    </w:rPr>
                  </w:pPr>
                </w:p>
              </w:tc>
              <w:tc>
                <w:tcPr>
                  <w:tcW w:w="1311" w:type="dxa"/>
                  <w:vMerge w:val="continue"/>
                  <w:tcBorders>
                    <w:tl2br w:val="nil"/>
                    <w:tr2bl w:val="nil"/>
                  </w:tcBorders>
                  <w:vAlign w:val="center"/>
                </w:tcPr>
                <w:p w14:paraId="6D88B5DC">
                  <w:pPr>
                    <w:tabs>
                      <w:tab w:val="right" w:pos="8906"/>
                    </w:tabs>
                    <w:adjustRightInd w:val="0"/>
                    <w:snapToGrid w:val="0"/>
                    <w:jc w:val="center"/>
                    <w:rPr>
                      <w:color w:val="auto"/>
                      <w:szCs w:val="21"/>
                    </w:rPr>
                  </w:pPr>
                </w:p>
              </w:tc>
            </w:tr>
            <w:tr w14:paraId="3DB23DB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1B2ED8F4">
                  <w:pPr>
                    <w:adjustRightInd w:val="0"/>
                    <w:snapToGrid w:val="0"/>
                    <w:jc w:val="center"/>
                    <w:rPr>
                      <w:color w:val="auto"/>
                      <w:szCs w:val="21"/>
                    </w:rPr>
                  </w:pPr>
                </w:p>
              </w:tc>
              <w:tc>
                <w:tcPr>
                  <w:tcW w:w="2080" w:type="dxa"/>
                  <w:vMerge w:val="continue"/>
                  <w:tcBorders>
                    <w:tl2br w:val="nil"/>
                    <w:tr2bl w:val="nil"/>
                  </w:tcBorders>
                  <w:vAlign w:val="center"/>
                </w:tcPr>
                <w:p w14:paraId="796C78D0">
                  <w:pPr>
                    <w:adjustRightInd w:val="0"/>
                    <w:snapToGrid w:val="0"/>
                    <w:jc w:val="center"/>
                    <w:rPr>
                      <w:color w:val="auto"/>
                      <w:szCs w:val="21"/>
                    </w:rPr>
                  </w:pPr>
                </w:p>
              </w:tc>
              <w:tc>
                <w:tcPr>
                  <w:tcW w:w="1208" w:type="dxa"/>
                  <w:vMerge w:val="continue"/>
                  <w:tcBorders>
                    <w:tl2br w:val="nil"/>
                    <w:tr2bl w:val="nil"/>
                  </w:tcBorders>
                  <w:vAlign w:val="center"/>
                </w:tcPr>
                <w:p w14:paraId="1AA3E991">
                  <w:pPr>
                    <w:adjustRightInd w:val="0"/>
                    <w:snapToGrid w:val="0"/>
                    <w:jc w:val="center"/>
                    <w:rPr>
                      <w:color w:val="auto"/>
                      <w:szCs w:val="21"/>
                    </w:rPr>
                  </w:pPr>
                </w:p>
              </w:tc>
              <w:tc>
                <w:tcPr>
                  <w:tcW w:w="1321" w:type="dxa"/>
                  <w:tcBorders>
                    <w:tl2br w:val="nil"/>
                    <w:tr2bl w:val="nil"/>
                  </w:tcBorders>
                  <w:vAlign w:val="center"/>
                </w:tcPr>
                <w:p w14:paraId="437C299A">
                  <w:pPr>
                    <w:tabs>
                      <w:tab w:val="right" w:pos="8906"/>
                    </w:tabs>
                    <w:adjustRightInd w:val="0"/>
                    <w:snapToGrid w:val="0"/>
                    <w:jc w:val="center"/>
                    <w:rPr>
                      <w:color w:val="auto"/>
                      <w:spacing w:val="-5"/>
                      <w:szCs w:val="21"/>
                      <w:lang w:bidi="he-IL"/>
                    </w:rPr>
                  </w:pPr>
                  <w:r>
                    <w:rPr>
                      <w:color w:val="auto"/>
                      <w:szCs w:val="21"/>
                    </w:rPr>
                    <w:t>136</w:t>
                  </w:r>
                </w:p>
              </w:tc>
              <w:tc>
                <w:tcPr>
                  <w:tcW w:w="2080" w:type="dxa"/>
                  <w:vMerge w:val="continue"/>
                  <w:tcBorders>
                    <w:tl2br w:val="nil"/>
                    <w:tr2bl w:val="nil"/>
                  </w:tcBorders>
                  <w:vAlign w:val="center"/>
                </w:tcPr>
                <w:p w14:paraId="5252990E">
                  <w:pPr>
                    <w:tabs>
                      <w:tab w:val="right" w:pos="8906"/>
                    </w:tabs>
                    <w:adjustRightInd w:val="0"/>
                    <w:snapToGrid w:val="0"/>
                    <w:jc w:val="center"/>
                    <w:rPr>
                      <w:color w:val="auto"/>
                      <w:szCs w:val="21"/>
                    </w:rPr>
                  </w:pPr>
                </w:p>
              </w:tc>
              <w:tc>
                <w:tcPr>
                  <w:tcW w:w="1311" w:type="dxa"/>
                  <w:vMerge w:val="continue"/>
                  <w:tcBorders>
                    <w:tl2br w:val="nil"/>
                    <w:tr2bl w:val="nil"/>
                  </w:tcBorders>
                  <w:vAlign w:val="center"/>
                </w:tcPr>
                <w:p w14:paraId="27AD3B94">
                  <w:pPr>
                    <w:tabs>
                      <w:tab w:val="right" w:pos="8906"/>
                    </w:tabs>
                    <w:adjustRightInd w:val="0"/>
                    <w:snapToGrid w:val="0"/>
                    <w:jc w:val="center"/>
                    <w:rPr>
                      <w:color w:val="auto"/>
                      <w:szCs w:val="21"/>
                    </w:rPr>
                  </w:pPr>
                </w:p>
              </w:tc>
            </w:tr>
            <w:tr w14:paraId="7FCE7FA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5BED6FCD">
                  <w:pPr>
                    <w:adjustRightInd w:val="0"/>
                    <w:snapToGrid w:val="0"/>
                    <w:jc w:val="center"/>
                    <w:rPr>
                      <w:color w:val="auto"/>
                      <w:szCs w:val="21"/>
                    </w:rPr>
                  </w:pPr>
                </w:p>
              </w:tc>
              <w:tc>
                <w:tcPr>
                  <w:tcW w:w="2080" w:type="dxa"/>
                  <w:vMerge w:val="continue"/>
                  <w:tcBorders>
                    <w:tl2br w:val="nil"/>
                    <w:tr2bl w:val="nil"/>
                  </w:tcBorders>
                  <w:vAlign w:val="center"/>
                </w:tcPr>
                <w:p w14:paraId="0A9EDC37">
                  <w:pPr>
                    <w:adjustRightInd w:val="0"/>
                    <w:snapToGrid w:val="0"/>
                    <w:jc w:val="center"/>
                    <w:rPr>
                      <w:color w:val="auto"/>
                      <w:szCs w:val="21"/>
                    </w:rPr>
                  </w:pPr>
                </w:p>
              </w:tc>
              <w:tc>
                <w:tcPr>
                  <w:tcW w:w="1208" w:type="dxa"/>
                  <w:vMerge w:val="continue"/>
                  <w:tcBorders>
                    <w:tl2br w:val="nil"/>
                    <w:tr2bl w:val="nil"/>
                  </w:tcBorders>
                  <w:vAlign w:val="center"/>
                </w:tcPr>
                <w:p w14:paraId="4F01C91B">
                  <w:pPr>
                    <w:adjustRightInd w:val="0"/>
                    <w:snapToGrid w:val="0"/>
                    <w:jc w:val="center"/>
                    <w:rPr>
                      <w:color w:val="auto"/>
                      <w:szCs w:val="21"/>
                    </w:rPr>
                  </w:pPr>
                </w:p>
              </w:tc>
              <w:tc>
                <w:tcPr>
                  <w:tcW w:w="1321" w:type="dxa"/>
                  <w:tcBorders>
                    <w:tl2br w:val="nil"/>
                    <w:tr2bl w:val="nil"/>
                  </w:tcBorders>
                  <w:vAlign w:val="center"/>
                </w:tcPr>
                <w:p w14:paraId="428C4A7D">
                  <w:pPr>
                    <w:tabs>
                      <w:tab w:val="right" w:pos="8906"/>
                    </w:tabs>
                    <w:adjustRightInd w:val="0"/>
                    <w:snapToGrid w:val="0"/>
                    <w:jc w:val="center"/>
                    <w:rPr>
                      <w:color w:val="auto"/>
                      <w:spacing w:val="-5"/>
                      <w:szCs w:val="21"/>
                      <w:lang w:bidi="he-IL"/>
                    </w:rPr>
                  </w:pPr>
                  <w:r>
                    <w:rPr>
                      <w:color w:val="auto"/>
                      <w:szCs w:val="21"/>
                    </w:rPr>
                    <w:t>151</w:t>
                  </w:r>
                </w:p>
              </w:tc>
              <w:tc>
                <w:tcPr>
                  <w:tcW w:w="2080" w:type="dxa"/>
                  <w:vMerge w:val="continue"/>
                  <w:tcBorders>
                    <w:tl2br w:val="nil"/>
                    <w:tr2bl w:val="nil"/>
                  </w:tcBorders>
                  <w:vAlign w:val="center"/>
                </w:tcPr>
                <w:p w14:paraId="34F7E438">
                  <w:pPr>
                    <w:tabs>
                      <w:tab w:val="right" w:pos="8906"/>
                    </w:tabs>
                    <w:adjustRightInd w:val="0"/>
                    <w:snapToGrid w:val="0"/>
                    <w:jc w:val="center"/>
                    <w:rPr>
                      <w:color w:val="auto"/>
                      <w:szCs w:val="21"/>
                    </w:rPr>
                  </w:pPr>
                </w:p>
              </w:tc>
              <w:tc>
                <w:tcPr>
                  <w:tcW w:w="1311" w:type="dxa"/>
                  <w:vMerge w:val="continue"/>
                  <w:tcBorders>
                    <w:tl2br w:val="nil"/>
                    <w:tr2bl w:val="nil"/>
                  </w:tcBorders>
                  <w:vAlign w:val="center"/>
                </w:tcPr>
                <w:p w14:paraId="768697E0">
                  <w:pPr>
                    <w:tabs>
                      <w:tab w:val="right" w:pos="8906"/>
                    </w:tabs>
                    <w:adjustRightInd w:val="0"/>
                    <w:snapToGrid w:val="0"/>
                    <w:jc w:val="center"/>
                    <w:rPr>
                      <w:color w:val="auto"/>
                      <w:szCs w:val="21"/>
                    </w:rPr>
                  </w:pPr>
                </w:p>
              </w:tc>
            </w:tr>
            <w:tr w14:paraId="05D597A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2DACDEBA">
                  <w:pPr>
                    <w:adjustRightInd w:val="0"/>
                    <w:snapToGrid w:val="0"/>
                    <w:jc w:val="center"/>
                    <w:rPr>
                      <w:color w:val="auto"/>
                      <w:szCs w:val="21"/>
                    </w:rPr>
                  </w:pPr>
                </w:p>
              </w:tc>
              <w:tc>
                <w:tcPr>
                  <w:tcW w:w="2080" w:type="dxa"/>
                  <w:vMerge w:val="continue"/>
                  <w:tcBorders>
                    <w:tl2br w:val="nil"/>
                    <w:tr2bl w:val="nil"/>
                  </w:tcBorders>
                  <w:vAlign w:val="center"/>
                </w:tcPr>
                <w:p w14:paraId="5A28379A">
                  <w:pPr>
                    <w:adjustRightInd w:val="0"/>
                    <w:snapToGrid w:val="0"/>
                    <w:jc w:val="center"/>
                    <w:rPr>
                      <w:color w:val="auto"/>
                      <w:szCs w:val="21"/>
                    </w:rPr>
                  </w:pPr>
                </w:p>
              </w:tc>
              <w:tc>
                <w:tcPr>
                  <w:tcW w:w="1208" w:type="dxa"/>
                  <w:vMerge w:val="continue"/>
                  <w:tcBorders>
                    <w:tl2br w:val="nil"/>
                    <w:tr2bl w:val="nil"/>
                  </w:tcBorders>
                  <w:vAlign w:val="center"/>
                </w:tcPr>
                <w:p w14:paraId="73811E8E">
                  <w:pPr>
                    <w:adjustRightInd w:val="0"/>
                    <w:snapToGrid w:val="0"/>
                    <w:jc w:val="center"/>
                    <w:rPr>
                      <w:color w:val="auto"/>
                      <w:szCs w:val="21"/>
                    </w:rPr>
                  </w:pPr>
                </w:p>
              </w:tc>
              <w:tc>
                <w:tcPr>
                  <w:tcW w:w="1321" w:type="dxa"/>
                  <w:tcBorders>
                    <w:tl2br w:val="nil"/>
                    <w:tr2bl w:val="nil"/>
                  </w:tcBorders>
                  <w:vAlign w:val="center"/>
                </w:tcPr>
                <w:p w14:paraId="497248F9">
                  <w:pPr>
                    <w:tabs>
                      <w:tab w:val="right" w:pos="8906"/>
                    </w:tabs>
                    <w:adjustRightInd w:val="0"/>
                    <w:snapToGrid w:val="0"/>
                    <w:jc w:val="center"/>
                    <w:rPr>
                      <w:color w:val="auto"/>
                      <w:spacing w:val="-5"/>
                      <w:szCs w:val="21"/>
                      <w:lang w:bidi="he-IL"/>
                    </w:rPr>
                  </w:pPr>
                  <w:r>
                    <w:rPr>
                      <w:color w:val="auto"/>
                      <w:szCs w:val="21"/>
                    </w:rPr>
                    <w:t>150</w:t>
                  </w:r>
                </w:p>
              </w:tc>
              <w:tc>
                <w:tcPr>
                  <w:tcW w:w="2080" w:type="dxa"/>
                  <w:vMerge w:val="continue"/>
                  <w:tcBorders>
                    <w:tl2br w:val="nil"/>
                    <w:tr2bl w:val="nil"/>
                  </w:tcBorders>
                  <w:vAlign w:val="center"/>
                </w:tcPr>
                <w:p w14:paraId="312105E0">
                  <w:pPr>
                    <w:tabs>
                      <w:tab w:val="right" w:pos="8906"/>
                    </w:tabs>
                    <w:adjustRightInd w:val="0"/>
                    <w:snapToGrid w:val="0"/>
                    <w:jc w:val="center"/>
                    <w:rPr>
                      <w:color w:val="auto"/>
                      <w:szCs w:val="21"/>
                    </w:rPr>
                  </w:pPr>
                </w:p>
              </w:tc>
              <w:tc>
                <w:tcPr>
                  <w:tcW w:w="1311" w:type="dxa"/>
                  <w:vMerge w:val="continue"/>
                  <w:tcBorders>
                    <w:tl2br w:val="nil"/>
                    <w:tr2bl w:val="nil"/>
                  </w:tcBorders>
                  <w:vAlign w:val="center"/>
                </w:tcPr>
                <w:p w14:paraId="6F1BA809">
                  <w:pPr>
                    <w:tabs>
                      <w:tab w:val="right" w:pos="8906"/>
                    </w:tabs>
                    <w:adjustRightInd w:val="0"/>
                    <w:snapToGrid w:val="0"/>
                    <w:jc w:val="center"/>
                    <w:rPr>
                      <w:color w:val="auto"/>
                      <w:szCs w:val="21"/>
                    </w:rPr>
                  </w:pPr>
                </w:p>
              </w:tc>
            </w:tr>
            <w:tr w14:paraId="2F993D5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3BE2EBB5">
                  <w:pPr>
                    <w:adjustRightInd w:val="0"/>
                    <w:snapToGrid w:val="0"/>
                    <w:jc w:val="center"/>
                    <w:rPr>
                      <w:color w:val="auto"/>
                      <w:szCs w:val="21"/>
                    </w:rPr>
                  </w:pPr>
                </w:p>
              </w:tc>
              <w:tc>
                <w:tcPr>
                  <w:tcW w:w="2080" w:type="dxa"/>
                  <w:vMerge w:val="restart"/>
                  <w:tcBorders>
                    <w:tl2br w:val="nil"/>
                    <w:tr2bl w:val="nil"/>
                  </w:tcBorders>
                  <w:vAlign w:val="center"/>
                </w:tcPr>
                <w:p w14:paraId="0E010C0A">
                  <w:pPr>
                    <w:adjustRightInd w:val="0"/>
                    <w:snapToGrid w:val="0"/>
                    <w:jc w:val="center"/>
                    <w:rPr>
                      <w:color w:val="auto"/>
                      <w:szCs w:val="21"/>
                    </w:rPr>
                  </w:pPr>
                  <w:r>
                    <w:rPr>
                      <w:color w:val="auto"/>
                      <w:szCs w:val="21"/>
                    </w:rPr>
                    <w:t>2021-</w:t>
                  </w:r>
                  <w:r>
                    <w:rPr>
                      <w:rFonts w:hint="eastAsia"/>
                      <w:color w:val="auto"/>
                      <w:szCs w:val="21"/>
                    </w:rPr>
                    <w:t>6</w:t>
                  </w:r>
                  <w:r>
                    <w:rPr>
                      <w:color w:val="auto"/>
                      <w:szCs w:val="21"/>
                    </w:rPr>
                    <w:t>-</w:t>
                  </w:r>
                  <w:r>
                    <w:rPr>
                      <w:rFonts w:hint="eastAsia"/>
                      <w:color w:val="auto"/>
                      <w:szCs w:val="21"/>
                    </w:rPr>
                    <w:t>27~2021-6-28</w:t>
                  </w:r>
                </w:p>
              </w:tc>
              <w:tc>
                <w:tcPr>
                  <w:tcW w:w="1208" w:type="dxa"/>
                  <w:tcBorders>
                    <w:tl2br w:val="nil"/>
                    <w:tr2bl w:val="nil"/>
                  </w:tcBorders>
                  <w:vAlign w:val="center"/>
                </w:tcPr>
                <w:p w14:paraId="41838F42">
                  <w:pPr>
                    <w:adjustRightInd w:val="0"/>
                    <w:snapToGrid w:val="0"/>
                    <w:jc w:val="center"/>
                    <w:rPr>
                      <w:color w:val="auto"/>
                      <w:szCs w:val="21"/>
                    </w:rPr>
                  </w:pPr>
                  <w:r>
                    <w:rPr>
                      <w:rFonts w:hint="eastAsia"/>
                      <w:color w:val="auto"/>
                      <w:szCs w:val="21"/>
                    </w:rPr>
                    <w:t>79</w:t>
                  </w:r>
                </w:p>
              </w:tc>
              <w:tc>
                <w:tcPr>
                  <w:tcW w:w="1321" w:type="dxa"/>
                  <w:tcBorders>
                    <w:tl2br w:val="nil"/>
                    <w:tr2bl w:val="nil"/>
                  </w:tcBorders>
                  <w:vAlign w:val="center"/>
                </w:tcPr>
                <w:p w14:paraId="1EC6EE74">
                  <w:pPr>
                    <w:tabs>
                      <w:tab w:val="right" w:pos="8906"/>
                    </w:tabs>
                    <w:adjustRightInd w:val="0"/>
                    <w:snapToGrid w:val="0"/>
                    <w:jc w:val="center"/>
                    <w:rPr>
                      <w:color w:val="auto"/>
                      <w:szCs w:val="21"/>
                    </w:rPr>
                  </w:pPr>
                  <w:r>
                    <w:rPr>
                      <w:color w:val="auto"/>
                      <w:szCs w:val="21"/>
                    </w:rPr>
                    <w:t>143</w:t>
                  </w:r>
                </w:p>
              </w:tc>
              <w:tc>
                <w:tcPr>
                  <w:tcW w:w="2080" w:type="dxa"/>
                  <w:vMerge w:val="restart"/>
                  <w:tcBorders>
                    <w:tl2br w:val="nil"/>
                    <w:tr2bl w:val="nil"/>
                  </w:tcBorders>
                  <w:vAlign w:val="center"/>
                </w:tcPr>
                <w:p w14:paraId="2F379778">
                  <w:pPr>
                    <w:autoSpaceDN w:val="0"/>
                    <w:adjustRightInd w:val="0"/>
                    <w:snapToGrid w:val="0"/>
                    <w:jc w:val="center"/>
                    <w:textAlignment w:val="center"/>
                    <w:rPr>
                      <w:color w:val="auto"/>
                      <w:szCs w:val="21"/>
                    </w:rPr>
                  </w:pPr>
                  <w:r>
                    <w:rPr>
                      <w:rFonts w:hint="eastAsia"/>
                      <w:color w:val="auto"/>
                      <w:szCs w:val="21"/>
                    </w:rPr>
                    <w:t>2</w:t>
                  </w:r>
                  <w:r>
                    <w:rPr>
                      <w:color w:val="auto"/>
                      <w:szCs w:val="21"/>
                    </w:rPr>
                    <w:t>021-</w:t>
                  </w:r>
                  <w:r>
                    <w:rPr>
                      <w:rFonts w:hint="eastAsia"/>
                      <w:color w:val="auto"/>
                      <w:szCs w:val="21"/>
                    </w:rPr>
                    <w:t>9</w:t>
                  </w:r>
                  <w:r>
                    <w:rPr>
                      <w:color w:val="auto"/>
                      <w:szCs w:val="21"/>
                    </w:rPr>
                    <w:t>-</w:t>
                  </w:r>
                  <w:r>
                    <w:rPr>
                      <w:rFonts w:hint="eastAsia"/>
                      <w:color w:val="auto"/>
                      <w:szCs w:val="21"/>
                    </w:rPr>
                    <w:t>25~2021-9-26</w:t>
                  </w:r>
                </w:p>
              </w:tc>
              <w:tc>
                <w:tcPr>
                  <w:tcW w:w="1311" w:type="dxa"/>
                  <w:tcBorders>
                    <w:tl2br w:val="nil"/>
                    <w:tr2bl w:val="nil"/>
                  </w:tcBorders>
                  <w:vAlign w:val="center"/>
                </w:tcPr>
                <w:p w14:paraId="10C050C0">
                  <w:pPr>
                    <w:tabs>
                      <w:tab w:val="right" w:pos="8906"/>
                    </w:tabs>
                    <w:adjustRightInd w:val="0"/>
                    <w:snapToGrid w:val="0"/>
                    <w:jc w:val="center"/>
                    <w:rPr>
                      <w:color w:val="auto"/>
                      <w:szCs w:val="21"/>
                    </w:rPr>
                  </w:pPr>
                  <w:r>
                    <w:rPr>
                      <w:rFonts w:hint="eastAsia"/>
                      <w:color w:val="auto"/>
                      <w:szCs w:val="21"/>
                    </w:rPr>
                    <w:t>29</w:t>
                  </w:r>
                </w:p>
              </w:tc>
            </w:tr>
            <w:tr w14:paraId="68EF2CC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5C94CC94">
                  <w:pPr>
                    <w:adjustRightInd w:val="0"/>
                    <w:snapToGrid w:val="0"/>
                    <w:jc w:val="center"/>
                    <w:rPr>
                      <w:color w:val="auto"/>
                      <w:szCs w:val="21"/>
                    </w:rPr>
                  </w:pPr>
                </w:p>
              </w:tc>
              <w:tc>
                <w:tcPr>
                  <w:tcW w:w="2080" w:type="dxa"/>
                  <w:vMerge w:val="continue"/>
                  <w:tcBorders>
                    <w:tl2br w:val="nil"/>
                    <w:tr2bl w:val="nil"/>
                  </w:tcBorders>
                  <w:vAlign w:val="center"/>
                </w:tcPr>
                <w:p w14:paraId="2B3E2460">
                  <w:pPr>
                    <w:adjustRightInd w:val="0"/>
                    <w:snapToGrid w:val="0"/>
                    <w:jc w:val="center"/>
                    <w:rPr>
                      <w:color w:val="auto"/>
                      <w:szCs w:val="21"/>
                    </w:rPr>
                  </w:pPr>
                </w:p>
              </w:tc>
              <w:tc>
                <w:tcPr>
                  <w:tcW w:w="1208" w:type="dxa"/>
                  <w:vMerge w:val="restart"/>
                  <w:tcBorders>
                    <w:tl2br w:val="nil"/>
                    <w:tr2bl w:val="nil"/>
                  </w:tcBorders>
                  <w:vAlign w:val="center"/>
                </w:tcPr>
                <w:p w14:paraId="214434F8">
                  <w:pPr>
                    <w:adjustRightInd w:val="0"/>
                    <w:snapToGrid w:val="0"/>
                    <w:jc w:val="center"/>
                    <w:rPr>
                      <w:color w:val="auto"/>
                      <w:szCs w:val="21"/>
                    </w:rPr>
                  </w:pPr>
                  <w:r>
                    <w:rPr>
                      <w:color w:val="auto"/>
                      <w:szCs w:val="21"/>
                    </w:rPr>
                    <w:t>/</w:t>
                  </w:r>
                </w:p>
              </w:tc>
              <w:tc>
                <w:tcPr>
                  <w:tcW w:w="1321" w:type="dxa"/>
                  <w:tcBorders>
                    <w:tl2br w:val="nil"/>
                    <w:tr2bl w:val="nil"/>
                  </w:tcBorders>
                  <w:vAlign w:val="center"/>
                </w:tcPr>
                <w:p w14:paraId="6A227F72">
                  <w:pPr>
                    <w:tabs>
                      <w:tab w:val="right" w:pos="8906"/>
                    </w:tabs>
                    <w:adjustRightInd w:val="0"/>
                    <w:snapToGrid w:val="0"/>
                    <w:jc w:val="center"/>
                    <w:rPr>
                      <w:color w:val="auto"/>
                      <w:szCs w:val="21"/>
                    </w:rPr>
                  </w:pPr>
                  <w:r>
                    <w:rPr>
                      <w:color w:val="auto"/>
                      <w:szCs w:val="21"/>
                    </w:rPr>
                    <w:t>156</w:t>
                  </w:r>
                </w:p>
              </w:tc>
              <w:tc>
                <w:tcPr>
                  <w:tcW w:w="2080" w:type="dxa"/>
                  <w:vMerge w:val="continue"/>
                  <w:tcBorders>
                    <w:tl2br w:val="nil"/>
                    <w:tr2bl w:val="nil"/>
                  </w:tcBorders>
                  <w:vAlign w:val="center"/>
                </w:tcPr>
                <w:p w14:paraId="055C52CA">
                  <w:pPr>
                    <w:tabs>
                      <w:tab w:val="right" w:pos="8906"/>
                    </w:tabs>
                    <w:adjustRightInd w:val="0"/>
                    <w:snapToGrid w:val="0"/>
                    <w:jc w:val="center"/>
                    <w:rPr>
                      <w:color w:val="auto"/>
                      <w:szCs w:val="21"/>
                    </w:rPr>
                  </w:pPr>
                </w:p>
              </w:tc>
              <w:tc>
                <w:tcPr>
                  <w:tcW w:w="1311" w:type="dxa"/>
                  <w:vMerge w:val="restart"/>
                  <w:tcBorders>
                    <w:tl2br w:val="nil"/>
                    <w:tr2bl w:val="nil"/>
                  </w:tcBorders>
                  <w:vAlign w:val="center"/>
                </w:tcPr>
                <w:p w14:paraId="5DFFF952">
                  <w:pPr>
                    <w:tabs>
                      <w:tab w:val="right" w:pos="8906"/>
                    </w:tabs>
                    <w:adjustRightInd w:val="0"/>
                    <w:snapToGrid w:val="0"/>
                    <w:jc w:val="center"/>
                    <w:rPr>
                      <w:color w:val="auto"/>
                      <w:szCs w:val="21"/>
                    </w:rPr>
                  </w:pPr>
                  <w:r>
                    <w:rPr>
                      <w:color w:val="auto"/>
                      <w:szCs w:val="21"/>
                    </w:rPr>
                    <w:t>/</w:t>
                  </w:r>
                </w:p>
              </w:tc>
            </w:tr>
            <w:tr w14:paraId="51249B7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6E603900">
                  <w:pPr>
                    <w:adjustRightInd w:val="0"/>
                    <w:snapToGrid w:val="0"/>
                    <w:jc w:val="center"/>
                    <w:rPr>
                      <w:color w:val="auto"/>
                      <w:szCs w:val="21"/>
                    </w:rPr>
                  </w:pPr>
                </w:p>
              </w:tc>
              <w:tc>
                <w:tcPr>
                  <w:tcW w:w="2080" w:type="dxa"/>
                  <w:vMerge w:val="continue"/>
                  <w:tcBorders>
                    <w:tl2br w:val="nil"/>
                    <w:tr2bl w:val="nil"/>
                  </w:tcBorders>
                  <w:vAlign w:val="center"/>
                </w:tcPr>
                <w:p w14:paraId="61A513E7">
                  <w:pPr>
                    <w:adjustRightInd w:val="0"/>
                    <w:snapToGrid w:val="0"/>
                    <w:jc w:val="center"/>
                    <w:rPr>
                      <w:color w:val="auto"/>
                      <w:szCs w:val="21"/>
                    </w:rPr>
                  </w:pPr>
                </w:p>
              </w:tc>
              <w:tc>
                <w:tcPr>
                  <w:tcW w:w="1208" w:type="dxa"/>
                  <w:vMerge w:val="continue"/>
                  <w:tcBorders>
                    <w:tl2br w:val="nil"/>
                    <w:tr2bl w:val="nil"/>
                  </w:tcBorders>
                  <w:vAlign w:val="center"/>
                </w:tcPr>
                <w:p w14:paraId="68BDEE82">
                  <w:pPr>
                    <w:adjustRightInd w:val="0"/>
                    <w:snapToGrid w:val="0"/>
                    <w:jc w:val="center"/>
                    <w:rPr>
                      <w:color w:val="auto"/>
                      <w:szCs w:val="21"/>
                    </w:rPr>
                  </w:pPr>
                </w:p>
              </w:tc>
              <w:tc>
                <w:tcPr>
                  <w:tcW w:w="1321" w:type="dxa"/>
                  <w:tcBorders>
                    <w:tl2br w:val="nil"/>
                    <w:tr2bl w:val="nil"/>
                  </w:tcBorders>
                  <w:vAlign w:val="center"/>
                </w:tcPr>
                <w:p w14:paraId="763AFE78">
                  <w:pPr>
                    <w:tabs>
                      <w:tab w:val="right" w:pos="8906"/>
                    </w:tabs>
                    <w:adjustRightInd w:val="0"/>
                    <w:snapToGrid w:val="0"/>
                    <w:jc w:val="center"/>
                    <w:rPr>
                      <w:color w:val="auto"/>
                      <w:szCs w:val="21"/>
                    </w:rPr>
                  </w:pPr>
                  <w:r>
                    <w:rPr>
                      <w:color w:val="auto"/>
                      <w:szCs w:val="21"/>
                    </w:rPr>
                    <w:t>150</w:t>
                  </w:r>
                </w:p>
              </w:tc>
              <w:tc>
                <w:tcPr>
                  <w:tcW w:w="2080" w:type="dxa"/>
                  <w:vMerge w:val="continue"/>
                  <w:tcBorders>
                    <w:tl2br w:val="nil"/>
                    <w:tr2bl w:val="nil"/>
                  </w:tcBorders>
                  <w:vAlign w:val="center"/>
                </w:tcPr>
                <w:p w14:paraId="31E3EE83">
                  <w:pPr>
                    <w:tabs>
                      <w:tab w:val="right" w:pos="8906"/>
                    </w:tabs>
                    <w:adjustRightInd w:val="0"/>
                    <w:snapToGrid w:val="0"/>
                    <w:jc w:val="center"/>
                    <w:rPr>
                      <w:color w:val="auto"/>
                      <w:szCs w:val="21"/>
                    </w:rPr>
                  </w:pPr>
                </w:p>
              </w:tc>
              <w:tc>
                <w:tcPr>
                  <w:tcW w:w="1311" w:type="dxa"/>
                  <w:vMerge w:val="continue"/>
                  <w:tcBorders>
                    <w:tl2br w:val="nil"/>
                    <w:tr2bl w:val="nil"/>
                  </w:tcBorders>
                  <w:vAlign w:val="center"/>
                </w:tcPr>
                <w:p w14:paraId="3B07118C">
                  <w:pPr>
                    <w:tabs>
                      <w:tab w:val="right" w:pos="8906"/>
                    </w:tabs>
                    <w:adjustRightInd w:val="0"/>
                    <w:snapToGrid w:val="0"/>
                    <w:jc w:val="center"/>
                    <w:rPr>
                      <w:color w:val="auto"/>
                      <w:szCs w:val="21"/>
                    </w:rPr>
                  </w:pPr>
                </w:p>
              </w:tc>
            </w:tr>
            <w:tr w14:paraId="6C7F9C3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3EEF8A6A">
                  <w:pPr>
                    <w:adjustRightInd w:val="0"/>
                    <w:snapToGrid w:val="0"/>
                    <w:jc w:val="center"/>
                    <w:rPr>
                      <w:color w:val="auto"/>
                      <w:szCs w:val="21"/>
                    </w:rPr>
                  </w:pPr>
                </w:p>
              </w:tc>
              <w:tc>
                <w:tcPr>
                  <w:tcW w:w="2080" w:type="dxa"/>
                  <w:vMerge w:val="continue"/>
                  <w:tcBorders>
                    <w:tl2br w:val="nil"/>
                    <w:tr2bl w:val="nil"/>
                  </w:tcBorders>
                  <w:vAlign w:val="center"/>
                </w:tcPr>
                <w:p w14:paraId="03A8DD5A">
                  <w:pPr>
                    <w:adjustRightInd w:val="0"/>
                    <w:snapToGrid w:val="0"/>
                    <w:jc w:val="center"/>
                    <w:rPr>
                      <w:color w:val="auto"/>
                      <w:szCs w:val="21"/>
                    </w:rPr>
                  </w:pPr>
                </w:p>
              </w:tc>
              <w:tc>
                <w:tcPr>
                  <w:tcW w:w="1208" w:type="dxa"/>
                  <w:vMerge w:val="continue"/>
                  <w:tcBorders>
                    <w:tl2br w:val="nil"/>
                    <w:tr2bl w:val="nil"/>
                  </w:tcBorders>
                  <w:vAlign w:val="center"/>
                </w:tcPr>
                <w:p w14:paraId="47E08F24">
                  <w:pPr>
                    <w:adjustRightInd w:val="0"/>
                    <w:snapToGrid w:val="0"/>
                    <w:jc w:val="center"/>
                    <w:rPr>
                      <w:color w:val="auto"/>
                      <w:szCs w:val="21"/>
                    </w:rPr>
                  </w:pPr>
                </w:p>
              </w:tc>
              <w:tc>
                <w:tcPr>
                  <w:tcW w:w="1321" w:type="dxa"/>
                  <w:tcBorders>
                    <w:tl2br w:val="nil"/>
                    <w:tr2bl w:val="nil"/>
                  </w:tcBorders>
                  <w:vAlign w:val="center"/>
                </w:tcPr>
                <w:p w14:paraId="660DF9FC">
                  <w:pPr>
                    <w:tabs>
                      <w:tab w:val="right" w:pos="8906"/>
                    </w:tabs>
                    <w:adjustRightInd w:val="0"/>
                    <w:snapToGrid w:val="0"/>
                    <w:jc w:val="center"/>
                    <w:rPr>
                      <w:color w:val="auto"/>
                      <w:szCs w:val="21"/>
                    </w:rPr>
                  </w:pPr>
                  <w:r>
                    <w:rPr>
                      <w:color w:val="auto"/>
                      <w:szCs w:val="21"/>
                    </w:rPr>
                    <w:t>224</w:t>
                  </w:r>
                </w:p>
              </w:tc>
              <w:tc>
                <w:tcPr>
                  <w:tcW w:w="2080" w:type="dxa"/>
                  <w:vMerge w:val="continue"/>
                  <w:tcBorders>
                    <w:tl2br w:val="nil"/>
                    <w:tr2bl w:val="nil"/>
                  </w:tcBorders>
                  <w:vAlign w:val="center"/>
                </w:tcPr>
                <w:p w14:paraId="34964378">
                  <w:pPr>
                    <w:tabs>
                      <w:tab w:val="right" w:pos="8906"/>
                    </w:tabs>
                    <w:adjustRightInd w:val="0"/>
                    <w:snapToGrid w:val="0"/>
                    <w:jc w:val="center"/>
                    <w:rPr>
                      <w:color w:val="auto"/>
                      <w:szCs w:val="21"/>
                    </w:rPr>
                  </w:pPr>
                </w:p>
              </w:tc>
              <w:tc>
                <w:tcPr>
                  <w:tcW w:w="1311" w:type="dxa"/>
                  <w:vMerge w:val="continue"/>
                  <w:tcBorders>
                    <w:tl2br w:val="nil"/>
                    <w:tr2bl w:val="nil"/>
                  </w:tcBorders>
                  <w:vAlign w:val="center"/>
                </w:tcPr>
                <w:p w14:paraId="413D744E">
                  <w:pPr>
                    <w:tabs>
                      <w:tab w:val="right" w:pos="8906"/>
                    </w:tabs>
                    <w:adjustRightInd w:val="0"/>
                    <w:snapToGrid w:val="0"/>
                    <w:jc w:val="center"/>
                    <w:rPr>
                      <w:color w:val="auto"/>
                      <w:szCs w:val="21"/>
                    </w:rPr>
                  </w:pPr>
                </w:p>
              </w:tc>
            </w:tr>
            <w:tr w14:paraId="254158E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7C3B2AEA">
                  <w:pPr>
                    <w:adjustRightInd w:val="0"/>
                    <w:snapToGrid w:val="0"/>
                    <w:jc w:val="center"/>
                    <w:rPr>
                      <w:color w:val="auto"/>
                      <w:szCs w:val="21"/>
                    </w:rPr>
                  </w:pPr>
                </w:p>
              </w:tc>
              <w:tc>
                <w:tcPr>
                  <w:tcW w:w="2080" w:type="dxa"/>
                  <w:vMerge w:val="continue"/>
                  <w:tcBorders>
                    <w:tl2br w:val="nil"/>
                    <w:tr2bl w:val="nil"/>
                  </w:tcBorders>
                  <w:vAlign w:val="center"/>
                </w:tcPr>
                <w:p w14:paraId="617C629B">
                  <w:pPr>
                    <w:adjustRightInd w:val="0"/>
                    <w:snapToGrid w:val="0"/>
                    <w:jc w:val="center"/>
                    <w:rPr>
                      <w:color w:val="auto"/>
                      <w:szCs w:val="21"/>
                    </w:rPr>
                  </w:pPr>
                </w:p>
              </w:tc>
              <w:tc>
                <w:tcPr>
                  <w:tcW w:w="1208" w:type="dxa"/>
                  <w:vMerge w:val="continue"/>
                  <w:tcBorders>
                    <w:tl2br w:val="nil"/>
                    <w:tr2bl w:val="nil"/>
                  </w:tcBorders>
                  <w:vAlign w:val="center"/>
                </w:tcPr>
                <w:p w14:paraId="74FC8921">
                  <w:pPr>
                    <w:adjustRightInd w:val="0"/>
                    <w:snapToGrid w:val="0"/>
                    <w:jc w:val="center"/>
                    <w:rPr>
                      <w:color w:val="auto"/>
                      <w:szCs w:val="21"/>
                    </w:rPr>
                  </w:pPr>
                </w:p>
              </w:tc>
              <w:tc>
                <w:tcPr>
                  <w:tcW w:w="1321" w:type="dxa"/>
                  <w:tcBorders>
                    <w:tl2br w:val="nil"/>
                    <w:tr2bl w:val="nil"/>
                  </w:tcBorders>
                  <w:vAlign w:val="center"/>
                </w:tcPr>
                <w:p w14:paraId="189078A9">
                  <w:pPr>
                    <w:tabs>
                      <w:tab w:val="right" w:pos="8906"/>
                    </w:tabs>
                    <w:adjustRightInd w:val="0"/>
                    <w:snapToGrid w:val="0"/>
                    <w:jc w:val="center"/>
                    <w:rPr>
                      <w:color w:val="auto"/>
                      <w:szCs w:val="21"/>
                    </w:rPr>
                  </w:pPr>
                  <w:r>
                    <w:rPr>
                      <w:color w:val="auto"/>
                      <w:szCs w:val="21"/>
                    </w:rPr>
                    <w:t>241</w:t>
                  </w:r>
                </w:p>
              </w:tc>
              <w:tc>
                <w:tcPr>
                  <w:tcW w:w="2080" w:type="dxa"/>
                  <w:vMerge w:val="continue"/>
                  <w:tcBorders>
                    <w:tl2br w:val="nil"/>
                    <w:tr2bl w:val="nil"/>
                  </w:tcBorders>
                  <w:vAlign w:val="center"/>
                </w:tcPr>
                <w:p w14:paraId="707057DE">
                  <w:pPr>
                    <w:tabs>
                      <w:tab w:val="right" w:pos="8906"/>
                    </w:tabs>
                    <w:adjustRightInd w:val="0"/>
                    <w:snapToGrid w:val="0"/>
                    <w:jc w:val="center"/>
                    <w:rPr>
                      <w:color w:val="auto"/>
                      <w:szCs w:val="21"/>
                    </w:rPr>
                  </w:pPr>
                </w:p>
              </w:tc>
              <w:tc>
                <w:tcPr>
                  <w:tcW w:w="1311" w:type="dxa"/>
                  <w:vMerge w:val="continue"/>
                  <w:tcBorders>
                    <w:tl2br w:val="nil"/>
                    <w:tr2bl w:val="nil"/>
                  </w:tcBorders>
                  <w:vAlign w:val="center"/>
                </w:tcPr>
                <w:p w14:paraId="495C993C">
                  <w:pPr>
                    <w:tabs>
                      <w:tab w:val="right" w:pos="8906"/>
                    </w:tabs>
                    <w:adjustRightInd w:val="0"/>
                    <w:snapToGrid w:val="0"/>
                    <w:jc w:val="center"/>
                    <w:rPr>
                      <w:color w:val="auto"/>
                      <w:szCs w:val="21"/>
                    </w:rPr>
                  </w:pPr>
                </w:p>
              </w:tc>
            </w:tr>
            <w:tr w14:paraId="5D3AEC5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3038A408">
                  <w:pPr>
                    <w:adjustRightInd w:val="0"/>
                    <w:snapToGrid w:val="0"/>
                    <w:jc w:val="center"/>
                    <w:rPr>
                      <w:color w:val="auto"/>
                      <w:szCs w:val="21"/>
                    </w:rPr>
                  </w:pPr>
                </w:p>
              </w:tc>
              <w:tc>
                <w:tcPr>
                  <w:tcW w:w="2080" w:type="dxa"/>
                  <w:vMerge w:val="continue"/>
                  <w:tcBorders>
                    <w:tl2br w:val="nil"/>
                    <w:tr2bl w:val="nil"/>
                  </w:tcBorders>
                  <w:vAlign w:val="center"/>
                </w:tcPr>
                <w:p w14:paraId="060F3C47">
                  <w:pPr>
                    <w:adjustRightInd w:val="0"/>
                    <w:snapToGrid w:val="0"/>
                    <w:jc w:val="center"/>
                    <w:rPr>
                      <w:color w:val="auto"/>
                      <w:szCs w:val="21"/>
                    </w:rPr>
                  </w:pPr>
                </w:p>
              </w:tc>
              <w:tc>
                <w:tcPr>
                  <w:tcW w:w="1208" w:type="dxa"/>
                  <w:vMerge w:val="continue"/>
                  <w:tcBorders>
                    <w:tl2br w:val="nil"/>
                    <w:tr2bl w:val="nil"/>
                  </w:tcBorders>
                  <w:vAlign w:val="center"/>
                </w:tcPr>
                <w:p w14:paraId="59164478">
                  <w:pPr>
                    <w:adjustRightInd w:val="0"/>
                    <w:snapToGrid w:val="0"/>
                    <w:jc w:val="center"/>
                    <w:rPr>
                      <w:color w:val="auto"/>
                      <w:szCs w:val="21"/>
                    </w:rPr>
                  </w:pPr>
                </w:p>
              </w:tc>
              <w:tc>
                <w:tcPr>
                  <w:tcW w:w="1321" w:type="dxa"/>
                  <w:tcBorders>
                    <w:tl2br w:val="nil"/>
                    <w:tr2bl w:val="nil"/>
                  </w:tcBorders>
                  <w:vAlign w:val="center"/>
                </w:tcPr>
                <w:p w14:paraId="3ABE75F1">
                  <w:pPr>
                    <w:tabs>
                      <w:tab w:val="right" w:pos="8906"/>
                    </w:tabs>
                    <w:adjustRightInd w:val="0"/>
                    <w:snapToGrid w:val="0"/>
                    <w:jc w:val="center"/>
                    <w:rPr>
                      <w:color w:val="auto"/>
                      <w:szCs w:val="21"/>
                    </w:rPr>
                  </w:pPr>
                  <w:r>
                    <w:rPr>
                      <w:color w:val="auto"/>
                      <w:szCs w:val="21"/>
                    </w:rPr>
                    <w:t>210</w:t>
                  </w:r>
                </w:p>
              </w:tc>
              <w:tc>
                <w:tcPr>
                  <w:tcW w:w="2080" w:type="dxa"/>
                  <w:vMerge w:val="continue"/>
                  <w:tcBorders>
                    <w:tl2br w:val="nil"/>
                    <w:tr2bl w:val="nil"/>
                  </w:tcBorders>
                  <w:vAlign w:val="center"/>
                </w:tcPr>
                <w:p w14:paraId="4C4F2A74">
                  <w:pPr>
                    <w:tabs>
                      <w:tab w:val="right" w:pos="8906"/>
                    </w:tabs>
                    <w:adjustRightInd w:val="0"/>
                    <w:snapToGrid w:val="0"/>
                    <w:jc w:val="center"/>
                    <w:rPr>
                      <w:color w:val="auto"/>
                      <w:szCs w:val="21"/>
                    </w:rPr>
                  </w:pPr>
                </w:p>
              </w:tc>
              <w:tc>
                <w:tcPr>
                  <w:tcW w:w="1311" w:type="dxa"/>
                  <w:vMerge w:val="continue"/>
                  <w:tcBorders>
                    <w:tl2br w:val="nil"/>
                    <w:tr2bl w:val="nil"/>
                  </w:tcBorders>
                  <w:vAlign w:val="center"/>
                </w:tcPr>
                <w:p w14:paraId="49558793">
                  <w:pPr>
                    <w:tabs>
                      <w:tab w:val="right" w:pos="8906"/>
                    </w:tabs>
                    <w:adjustRightInd w:val="0"/>
                    <w:snapToGrid w:val="0"/>
                    <w:jc w:val="center"/>
                    <w:rPr>
                      <w:color w:val="auto"/>
                      <w:szCs w:val="21"/>
                    </w:rPr>
                  </w:pPr>
                </w:p>
              </w:tc>
            </w:tr>
            <w:tr w14:paraId="1A08488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55FE0F48">
                  <w:pPr>
                    <w:adjustRightInd w:val="0"/>
                    <w:snapToGrid w:val="0"/>
                    <w:jc w:val="center"/>
                    <w:rPr>
                      <w:color w:val="auto"/>
                      <w:szCs w:val="21"/>
                    </w:rPr>
                  </w:pPr>
                </w:p>
              </w:tc>
              <w:tc>
                <w:tcPr>
                  <w:tcW w:w="2080" w:type="dxa"/>
                  <w:vMerge w:val="continue"/>
                  <w:tcBorders>
                    <w:tl2br w:val="nil"/>
                    <w:tr2bl w:val="nil"/>
                  </w:tcBorders>
                  <w:vAlign w:val="center"/>
                </w:tcPr>
                <w:p w14:paraId="55B5C3B0">
                  <w:pPr>
                    <w:adjustRightInd w:val="0"/>
                    <w:snapToGrid w:val="0"/>
                    <w:jc w:val="center"/>
                    <w:rPr>
                      <w:color w:val="auto"/>
                      <w:szCs w:val="21"/>
                    </w:rPr>
                  </w:pPr>
                </w:p>
              </w:tc>
              <w:tc>
                <w:tcPr>
                  <w:tcW w:w="1208" w:type="dxa"/>
                  <w:vMerge w:val="continue"/>
                  <w:tcBorders>
                    <w:tl2br w:val="nil"/>
                    <w:tr2bl w:val="nil"/>
                  </w:tcBorders>
                  <w:vAlign w:val="center"/>
                </w:tcPr>
                <w:p w14:paraId="06069A7C">
                  <w:pPr>
                    <w:adjustRightInd w:val="0"/>
                    <w:snapToGrid w:val="0"/>
                    <w:jc w:val="center"/>
                    <w:rPr>
                      <w:color w:val="auto"/>
                      <w:szCs w:val="21"/>
                    </w:rPr>
                  </w:pPr>
                </w:p>
              </w:tc>
              <w:tc>
                <w:tcPr>
                  <w:tcW w:w="1321" w:type="dxa"/>
                  <w:tcBorders>
                    <w:tl2br w:val="nil"/>
                    <w:tr2bl w:val="nil"/>
                  </w:tcBorders>
                  <w:vAlign w:val="center"/>
                </w:tcPr>
                <w:p w14:paraId="3D059BCE">
                  <w:pPr>
                    <w:tabs>
                      <w:tab w:val="right" w:pos="8906"/>
                    </w:tabs>
                    <w:adjustRightInd w:val="0"/>
                    <w:snapToGrid w:val="0"/>
                    <w:jc w:val="center"/>
                    <w:rPr>
                      <w:color w:val="auto"/>
                      <w:szCs w:val="21"/>
                    </w:rPr>
                  </w:pPr>
                  <w:r>
                    <w:rPr>
                      <w:color w:val="auto"/>
                      <w:szCs w:val="21"/>
                    </w:rPr>
                    <w:t>232</w:t>
                  </w:r>
                </w:p>
              </w:tc>
              <w:tc>
                <w:tcPr>
                  <w:tcW w:w="2080" w:type="dxa"/>
                  <w:vMerge w:val="continue"/>
                  <w:tcBorders>
                    <w:tl2br w:val="nil"/>
                    <w:tr2bl w:val="nil"/>
                  </w:tcBorders>
                  <w:vAlign w:val="center"/>
                </w:tcPr>
                <w:p w14:paraId="1470798F">
                  <w:pPr>
                    <w:tabs>
                      <w:tab w:val="right" w:pos="8906"/>
                    </w:tabs>
                    <w:adjustRightInd w:val="0"/>
                    <w:snapToGrid w:val="0"/>
                    <w:jc w:val="center"/>
                    <w:rPr>
                      <w:color w:val="auto"/>
                      <w:szCs w:val="21"/>
                    </w:rPr>
                  </w:pPr>
                </w:p>
              </w:tc>
              <w:tc>
                <w:tcPr>
                  <w:tcW w:w="1311" w:type="dxa"/>
                  <w:vMerge w:val="continue"/>
                  <w:tcBorders>
                    <w:tl2br w:val="nil"/>
                    <w:tr2bl w:val="nil"/>
                  </w:tcBorders>
                  <w:vAlign w:val="center"/>
                </w:tcPr>
                <w:p w14:paraId="7958C569">
                  <w:pPr>
                    <w:tabs>
                      <w:tab w:val="right" w:pos="8906"/>
                    </w:tabs>
                    <w:adjustRightInd w:val="0"/>
                    <w:snapToGrid w:val="0"/>
                    <w:jc w:val="center"/>
                    <w:rPr>
                      <w:color w:val="auto"/>
                      <w:szCs w:val="21"/>
                    </w:rPr>
                  </w:pPr>
                </w:p>
              </w:tc>
            </w:tr>
            <w:tr w14:paraId="7493A6A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76D3712C">
                  <w:pPr>
                    <w:adjustRightInd w:val="0"/>
                    <w:snapToGrid w:val="0"/>
                    <w:jc w:val="center"/>
                    <w:rPr>
                      <w:color w:val="auto"/>
                      <w:szCs w:val="21"/>
                    </w:rPr>
                  </w:pPr>
                </w:p>
              </w:tc>
              <w:tc>
                <w:tcPr>
                  <w:tcW w:w="2080" w:type="dxa"/>
                  <w:vMerge w:val="continue"/>
                  <w:tcBorders>
                    <w:tl2br w:val="nil"/>
                    <w:tr2bl w:val="nil"/>
                  </w:tcBorders>
                  <w:vAlign w:val="center"/>
                </w:tcPr>
                <w:p w14:paraId="01D9D18F">
                  <w:pPr>
                    <w:adjustRightInd w:val="0"/>
                    <w:snapToGrid w:val="0"/>
                    <w:jc w:val="center"/>
                    <w:rPr>
                      <w:color w:val="auto"/>
                      <w:szCs w:val="21"/>
                    </w:rPr>
                  </w:pPr>
                </w:p>
              </w:tc>
              <w:tc>
                <w:tcPr>
                  <w:tcW w:w="1208" w:type="dxa"/>
                  <w:vMerge w:val="continue"/>
                  <w:tcBorders>
                    <w:tl2br w:val="nil"/>
                    <w:tr2bl w:val="nil"/>
                  </w:tcBorders>
                  <w:vAlign w:val="center"/>
                </w:tcPr>
                <w:p w14:paraId="74D7358F">
                  <w:pPr>
                    <w:adjustRightInd w:val="0"/>
                    <w:snapToGrid w:val="0"/>
                    <w:jc w:val="center"/>
                    <w:rPr>
                      <w:color w:val="auto"/>
                      <w:szCs w:val="21"/>
                    </w:rPr>
                  </w:pPr>
                </w:p>
              </w:tc>
              <w:tc>
                <w:tcPr>
                  <w:tcW w:w="1321" w:type="dxa"/>
                  <w:tcBorders>
                    <w:tl2br w:val="nil"/>
                    <w:tr2bl w:val="nil"/>
                  </w:tcBorders>
                  <w:vAlign w:val="center"/>
                </w:tcPr>
                <w:p w14:paraId="4FA6B7EF">
                  <w:pPr>
                    <w:tabs>
                      <w:tab w:val="right" w:pos="8906"/>
                    </w:tabs>
                    <w:adjustRightInd w:val="0"/>
                    <w:snapToGrid w:val="0"/>
                    <w:jc w:val="center"/>
                    <w:rPr>
                      <w:color w:val="auto"/>
                      <w:szCs w:val="21"/>
                    </w:rPr>
                  </w:pPr>
                  <w:r>
                    <w:rPr>
                      <w:color w:val="auto"/>
                      <w:szCs w:val="21"/>
                    </w:rPr>
                    <w:t>186</w:t>
                  </w:r>
                </w:p>
              </w:tc>
              <w:tc>
                <w:tcPr>
                  <w:tcW w:w="2080" w:type="dxa"/>
                  <w:vMerge w:val="continue"/>
                  <w:tcBorders>
                    <w:tl2br w:val="nil"/>
                    <w:tr2bl w:val="nil"/>
                  </w:tcBorders>
                  <w:vAlign w:val="center"/>
                </w:tcPr>
                <w:p w14:paraId="599FB73B">
                  <w:pPr>
                    <w:tabs>
                      <w:tab w:val="right" w:pos="8906"/>
                    </w:tabs>
                    <w:adjustRightInd w:val="0"/>
                    <w:snapToGrid w:val="0"/>
                    <w:jc w:val="center"/>
                    <w:rPr>
                      <w:color w:val="auto"/>
                      <w:szCs w:val="21"/>
                    </w:rPr>
                  </w:pPr>
                </w:p>
              </w:tc>
              <w:tc>
                <w:tcPr>
                  <w:tcW w:w="1311" w:type="dxa"/>
                  <w:vMerge w:val="continue"/>
                  <w:tcBorders>
                    <w:tl2br w:val="nil"/>
                    <w:tr2bl w:val="nil"/>
                  </w:tcBorders>
                  <w:vAlign w:val="center"/>
                </w:tcPr>
                <w:p w14:paraId="4019E591">
                  <w:pPr>
                    <w:tabs>
                      <w:tab w:val="right" w:pos="8906"/>
                    </w:tabs>
                    <w:adjustRightInd w:val="0"/>
                    <w:snapToGrid w:val="0"/>
                    <w:jc w:val="center"/>
                    <w:rPr>
                      <w:color w:val="auto"/>
                      <w:szCs w:val="21"/>
                    </w:rPr>
                  </w:pPr>
                </w:p>
              </w:tc>
            </w:tr>
            <w:tr w14:paraId="52A0770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24552E1A">
                  <w:pPr>
                    <w:adjustRightInd w:val="0"/>
                    <w:snapToGrid w:val="0"/>
                    <w:jc w:val="center"/>
                    <w:rPr>
                      <w:color w:val="auto"/>
                      <w:szCs w:val="21"/>
                    </w:rPr>
                  </w:pPr>
                </w:p>
              </w:tc>
              <w:tc>
                <w:tcPr>
                  <w:tcW w:w="2080" w:type="dxa"/>
                  <w:vMerge w:val="restart"/>
                  <w:tcBorders>
                    <w:tl2br w:val="nil"/>
                    <w:tr2bl w:val="nil"/>
                  </w:tcBorders>
                  <w:vAlign w:val="center"/>
                </w:tcPr>
                <w:p w14:paraId="5B60BEE4">
                  <w:pPr>
                    <w:adjustRightInd w:val="0"/>
                    <w:snapToGrid w:val="0"/>
                    <w:jc w:val="center"/>
                    <w:rPr>
                      <w:color w:val="auto"/>
                      <w:szCs w:val="21"/>
                    </w:rPr>
                  </w:pPr>
                  <w:r>
                    <w:rPr>
                      <w:color w:val="auto"/>
                      <w:szCs w:val="21"/>
                    </w:rPr>
                    <w:t>2021-</w:t>
                  </w:r>
                  <w:r>
                    <w:rPr>
                      <w:rFonts w:hint="eastAsia"/>
                      <w:color w:val="auto"/>
                      <w:szCs w:val="21"/>
                    </w:rPr>
                    <w:t>6</w:t>
                  </w:r>
                  <w:r>
                    <w:rPr>
                      <w:color w:val="auto"/>
                      <w:szCs w:val="21"/>
                    </w:rPr>
                    <w:t>-</w:t>
                  </w:r>
                  <w:r>
                    <w:rPr>
                      <w:rFonts w:hint="eastAsia"/>
                      <w:color w:val="auto"/>
                      <w:szCs w:val="21"/>
                    </w:rPr>
                    <w:t>28~2021-6-29</w:t>
                  </w:r>
                </w:p>
              </w:tc>
              <w:tc>
                <w:tcPr>
                  <w:tcW w:w="1208" w:type="dxa"/>
                  <w:tcBorders>
                    <w:tl2br w:val="nil"/>
                    <w:tr2bl w:val="nil"/>
                  </w:tcBorders>
                  <w:vAlign w:val="center"/>
                </w:tcPr>
                <w:p w14:paraId="4584C792">
                  <w:pPr>
                    <w:adjustRightInd w:val="0"/>
                    <w:snapToGrid w:val="0"/>
                    <w:jc w:val="center"/>
                    <w:rPr>
                      <w:color w:val="auto"/>
                      <w:szCs w:val="21"/>
                    </w:rPr>
                  </w:pPr>
                  <w:r>
                    <w:rPr>
                      <w:rFonts w:hint="eastAsia"/>
                      <w:color w:val="auto"/>
                      <w:szCs w:val="21"/>
                    </w:rPr>
                    <w:t>69</w:t>
                  </w:r>
                </w:p>
              </w:tc>
              <w:tc>
                <w:tcPr>
                  <w:tcW w:w="1321" w:type="dxa"/>
                  <w:tcBorders>
                    <w:tl2br w:val="nil"/>
                    <w:tr2bl w:val="nil"/>
                  </w:tcBorders>
                  <w:vAlign w:val="center"/>
                </w:tcPr>
                <w:p w14:paraId="19F49DBB">
                  <w:pPr>
                    <w:tabs>
                      <w:tab w:val="right" w:pos="8906"/>
                    </w:tabs>
                    <w:adjustRightInd w:val="0"/>
                    <w:snapToGrid w:val="0"/>
                    <w:jc w:val="center"/>
                    <w:rPr>
                      <w:color w:val="auto"/>
                      <w:szCs w:val="21"/>
                    </w:rPr>
                  </w:pPr>
                  <w:r>
                    <w:rPr>
                      <w:color w:val="auto"/>
                      <w:szCs w:val="21"/>
                    </w:rPr>
                    <w:t>236</w:t>
                  </w:r>
                </w:p>
              </w:tc>
              <w:tc>
                <w:tcPr>
                  <w:tcW w:w="2080" w:type="dxa"/>
                  <w:vMerge w:val="restart"/>
                  <w:tcBorders>
                    <w:tl2br w:val="nil"/>
                    <w:tr2bl w:val="nil"/>
                  </w:tcBorders>
                  <w:vAlign w:val="center"/>
                </w:tcPr>
                <w:p w14:paraId="2ADD34DA">
                  <w:pPr>
                    <w:autoSpaceDN w:val="0"/>
                    <w:adjustRightInd w:val="0"/>
                    <w:snapToGrid w:val="0"/>
                    <w:jc w:val="center"/>
                    <w:textAlignment w:val="center"/>
                    <w:rPr>
                      <w:color w:val="auto"/>
                      <w:szCs w:val="21"/>
                    </w:rPr>
                  </w:pPr>
                  <w:r>
                    <w:rPr>
                      <w:rFonts w:hint="eastAsia"/>
                      <w:color w:val="auto"/>
                      <w:szCs w:val="21"/>
                    </w:rPr>
                    <w:t>2</w:t>
                  </w:r>
                  <w:r>
                    <w:rPr>
                      <w:color w:val="auto"/>
                      <w:szCs w:val="21"/>
                    </w:rPr>
                    <w:t>021-</w:t>
                  </w:r>
                  <w:r>
                    <w:rPr>
                      <w:rFonts w:hint="eastAsia"/>
                      <w:color w:val="auto"/>
                      <w:szCs w:val="21"/>
                    </w:rPr>
                    <w:t>9</w:t>
                  </w:r>
                  <w:r>
                    <w:rPr>
                      <w:color w:val="auto"/>
                      <w:szCs w:val="21"/>
                    </w:rPr>
                    <w:t>-</w:t>
                  </w:r>
                  <w:r>
                    <w:rPr>
                      <w:rFonts w:hint="eastAsia"/>
                      <w:color w:val="auto"/>
                      <w:szCs w:val="21"/>
                    </w:rPr>
                    <w:t>26~2021-9-27</w:t>
                  </w:r>
                </w:p>
              </w:tc>
              <w:tc>
                <w:tcPr>
                  <w:tcW w:w="1311" w:type="dxa"/>
                  <w:tcBorders>
                    <w:tl2br w:val="nil"/>
                    <w:tr2bl w:val="nil"/>
                  </w:tcBorders>
                  <w:vAlign w:val="center"/>
                </w:tcPr>
                <w:p w14:paraId="6EBD2D69">
                  <w:pPr>
                    <w:tabs>
                      <w:tab w:val="right" w:pos="8906"/>
                    </w:tabs>
                    <w:adjustRightInd w:val="0"/>
                    <w:snapToGrid w:val="0"/>
                    <w:jc w:val="center"/>
                    <w:rPr>
                      <w:color w:val="auto"/>
                      <w:szCs w:val="21"/>
                    </w:rPr>
                  </w:pPr>
                  <w:r>
                    <w:rPr>
                      <w:rFonts w:hint="eastAsia"/>
                      <w:color w:val="auto"/>
                      <w:szCs w:val="21"/>
                    </w:rPr>
                    <w:t>29</w:t>
                  </w:r>
                </w:p>
              </w:tc>
            </w:tr>
            <w:tr w14:paraId="110A8DB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1468EF7C">
                  <w:pPr>
                    <w:adjustRightInd w:val="0"/>
                    <w:snapToGrid w:val="0"/>
                    <w:jc w:val="center"/>
                    <w:rPr>
                      <w:color w:val="auto"/>
                      <w:szCs w:val="21"/>
                    </w:rPr>
                  </w:pPr>
                </w:p>
              </w:tc>
              <w:tc>
                <w:tcPr>
                  <w:tcW w:w="2080" w:type="dxa"/>
                  <w:vMerge w:val="continue"/>
                  <w:tcBorders>
                    <w:tl2br w:val="nil"/>
                    <w:tr2bl w:val="nil"/>
                  </w:tcBorders>
                  <w:vAlign w:val="center"/>
                </w:tcPr>
                <w:p w14:paraId="535CEB92">
                  <w:pPr>
                    <w:adjustRightInd w:val="0"/>
                    <w:snapToGrid w:val="0"/>
                    <w:jc w:val="center"/>
                    <w:rPr>
                      <w:color w:val="auto"/>
                      <w:szCs w:val="21"/>
                    </w:rPr>
                  </w:pPr>
                </w:p>
              </w:tc>
              <w:tc>
                <w:tcPr>
                  <w:tcW w:w="1208" w:type="dxa"/>
                  <w:vMerge w:val="restart"/>
                  <w:tcBorders>
                    <w:tl2br w:val="nil"/>
                    <w:tr2bl w:val="nil"/>
                  </w:tcBorders>
                  <w:vAlign w:val="center"/>
                </w:tcPr>
                <w:p w14:paraId="7C778DE3">
                  <w:pPr>
                    <w:adjustRightInd w:val="0"/>
                    <w:snapToGrid w:val="0"/>
                    <w:jc w:val="center"/>
                    <w:rPr>
                      <w:color w:val="auto"/>
                      <w:szCs w:val="21"/>
                    </w:rPr>
                  </w:pPr>
                  <w:r>
                    <w:rPr>
                      <w:color w:val="auto"/>
                      <w:szCs w:val="21"/>
                    </w:rPr>
                    <w:t>/</w:t>
                  </w:r>
                </w:p>
              </w:tc>
              <w:tc>
                <w:tcPr>
                  <w:tcW w:w="1321" w:type="dxa"/>
                  <w:tcBorders>
                    <w:tl2br w:val="nil"/>
                    <w:tr2bl w:val="nil"/>
                  </w:tcBorders>
                  <w:vAlign w:val="center"/>
                </w:tcPr>
                <w:p w14:paraId="13BDD931">
                  <w:pPr>
                    <w:tabs>
                      <w:tab w:val="right" w:pos="8906"/>
                    </w:tabs>
                    <w:adjustRightInd w:val="0"/>
                    <w:snapToGrid w:val="0"/>
                    <w:jc w:val="center"/>
                    <w:rPr>
                      <w:color w:val="auto"/>
                      <w:szCs w:val="21"/>
                    </w:rPr>
                  </w:pPr>
                  <w:r>
                    <w:rPr>
                      <w:color w:val="auto"/>
                      <w:szCs w:val="21"/>
                    </w:rPr>
                    <w:t>202</w:t>
                  </w:r>
                </w:p>
              </w:tc>
              <w:tc>
                <w:tcPr>
                  <w:tcW w:w="2080" w:type="dxa"/>
                  <w:vMerge w:val="continue"/>
                  <w:tcBorders>
                    <w:tl2br w:val="nil"/>
                    <w:tr2bl w:val="nil"/>
                  </w:tcBorders>
                  <w:vAlign w:val="center"/>
                </w:tcPr>
                <w:p w14:paraId="6C084C85">
                  <w:pPr>
                    <w:tabs>
                      <w:tab w:val="right" w:pos="8906"/>
                    </w:tabs>
                    <w:adjustRightInd w:val="0"/>
                    <w:snapToGrid w:val="0"/>
                    <w:jc w:val="center"/>
                    <w:rPr>
                      <w:color w:val="auto"/>
                      <w:szCs w:val="21"/>
                    </w:rPr>
                  </w:pPr>
                </w:p>
              </w:tc>
              <w:tc>
                <w:tcPr>
                  <w:tcW w:w="1311" w:type="dxa"/>
                  <w:vMerge w:val="restart"/>
                  <w:tcBorders>
                    <w:tl2br w:val="nil"/>
                    <w:tr2bl w:val="nil"/>
                  </w:tcBorders>
                  <w:vAlign w:val="center"/>
                </w:tcPr>
                <w:p w14:paraId="018D13E4">
                  <w:pPr>
                    <w:tabs>
                      <w:tab w:val="right" w:pos="8906"/>
                    </w:tabs>
                    <w:adjustRightInd w:val="0"/>
                    <w:snapToGrid w:val="0"/>
                    <w:jc w:val="center"/>
                    <w:rPr>
                      <w:color w:val="auto"/>
                      <w:szCs w:val="21"/>
                    </w:rPr>
                  </w:pPr>
                  <w:r>
                    <w:rPr>
                      <w:color w:val="auto"/>
                      <w:szCs w:val="21"/>
                    </w:rPr>
                    <w:t>/</w:t>
                  </w:r>
                </w:p>
              </w:tc>
            </w:tr>
            <w:tr w14:paraId="6E7FE00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7BABA4D9">
                  <w:pPr>
                    <w:adjustRightInd w:val="0"/>
                    <w:snapToGrid w:val="0"/>
                    <w:jc w:val="center"/>
                    <w:rPr>
                      <w:color w:val="auto"/>
                      <w:szCs w:val="21"/>
                    </w:rPr>
                  </w:pPr>
                </w:p>
              </w:tc>
              <w:tc>
                <w:tcPr>
                  <w:tcW w:w="2080" w:type="dxa"/>
                  <w:vMerge w:val="continue"/>
                  <w:tcBorders>
                    <w:tl2br w:val="nil"/>
                    <w:tr2bl w:val="nil"/>
                  </w:tcBorders>
                  <w:vAlign w:val="center"/>
                </w:tcPr>
                <w:p w14:paraId="604EA4B4">
                  <w:pPr>
                    <w:adjustRightInd w:val="0"/>
                    <w:snapToGrid w:val="0"/>
                    <w:jc w:val="center"/>
                    <w:rPr>
                      <w:color w:val="auto"/>
                      <w:szCs w:val="21"/>
                    </w:rPr>
                  </w:pPr>
                </w:p>
              </w:tc>
              <w:tc>
                <w:tcPr>
                  <w:tcW w:w="1208" w:type="dxa"/>
                  <w:vMerge w:val="continue"/>
                  <w:tcBorders>
                    <w:tl2br w:val="nil"/>
                    <w:tr2bl w:val="nil"/>
                  </w:tcBorders>
                  <w:vAlign w:val="center"/>
                </w:tcPr>
                <w:p w14:paraId="09E10B42">
                  <w:pPr>
                    <w:adjustRightInd w:val="0"/>
                    <w:snapToGrid w:val="0"/>
                    <w:jc w:val="center"/>
                    <w:rPr>
                      <w:color w:val="auto"/>
                      <w:szCs w:val="21"/>
                    </w:rPr>
                  </w:pPr>
                </w:p>
              </w:tc>
              <w:tc>
                <w:tcPr>
                  <w:tcW w:w="1321" w:type="dxa"/>
                  <w:tcBorders>
                    <w:tl2br w:val="nil"/>
                    <w:tr2bl w:val="nil"/>
                  </w:tcBorders>
                  <w:vAlign w:val="center"/>
                </w:tcPr>
                <w:p w14:paraId="7C2746BB">
                  <w:pPr>
                    <w:tabs>
                      <w:tab w:val="right" w:pos="8906"/>
                    </w:tabs>
                    <w:adjustRightInd w:val="0"/>
                    <w:snapToGrid w:val="0"/>
                    <w:jc w:val="center"/>
                    <w:rPr>
                      <w:color w:val="auto"/>
                      <w:szCs w:val="21"/>
                    </w:rPr>
                  </w:pPr>
                  <w:r>
                    <w:rPr>
                      <w:color w:val="auto"/>
                      <w:szCs w:val="21"/>
                    </w:rPr>
                    <w:t>218</w:t>
                  </w:r>
                </w:p>
              </w:tc>
              <w:tc>
                <w:tcPr>
                  <w:tcW w:w="2080" w:type="dxa"/>
                  <w:vMerge w:val="continue"/>
                  <w:tcBorders>
                    <w:tl2br w:val="nil"/>
                    <w:tr2bl w:val="nil"/>
                  </w:tcBorders>
                  <w:vAlign w:val="center"/>
                </w:tcPr>
                <w:p w14:paraId="05FF8F46">
                  <w:pPr>
                    <w:tabs>
                      <w:tab w:val="right" w:pos="8906"/>
                    </w:tabs>
                    <w:adjustRightInd w:val="0"/>
                    <w:snapToGrid w:val="0"/>
                    <w:jc w:val="center"/>
                    <w:rPr>
                      <w:color w:val="auto"/>
                      <w:szCs w:val="21"/>
                    </w:rPr>
                  </w:pPr>
                </w:p>
              </w:tc>
              <w:tc>
                <w:tcPr>
                  <w:tcW w:w="1311" w:type="dxa"/>
                  <w:vMerge w:val="continue"/>
                  <w:tcBorders>
                    <w:tl2br w:val="nil"/>
                    <w:tr2bl w:val="nil"/>
                  </w:tcBorders>
                  <w:vAlign w:val="center"/>
                </w:tcPr>
                <w:p w14:paraId="511D3D83">
                  <w:pPr>
                    <w:tabs>
                      <w:tab w:val="right" w:pos="8906"/>
                    </w:tabs>
                    <w:adjustRightInd w:val="0"/>
                    <w:snapToGrid w:val="0"/>
                    <w:jc w:val="center"/>
                    <w:rPr>
                      <w:color w:val="auto"/>
                      <w:szCs w:val="21"/>
                    </w:rPr>
                  </w:pPr>
                </w:p>
              </w:tc>
            </w:tr>
            <w:tr w14:paraId="1E7B031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153FEC1E">
                  <w:pPr>
                    <w:adjustRightInd w:val="0"/>
                    <w:snapToGrid w:val="0"/>
                    <w:jc w:val="center"/>
                    <w:rPr>
                      <w:color w:val="auto"/>
                      <w:szCs w:val="21"/>
                    </w:rPr>
                  </w:pPr>
                </w:p>
              </w:tc>
              <w:tc>
                <w:tcPr>
                  <w:tcW w:w="2080" w:type="dxa"/>
                  <w:vMerge w:val="continue"/>
                  <w:tcBorders>
                    <w:tl2br w:val="nil"/>
                    <w:tr2bl w:val="nil"/>
                  </w:tcBorders>
                  <w:vAlign w:val="center"/>
                </w:tcPr>
                <w:p w14:paraId="2351F2D4">
                  <w:pPr>
                    <w:adjustRightInd w:val="0"/>
                    <w:snapToGrid w:val="0"/>
                    <w:jc w:val="center"/>
                    <w:rPr>
                      <w:color w:val="auto"/>
                      <w:szCs w:val="21"/>
                    </w:rPr>
                  </w:pPr>
                </w:p>
              </w:tc>
              <w:tc>
                <w:tcPr>
                  <w:tcW w:w="1208" w:type="dxa"/>
                  <w:vMerge w:val="continue"/>
                  <w:tcBorders>
                    <w:tl2br w:val="nil"/>
                    <w:tr2bl w:val="nil"/>
                  </w:tcBorders>
                  <w:vAlign w:val="center"/>
                </w:tcPr>
                <w:p w14:paraId="7E29309F">
                  <w:pPr>
                    <w:adjustRightInd w:val="0"/>
                    <w:snapToGrid w:val="0"/>
                    <w:jc w:val="center"/>
                    <w:rPr>
                      <w:color w:val="auto"/>
                      <w:szCs w:val="21"/>
                    </w:rPr>
                  </w:pPr>
                </w:p>
              </w:tc>
              <w:tc>
                <w:tcPr>
                  <w:tcW w:w="1321" w:type="dxa"/>
                  <w:tcBorders>
                    <w:tl2br w:val="nil"/>
                    <w:tr2bl w:val="nil"/>
                  </w:tcBorders>
                  <w:vAlign w:val="center"/>
                </w:tcPr>
                <w:p w14:paraId="1BA62937">
                  <w:pPr>
                    <w:tabs>
                      <w:tab w:val="right" w:pos="8906"/>
                    </w:tabs>
                    <w:adjustRightInd w:val="0"/>
                    <w:snapToGrid w:val="0"/>
                    <w:jc w:val="center"/>
                    <w:rPr>
                      <w:color w:val="auto"/>
                      <w:szCs w:val="21"/>
                    </w:rPr>
                  </w:pPr>
                  <w:r>
                    <w:rPr>
                      <w:color w:val="auto"/>
                      <w:szCs w:val="21"/>
                    </w:rPr>
                    <w:t>260</w:t>
                  </w:r>
                </w:p>
              </w:tc>
              <w:tc>
                <w:tcPr>
                  <w:tcW w:w="2080" w:type="dxa"/>
                  <w:vMerge w:val="continue"/>
                  <w:tcBorders>
                    <w:tl2br w:val="nil"/>
                    <w:tr2bl w:val="nil"/>
                  </w:tcBorders>
                  <w:vAlign w:val="center"/>
                </w:tcPr>
                <w:p w14:paraId="5D079821">
                  <w:pPr>
                    <w:adjustRightInd w:val="0"/>
                    <w:snapToGrid w:val="0"/>
                    <w:jc w:val="center"/>
                    <w:rPr>
                      <w:color w:val="auto"/>
                      <w:szCs w:val="21"/>
                    </w:rPr>
                  </w:pPr>
                </w:p>
              </w:tc>
              <w:tc>
                <w:tcPr>
                  <w:tcW w:w="1311" w:type="dxa"/>
                  <w:vMerge w:val="continue"/>
                  <w:tcBorders>
                    <w:tl2br w:val="nil"/>
                    <w:tr2bl w:val="nil"/>
                  </w:tcBorders>
                  <w:vAlign w:val="center"/>
                </w:tcPr>
                <w:p w14:paraId="21C98275">
                  <w:pPr>
                    <w:tabs>
                      <w:tab w:val="right" w:pos="8906"/>
                    </w:tabs>
                    <w:adjustRightInd w:val="0"/>
                    <w:snapToGrid w:val="0"/>
                    <w:jc w:val="center"/>
                    <w:rPr>
                      <w:color w:val="auto"/>
                      <w:szCs w:val="21"/>
                    </w:rPr>
                  </w:pPr>
                </w:p>
              </w:tc>
            </w:tr>
            <w:tr w14:paraId="5683E46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52AA8BA6">
                  <w:pPr>
                    <w:adjustRightInd w:val="0"/>
                    <w:snapToGrid w:val="0"/>
                    <w:jc w:val="center"/>
                    <w:rPr>
                      <w:color w:val="auto"/>
                      <w:szCs w:val="21"/>
                    </w:rPr>
                  </w:pPr>
                </w:p>
              </w:tc>
              <w:tc>
                <w:tcPr>
                  <w:tcW w:w="2080" w:type="dxa"/>
                  <w:vMerge w:val="continue"/>
                  <w:tcBorders>
                    <w:tl2br w:val="nil"/>
                    <w:tr2bl w:val="nil"/>
                  </w:tcBorders>
                  <w:vAlign w:val="center"/>
                </w:tcPr>
                <w:p w14:paraId="0965B2E4">
                  <w:pPr>
                    <w:adjustRightInd w:val="0"/>
                    <w:snapToGrid w:val="0"/>
                    <w:jc w:val="center"/>
                    <w:rPr>
                      <w:color w:val="auto"/>
                      <w:szCs w:val="21"/>
                    </w:rPr>
                  </w:pPr>
                </w:p>
              </w:tc>
              <w:tc>
                <w:tcPr>
                  <w:tcW w:w="1208" w:type="dxa"/>
                  <w:vMerge w:val="continue"/>
                  <w:tcBorders>
                    <w:tl2br w:val="nil"/>
                    <w:tr2bl w:val="nil"/>
                  </w:tcBorders>
                  <w:vAlign w:val="center"/>
                </w:tcPr>
                <w:p w14:paraId="173F7403">
                  <w:pPr>
                    <w:adjustRightInd w:val="0"/>
                    <w:snapToGrid w:val="0"/>
                    <w:jc w:val="center"/>
                    <w:rPr>
                      <w:color w:val="auto"/>
                      <w:szCs w:val="21"/>
                    </w:rPr>
                  </w:pPr>
                </w:p>
              </w:tc>
              <w:tc>
                <w:tcPr>
                  <w:tcW w:w="1321" w:type="dxa"/>
                  <w:tcBorders>
                    <w:tl2br w:val="nil"/>
                    <w:tr2bl w:val="nil"/>
                  </w:tcBorders>
                  <w:vAlign w:val="center"/>
                </w:tcPr>
                <w:p w14:paraId="2D68E419">
                  <w:pPr>
                    <w:tabs>
                      <w:tab w:val="right" w:pos="8906"/>
                    </w:tabs>
                    <w:adjustRightInd w:val="0"/>
                    <w:snapToGrid w:val="0"/>
                    <w:jc w:val="center"/>
                    <w:rPr>
                      <w:color w:val="auto"/>
                      <w:szCs w:val="21"/>
                    </w:rPr>
                  </w:pPr>
                  <w:r>
                    <w:rPr>
                      <w:color w:val="auto"/>
                      <w:szCs w:val="21"/>
                    </w:rPr>
                    <w:t>233</w:t>
                  </w:r>
                </w:p>
              </w:tc>
              <w:tc>
                <w:tcPr>
                  <w:tcW w:w="2080" w:type="dxa"/>
                  <w:vMerge w:val="continue"/>
                  <w:tcBorders>
                    <w:tl2br w:val="nil"/>
                    <w:tr2bl w:val="nil"/>
                  </w:tcBorders>
                  <w:vAlign w:val="center"/>
                </w:tcPr>
                <w:p w14:paraId="1A225BC1">
                  <w:pPr>
                    <w:adjustRightInd w:val="0"/>
                    <w:snapToGrid w:val="0"/>
                    <w:jc w:val="center"/>
                    <w:rPr>
                      <w:color w:val="auto"/>
                      <w:szCs w:val="21"/>
                    </w:rPr>
                  </w:pPr>
                </w:p>
              </w:tc>
              <w:tc>
                <w:tcPr>
                  <w:tcW w:w="1311" w:type="dxa"/>
                  <w:vMerge w:val="continue"/>
                  <w:tcBorders>
                    <w:tl2br w:val="nil"/>
                    <w:tr2bl w:val="nil"/>
                  </w:tcBorders>
                  <w:vAlign w:val="center"/>
                </w:tcPr>
                <w:p w14:paraId="71883DDF">
                  <w:pPr>
                    <w:tabs>
                      <w:tab w:val="right" w:pos="8906"/>
                    </w:tabs>
                    <w:adjustRightInd w:val="0"/>
                    <w:snapToGrid w:val="0"/>
                    <w:jc w:val="center"/>
                    <w:rPr>
                      <w:color w:val="auto"/>
                      <w:szCs w:val="21"/>
                    </w:rPr>
                  </w:pPr>
                </w:p>
              </w:tc>
            </w:tr>
            <w:tr w14:paraId="0E34A6B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52CC78E3">
                  <w:pPr>
                    <w:adjustRightInd w:val="0"/>
                    <w:snapToGrid w:val="0"/>
                    <w:jc w:val="center"/>
                    <w:rPr>
                      <w:color w:val="auto"/>
                      <w:szCs w:val="21"/>
                    </w:rPr>
                  </w:pPr>
                </w:p>
              </w:tc>
              <w:tc>
                <w:tcPr>
                  <w:tcW w:w="2080" w:type="dxa"/>
                  <w:vMerge w:val="continue"/>
                  <w:tcBorders>
                    <w:tl2br w:val="nil"/>
                    <w:tr2bl w:val="nil"/>
                  </w:tcBorders>
                  <w:vAlign w:val="center"/>
                </w:tcPr>
                <w:p w14:paraId="31196319">
                  <w:pPr>
                    <w:adjustRightInd w:val="0"/>
                    <w:snapToGrid w:val="0"/>
                    <w:jc w:val="center"/>
                    <w:rPr>
                      <w:color w:val="auto"/>
                      <w:szCs w:val="21"/>
                    </w:rPr>
                  </w:pPr>
                </w:p>
              </w:tc>
              <w:tc>
                <w:tcPr>
                  <w:tcW w:w="1208" w:type="dxa"/>
                  <w:vMerge w:val="continue"/>
                  <w:tcBorders>
                    <w:tl2br w:val="nil"/>
                    <w:tr2bl w:val="nil"/>
                  </w:tcBorders>
                  <w:vAlign w:val="center"/>
                </w:tcPr>
                <w:p w14:paraId="776DAE2B">
                  <w:pPr>
                    <w:adjustRightInd w:val="0"/>
                    <w:snapToGrid w:val="0"/>
                    <w:jc w:val="center"/>
                    <w:rPr>
                      <w:color w:val="auto"/>
                      <w:szCs w:val="21"/>
                    </w:rPr>
                  </w:pPr>
                </w:p>
              </w:tc>
              <w:tc>
                <w:tcPr>
                  <w:tcW w:w="1321" w:type="dxa"/>
                  <w:tcBorders>
                    <w:tl2br w:val="nil"/>
                    <w:tr2bl w:val="nil"/>
                  </w:tcBorders>
                  <w:vAlign w:val="center"/>
                </w:tcPr>
                <w:p w14:paraId="0C761CDF">
                  <w:pPr>
                    <w:tabs>
                      <w:tab w:val="right" w:pos="8906"/>
                    </w:tabs>
                    <w:adjustRightInd w:val="0"/>
                    <w:snapToGrid w:val="0"/>
                    <w:jc w:val="center"/>
                    <w:rPr>
                      <w:color w:val="auto"/>
                      <w:szCs w:val="21"/>
                    </w:rPr>
                  </w:pPr>
                  <w:r>
                    <w:rPr>
                      <w:color w:val="auto"/>
                      <w:szCs w:val="21"/>
                    </w:rPr>
                    <w:t>173</w:t>
                  </w:r>
                </w:p>
              </w:tc>
              <w:tc>
                <w:tcPr>
                  <w:tcW w:w="2080" w:type="dxa"/>
                  <w:vMerge w:val="continue"/>
                  <w:tcBorders>
                    <w:tl2br w:val="nil"/>
                    <w:tr2bl w:val="nil"/>
                  </w:tcBorders>
                  <w:vAlign w:val="center"/>
                </w:tcPr>
                <w:p w14:paraId="2C203338">
                  <w:pPr>
                    <w:adjustRightInd w:val="0"/>
                    <w:snapToGrid w:val="0"/>
                    <w:jc w:val="center"/>
                    <w:rPr>
                      <w:color w:val="auto"/>
                      <w:szCs w:val="21"/>
                    </w:rPr>
                  </w:pPr>
                </w:p>
              </w:tc>
              <w:tc>
                <w:tcPr>
                  <w:tcW w:w="1311" w:type="dxa"/>
                  <w:vMerge w:val="continue"/>
                  <w:tcBorders>
                    <w:tl2br w:val="nil"/>
                    <w:tr2bl w:val="nil"/>
                  </w:tcBorders>
                  <w:vAlign w:val="center"/>
                </w:tcPr>
                <w:p w14:paraId="3C657653">
                  <w:pPr>
                    <w:tabs>
                      <w:tab w:val="right" w:pos="8906"/>
                    </w:tabs>
                    <w:adjustRightInd w:val="0"/>
                    <w:snapToGrid w:val="0"/>
                    <w:jc w:val="center"/>
                    <w:rPr>
                      <w:color w:val="auto"/>
                      <w:szCs w:val="21"/>
                    </w:rPr>
                  </w:pPr>
                </w:p>
              </w:tc>
            </w:tr>
            <w:tr w14:paraId="0F3511B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238BA8C7">
                  <w:pPr>
                    <w:adjustRightInd w:val="0"/>
                    <w:snapToGrid w:val="0"/>
                    <w:jc w:val="center"/>
                    <w:rPr>
                      <w:color w:val="auto"/>
                      <w:szCs w:val="21"/>
                    </w:rPr>
                  </w:pPr>
                </w:p>
              </w:tc>
              <w:tc>
                <w:tcPr>
                  <w:tcW w:w="2080" w:type="dxa"/>
                  <w:vMerge w:val="continue"/>
                  <w:tcBorders>
                    <w:tl2br w:val="nil"/>
                    <w:tr2bl w:val="nil"/>
                  </w:tcBorders>
                  <w:vAlign w:val="center"/>
                </w:tcPr>
                <w:p w14:paraId="5944FACF">
                  <w:pPr>
                    <w:adjustRightInd w:val="0"/>
                    <w:snapToGrid w:val="0"/>
                    <w:jc w:val="center"/>
                    <w:rPr>
                      <w:color w:val="auto"/>
                      <w:szCs w:val="21"/>
                    </w:rPr>
                  </w:pPr>
                </w:p>
              </w:tc>
              <w:tc>
                <w:tcPr>
                  <w:tcW w:w="1208" w:type="dxa"/>
                  <w:vMerge w:val="continue"/>
                  <w:tcBorders>
                    <w:tl2br w:val="nil"/>
                    <w:tr2bl w:val="nil"/>
                  </w:tcBorders>
                  <w:vAlign w:val="center"/>
                </w:tcPr>
                <w:p w14:paraId="1AB55FC0">
                  <w:pPr>
                    <w:adjustRightInd w:val="0"/>
                    <w:snapToGrid w:val="0"/>
                    <w:jc w:val="center"/>
                    <w:rPr>
                      <w:color w:val="auto"/>
                      <w:szCs w:val="21"/>
                    </w:rPr>
                  </w:pPr>
                </w:p>
              </w:tc>
              <w:tc>
                <w:tcPr>
                  <w:tcW w:w="1321" w:type="dxa"/>
                  <w:tcBorders>
                    <w:tl2br w:val="nil"/>
                    <w:tr2bl w:val="nil"/>
                  </w:tcBorders>
                  <w:vAlign w:val="center"/>
                </w:tcPr>
                <w:p w14:paraId="4B8B76E2">
                  <w:pPr>
                    <w:tabs>
                      <w:tab w:val="right" w:pos="8906"/>
                    </w:tabs>
                    <w:adjustRightInd w:val="0"/>
                    <w:snapToGrid w:val="0"/>
                    <w:jc w:val="center"/>
                    <w:rPr>
                      <w:color w:val="auto"/>
                      <w:szCs w:val="21"/>
                    </w:rPr>
                  </w:pPr>
                  <w:r>
                    <w:rPr>
                      <w:color w:val="auto"/>
                      <w:szCs w:val="21"/>
                    </w:rPr>
                    <w:t>244</w:t>
                  </w:r>
                </w:p>
              </w:tc>
              <w:tc>
                <w:tcPr>
                  <w:tcW w:w="2080" w:type="dxa"/>
                  <w:vMerge w:val="continue"/>
                  <w:tcBorders>
                    <w:tl2br w:val="nil"/>
                    <w:tr2bl w:val="nil"/>
                  </w:tcBorders>
                  <w:vAlign w:val="center"/>
                </w:tcPr>
                <w:p w14:paraId="6764D5CC">
                  <w:pPr>
                    <w:adjustRightInd w:val="0"/>
                    <w:snapToGrid w:val="0"/>
                    <w:jc w:val="center"/>
                    <w:rPr>
                      <w:color w:val="auto"/>
                      <w:szCs w:val="21"/>
                    </w:rPr>
                  </w:pPr>
                </w:p>
              </w:tc>
              <w:tc>
                <w:tcPr>
                  <w:tcW w:w="1311" w:type="dxa"/>
                  <w:vMerge w:val="continue"/>
                  <w:tcBorders>
                    <w:tl2br w:val="nil"/>
                    <w:tr2bl w:val="nil"/>
                  </w:tcBorders>
                  <w:vAlign w:val="center"/>
                </w:tcPr>
                <w:p w14:paraId="74457CEA">
                  <w:pPr>
                    <w:tabs>
                      <w:tab w:val="right" w:pos="8906"/>
                    </w:tabs>
                    <w:adjustRightInd w:val="0"/>
                    <w:snapToGrid w:val="0"/>
                    <w:jc w:val="center"/>
                    <w:rPr>
                      <w:color w:val="auto"/>
                      <w:szCs w:val="21"/>
                    </w:rPr>
                  </w:pPr>
                </w:p>
              </w:tc>
            </w:tr>
            <w:tr w14:paraId="288C82C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77B09C6C">
                  <w:pPr>
                    <w:adjustRightInd w:val="0"/>
                    <w:snapToGrid w:val="0"/>
                    <w:jc w:val="center"/>
                    <w:rPr>
                      <w:color w:val="auto"/>
                      <w:szCs w:val="21"/>
                    </w:rPr>
                  </w:pPr>
                </w:p>
              </w:tc>
              <w:tc>
                <w:tcPr>
                  <w:tcW w:w="2080" w:type="dxa"/>
                  <w:vMerge w:val="continue"/>
                  <w:tcBorders>
                    <w:tl2br w:val="nil"/>
                    <w:tr2bl w:val="nil"/>
                  </w:tcBorders>
                  <w:vAlign w:val="center"/>
                </w:tcPr>
                <w:p w14:paraId="32030B38">
                  <w:pPr>
                    <w:adjustRightInd w:val="0"/>
                    <w:snapToGrid w:val="0"/>
                    <w:jc w:val="center"/>
                    <w:rPr>
                      <w:color w:val="auto"/>
                      <w:szCs w:val="21"/>
                    </w:rPr>
                  </w:pPr>
                </w:p>
              </w:tc>
              <w:tc>
                <w:tcPr>
                  <w:tcW w:w="1208" w:type="dxa"/>
                  <w:vMerge w:val="continue"/>
                  <w:tcBorders>
                    <w:tl2br w:val="nil"/>
                    <w:tr2bl w:val="nil"/>
                  </w:tcBorders>
                  <w:vAlign w:val="center"/>
                </w:tcPr>
                <w:p w14:paraId="42938F3F">
                  <w:pPr>
                    <w:adjustRightInd w:val="0"/>
                    <w:snapToGrid w:val="0"/>
                    <w:jc w:val="center"/>
                    <w:rPr>
                      <w:color w:val="auto"/>
                      <w:szCs w:val="21"/>
                    </w:rPr>
                  </w:pPr>
                </w:p>
              </w:tc>
              <w:tc>
                <w:tcPr>
                  <w:tcW w:w="1321" w:type="dxa"/>
                  <w:tcBorders>
                    <w:tl2br w:val="nil"/>
                    <w:tr2bl w:val="nil"/>
                  </w:tcBorders>
                  <w:vAlign w:val="center"/>
                </w:tcPr>
                <w:p w14:paraId="5117B336">
                  <w:pPr>
                    <w:tabs>
                      <w:tab w:val="right" w:pos="8906"/>
                    </w:tabs>
                    <w:adjustRightInd w:val="0"/>
                    <w:snapToGrid w:val="0"/>
                    <w:jc w:val="center"/>
                    <w:rPr>
                      <w:color w:val="auto"/>
                      <w:szCs w:val="21"/>
                    </w:rPr>
                  </w:pPr>
                  <w:r>
                    <w:rPr>
                      <w:color w:val="auto"/>
                      <w:szCs w:val="21"/>
                    </w:rPr>
                    <w:t>257</w:t>
                  </w:r>
                </w:p>
              </w:tc>
              <w:tc>
                <w:tcPr>
                  <w:tcW w:w="2080" w:type="dxa"/>
                  <w:vMerge w:val="continue"/>
                  <w:tcBorders>
                    <w:tl2br w:val="nil"/>
                    <w:tr2bl w:val="nil"/>
                  </w:tcBorders>
                  <w:vAlign w:val="center"/>
                </w:tcPr>
                <w:p w14:paraId="5C923C7C">
                  <w:pPr>
                    <w:adjustRightInd w:val="0"/>
                    <w:snapToGrid w:val="0"/>
                    <w:jc w:val="center"/>
                    <w:rPr>
                      <w:color w:val="auto"/>
                      <w:szCs w:val="21"/>
                    </w:rPr>
                  </w:pPr>
                </w:p>
              </w:tc>
              <w:tc>
                <w:tcPr>
                  <w:tcW w:w="1311" w:type="dxa"/>
                  <w:vMerge w:val="continue"/>
                  <w:tcBorders>
                    <w:tl2br w:val="nil"/>
                    <w:tr2bl w:val="nil"/>
                  </w:tcBorders>
                  <w:vAlign w:val="center"/>
                </w:tcPr>
                <w:p w14:paraId="1C7E28CF">
                  <w:pPr>
                    <w:tabs>
                      <w:tab w:val="right" w:pos="8906"/>
                    </w:tabs>
                    <w:adjustRightInd w:val="0"/>
                    <w:snapToGrid w:val="0"/>
                    <w:jc w:val="center"/>
                    <w:rPr>
                      <w:color w:val="auto"/>
                      <w:szCs w:val="21"/>
                    </w:rPr>
                  </w:pPr>
                </w:p>
              </w:tc>
            </w:tr>
            <w:tr w14:paraId="2238AD4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gridSpan w:val="2"/>
                  <w:tcBorders>
                    <w:tl2br w:val="nil"/>
                    <w:tr2bl w:val="nil"/>
                  </w:tcBorders>
                  <w:vAlign w:val="center"/>
                </w:tcPr>
                <w:p w14:paraId="551721E9">
                  <w:pPr>
                    <w:adjustRightInd w:val="0"/>
                    <w:snapToGrid w:val="0"/>
                    <w:jc w:val="center"/>
                    <w:rPr>
                      <w:color w:val="auto"/>
                      <w:szCs w:val="21"/>
                    </w:rPr>
                  </w:pPr>
                  <w:r>
                    <w:rPr>
                      <w:color w:val="auto"/>
                      <w:szCs w:val="21"/>
                    </w:rPr>
                    <w:t>标准值</w:t>
                  </w:r>
                </w:p>
              </w:tc>
              <w:tc>
                <w:tcPr>
                  <w:tcW w:w="1208" w:type="dxa"/>
                  <w:tcBorders>
                    <w:tl2br w:val="nil"/>
                    <w:tr2bl w:val="nil"/>
                  </w:tcBorders>
                  <w:vAlign w:val="center"/>
                </w:tcPr>
                <w:p w14:paraId="24ED0FEC">
                  <w:pPr>
                    <w:adjustRightInd w:val="0"/>
                    <w:snapToGrid w:val="0"/>
                    <w:jc w:val="center"/>
                    <w:rPr>
                      <w:color w:val="auto"/>
                      <w:szCs w:val="21"/>
                    </w:rPr>
                  </w:pPr>
                  <w:r>
                    <w:rPr>
                      <w:color w:val="auto"/>
                      <w:szCs w:val="21"/>
                    </w:rPr>
                    <w:t>3</w:t>
                  </w:r>
                  <w:r>
                    <w:rPr>
                      <w:rFonts w:hint="eastAsia"/>
                      <w:color w:val="auto"/>
                      <w:szCs w:val="21"/>
                    </w:rPr>
                    <w:t>00</w:t>
                  </w:r>
                </w:p>
              </w:tc>
              <w:tc>
                <w:tcPr>
                  <w:tcW w:w="1321" w:type="dxa"/>
                  <w:tcBorders>
                    <w:tl2br w:val="nil"/>
                    <w:tr2bl w:val="nil"/>
                  </w:tcBorders>
                  <w:vAlign w:val="center"/>
                </w:tcPr>
                <w:p w14:paraId="7FBE4575">
                  <w:pPr>
                    <w:adjustRightInd w:val="0"/>
                    <w:snapToGrid w:val="0"/>
                    <w:jc w:val="center"/>
                    <w:rPr>
                      <w:color w:val="auto"/>
                      <w:szCs w:val="21"/>
                    </w:rPr>
                  </w:pPr>
                  <w:r>
                    <w:rPr>
                      <w:rFonts w:hint="eastAsia"/>
                      <w:color w:val="auto"/>
                      <w:szCs w:val="21"/>
                    </w:rPr>
                    <w:t>600</w:t>
                  </w:r>
                </w:p>
              </w:tc>
              <w:tc>
                <w:tcPr>
                  <w:tcW w:w="2080" w:type="dxa"/>
                  <w:tcBorders>
                    <w:tl2br w:val="nil"/>
                    <w:tr2bl w:val="nil"/>
                  </w:tcBorders>
                  <w:vAlign w:val="center"/>
                </w:tcPr>
                <w:p w14:paraId="428AF3CA">
                  <w:pPr>
                    <w:adjustRightInd w:val="0"/>
                    <w:snapToGrid w:val="0"/>
                    <w:jc w:val="center"/>
                    <w:rPr>
                      <w:color w:val="auto"/>
                      <w:szCs w:val="21"/>
                    </w:rPr>
                  </w:pPr>
                  <w:r>
                    <w:rPr>
                      <w:color w:val="auto"/>
                      <w:szCs w:val="21"/>
                    </w:rPr>
                    <w:t>标准值</w:t>
                  </w:r>
                </w:p>
              </w:tc>
              <w:tc>
                <w:tcPr>
                  <w:tcW w:w="1311" w:type="dxa"/>
                  <w:tcBorders>
                    <w:tl2br w:val="nil"/>
                    <w:tr2bl w:val="nil"/>
                  </w:tcBorders>
                  <w:vAlign w:val="center"/>
                </w:tcPr>
                <w:p w14:paraId="5004581A">
                  <w:pPr>
                    <w:adjustRightInd w:val="0"/>
                    <w:snapToGrid w:val="0"/>
                    <w:jc w:val="center"/>
                    <w:rPr>
                      <w:color w:val="auto"/>
                      <w:szCs w:val="21"/>
                    </w:rPr>
                  </w:pPr>
                  <w:r>
                    <w:rPr>
                      <w:rFonts w:hint="eastAsia"/>
                      <w:color w:val="auto"/>
                      <w:szCs w:val="21"/>
                    </w:rPr>
                    <w:t>100</w:t>
                  </w:r>
                </w:p>
              </w:tc>
            </w:tr>
            <w:tr w14:paraId="7A1AE80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gridSpan w:val="2"/>
                  <w:tcBorders>
                    <w:tl2br w:val="nil"/>
                    <w:tr2bl w:val="nil"/>
                  </w:tcBorders>
                  <w:vAlign w:val="center"/>
                </w:tcPr>
                <w:p w14:paraId="25910746">
                  <w:pPr>
                    <w:adjustRightInd w:val="0"/>
                    <w:snapToGrid w:val="0"/>
                    <w:jc w:val="center"/>
                    <w:rPr>
                      <w:color w:val="auto"/>
                      <w:szCs w:val="21"/>
                    </w:rPr>
                  </w:pPr>
                  <w:r>
                    <w:rPr>
                      <w:color w:val="auto"/>
                      <w:szCs w:val="21"/>
                    </w:rPr>
                    <w:t>达标情况</w:t>
                  </w:r>
                </w:p>
              </w:tc>
              <w:tc>
                <w:tcPr>
                  <w:tcW w:w="1208" w:type="dxa"/>
                  <w:tcBorders>
                    <w:tl2br w:val="nil"/>
                    <w:tr2bl w:val="nil"/>
                  </w:tcBorders>
                  <w:vAlign w:val="center"/>
                </w:tcPr>
                <w:p w14:paraId="5F7A8E9B">
                  <w:pPr>
                    <w:adjustRightInd w:val="0"/>
                    <w:snapToGrid w:val="0"/>
                    <w:jc w:val="center"/>
                    <w:rPr>
                      <w:color w:val="auto"/>
                      <w:szCs w:val="21"/>
                    </w:rPr>
                  </w:pPr>
                  <w:r>
                    <w:rPr>
                      <w:color w:val="auto"/>
                      <w:szCs w:val="21"/>
                    </w:rPr>
                    <w:t>达标</w:t>
                  </w:r>
                </w:p>
              </w:tc>
              <w:tc>
                <w:tcPr>
                  <w:tcW w:w="1321" w:type="dxa"/>
                  <w:tcBorders>
                    <w:tl2br w:val="nil"/>
                    <w:tr2bl w:val="nil"/>
                  </w:tcBorders>
                  <w:vAlign w:val="center"/>
                </w:tcPr>
                <w:p w14:paraId="75F23945">
                  <w:pPr>
                    <w:adjustRightInd w:val="0"/>
                    <w:snapToGrid w:val="0"/>
                    <w:jc w:val="center"/>
                    <w:rPr>
                      <w:color w:val="auto"/>
                      <w:szCs w:val="21"/>
                    </w:rPr>
                  </w:pPr>
                  <w:r>
                    <w:rPr>
                      <w:color w:val="auto"/>
                      <w:szCs w:val="21"/>
                    </w:rPr>
                    <w:t>达标</w:t>
                  </w:r>
                </w:p>
              </w:tc>
              <w:tc>
                <w:tcPr>
                  <w:tcW w:w="2080" w:type="dxa"/>
                  <w:tcBorders>
                    <w:tl2br w:val="nil"/>
                    <w:tr2bl w:val="nil"/>
                  </w:tcBorders>
                  <w:vAlign w:val="center"/>
                </w:tcPr>
                <w:p w14:paraId="06737143">
                  <w:pPr>
                    <w:adjustRightInd w:val="0"/>
                    <w:snapToGrid w:val="0"/>
                    <w:jc w:val="center"/>
                    <w:rPr>
                      <w:color w:val="auto"/>
                      <w:szCs w:val="21"/>
                    </w:rPr>
                  </w:pPr>
                  <w:r>
                    <w:rPr>
                      <w:color w:val="auto"/>
                      <w:szCs w:val="21"/>
                    </w:rPr>
                    <w:t>达标情况</w:t>
                  </w:r>
                </w:p>
              </w:tc>
              <w:tc>
                <w:tcPr>
                  <w:tcW w:w="1311" w:type="dxa"/>
                  <w:tcBorders>
                    <w:tl2br w:val="nil"/>
                    <w:tr2bl w:val="nil"/>
                  </w:tcBorders>
                  <w:vAlign w:val="center"/>
                </w:tcPr>
                <w:p w14:paraId="70F57A01">
                  <w:pPr>
                    <w:adjustRightInd w:val="0"/>
                    <w:snapToGrid w:val="0"/>
                    <w:jc w:val="center"/>
                    <w:rPr>
                      <w:color w:val="auto"/>
                      <w:szCs w:val="21"/>
                    </w:rPr>
                  </w:pPr>
                  <w:r>
                    <w:rPr>
                      <w:color w:val="auto"/>
                      <w:szCs w:val="21"/>
                    </w:rPr>
                    <w:t>达标</w:t>
                  </w:r>
                </w:p>
              </w:tc>
            </w:tr>
          </w:tbl>
          <w:p w14:paraId="77D85585">
            <w:pPr>
              <w:pStyle w:val="8"/>
              <w:snapToGrid w:val="0"/>
              <w:jc w:val="center"/>
              <w:rPr>
                <w:b/>
                <w:bCs/>
                <w:color w:val="auto"/>
                <w:szCs w:val="21"/>
                <w:vertAlign w:val="superscript"/>
              </w:rPr>
            </w:pPr>
            <w:r>
              <w:rPr>
                <w:b/>
                <w:bCs/>
                <w:color w:val="auto"/>
                <w:szCs w:val="21"/>
                <w:lang w:val="zh-CN"/>
              </w:rPr>
              <w:t>表</w:t>
            </w:r>
            <w:r>
              <w:rPr>
                <w:rFonts w:hint="eastAsia"/>
                <w:b/>
                <w:bCs/>
                <w:color w:val="auto"/>
                <w:szCs w:val="21"/>
              </w:rPr>
              <w:t>3</w:t>
            </w:r>
            <w:r>
              <w:rPr>
                <w:b/>
                <w:bCs/>
                <w:color w:val="auto"/>
                <w:szCs w:val="21"/>
              </w:rPr>
              <w:t>-</w:t>
            </w:r>
            <w:r>
              <w:rPr>
                <w:rFonts w:hint="eastAsia"/>
                <w:b/>
                <w:bCs/>
                <w:color w:val="auto"/>
                <w:szCs w:val="21"/>
              </w:rPr>
              <w:t xml:space="preserve">3 </w:t>
            </w:r>
            <w:r>
              <w:rPr>
                <w:b/>
                <w:bCs/>
                <w:color w:val="auto"/>
                <w:szCs w:val="21"/>
              </w:rPr>
              <w:t xml:space="preserve"> 深沟村散户TSP、NOx、TVOC</w:t>
            </w:r>
            <w:r>
              <w:rPr>
                <w:rFonts w:hint="eastAsia"/>
                <w:b/>
                <w:bCs/>
                <w:color w:val="auto"/>
                <w:szCs w:val="21"/>
              </w:rPr>
              <w:t>现状检测</w:t>
            </w:r>
            <w:r>
              <w:rPr>
                <w:b/>
                <w:bCs/>
                <w:color w:val="auto"/>
                <w:szCs w:val="21"/>
              </w:rPr>
              <w:t>结果 单位：</w:t>
            </w:r>
            <w:r>
              <w:rPr>
                <w:rFonts w:hint="eastAsia"/>
                <w:b/>
                <w:bCs/>
                <w:color w:val="auto"/>
                <w:szCs w:val="21"/>
              </w:rPr>
              <w:t>u</w:t>
            </w:r>
            <w:r>
              <w:rPr>
                <w:b/>
                <w:bCs/>
                <w:color w:val="auto"/>
                <w:szCs w:val="21"/>
              </w:rPr>
              <w:t>g/m</w:t>
            </w:r>
            <w:r>
              <w:rPr>
                <w:b/>
                <w:bCs/>
                <w:color w:val="auto"/>
                <w:szCs w:val="21"/>
                <w:vertAlign w:val="superscript"/>
              </w:rPr>
              <w:t>3</w:t>
            </w:r>
          </w:p>
          <w:tbl>
            <w:tblPr>
              <w:tblStyle w:val="30"/>
              <w:tblW w:w="8848"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2080"/>
              <w:gridCol w:w="1554"/>
              <w:gridCol w:w="1072"/>
              <w:gridCol w:w="2080"/>
              <w:gridCol w:w="1001"/>
            </w:tblGrid>
            <w:tr w14:paraId="4269A53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tcBorders>
                    <w:tl2br w:val="nil"/>
                    <w:tr2bl w:val="nil"/>
                  </w:tcBorders>
                  <w:vAlign w:val="center"/>
                </w:tcPr>
                <w:p w14:paraId="2997FF98">
                  <w:pPr>
                    <w:adjustRightInd w:val="0"/>
                    <w:snapToGrid w:val="0"/>
                    <w:jc w:val="center"/>
                    <w:rPr>
                      <w:b/>
                      <w:bCs/>
                      <w:color w:val="auto"/>
                      <w:szCs w:val="21"/>
                    </w:rPr>
                  </w:pPr>
                  <w:r>
                    <w:rPr>
                      <w:b/>
                      <w:bCs/>
                      <w:color w:val="auto"/>
                      <w:szCs w:val="21"/>
                    </w:rPr>
                    <w:t>检测点位</w:t>
                  </w:r>
                </w:p>
              </w:tc>
              <w:tc>
                <w:tcPr>
                  <w:tcW w:w="2080" w:type="dxa"/>
                  <w:tcBorders>
                    <w:tl2br w:val="nil"/>
                    <w:tr2bl w:val="nil"/>
                  </w:tcBorders>
                  <w:vAlign w:val="center"/>
                </w:tcPr>
                <w:p w14:paraId="612A69A0">
                  <w:pPr>
                    <w:adjustRightInd w:val="0"/>
                    <w:snapToGrid w:val="0"/>
                    <w:jc w:val="center"/>
                    <w:rPr>
                      <w:b/>
                      <w:bCs/>
                      <w:color w:val="auto"/>
                      <w:szCs w:val="21"/>
                    </w:rPr>
                  </w:pPr>
                  <w:r>
                    <w:rPr>
                      <w:b/>
                      <w:bCs/>
                      <w:color w:val="auto"/>
                      <w:szCs w:val="21"/>
                    </w:rPr>
                    <w:t>采样日期</w:t>
                  </w:r>
                </w:p>
              </w:tc>
              <w:tc>
                <w:tcPr>
                  <w:tcW w:w="1554" w:type="dxa"/>
                  <w:tcBorders>
                    <w:tl2br w:val="nil"/>
                    <w:tr2bl w:val="nil"/>
                  </w:tcBorders>
                  <w:vAlign w:val="center"/>
                </w:tcPr>
                <w:p w14:paraId="7C93076D">
                  <w:pPr>
                    <w:adjustRightInd w:val="0"/>
                    <w:snapToGrid w:val="0"/>
                    <w:jc w:val="center"/>
                    <w:rPr>
                      <w:b/>
                      <w:bCs/>
                      <w:color w:val="auto"/>
                      <w:szCs w:val="21"/>
                    </w:rPr>
                  </w:pPr>
                  <w:r>
                    <w:rPr>
                      <w:b/>
                      <w:bCs/>
                      <w:color w:val="auto"/>
                      <w:szCs w:val="21"/>
                    </w:rPr>
                    <w:t>TSP（日均值）</w:t>
                  </w:r>
                </w:p>
              </w:tc>
              <w:tc>
                <w:tcPr>
                  <w:tcW w:w="1072" w:type="dxa"/>
                  <w:tcBorders>
                    <w:tl2br w:val="nil"/>
                    <w:tr2bl w:val="nil"/>
                  </w:tcBorders>
                  <w:vAlign w:val="center"/>
                </w:tcPr>
                <w:p w14:paraId="6EAD6C03">
                  <w:pPr>
                    <w:adjustRightInd w:val="0"/>
                    <w:snapToGrid w:val="0"/>
                    <w:jc w:val="center"/>
                    <w:rPr>
                      <w:b/>
                      <w:bCs/>
                      <w:color w:val="auto"/>
                      <w:szCs w:val="21"/>
                    </w:rPr>
                  </w:pPr>
                  <w:r>
                    <w:rPr>
                      <w:rFonts w:hint="eastAsia"/>
                      <w:b/>
                      <w:bCs/>
                      <w:color w:val="auto"/>
                      <w:szCs w:val="21"/>
                    </w:rPr>
                    <w:t>TVOC</w:t>
                  </w:r>
                </w:p>
              </w:tc>
              <w:tc>
                <w:tcPr>
                  <w:tcW w:w="2080" w:type="dxa"/>
                  <w:tcBorders>
                    <w:tl2br w:val="nil"/>
                    <w:tr2bl w:val="nil"/>
                  </w:tcBorders>
                  <w:vAlign w:val="center"/>
                </w:tcPr>
                <w:p w14:paraId="72DD20B7">
                  <w:pPr>
                    <w:adjustRightInd w:val="0"/>
                    <w:snapToGrid w:val="0"/>
                    <w:jc w:val="center"/>
                    <w:rPr>
                      <w:b/>
                      <w:bCs/>
                      <w:color w:val="auto"/>
                      <w:szCs w:val="21"/>
                    </w:rPr>
                  </w:pPr>
                  <w:r>
                    <w:rPr>
                      <w:b/>
                      <w:bCs/>
                      <w:color w:val="auto"/>
                      <w:szCs w:val="21"/>
                    </w:rPr>
                    <w:t>采样日期</w:t>
                  </w:r>
                </w:p>
              </w:tc>
              <w:tc>
                <w:tcPr>
                  <w:tcW w:w="1001" w:type="dxa"/>
                  <w:tcBorders>
                    <w:tl2br w:val="nil"/>
                    <w:tr2bl w:val="nil"/>
                  </w:tcBorders>
                  <w:vAlign w:val="center"/>
                </w:tcPr>
                <w:p w14:paraId="1C117440">
                  <w:pPr>
                    <w:adjustRightInd w:val="0"/>
                    <w:snapToGrid w:val="0"/>
                    <w:jc w:val="center"/>
                    <w:rPr>
                      <w:b/>
                      <w:bCs/>
                      <w:color w:val="auto"/>
                      <w:szCs w:val="21"/>
                    </w:rPr>
                  </w:pPr>
                  <w:r>
                    <w:rPr>
                      <w:rFonts w:hint="eastAsia"/>
                      <w:b/>
                      <w:bCs/>
                      <w:color w:val="auto"/>
                      <w:szCs w:val="21"/>
                    </w:rPr>
                    <w:t>NOx</w:t>
                  </w:r>
                </w:p>
              </w:tc>
            </w:tr>
            <w:tr w14:paraId="25B7360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restart"/>
                  <w:tcBorders>
                    <w:tl2br w:val="nil"/>
                    <w:tr2bl w:val="nil"/>
                  </w:tcBorders>
                  <w:vAlign w:val="center"/>
                </w:tcPr>
                <w:p w14:paraId="55354A65">
                  <w:pPr>
                    <w:adjustRightInd w:val="0"/>
                    <w:snapToGrid w:val="0"/>
                    <w:jc w:val="center"/>
                    <w:rPr>
                      <w:color w:val="auto"/>
                      <w:szCs w:val="21"/>
                    </w:rPr>
                  </w:pPr>
                  <w:r>
                    <w:rPr>
                      <w:bCs/>
                      <w:color w:val="auto"/>
                      <w:szCs w:val="21"/>
                    </w:rPr>
                    <w:t>深沟村散户（</w:t>
                  </w:r>
                  <w:r>
                    <w:rPr>
                      <w:rFonts w:hint="eastAsia"/>
                      <w:bCs/>
                      <w:color w:val="auto"/>
                      <w:szCs w:val="21"/>
                    </w:rPr>
                    <w:t>2#</w:t>
                  </w:r>
                  <w:r>
                    <w:rPr>
                      <w:bCs/>
                      <w:color w:val="auto"/>
                      <w:szCs w:val="21"/>
                    </w:rPr>
                    <w:t>）</w:t>
                  </w:r>
                </w:p>
              </w:tc>
              <w:tc>
                <w:tcPr>
                  <w:tcW w:w="2080" w:type="dxa"/>
                  <w:vMerge w:val="restart"/>
                  <w:tcBorders>
                    <w:tl2br w:val="nil"/>
                    <w:tr2bl w:val="nil"/>
                  </w:tcBorders>
                  <w:vAlign w:val="center"/>
                </w:tcPr>
                <w:p w14:paraId="71683252">
                  <w:pPr>
                    <w:adjustRightInd w:val="0"/>
                    <w:snapToGrid w:val="0"/>
                    <w:jc w:val="center"/>
                    <w:rPr>
                      <w:color w:val="auto"/>
                      <w:szCs w:val="21"/>
                    </w:rPr>
                  </w:pPr>
                  <w:r>
                    <w:rPr>
                      <w:color w:val="auto"/>
                      <w:szCs w:val="21"/>
                    </w:rPr>
                    <w:t>2021-</w:t>
                  </w:r>
                  <w:r>
                    <w:rPr>
                      <w:rFonts w:hint="eastAsia"/>
                      <w:color w:val="auto"/>
                      <w:szCs w:val="21"/>
                    </w:rPr>
                    <w:t>6</w:t>
                  </w:r>
                  <w:r>
                    <w:rPr>
                      <w:color w:val="auto"/>
                      <w:szCs w:val="21"/>
                    </w:rPr>
                    <w:t>-</w:t>
                  </w:r>
                  <w:r>
                    <w:rPr>
                      <w:rFonts w:hint="eastAsia"/>
                      <w:color w:val="auto"/>
                      <w:szCs w:val="21"/>
                    </w:rPr>
                    <w:t>22~2021-6-23</w:t>
                  </w:r>
                </w:p>
              </w:tc>
              <w:tc>
                <w:tcPr>
                  <w:tcW w:w="1554" w:type="dxa"/>
                  <w:tcBorders>
                    <w:tl2br w:val="nil"/>
                    <w:tr2bl w:val="nil"/>
                  </w:tcBorders>
                  <w:vAlign w:val="center"/>
                </w:tcPr>
                <w:p w14:paraId="5FF978DE">
                  <w:pPr>
                    <w:adjustRightInd w:val="0"/>
                    <w:snapToGrid w:val="0"/>
                    <w:jc w:val="center"/>
                    <w:rPr>
                      <w:color w:val="auto"/>
                      <w:szCs w:val="21"/>
                    </w:rPr>
                  </w:pPr>
                  <w:r>
                    <w:rPr>
                      <w:rFonts w:hint="eastAsia"/>
                      <w:color w:val="auto"/>
                      <w:szCs w:val="21"/>
                    </w:rPr>
                    <w:t>73</w:t>
                  </w:r>
                </w:p>
              </w:tc>
              <w:tc>
                <w:tcPr>
                  <w:tcW w:w="1072" w:type="dxa"/>
                  <w:tcBorders>
                    <w:tl2br w:val="nil"/>
                    <w:tr2bl w:val="nil"/>
                  </w:tcBorders>
                  <w:vAlign w:val="center"/>
                </w:tcPr>
                <w:p w14:paraId="30C30824">
                  <w:pPr>
                    <w:tabs>
                      <w:tab w:val="right" w:pos="8906"/>
                    </w:tabs>
                    <w:adjustRightInd w:val="0"/>
                    <w:snapToGrid w:val="0"/>
                    <w:jc w:val="center"/>
                    <w:rPr>
                      <w:color w:val="auto"/>
                      <w:szCs w:val="21"/>
                    </w:rPr>
                  </w:pPr>
                  <w:r>
                    <w:rPr>
                      <w:color w:val="auto"/>
                      <w:szCs w:val="21"/>
                    </w:rPr>
                    <w:t>142</w:t>
                  </w:r>
                </w:p>
              </w:tc>
              <w:tc>
                <w:tcPr>
                  <w:tcW w:w="2080" w:type="dxa"/>
                  <w:vMerge w:val="restart"/>
                  <w:tcBorders>
                    <w:tl2br w:val="nil"/>
                    <w:tr2bl w:val="nil"/>
                  </w:tcBorders>
                  <w:vAlign w:val="center"/>
                </w:tcPr>
                <w:p w14:paraId="10BBEE77">
                  <w:pPr>
                    <w:autoSpaceDN w:val="0"/>
                    <w:adjustRightInd w:val="0"/>
                    <w:snapToGrid w:val="0"/>
                    <w:jc w:val="center"/>
                    <w:textAlignment w:val="center"/>
                    <w:rPr>
                      <w:color w:val="auto"/>
                      <w:szCs w:val="21"/>
                    </w:rPr>
                  </w:pPr>
                  <w:r>
                    <w:rPr>
                      <w:color w:val="auto"/>
                      <w:szCs w:val="21"/>
                    </w:rPr>
                    <w:t>2021-</w:t>
                  </w:r>
                  <w:r>
                    <w:rPr>
                      <w:rFonts w:hint="eastAsia"/>
                      <w:color w:val="auto"/>
                      <w:szCs w:val="21"/>
                    </w:rPr>
                    <w:t>9</w:t>
                  </w:r>
                  <w:r>
                    <w:rPr>
                      <w:color w:val="auto"/>
                      <w:szCs w:val="21"/>
                    </w:rPr>
                    <w:t>-</w:t>
                  </w:r>
                  <w:r>
                    <w:rPr>
                      <w:rFonts w:hint="eastAsia"/>
                      <w:color w:val="auto"/>
                      <w:szCs w:val="21"/>
                    </w:rPr>
                    <w:t>20~2021-9-21</w:t>
                  </w:r>
                </w:p>
              </w:tc>
              <w:tc>
                <w:tcPr>
                  <w:tcW w:w="1001" w:type="dxa"/>
                  <w:tcBorders>
                    <w:tl2br w:val="nil"/>
                    <w:tr2bl w:val="nil"/>
                  </w:tcBorders>
                  <w:vAlign w:val="center"/>
                </w:tcPr>
                <w:p w14:paraId="3F927196">
                  <w:pPr>
                    <w:tabs>
                      <w:tab w:val="right" w:pos="8906"/>
                    </w:tabs>
                    <w:adjustRightInd w:val="0"/>
                    <w:snapToGrid w:val="0"/>
                    <w:jc w:val="center"/>
                    <w:rPr>
                      <w:color w:val="auto"/>
                      <w:szCs w:val="21"/>
                    </w:rPr>
                  </w:pPr>
                  <w:r>
                    <w:rPr>
                      <w:rFonts w:hint="eastAsia"/>
                      <w:color w:val="auto"/>
                      <w:szCs w:val="21"/>
                    </w:rPr>
                    <w:t>27</w:t>
                  </w:r>
                </w:p>
              </w:tc>
            </w:tr>
            <w:tr w14:paraId="62341E7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3AF94B4E">
                  <w:pPr>
                    <w:adjustRightInd w:val="0"/>
                    <w:snapToGrid w:val="0"/>
                    <w:jc w:val="center"/>
                    <w:rPr>
                      <w:color w:val="auto"/>
                      <w:szCs w:val="21"/>
                    </w:rPr>
                  </w:pPr>
                </w:p>
              </w:tc>
              <w:tc>
                <w:tcPr>
                  <w:tcW w:w="2080" w:type="dxa"/>
                  <w:vMerge w:val="continue"/>
                  <w:tcBorders>
                    <w:tl2br w:val="nil"/>
                    <w:tr2bl w:val="nil"/>
                  </w:tcBorders>
                  <w:vAlign w:val="center"/>
                </w:tcPr>
                <w:p w14:paraId="7FACE70C">
                  <w:pPr>
                    <w:adjustRightInd w:val="0"/>
                    <w:snapToGrid w:val="0"/>
                    <w:jc w:val="center"/>
                    <w:rPr>
                      <w:color w:val="auto"/>
                      <w:szCs w:val="21"/>
                    </w:rPr>
                  </w:pPr>
                </w:p>
              </w:tc>
              <w:tc>
                <w:tcPr>
                  <w:tcW w:w="1554" w:type="dxa"/>
                  <w:vMerge w:val="restart"/>
                  <w:tcBorders>
                    <w:tl2br w:val="nil"/>
                    <w:tr2bl w:val="nil"/>
                  </w:tcBorders>
                  <w:vAlign w:val="center"/>
                </w:tcPr>
                <w:p w14:paraId="635664E6">
                  <w:pPr>
                    <w:adjustRightInd w:val="0"/>
                    <w:snapToGrid w:val="0"/>
                    <w:jc w:val="center"/>
                    <w:rPr>
                      <w:color w:val="auto"/>
                      <w:szCs w:val="21"/>
                    </w:rPr>
                  </w:pPr>
                  <w:r>
                    <w:rPr>
                      <w:color w:val="auto"/>
                      <w:szCs w:val="21"/>
                    </w:rPr>
                    <w:t>/</w:t>
                  </w:r>
                </w:p>
              </w:tc>
              <w:tc>
                <w:tcPr>
                  <w:tcW w:w="1072" w:type="dxa"/>
                  <w:tcBorders>
                    <w:tl2br w:val="nil"/>
                    <w:tr2bl w:val="nil"/>
                  </w:tcBorders>
                  <w:vAlign w:val="center"/>
                </w:tcPr>
                <w:p w14:paraId="3F5DE844">
                  <w:pPr>
                    <w:tabs>
                      <w:tab w:val="right" w:pos="8906"/>
                    </w:tabs>
                    <w:adjustRightInd w:val="0"/>
                    <w:snapToGrid w:val="0"/>
                    <w:jc w:val="center"/>
                    <w:rPr>
                      <w:color w:val="auto"/>
                      <w:szCs w:val="21"/>
                    </w:rPr>
                  </w:pPr>
                  <w:r>
                    <w:rPr>
                      <w:color w:val="auto"/>
                      <w:szCs w:val="21"/>
                    </w:rPr>
                    <w:t>170</w:t>
                  </w:r>
                </w:p>
              </w:tc>
              <w:tc>
                <w:tcPr>
                  <w:tcW w:w="2080" w:type="dxa"/>
                  <w:vMerge w:val="continue"/>
                  <w:tcBorders>
                    <w:tl2br w:val="nil"/>
                    <w:tr2bl w:val="nil"/>
                  </w:tcBorders>
                  <w:vAlign w:val="center"/>
                </w:tcPr>
                <w:p w14:paraId="748B656A">
                  <w:pPr>
                    <w:tabs>
                      <w:tab w:val="right" w:pos="8906"/>
                    </w:tabs>
                    <w:adjustRightInd w:val="0"/>
                    <w:snapToGrid w:val="0"/>
                    <w:jc w:val="center"/>
                    <w:rPr>
                      <w:color w:val="auto"/>
                      <w:szCs w:val="21"/>
                    </w:rPr>
                  </w:pPr>
                </w:p>
              </w:tc>
              <w:tc>
                <w:tcPr>
                  <w:tcW w:w="1001" w:type="dxa"/>
                  <w:vMerge w:val="restart"/>
                  <w:tcBorders>
                    <w:tl2br w:val="nil"/>
                    <w:tr2bl w:val="nil"/>
                  </w:tcBorders>
                  <w:vAlign w:val="center"/>
                </w:tcPr>
                <w:p w14:paraId="32FBDB74">
                  <w:pPr>
                    <w:tabs>
                      <w:tab w:val="right" w:pos="8906"/>
                    </w:tabs>
                    <w:adjustRightInd w:val="0"/>
                    <w:snapToGrid w:val="0"/>
                    <w:jc w:val="center"/>
                    <w:rPr>
                      <w:color w:val="auto"/>
                      <w:szCs w:val="21"/>
                    </w:rPr>
                  </w:pPr>
                  <w:r>
                    <w:rPr>
                      <w:color w:val="auto"/>
                      <w:szCs w:val="21"/>
                    </w:rPr>
                    <w:t>/</w:t>
                  </w:r>
                </w:p>
              </w:tc>
            </w:tr>
            <w:tr w14:paraId="01052D7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6A25E95E">
                  <w:pPr>
                    <w:adjustRightInd w:val="0"/>
                    <w:snapToGrid w:val="0"/>
                    <w:jc w:val="center"/>
                    <w:rPr>
                      <w:color w:val="auto"/>
                      <w:szCs w:val="21"/>
                    </w:rPr>
                  </w:pPr>
                </w:p>
              </w:tc>
              <w:tc>
                <w:tcPr>
                  <w:tcW w:w="2080" w:type="dxa"/>
                  <w:vMerge w:val="continue"/>
                  <w:tcBorders>
                    <w:tl2br w:val="nil"/>
                    <w:tr2bl w:val="nil"/>
                  </w:tcBorders>
                  <w:vAlign w:val="center"/>
                </w:tcPr>
                <w:p w14:paraId="3D399617">
                  <w:pPr>
                    <w:adjustRightInd w:val="0"/>
                    <w:snapToGrid w:val="0"/>
                    <w:jc w:val="center"/>
                    <w:rPr>
                      <w:color w:val="auto"/>
                      <w:szCs w:val="21"/>
                    </w:rPr>
                  </w:pPr>
                </w:p>
              </w:tc>
              <w:tc>
                <w:tcPr>
                  <w:tcW w:w="1554" w:type="dxa"/>
                  <w:vMerge w:val="continue"/>
                  <w:tcBorders>
                    <w:tl2br w:val="nil"/>
                    <w:tr2bl w:val="nil"/>
                  </w:tcBorders>
                  <w:vAlign w:val="center"/>
                </w:tcPr>
                <w:p w14:paraId="67BFF604">
                  <w:pPr>
                    <w:adjustRightInd w:val="0"/>
                    <w:snapToGrid w:val="0"/>
                    <w:jc w:val="center"/>
                    <w:rPr>
                      <w:color w:val="auto"/>
                      <w:szCs w:val="21"/>
                    </w:rPr>
                  </w:pPr>
                </w:p>
              </w:tc>
              <w:tc>
                <w:tcPr>
                  <w:tcW w:w="1072" w:type="dxa"/>
                  <w:tcBorders>
                    <w:tl2br w:val="nil"/>
                    <w:tr2bl w:val="nil"/>
                  </w:tcBorders>
                  <w:vAlign w:val="center"/>
                </w:tcPr>
                <w:p w14:paraId="32162BFF">
                  <w:pPr>
                    <w:tabs>
                      <w:tab w:val="right" w:pos="8906"/>
                    </w:tabs>
                    <w:adjustRightInd w:val="0"/>
                    <w:snapToGrid w:val="0"/>
                    <w:jc w:val="center"/>
                    <w:rPr>
                      <w:color w:val="auto"/>
                      <w:szCs w:val="21"/>
                    </w:rPr>
                  </w:pPr>
                  <w:r>
                    <w:rPr>
                      <w:color w:val="auto"/>
                      <w:szCs w:val="21"/>
                    </w:rPr>
                    <w:t>155</w:t>
                  </w:r>
                </w:p>
              </w:tc>
              <w:tc>
                <w:tcPr>
                  <w:tcW w:w="2080" w:type="dxa"/>
                  <w:vMerge w:val="continue"/>
                  <w:tcBorders>
                    <w:tl2br w:val="nil"/>
                    <w:tr2bl w:val="nil"/>
                  </w:tcBorders>
                  <w:vAlign w:val="center"/>
                </w:tcPr>
                <w:p w14:paraId="5D24BDDA">
                  <w:pPr>
                    <w:tabs>
                      <w:tab w:val="right" w:pos="8906"/>
                    </w:tabs>
                    <w:adjustRightInd w:val="0"/>
                    <w:snapToGrid w:val="0"/>
                    <w:jc w:val="center"/>
                    <w:rPr>
                      <w:color w:val="auto"/>
                      <w:szCs w:val="21"/>
                    </w:rPr>
                  </w:pPr>
                </w:p>
              </w:tc>
              <w:tc>
                <w:tcPr>
                  <w:tcW w:w="1001" w:type="dxa"/>
                  <w:vMerge w:val="continue"/>
                  <w:tcBorders>
                    <w:tl2br w:val="nil"/>
                    <w:tr2bl w:val="nil"/>
                  </w:tcBorders>
                  <w:vAlign w:val="center"/>
                </w:tcPr>
                <w:p w14:paraId="5AEBD5A8">
                  <w:pPr>
                    <w:tabs>
                      <w:tab w:val="right" w:pos="8906"/>
                    </w:tabs>
                    <w:adjustRightInd w:val="0"/>
                    <w:snapToGrid w:val="0"/>
                    <w:jc w:val="center"/>
                    <w:rPr>
                      <w:color w:val="auto"/>
                      <w:szCs w:val="21"/>
                    </w:rPr>
                  </w:pPr>
                </w:p>
              </w:tc>
            </w:tr>
            <w:tr w14:paraId="633F70B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55198FE6">
                  <w:pPr>
                    <w:adjustRightInd w:val="0"/>
                    <w:snapToGrid w:val="0"/>
                    <w:jc w:val="center"/>
                    <w:rPr>
                      <w:color w:val="auto"/>
                      <w:szCs w:val="21"/>
                    </w:rPr>
                  </w:pPr>
                </w:p>
              </w:tc>
              <w:tc>
                <w:tcPr>
                  <w:tcW w:w="2080" w:type="dxa"/>
                  <w:vMerge w:val="continue"/>
                  <w:tcBorders>
                    <w:tl2br w:val="nil"/>
                    <w:tr2bl w:val="nil"/>
                  </w:tcBorders>
                  <w:vAlign w:val="center"/>
                </w:tcPr>
                <w:p w14:paraId="38BD504A">
                  <w:pPr>
                    <w:adjustRightInd w:val="0"/>
                    <w:snapToGrid w:val="0"/>
                    <w:jc w:val="center"/>
                    <w:rPr>
                      <w:color w:val="auto"/>
                      <w:szCs w:val="21"/>
                    </w:rPr>
                  </w:pPr>
                </w:p>
              </w:tc>
              <w:tc>
                <w:tcPr>
                  <w:tcW w:w="1554" w:type="dxa"/>
                  <w:vMerge w:val="continue"/>
                  <w:tcBorders>
                    <w:tl2br w:val="nil"/>
                    <w:tr2bl w:val="nil"/>
                  </w:tcBorders>
                  <w:vAlign w:val="center"/>
                </w:tcPr>
                <w:p w14:paraId="3AB311CC">
                  <w:pPr>
                    <w:adjustRightInd w:val="0"/>
                    <w:snapToGrid w:val="0"/>
                    <w:jc w:val="center"/>
                    <w:rPr>
                      <w:color w:val="auto"/>
                      <w:szCs w:val="21"/>
                    </w:rPr>
                  </w:pPr>
                </w:p>
              </w:tc>
              <w:tc>
                <w:tcPr>
                  <w:tcW w:w="1072" w:type="dxa"/>
                  <w:tcBorders>
                    <w:tl2br w:val="nil"/>
                    <w:tr2bl w:val="nil"/>
                  </w:tcBorders>
                  <w:vAlign w:val="center"/>
                </w:tcPr>
                <w:p w14:paraId="553DF706">
                  <w:pPr>
                    <w:tabs>
                      <w:tab w:val="right" w:pos="8906"/>
                    </w:tabs>
                    <w:adjustRightInd w:val="0"/>
                    <w:snapToGrid w:val="0"/>
                    <w:jc w:val="center"/>
                    <w:rPr>
                      <w:color w:val="auto"/>
                      <w:szCs w:val="21"/>
                    </w:rPr>
                  </w:pPr>
                  <w:r>
                    <w:rPr>
                      <w:color w:val="auto"/>
                      <w:szCs w:val="21"/>
                    </w:rPr>
                    <w:t>163</w:t>
                  </w:r>
                </w:p>
              </w:tc>
              <w:tc>
                <w:tcPr>
                  <w:tcW w:w="2080" w:type="dxa"/>
                  <w:vMerge w:val="continue"/>
                  <w:tcBorders>
                    <w:tl2br w:val="nil"/>
                    <w:tr2bl w:val="nil"/>
                  </w:tcBorders>
                  <w:vAlign w:val="center"/>
                </w:tcPr>
                <w:p w14:paraId="1A81F08B">
                  <w:pPr>
                    <w:tabs>
                      <w:tab w:val="right" w:pos="8906"/>
                    </w:tabs>
                    <w:adjustRightInd w:val="0"/>
                    <w:snapToGrid w:val="0"/>
                    <w:jc w:val="center"/>
                    <w:rPr>
                      <w:color w:val="auto"/>
                      <w:szCs w:val="21"/>
                    </w:rPr>
                  </w:pPr>
                </w:p>
              </w:tc>
              <w:tc>
                <w:tcPr>
                  <w:tcW w:w="1001" w:type="dxa"/>
                  <w:vMerge w:val="continue"/>
                  <w:tcBorders>
                    <w:tl2br w:val="nil"/>
                    <w:tr2bl w:val="nil"/>
                  </w:tcBorders>
                  <w:vAlign w:val="center"/>
                </w:tcPr>
                <w:p w14:paraId="24F2E6B1">
                  <w:pPr>
                    <w:tabs>
                      <w:tab w:val="right" w:pos="8906"/>
                    </w:tabs>
                    <w:adjustRightInd w:val="0"/>
                    <w:snapToGrid w:val="0"/>
                    <w:jc w:val="center"/>
                    <w:rPr>
                      <w:color w:val="auto"/>
                      <w:szCs w:val="21"/>
                    </w:rPr>
                  </w:pPr>
                </w:p>
              </w:tc>
            </w:tr>
            <w:tr w14:paraId="724E836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18FA1E05">
                  <w:pPr>
                    <w:adjustRightInd w:val="0"/>
                    <w:snapToGrid w:val="0"/>
                    <w:jc w:val="center"/>
                    <w:rPr>
                      <w:color w:val="auto"/>
                      <w:szCs w:val="21"/>
                    </w:rPr>
                  </w:pPr>
                </w:p>
              </w:tc>
              <w:tc>
                <w:tcPr>
                  <w:tcW w:w="2080" w:type="dxa"/>
                  <w:vMerge w:val="continue"/>
                  <w:tcBorders>
                    <w:tl2br w:val="nil"/>
                    <w:tr2bl w:val="nil"/>
                  </w:tcBorders>
                  <w:vAlign w:val="center"/>
                </w:tcPr>
                <w:p w14:paraId="2E4B5AAA">
                  <w:pPr>
                    <w:adjustRightInd w:val="0"/>
                    <w:snapToGrid w:val="0"/>
                    <w:jc w:val="center"/>
                    <w:rPr>
                      <w:color w:val="auto"/>
                      <w:szCs w:val="21"/>
                    </w:rPr>
                  </w:pPr>
                </w:p>
              </w:tc>
              <w:tc>
                <w:tcPr>
                  <w:tcW w:w="1554" w:type="dxa"/>
                  <w:vMerge w:val="continue"/>
                  <w:tcBorders>
                    <w:tl2br w:val="nil"/>
                    <w:tr2bl w:val="nil"/>
                  </w:tcBorders>
                  <w:vAlign w:val="center"/>
                </w:tcPr>
                <w:p w14:paraId="72E18A94">
                  <w:pPr>
                    <w:adjustRightInd w:val="0"/>
                    <w:snapToGrid w:val="0"/>
                    <w:jc w:val="center"/>
                    <w:rPr>
                      <w:color w:val="auto"/>
                      <w:szCs w:val="21"/>
                    </w:rPr>
                  </w:pPr>
                </w:p>
              </w:tc>
              <w:tc>
                <w:tcPr>
                  <w:tcW w:w="1072" w:type="dxa"/>
                  <w:tcBorders>
                    <w:tl2br w:val="nil"/>
                    <w:tr2bl w:val="nil"/>
                  </w:tcBorders>
                  <w:vAlign w:val="center"/>
                </w:tcPr>
                <w:p w14:paraId="2C510203">
                  <w:pPr>
                    <w:tabs>
                      <w:tab w:val="right" w:pos="8906"/>
                    </w:tabs>
                    <w:adjustRightInd w:val="0"/>
                    <w:snapToGrid w:val="0"/>
                    <w:jc w:val="center"/>
                    <w:rPr>
                      <w:color w:val="auto"/>
                      <w:szCs w:val="21"/>
                    </w:rPr>
                  </w:pPr>
                  <w:r>
                    <w:rPr>
                      <w:color w:val="auto"/>
                      <w:szCs w:val="21"/>
                    </w:rPr>
                    <w:t>137</w:t>
                  </w:r>
                </w:p>
              </w:tc>
              <w:tc>
                <w:tcPr>
                  <w:tcW w:w="2080" w:type="dxa"/>
                  <w:vMerge w:val="continue"/>
                  <w:tcBorders>
                    <w:tl2br w:val="nil"/>
                    <w:tr2bl w:val="nil"/>
                  </w:tcBorders>
                  <w:vAlign w:val="center"/>
                </w:tcPr>
                <w:p w14:paraId="1ACA43E0">
                  <w:pPr>
                    <w:tabs>
                      <w:tab w:val="right" w:pos="8906"/>
                    </w:tabs>
                    <w:adjustRightInd w:val="0"/>
                    <w:snapToGrid w:val="0"/>
                    <w:jc w:val="center"/>
                    <w:rPr>
                      <w:color w:val="auto"/>
                      <w:szCs w:val="21"/>
                    </w:rPr>
                  </w:pPr>
                </w:p>
              </w:tc>
              <w:tc>
                <w:tcPr>
                  <w:tcW w:w="1001" w:type="dxa"/>
                  <w:vMerge w:val="continue"/>
                  <w:tcBorders>
                    <w:tl2br w:val="nil"/>
                    <w:tr2bl w:val="nil"/>
                  </w:tcBorders>
                  <w:vAlign w:val="center"/>
                </w:tcPr>
                <w:p w14:paraId="207D3E85">
                  <w:pPr>
                    <w:tabs>
                      <w:tab w:val="right" w:pos="8906"/>
                    </w:tabs>
                    <w:adjustRightInd w:val="0"/>
                    <w:snapToGrid w:val="0"/>
                    <w:jc w:val="center"/>
                    <w:rPr>
                      <w:color w:val="auto"/>
                      <w:szCs w:val="21"/>
                    </w:rPr>
                  </w:pPr>
                </w:p>
              </w:tc>
            </w:tr>
            <w:tr w14:paraId="6F56593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5173CEC2">
                  <w:pPr>
                    <w:adjustRightInd w:val="0"/>
                    <w:snapToGrid w:val="0"/>
                    <w:jc w:val="center"/>
                    <w:rPr>
                      <w:color w:val="auto"/>
                      <w:szCs w:val="21"/>
                    </w:rPr>
                  </w:pPr>
                </w:p>
              </w:tc>
              <w:tc>
                <w:tcPr>
                  <w:tcW w:w="2080" w:type="dxa"/>
                  <w:vMerge w:val="continue"/>
                  <w:tcBorders>
                    <w:tl2br w:val="nil"/>
                    <w:tr2bl w:val="nil"/>
                  </w:tcBorders>
                  <w:vAlign w:val="center"/>
                </w:tcPr>
                <w:p w14:paraId="73D25301">
                  <w:pPr>
                    <w:adjustRightInd w:val="0"/>
                    <w:snapToGrid w:val="0"/>
                    <w:jc w:val="center"/>
                    <w:rPr>
                      <w:color w:val="auto"/>
                      <w:szCs w:val="21"/>
                    </w:rPr>
                  </w:pPr>
                </w:p>
              </w:tc>
              <w:tc>
                <w:tcPr>
                  <w:tcW w:w="1554" w:type="dxa"/>
                  <w:vMerge w:val="continue"/>
                  <w:tcBorders>
                    <w:tl2br w:val="nil"/>
                    <w:tr2bl w:val="nil"/>
                  </w:tcBorders>
                  <w:vAlign w:val="center"/>
                </w:tcPr>
                <w:p w14:paraId="2AD29E64">
                  <w:pPr>
                    <w:adjustRightInd w:val="0"/>
                    <w:snapToGrid w:val="0"/>
                    <w:jc w:val="center"/>
                    <w:rPr>
                      <w:color w:val="auto"/>
                      <w:szCs w:val="21"/>
                    </w:rPr>
                  </w:pPr>
                </w:p>
              </w:tc>
              <w:tc>
                <w:tcPr>
                  <w:tcW w:w="1072" w:type="dxa"/>
                  <w:tcBorders>
                    <w:tl2br w:val="nil"/>
                    <w:tr2bl w:val="nil"/>
                  </w:tcBorders>
                  <w:vAlign w:val="center"/>
                </w:tcPr>
                <w:p w14:paraId="47A35FD0">
                  <w:pPr>
                    <w:tabs>
                      <w:tab w:val="right" w:pos="8906"/>
                    </w:tabs>
                    <w:adjustRightInd w:val="0"/>
                    <w:snapToGrid w:val="0"/>
                    <w:jc w:val="center"/>
                    <w:rPr>
                      <w:color w:val="auto"/>
                      <w:szCs w:val="21"/>
                    </w:rPr>
                  </w:pPr>
                  <w:r>
                    <w:rPr>
                      <w:color w:val="auto"/>
                      <w:szCs w:val="21"/>
                    </w:rPr>
                    <w:t>146</w:t>
                  </w:r>
                </w:p>
              </w:tc>
              <w:tc>
                <w:tcPr>
                  <w:tcW w:w="2080" w:type="dxa"/>
                  <w:vMerge w:val="continue"/>
                  <w:tcBorders>
                    <w:tl2br w:val="nil"/>
                    <w:tr2bl w:val="nil"/>
                  </w:tcBorders>
                  <w:vAlign w:val="center"/>
                </w:tcPr>
                <w:p w14:paraId="465D6941">
                  <w:pPr>
                    <w:tabs>
                      <w:tab w:val="right" w:pos="8906"/>
                    </w:tabs>
                    <w:adjustRightInd w:val="0"/>
                    <w:snapToGrid w:val="0"/>
                    <w:jc w:val="center"/>
                    <w:rPr>
                      <w:color w:val="auto"/>
                      <w:szCs w:val="21"/>
                    </w:rPr>
                  </w:pPr>
                </w:p>
              </w:tc>
              <w:tc>
                <w:tcPr>
                  <w:tcW w:w="1001" w:type="dxa"/>
                  <w:vMerge w:val="continue"/>
                  <w:tcBorders>
                    <w:tl2br w:val="nil"/>
                    <w:tr2bl w:val="nil"/>
                  </w:tcBorders>
                  <w:vAlign w:val="center"/>
                </w:tcPr>
                <w:p w14:paraId="5BB8A30C">
                  <w:pPr>
                    <w:tabs>
                      <w:tab w:val="right" w:pos="8906"/>
                    </w:tabs>
                    <w:adjustRightInd w:val="0"/>
                    <w:snapToGrid w:val="0"/>
                    <w:jc w:val="center"/>
                    <w:rPr>
                      <w:color w:val="auto"/>
                      <w:szCs w:val="21"/>
                    </w:rPr>
                  </w:pPr>
                </w:p>
              </w:tc>
            </w:tr>
            <w:tr w14:paraId="0E7712F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1FBC4B0E">
                  <w:pPr>
                    <w:adjustRightInd w:val="0"/>
                    <w:snapToGrid w:val="0"/>
                    <w:jc w:val="center"/>
                    <w:rPr>
                      <w:color w:val="auto"/>
                      <w:szCs w:val="21"/>
                    </w:rPr>
                  </w:pPr>
                </w:p>
              </w:tc>
              <w:tc>
                <w:tcPr>
                  <w:tcW w:w="2080" w:type="dxa"/>
                  <w:vMerge w:val="continue"/>
                  <w:tcBorders>
                    <w:tl2br w:val="nil"/>
                    <w:tr2bl w:val="nil"/>
                  </w:tcBorders>
                  <w:vAlign w:val="center"/>
                </w:tcPr>
                <w:p w14:paraId="5A6F8B4F">
                  <w:pPr>
                    <w:adjustRightInd w:val="0"/>
                    <w:snapToGrid w:val="0"/>
                    <w:jc w:val="center"/>
                    <w:rPr>
                      <w:color w:val="auto"/>
                      <w:szCs w:val="21"/>
                    </w:rPr>
                  </w:pPr>
                </w:p>
              </w:tc>
              <w:tc>
                <w:tcPr>
                  <w:tcW w:w="1554" w:type="dxa"/>
                  <w:vMerge w:val="continue"/>
                  <w:tcBorders>
                    <w:tl2br w:val="nil"/>
                    <w:tr2bl w:val="nil"/>
                  </w:tcBorders>
                  <w:vAlign w:val="center"/>
                </w:tcPr>
                <w:p w14:paraId="11C072EF">
                  <w:pPr>
                    <w:adjustRightInd w:val="0"/>
                    <w:snapToGrid w:val="0"/>
                    <w:jc w:val="center"/>
                    <w:rPr>
                      <w:color w:val="auto"/>
                      <w:szCs w:val="21"/>
                    </w:rPr>
                  </w:pPr>
                </w:p>
              </w:tc>
              <w:tc>
                <w:tcPr>
                  <w:tcW w:w="1072" w:type="dxa"/>
                  <w:tcBorders>
                    <w:tl2br w:val="nil"/>
                    <w:tr2bl w:val="nil"/>
                  </w:tcBorders>
                  <w:vAlign w:val="center"/>
                </w:tcPr>
                <w:p w14:paraId="50A28BAA">
                  <w:pPr>
                    <w:tabs>
                      <w:tab w:val="right" w:pos="8906"/>
                    </w:tabs>
                    <w:adjustRightInd w:val="0"/>
                    <w:snapToGrid w:val="0"/>
                    <w:jc w:val="center"/>
                    <w:rPr>
                      <w:color w:val="auto"/>
                      <w:szCs w:val="21"/>
                    </w:rPr>
                  </w:pPr>
                  <w:r>
                    <w:rPr>
                      <w:color w:val="auto"/>
                      <w:szCs w:val="21"/>
                    </w:rPr>
                    <w:t>122</w:t>
                  </w:r>
                </w:p>
              </w:tc>
              <w:tc>
                <w:tcPr>
                  <w:tcW w:w="2080" w:type="dxa"/>
                  <w:vMerge w:val="continue"/>
                  <w:tcBorders>
                    <w:tl2br w:val="nil"/>
                    <w:tr2bl w:val="nil"/>
                  </w:tcBorders>
                  <w:vAlign w:val="center"/>
                </w:tcPr>
                <w:p w14:paraId="38DCC114">
                  <w:pPr>
                    <w:tabs>
                      <w:tab w:val="right" w:pos="8906"/>
                    </w:tabs>
                    <w:adjustRightInd w:val="0"/>
                    <w:snapToGrid w:val="0"/>
                    <w:jc w:val="center"/>
                    <w:rPr>
                      <w:color w:val="auto"/>
                      <w:szCs w:val="21"/>
                    </w:rPr>
                  </w:pPr>
                </w:p>
              </w:tc>
              <w:tc>
                <w:tcPr>
                  <w:tcW w:w="1001" w:type="dxa"/>
                  <w:vMerge w:val="continue"/>
                  <w:tcBorders>
                    <w:tl2br w:val="nil"/>
                    <w:tr2bl w:val="nil"/>
                  </w:tcBorders>
                  <w:vAlign w:val="center"/>
                </w:tcPr>
                <w:p w14:paraId="750C41B4">
                  <w:pPr>
                    <w:tabs>
                      <w:tab w:val="right" w:pos="8906"/>
                    </w:tabs>
                    <w:adjustRightInd w:val="0"/>
                    <w:snapToGrid w:val="0"/>
                    <w:jc w:val="center"/>
                    <w:rPr>
                      <w:color w:val="auto"/>
                      <w:szCs w:val="21"/>
                    </w:rPr>
                  </w:pPr>
                </w:p>
              </w:tc>
            </w:tr>
            <w:tr w14:paraId="4DAF326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55CA608B">
                  <w:pPr>
                    <w:adjustRightInd w:val="0"/>
                    <w:snapToGrid w:val="0"/>
                    <w:jc w:val="center"/>
                    <w:rPr>
                      <w:color w:val="auto"/>
                      <w:szCs w:val="21"/>
                    </w:rPr>
                  </w:pPr>
                </w:p>
              </w:tc>
              <w:tc>
                <w:tcPr>
                  <w:tcW w:w="2080" w:type="dxa"/>
                  <w:vMerge w:val="continue"/>
                  <w:tcBorders>
                    <w:tl2br w:val="nil"/>
                    <w:tr2bl w:val="nil"/>
                  </w:tcBorders>
                  <w:vAlign w:val="center"/>
                </w:tcPr>
                <w:p w14:paraId="49CFFAD2">
                  <w:pPr>
                    <w:adjustRightInd w:val="0"/>
                    <w:snapToGrid w:val="0"/>
                    <w:jc w:val="center"/>
                    <w:rPr>
                      <w:color w:val="auto"/>
                      <w:szCs w:val="21"/>
                    </w:rPr>
                  </w:pPr>
                </w:p>
              </w:tc>
              <w:tc>
                <w:tcPr>
                  <w:tcW w:w="1554" w:type="dxa"/>
                  <w:vMerge w:val="continue"/>
                  <w:tcBorders>
                    <w:tl2br w:val="nil"/>
                    <w:tr2bl w:val="nil"/>
                  </w:tcBorders>
                  <w:vAlign w:val="center"/>
                </w:tcPr>
                <w:p w14:paraId="4C0CDD00">
                  <w:pPr>
                    <w:adjustRightInd w:val="0"/>
                    <w:snapToGrid w:val="0"/>
                    <w:jc w:val="center"/>
                    <w:rPr>
                      <w:color w:val="auto"/>
                      <w:szCs w:val="21"/>
                    </w:rPr>
                  </w:pPr>
                </w:p>
              </w:tc>
              <w:tc>
                <w:tcPr>
                  <w:tcW w:w="1072" w:type="dxa"/>
                  <w:tcBorders>
                    <w:tl2br w:val="nil"/>
                    <w:tr2bl w:val="nil"/>
                  </w:tcBorders>
                  <w:vAlign w:val="center"/>
                </w:tcPr>
                <w:p w14:paraId="2CD31739">
                  <w:pPr>
                    <w:tabs>
                      <w:tab w:val="right" w:pos="8906"/>
                    </w:tabs>
                    <w:adjustRightInd w:val="0"/>
                    <w:snapToGrid w:val="0"/>
                    <w:jc w:val="center"/>
                    <w:rPr>
                      <w:color w:val="auto"/>
                      <w:szCs w:val="21"/>
                    </w:rPr>
                  </w:pPr>
                  <w:r>
                    <w:rPr>
                      <w:color w:val="auto"/>
                      <w:szCs w:val="21"/>
                    </w:rPr>
                    <w:t>145</w:t>
                  </w:r>
                </w:p>
              </w:tc>
              <w:tc>
                <w:tcPr>
                  <w:tcW w:w="2080" w:type="dxa"/>
                  <w:vMerge w:val="continue"/>
                  <w:tcBorders>
                    <w:tl2br w:val="nil"/>
                    <w:tr2bl w:val="nil"/>
                  </w:tcBorders>
                  <w:vAlign w:val="center"/>
                </w:tcPr>
                <w:p w14:paraId="059875D0">
                  <w:pPr>
                    <w:tabs>
                      <w:tab w:val="right" w:pos="8906"/>
                    </w:tabs>
                    <w:adjustRightInd w:val="0"/>
                    <w:snapToGrid w:val="0"/>
                    <w:jc w:val="center"/>
                    <w:rPr>
                      <w:color w:val="auto"/>
                      <w:szCs w:val="21"/>
                    </w:rPr>
                  </w:pPr>
                </w:p>
              </w:tc>
              <w:tc>
                <w:tcPr>
                  <w:tcW w:w="1001" w:type="dxa"/>
                  <w:vMerge w:val="continue"/>
                  <w:tcBorders>
                    <w:tl2br w:val="nil"/>
                    <w:tr2bl w:val="nil"/>
                  </w:tcBorders>
                  <w:vAlign w:val="center"/>
                </w:tcPr>
                <w:p w14:paraId="0297EEF3">
                  <w:pPr>
                    <w:tabs>
                      <w:tab w:val="right" w:pos="8906"/>
                    </w:tabs>
                    <w:adjustRightInd w:val="0"/>
                    <w:snapToGrid w:val="0"/>
                    <w:jc w:val="center"/>
                    <w:rPr>
                      <w:color w:val="auto"/>
                      <w:szCs w:val="21"/>
                    </w:rPr>
                  </w:pPr>
                </w:p>
              </w:tc>
            </w:tr>
            <w:tr w14:paraId="5506ECF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191D105D">
                  <w:pPr>
                    <w:adjustRightInd w:val="0"/>
                    <w:snapToGrid w:val="0"/>
                    <w:jc w:val="center"/>
                    <w:rPr>
                      <w:color w:val="auto"/>
                      <w:szCs w:val="21"/>
                    </w:rPr>
                  </w:pPr>
                </w:p>
              </w:tc>
              <w:tc>
                <w:tcPr>
                  <w:tcW w:w="2080" w:type="dxa"/>
                  <w:vMerge w:val="restart"/>
                  <w:tcBorders>
                    <w:tl2br w:val="nil"/>
                    <w:tr2bl w:val="nil"/>
                  </w:tcBorders>
                  <w:vAlign w:val="center"/>
                </w:tcPr>
                <w:p w14:paraId="3AD0932C">
                  <w:pPr>
                    <w:adjustRightInd w:val="0"/>
                    <w:snapToGrid w:val="0"/>
                    <w:jc w:val="center"/>
                    <w:rPr>
                      <w:color w:val="auto"/>
                      <w:szCs w:val="21"/>
                    </w:rPr>
                  </w:pPr>
                  <w:r>
                    <w:rPr>
                      <w:color w:val="auto"/>
                      <w:szCs w:val="21"/>
                    </w:rPr>
                    <w:t>2021-</w:t>
                  </w:r>
                  <w:r>
                    <w:rPr>
                      <w:rFonts w:hint="eastAsia"/>
                      <w:color w:val="auto"/>
                      <w:szCs w:val="21"/>
                    </w:rPr>
                    <w:t>6</w:t>
                  </w:r>
                  <w:r>
                    <w:rPr>
                      <w:color w:val="auto"/>
                      <w:szCs w:val="21"/>
                    </w:rPr>
                    <w:t>-</w:t>
                  </w:r>
                  <w:r>
                    <w:rPr>
                      <w:rFonts w:hint="eastAsia"/>
                      <w:color w:val="auto"/>
                      <w:szCs w:val="21"/>
                    </w:rPr>
                    <w:t>23~2021-6-24</w:t>
                  </w:r>
                </w:p>
              </w:tc>
              <w:tc>
                <w:tcPr>
                  <w:tcW w:w="1554" w:type="dxa"/>
                  <w:tcBorders>
                    <w:tl2br w:val="nil"/>
                    <w:tr2bl w:val="nil"/>
                  </w:tcBorders>
                  <w:vAlign w:val="center"/>
                </w:tcPr>
                <w:p w14:paraId="455F1E96">
                  <w:pPr>
                    <w:adjustRightInd w:val="0"/>
                    <w:snapToGrid w:val="0"/>
                    <w:jc w:val="center"/>
                    <w:rPr>
                      <w:color w:val="auto"/>
                      <w:szCs w:val="21"/>
                    </w:rPr>
                  </w:pPr>
                  <w:r>
                    <w:rPr>
                      <w:rFonts w:hint="eastAsia"/>
                      <w:color w:val="auto"/>
                      <w:szCs w:val="21"/>
                    </w:rPr>
                    <w:t>75</w:t>
                  </w:r>
                </w:p>
              </w:tc>
              <w:tc>
                <w:tcPr>
                  <w:tcW w:w="1072" w:type="dxa"/>
                  <w:tcBorders>
                    <w:tl2br w:val="nil"/>
                    <w:tr2bl w:val="nil"/>
                  </w:tcBorders>
                  <w:vAlign w:val="center"/>
                </w:tcPr>
                <w:p w14:paraId="2D61680A">
                  <w:pPr>
                    <w:tabs>
                      <w:tab w:val="right" w:pos="8906"/>
                    </w:tabs>
                    <w:adjustRightInd w:val="0"/>
                    <w:snapToGrid w:val="0"/>
                    <w:jc w:val="center"/>
                    <w:rPr>
                      <w:color w:val="auto"/>
                      <w:szCs w:val="21"/>
                    </w:rPr>
                  </w:pPr>
                  <w:r>
                    <w:rPr>
                      <w:color w:val="auto"/>
                      <w:szCs w:val="21"/>
                    </w:rPr>
                    <w:t>203</w:t>
                  </w:r>
                </w:p>
              </w:tc>
              <w:tc>
                <w:tcPr>
                  <w:tcW w:w="2080" w:type="dxa"/>
                  <w:vMerge w:val="restart"/>
                  <w:tcBorders>
                    <w:tl2br w:val="nil"/>
                    <w:tr2bl w:val="nil"/>
                  </w:tcBorders>
                  <w:vAlign w:val="center"/>
                </w:tcPr>
                <w:p w14:paraId="5A0123CF">
                  <w:pPr>
                    <w:autoSpaceDN w:val="0"/>
                    <w:adjustRightInd w:val="0"/>
                    <w:snapToGrid w:val="0"/>
                    <w:jc w:val="center"/>
                    <w:textAlignment w:val="center"/>
                    <w:rPr>
                      <w:color w:val="auto"/>
                      <w:szCs w:val="21"/>
                    </w:rPr>
                  </w:pPr>
                  <w:r>
                    <w:rPr>
                      <w:color w:val="auto"/>
                      <w:szCs w:val="21"/>
                    </w:rPr>
                    <w:t>2021-</w:t>
                  </w:r>
                  <w:r>
                    <w:rPr>
                      <w:rFonts w:hint="eastAsia"/>
                      <w:color w:val="auto"/>
                      <w:szCs w:val="21"/>
                    </w:rPr>
                    <w:t>9</w:t>
                  </w:r>
                  <w:r>
                    <w:rPr>
                      <w:color w:val="auto"/>
                      <w:szCs w:val="21"/>
                    </w:rPr>
                    <w:t>-</w:t>
                  </w:r>
                  <w:r>
                    <w:rPr>
                      <w:rFonts w:hint="eastAsia"/>
                      <w:color w:val="auto"/>
                      <w:szCs w:val="21"/>
                    </w:rPr>
                    <w:t>21~2021-9-22</w:t>
                  </w:r>
                </w:p>
              </w:tc>
              <w:tc>
                <w:tcPr>
                  <w:tcW w:w="1001" w:type="dxa"/>
                  <w:tcBorders>
                    <w:tl2br w:val="nil"/>
                    <w:tr2bl w:val="nil"/>
                  </w:tcBorders>
                  <w:vAlign w:val="center"/>
                </w:tcPr>
                <w:p w14:paraId="2410444D">
                  <w:pPr>
                    <w:tabs>
                      <w:tab w:val="right" w:pos="8906"/>
                    </w:tabs>
                    <w:adjustRightInd w:val="0"/>
                    <w:snapToGrid w:val="0"/>
                    <w:jc w:val="center"/>
                    <w:rPr>
                      <w:color w:val="auto"/>
                      <w:szCs w:val="21"/>
                    </w:rPr>
                  </w:pPr>
                  <w:r>
                    <w:rPr>
                      <w:rFonts w:hint="eastAsia"/>
                      <w:color w:val="auto"/>
                      <w:szCs w:val="21"/>
                    </w:rPr>
                    <w:t>38</w:t>
                  </w:r>
                </w:p>
              </w:tc>
            </w:tr>
            <w:tr w14:paraId="37C7061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5676E1AB">
                  <w:pPr>
                    <w:adjustRightInd w:val="0"/>
                    <w:snapToGrid w:val="0"/>
                    <w:jc w:val="center"/>
                    <w:rPr>
                      <w:color w:val="auto"/>
                      <w:szCs w:val="21"/>
                    </w:rPr>
                  </w:pPr>
                </w:p>
              </w:tc>
              <w:tc>
                <w:tcPr>
                  <w:tcW w:w="2080" w:type="dxa"/>
                  <w:vMerge w:val="continue"/>
                  <w:tcBorders>
                    <w:tl2br w:val="nil"/>
                    <w:tr2bl w:val="nil"/>
                  </w:tcBorders>
                  <w:vAlign w:val="center"/>
                </w:tcPr>
                <w:p w14:paraId="3CCAE665">
                  <w:pPr>
                    <w:adjustRightInd w:val="0"/>
                    <w:snapToGrid w:val="0"/>
                    <w:jc w:val="center"/>
                    <w:rPr>
                      <w:color w:val="auto"/>
                      <w:szCs w:val="21"/>
                    </w:rPr>
                  </w:pPr>
                </w:p>
              </w:tc>
              <w:tc>
                <w:tcPr>
                  <w:tcW w:w="1554" w:type="dxa"/>
                  <w:vMerge w:val="restart"/>
                  <w:tcBorders>
                    <w:tl2br w:val="nil"/>
                    <w:tr2bl w:val="nil"/>
                  </w:tcBorders>
                  <w:vAlign w:val="center"/>
                </w:tcPr>
                <w:p w14:paraId="082BB341">
                  <w:pPr>
                    <w:adjustRightInd w:val="0"/>
                    <w:snapToGrid w:val="0"/>
                    <w:jc w:val="center"/>
                    <w:rPr>
                      <w:color w:val="auto"/>
                      <w:szCs w:val="21"/>
                    </w:rPr>
                  </w:pPr>
                  <w:r>
                    <w:rPr>
                      <w:color w:val="auto"/>
                      <w:szCs w:val="21"/>
                    </w:rPr>
                    <w:t>/</w:t>
                  </w:r>
                </w:p>
              </w:tc>
              <w:tc>
                <w:tcPr>
                  <w:tcW w:w="1072" w:type="dxa"/>
                  <w:tcBorders>
                    <w:tl2br w:val="nil"/>
                    <w:tr2bl w:val="nil"/>
                  </w:tcBorders>
                  <w:vAlign w:val="center"/>
                </w:tcPr>
                <w:p w14:paraId="22D86485">
                  <w:pPr>
                    <w:tabs>
                      <w:tab w:val="right" w:pos="8906"/>
                    </w:tabs>
                    <w:adjustRightInd w:val="0"/>
                    <w:snapToGrid w:val="0"/>
                    <w:jc w:val="center"/>
                    <w:rPr>
                      <w:color w:val="auto"/>
                      <w:szCs w:val="21"/>
                    </w:rPr>
                  </w:pPr>
                  <w:r>
                    <w:rPr>
                      <w:color w:val="auto"/>
                      <w:szCs w:val="21"/>
                    </w:rPr>
                    <w:t>237</w:t>
                  </w:r>
                </w:p>
              </w:tc>
              <w:tc>
                <w:tcPr>
                  <w:tcW w:w="2080" w:type="dxa"/>
                  <w:vMerge w:val="continue"/>
                  <w:tcBorders>
                    <w:tl2br w:val="nil"/>
                    <w:tr2bl w:val="nil"/>
                  </w:tcBorders>
                  <w:vAlign w:val="center"/>
                </w:tcPr>
                <w:p w14:paraId="05C17907">
                  <w:pPr>
                    <w:tabs>
                      <w:tab w:val="right" w:pos="8906"/>
                    </w:tabs>
                    <w:adjustRightInd w:val="0"/>
                    <w:snapToGrid w:val="0"/>
                    <w:jc w:val="center"/>
                    <w:rPr>
                      <w:color w:val="auto"/>
                      <w:szCs w:val="21"/>
                    </w:rPr>
                  </w:pPr>
                </w:p>
              </w:tc>
              <w:tc>
                <w:tcPr>
                  <w:tcW w:w="1001" w:type="dxa"/>
                  <w:vMerge w:val="restart"/>
                  <w:tcBorders>
                    <w:tl2br w:val="nil"/>
                    <w:tr2bl w:val="nil"/>
                  </w:tcBorders>
                  <w:vAlign w:val="center"/>
                </w:tcPr>
                <w:p w14:paraId="09611195">
                  <w:pPr>
                    <w:tabs>
                      <w:tab w:val="right" w:pos="8906"/>
                    </w:tabs>
                    <w:adjustRightInd w:val="0"/>
                    <w:snapToGrid w:val="0"/>
                    <w:jc w:val="center"/>
                    <w:rPr>
                      <w:color w:val="auto"/>
                      <w:szCs w:val="21"/>
                    </w:rPr>
                  </w:pPr>
                  <w:r>
                    <w:rPr>
                      <w:color w:val="auto"/>
                      <w:szCs w:val="21"/>
                    </w:rPr>
                    <w:t>/</w:t>
                  </w:r>
                </w:p>
              </w:tc>
            </w:tr>
            <w:tr w14:paraId="1B2A52B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181537BD">
                  <w:pPr>
                    <w:adjustRightInd w:val="0"/>
                    <w:snapToGrid w:val="0"/>
                    <w:jc w:val="center"/>
                    <w:rPr>
                      <w:color w:val="auto"/>
                      <w:szCs w:val="21"/>
                    </w:rPr>
                  </w:pPr>
                </w:p>
              </w:tc>
              <w:tc>
                <w:tcPr>
                  <w:tcW w:w="2080" w:type="dxa"/>
                  <w:vMerge w:val="continue"/>
                  <w:tcBorders>
                    <w:tl2br w:val="nil"/>
                    <w:tr2bl w:val="nil"/>
                  </w:tcBorders>
                  <w:vAlign w:val="center"/>
                </w:tcPr>
                <w:p w14:paraId="3017FE91">
                  <w:pPr>
                    <w:adjustRightInd w:val="0"/>
                    <w:snapToGrid w:val="0"/>
                    <w:jc w:val="center"/>
                    <w:rPr>
                      <w:color w:val="auto"/>
                      <w:szCs w:val="21"/>
                    </w:rPr>
                  </w:pPr>
                </w:p>
              </w:tc>
              <w:tc>
                <w:tcPr>
                  <w:tcW w:w="1554" w:type="dxa"/>
                  <w:vMerge w:val="continue"/>
                  <w:tcBorders>
                    <w:tl2br w:val="nil"/>
                    <w:tr2bl w:val="nil"/>
                  </w:tcBorders>
                  <w:vAlign w:val="center"/>
                </w:tcPr>
                <w:p w14:paraId="0FB2C6FC">
                  <w:pPr>
                    <w:adjustRightInd w:val="0"/>
                    <w:snapToGrid w:val="0"/>
                    <w:jc w:val="center"/>
                    <w:rPr>
                      <w:color w:val="auto"/>
                      <w:szCs w:val="21"/>
                    </w:rPr>
                  </w:pPr>
                </w:p>
              </w:tc>
              <w:tc>
                <w:tcPr>
                  <w:tcW w:w="1072" w:type="dxa"/>
                  <w:tcBorders>
                    <w:tl2br w:val="nil"/>
                    <w:tr2bl w:val="nil"/>
                  </w:tcBorders>
                  <w:vAlign w:val="center"/>
                </w:tcPr>
                <w:p w14:paraId="612EEF6B">
                  <w:pPr>
                    <w:tabs>
                      <w:tab w:val="right" w:pos="8906"/>
                    </w:tabs>
                    <w:adjustRightInd w:val="0"/>
                    <w:snapToGrid w:val="0"/>
                    <w:jc w:val="center"/>
                    <w:rPr>
                      <w:color w:val="auto"/>
                      <w:szCs w:val="21"/>
                    </w:rPr>
                  </w:pPr>
                  <w:r>
                    <w:rPr>
                      <w:color w:val="auto"/>
                      <w:szCs w:val="21"/>
                    </w:rPr>
                    <w:t>217</w:t>
                  </w:r>
                </w:p>
              </w:tc>
              <w:tc>
                <w:tcPr>
                  <w:tcW w:w="2080" w:type="dxa"/>
                  <w:vMerge w:val="continue"/>
                  <w:tcBorders>
                    <w:tl2br w:val="nil"/>
                    <w:tr2bl w:val="nil"/>
                  </w:tcBorders>
                  <w:vAlign w:val="center"/>
                </w:tcPr>
                <w:p w14:paraId="5EB89E78">
                  <w:pPr>
                    <w:tabs>
                      <w:tab w:val="right" w:pos="8906"/>
                    </w:tabs>
                    <w:adjustRightInd w:val="0"/>
                    <w:snapToGrid w:val="0"/>
                    <w:jc w:val="center"/>
                    <w:rPr>
                      <w:color w:val="auto"/>
                      <w:szCs w:val="21"/>
                    </w:rPr>
                  </w:pPr>
                </w:p>
              </w:tc>
              <w:tc>
                <w:tcPr>
                  <w:tcW w:w="1001" w:type="dxa"/>
                  <w:vMerge w:val="continue"/>
                  <w:tcBorders>
                    <w:tl2br w:val="nil"/>
                    <w:tr2bl w:val="nil"/>
                  </w:tcBorders>
                  <w:vAlign w:val="center"/>
                </w:tcPr>
                <w:p w14:paraId="3D0F6AAA">
                  <w:pPr>
                    <w:tabs>
                      <w:tab w:val="right" w:pos="8906"/>
                    </w:tabs>
                    <w:adjustRightInd w:val="0"/>
                    <w:snapToGrid w:val="0"/>
                    <w:jc w:val="center"/>
                    <w:rPr>
                      <w:color w:val="auto"/>
                      <w:szCs w:val="21"/>
                    </w:rPr>
                  </w:pPr>
                </w:p>
              </w:tc>
            </w:tr>
            <w:tr w14:paraId="4500C5F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1D32EDFD">
                  <w:pPr>
                    <w:adjustRightInd w:val="0"/>
                    <w:snapToGrid w:val="0"/>
                    <w:jc w:val="center"/>
                    <w:rPr>
                      <w:color w:val="auto"/>
                      <w:szCs w:val="21"/>
                    </w:rPr>
                  </w:pPr>
                </w:p>
              </w:tc>
              <w:tc>
                <w:tcPr>
                  <w:tcW w:w="2080" w:type="dxa"/>
                  <w:vMerge w:val="continue"/>
                  <w:tcBorders>
                    <w:tl2br w:val="nil"/>
                    <w:tr2bl w:val="nil"/>
                  </w:tcBorders>
                  <w:vAlign w:val="center"/>
                </w:tcPr>
                <w:p w14:paraId="13528783">
                  <w:pPr>
                    <w:adjustRightInd w:val="0"/>
                    <w:snapToGrid w:val="0"/>
                    <w:jc w:val="center"/>
                    <w:rPr>
                      <w:color w:val="auto"/>
                      <w:szCs w:val="21"/>
                    </w:rPr>
                  </w:pPr>
                </w:p>
              </w:tc>
              <w:tc>
                <w:tcPr>
                  <w:tcW w:w="1554" w:type="dxa"/>
                  <w:vMerge w:val="continue"/>
                  <w:tcBorders>
                    <w:tl2br w:val="nil"/>
                    <w:tr2bl w:val="nil"/>
                  </w:tcBorders>
                  <w:vAlign w:val="center"/>
                </w:tcPr>
                <w:p w14:paraId="306C465E">
                  <w:pPr>
                    <w:adjustRightInd w:val="0"/>
                    <w:snapToGrid w:val="0"/>
                    <w:jc w:val="center"/>
                    <w:rPr>
                      <w:color w:val="auto"/>
                      <w:szCs w:val="21"/>
                    </w:rPr>
                  </w:pPr>
                </w:p>
              </w:tc>
              <w:tc>
                <w:tcPr>
                  <w:tcW w:w="1072" w:type="dxa"/>
                  <w:tcBorders>
                    <w:tl2br w:val="nil"/>
                    <w:tr2bl w:val="nil"/>
                  </w:tcBorders>
                  <w:vAlign w:val="center"/>
                </w:tcPr>
                <w:p w14:paraId="44539D96">
                  <w:pPr>
                    <w:tabs>
                      <w:tab w:val="right" w:pos="8906"/>
                    </w:tabs>
                    <w:adjustRightInd w:val="0"/>
                    <w:snapToGrid w:val="0"/>
                    <w:jc w:val="center"/>
                    <w:rPr>
                      <w:color w:val="auto"/>
                      <w:szCs w:val="21"/>
                    </w:rPr>
                  </w:pPr>
                  <w:r>
                    <w:rPr>
                      <w:color w:val="auto"/>
                      <w:szCs w:val="21"/>
                    </w:rPr>
                    <w:t>180</w:t>
                  </w:r>
                </w:p>
              </w:tc>
              <w:tc>
                <w:tcPr>
                  <w:tcW w:w="2080" w:type="dxa"/>
                  <w:vMerge w:val="continue"/>
                  <w:tcBorders>
                    <w:tl2br w:val="nil"/>
                    <w:tr2bl w:val="nil"/>
                  </w:tcBorders>
                  <w:vAlign w:val="center"/>
                </w:tcPr>
                <w:p w14:paraId="405F8354">
                  <w:pPr>
                    <w:tabs>
                      <w:tab w:val="right" w:pos="8906"/>
                    </w:tabs>
                    <w:adjustRightInd w:val="0"/>
                    <w:snapToGrid w:val="0"/>
                    <w:jc w:val="center"/>
                    <w:rPr>
                      <w:color w:val="auto"/>
                      <w:szCs w:val="21"/>
                    </w:rPr>
                  </w:pPr>
                </w:p>
              </w:tc>
              <w:tc>
                <w:tcPr>
                  <w:tcW w:w="1001" w:type="dxa"/>
                  <w:vMerge w:val="continue"/>
                  <w:tcBorders>
                    <w:tl2br w:val="nil"/>
                    <w:tr2bl w:val="nil"/>
                  </w:tcBorders>
                  <w:vAlign w:val="center"/>
                </w:tcPr>
                <w:p w14:paraId="439B7BB0">
                  <w:pPr>
                    <w:tabs>
                      <w:tab w:val="right" w:pos="8906"/>
                    </w:tabs>
                    <w:adjustRightInd w:val="0"/>
                    <w:snapToGrid w:val="0"/>
                    <w:jc w:val="center"/>
                    <w:rPr>
                      <w:color w:val="auto"/>
                      <w:szCs w:val="21"/>
                    </w:rPr>
                  </w:pPr>
                </w:p>
              </w:tc>
            </w:tr>
            <w:tr w14:paraId="5F19288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1AF03989">
                  <w:pPr>
                    <w:adjustRightInd w:val="0"/>
                    <w:snapToGrid w:val="0"/>
                    <w:jc w:val="center"/>
                    <w:rPr>
                      <w:color w:val="auto"/>
                      <w:szCs w:val="21"/>
                    </w:rPr>
                  </w:pPr>
                </w:p>
              </w:tc>
              <w:tc>
                <w:tcPr>
                  <w:tcW w:w="2080" w:type="dxa"/>
                  <w:vMerge w:val="continue"/>
                  <w:tcBorders>
                    <w:tl2br w:val="nil"/>
                    <w:tr2bl w:val="nil"/>
                  </w:tcBorders>
                  <w:vAlign w:val="center"/>
                </w:tcPr>
                <w:p w14:paraId="4A2631FC">
                  <w:pPr>
                    <w:adjustRightInd w:val="0"/>
                    <w:snapToGrid w:val="0"/>
                    <w:jc w:val="center"/>
                    <w:rPr>
                      <w:color w:val="auto"/>
                      <w:szCs w:val="21"/>
                    </w:rPr>
                  </w:pPr>
                </w:p>
              </w:tc>
              <w:tc>
                <w:tcPr>
                  <w:tcW w:w="1554" w:type="dxa"/>
                  <w:vMerge w:val="continue"/>
                  <w:tcBorders>
                    <w:tl2br w:val="nil"/>
                    <w:tr2bl w:val="nil"/>
                  </w:tcBorders>
                  <w:vAlign w:val="center"/>
                </w:tcPr>
                <w:p w14:paraId="27F8EAB8">
                  <w:pPr>
                    <w:adjustRightInd w:val="0"/>
                    <w:snapToGrid w:val="0"/>
                    <w:jc w:val="center"/>
                    <w:rPr>
                      <w:color w:val="auto"/>
                      <w:szCs w:val="21"/>
                    </w:rPr>
                  </w:pPr>
                </w:p>
              </w:tc>
              <w:tc>
                <w:tcPr>
                  <w:tcW w:w="1072" w:type="dxa"/>
                  <w:tcBorders>
                    <w:tl2br w:val="nil"/>
                    <w:tr2bl w:val="nil"/>
                  </w:tcBorders>
                  <w:vAlign w:val="center"/>
                </w:tcPr>
                <w:p w14:paraId="45C4F308">
                  <w:pPr>
                    <w:tabs>
                      <w:tab w:val="right" w:pos="8906"/>
                    </w:tabs>
                    <w:adjustRightInd w:val="0"/>
                    <w:snapToGrid w:val="0"/>
                    <w:jc w:val="center"/>
                    <w:rPr>
                      <w:color w:val="auto"/>
                      <w:szCs w:val="21"/>
                    </w:rPr>
                  </w:pPr>
                  <w:r>
                    <w:rPr>
                      <w:color w:val="auto"/>
                      <w:szCs w:val="21"/>
                    </w:rPr>
                    <w:t>196</w:t>
                  </w:r>
                </w:p>
              </w:tc>
              <w:tc>
                <w:tcPr>
                  <w:tcW w:w="2080" w:type="dxa"/>
                  <w:vMerge w:val="continue"/>
                  <w:tcBorders>
                    <w:tl2br w:val="nil"/>
                    <w:tr2bl w:val="nil"/>
                  </w:tcBorders>
                  <w:vAlign w:val="center"/>
                </w:tcPr>
                <w:p w14:paraId="5317C229">
                  <w:pPr>
                    <w:tabs>
                      <w:tab w:val="right" w:pos="8906"/>
                    </w:tabs>
                    <w:adjustRightInd w:val="0"/>
                    <w:snapToGrid w:val="0"/>
                    <w:jc w:val="center"/>
                    <w:rPr>
                      <w:color w:val="auto"/>
                      <w:szCs w:val="21"/>
                    </w:rPr>
                  </w:pPr>
                </w:p>
              </w:tc>
              <w:tc>
                <w:tcPr>
                  <w:tcW w:w="1001" w:type="dxa"/>
                  <w:vMerge w:val="continue"/>
                  <w:tcBorders>
                    <w:tl2br w:val="nil"/>
                    <w:tr2bl w:val="nil"/>
                  </w:tcBorders>
                  <w:vAlign w:val="center"/>
                </w:tcPr>
                <w:p w14:paraId="26022A0E">
                  <w:pPr>
                    <w:tabs>
                      <w:tab w:val="right" w:pos="8906"/>
                    </w:tabs>
                    <w:adjustRightInd w:val="0"/>
                    <w:snapToGrid w:val="0"/>
                    <w:jc w:val="center"/>
                    <w:rPr>
                      <w:color w:val="auto"/>
                      <w:szCs w:val="21"/>
                    </w:rPr>
                  </w:pPr>
                </w:p>
              </w:tc>
            </w:tr>
            <w:tr w14:paraId="2276A03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373C12F7">
                  <w:pPr>
                    <w:adjustRightInd w:val="0"/>
                    <w:snapToGrid w:val="0"/>
                    <w:jc w:val="center"/>
                    <w:rPr>
                      <w:color w:val="auto"/>
                      <w:szCs w:val="21"/>
                    </w:rPr>
                  </w:pPr>
                </w:p>
              </w:tc>
              <w:tc>
                <w:tcPr>
                  <w:tcW w:w="2080" w:type="dxa"/>
                  <w:vMerge w:val="continue"/>
                  <w:tcBorders>
                    <w:tl2br w:val="nil"/>
                    <w:tr2bl w:val="nil"/>
                  </w:tcBorders>
                  <w:vAlign w:val="center"/>
                </w:tcPr>
                <w:p w14:paraId="343647DA">
                  <w:pPr>
                    <w:adjustRightInd w:val="0"/>
                    <w:snapToGrid w:val="0"/>
                    <w:jc w:val="center"/>
                    <w:rPr>
                      <w:color w:val="auto"/>
                      <w:szCs w:val="21"/>
                    </w:rPr>
                  </w:pPr>
                </w:p>
              </w:tc>
              <w:tc>
                <w:tcPr>
                  <w:tcW w:w="1554" w:type="dxa"/>
                  <w:vMerge w:val="continue"/>
                  <w:tcBorders>
                    <w:tl2br w:val="nil"/>
                    <w:tr2bl w:val="nil"/>
                  </w:tcBorders>
                  <w:vAlign w:val="center"/>
                </w:tcPr>
                <w:p w14:paraId="17886FB3">
                  <w:pPr>
                    <w:adjustRightInd w:val="0"/>
                    <w:snapToGrid w:val="0"/>
                    <w:jc w:val="center"/>
                    <w:rPr>
                      <w:color w:val="auto"/>
                      <w:szCs w:val="21"/>
                    </w:rPr>
                  </w:pPr>
                </w:p>
              </w:tc>
              <w:tc>
                <w:tcPr>
                  <w:tcW w:w="1072" w:type="dxa"/>
                  <w:tcBorders>
                    <w:tl2br w:val="nil"/>
                    <w:tr2bl w:val="nil"/>
                  </w:tcBorders>
                  <w:vAlign w:val="center"/>
                </w:tcPr>
                <w:p w14:paraId="4ED03952">
                  <w:pPr>
                    <w:tabs>
                      <w:tab w:val="right" w:pos="8906"/>
                    </w:tabs>
                    <w:adjustRightInd w:val="0"/>
                    <w:snapToGrid w:val="0"/>
                    <w:jc w:val="center"/>
                    <w:rPr>
                      <w:color w:val="auto"/>
                      <w:szCs w:val="21"/>
                    </w:rPr>
                  </w:pPr>
                  <w:r>
                    <w:rPr>
                      <w:color w:val="auto"/>
                      <w:szCs w:val="21"/>
                    </w:rPr>
                    <w:t>219</w:t>
                  </w:r>
                </w:p>
              </w:tc>
              <w:tc>
                <w:tcPr>
                  <w:tcW w:w="2080" w:type="dxa"/>
                  <w:vMerge w:val="continue"/>
                  <w:tcBorders>
                    <w:tl2br w:val="nil"/>
                    <w:tr2bl w:val="nil"/>
                  </w:tcBorders>
                  <w:vAlign w:val="center"/>
                </w:tcPr>
                <w:p w14:paraId="381C9E47">
                  <w:pPr>
                    <w:tabs>
                      <w:tab w:val="right" w:pos="8906"/>
                    </w:tabs>
                    <w:adjustRightInd w:val="0"/>
                    <w:snapToGrid w:val="0"/>
                    <w:jc w:val="center"/>
                    <w:rPr>
                      <w:color w:val="auto"/>
                      <w:szCs w:val="21"/>
                    </w:rPr>
                  </w:pPr>
                </w:p>
              </w:tc>
              <w:tc>
                <w:tcPr>
                  <w:tcW w:w="1001" w:type="dxa"/>
                  <w:vMerge w:val="continue"/>
                  <w:tcBorders>
                    <w:tl2br w:val="nil"/>
                    <w:tr2bl w:val="nil"/>
                  </w:tcBorders>
                  <w:vAlign w:val="center"/>
                </w:tcPr>
                <w:p w14:paraId="3F4B3BC9">
                  <w:pPr>
                    <w:tabs>
                      <w:tab w:val="right" w:pos="8906"/>
                    </w:tabs>
                    <w:adjustRightInd w:val="0"/>
                    <w:snapToGrid w:val="0"/>
                    <w:jc w:val="center"/>
                    <w:rPr>
                      <w:color w:val="auto"/>
                      <w:szCs w:val="21"/>
                    </w:rPr>
                  </w:pPr>
                </w:p>
              </w:tc>
            </w:tr>
            <w:tr w14:paraId="3F10082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79603AF9">
                  <w:pPr>
                    <w:adjustRightInd w:val="0"/>
                    <w:snapToGrid w:val="0"/>
                    <w:jc w:val="center"/>
                    <w:rPr>
                      <w:color w:val="auto"/>
                      <w:szCs w:val="21"/>
                    </w:rPr>
                  </w:pPr>
                </w:p>
              </w:tc>
              <w:tc>
                <w:tcPr>
                  <w:tcW w:w="2080" w:type="dxa"/>
                  <w:vMerge w:val="continue"/>
                  <w:tcBorders>
                    <w:tl2br w:val="nil"/>
                    <w:tr2bl w:val="nil"/>
                  </w:tcBorders>
                  <w:vAlign w:val="center"/>
                </w:tcPr>
                <w:p w14:paraId="30CE4166">
                  <w:pPr>
                    <w:adjustRightInd w:val="0"/>
                    <w:snapToGrid w:val="0"/>
                    <w:jc w:val="center"/>
                    <w:rPr>
                      <w:color w:val="auto"/>
                      <w:szCs w:val="21"/>
                    </w:rPr>
                  </w:pPr>
                </w:p>
              </w:tc>
              <w:tc>
                <w:tcPr>
                  <w:tcW w:w="1554" w:type="dxa"/>
                  <w:vMerge w:val="continue"/>
                  <w:tcBorders>
                    <w:tl2br w:val="nil"/>
                    <w:tr2bl w:val="nil"/>
                  </w:tcBorders>
                  <w:vAlign w:val="center"/>
                </w:tcPr>
                <w:p w14:paraId="17D2500A">
                  <w:pPr>
                    <w:adjustRightInd w:val="0"/>
                    <w:snapToGrid w:val="0"/>
                    <w:jc w:val="center"/>
                    <w:rPr>
                      <w:color w:val="auto"/>
                      <w:szCs w:val="21"/>
                    </w:rPr>
                  </w:pPr>
                </w:p>
              </w:tc>
              <w:tc>
                <w:tcPr>
                  <w:tcW w:w="1072" w:type="dxa"/>
                  <w:tcBorders>
                    <w:tl2br w:val="nil"/>
                    <w:tr2bl w:val="nil"/>
                  </w:tcBorders>
                  <w:vAlign w:val="center"/>
                </w:tcPr>
                <w:p w14:paraId="171A711A">
                  <w:pPr>
                    <w:tabs>
                      <w:tab w:val="right" w:pos="8906"/>
                    </w:tabs>
                    <w:adjustRightInd w:val="0"/>
                    <w:snapToGrid w:val="0"/>
                    <w:jc w:val="center"/>
                    <w:rPr>
                      <w:color w:val="auto"/>
                      <w:szCs w:val="21"/>
                    </w:rPr>
                  </w:pPr>
                  <w:r>
                    <w:rPr>
                      <w:color w:val="auto"/>
                      <w:szCs w:val="21"/>
                    </w:rPr>
                    <w:t>205</w:t>
                  </w:r>
                </w:p>
              </w:tc>
              <w:tc>
                <w:tcPr>
                  <w:tcW w:w="2080" w:type="dxa"/>
                  <w:vMerge w:val="continue"/>
                  <w:tcBorders>
                    <w:tl2br w:val="nil"/>
                    <w:tr2bl w:val="nil"/>
                  </w:tcBorders>
                  <w:vAlign w:val="center"/>
                </w:tcPr>
                <w:p w14:paraId="530EAD0A">
                  <w:pPr>
                    <w:tabs>
                      <w:tab w:val="right" w:pos="8906"/>
                    </w:tabs>
                    <w:adjustRightInd w:val="0"/>
                    <w:snapToGrid w:val="0"/>
                    <w:jc w:val="center"/>
                    <w:rPr>
                      <w:color w:val="auto"/>
                      <w:szCs w:val="21"/>
                    </w:rPr>
                  </w:pPr>
                </w:p>
              </w:tc>
              <w:tc>
                <w:tcPr>
                  <w:tcW w:w="1001" w:type="dxa"/>
                  <w:vMerge w:val="continue"/>
                  <w:tcBorders>
                    <w:tl2br w:val="nil"/>
                    <w:tr2bl w:val="nil"/>
                  </w:tcBorders>
                  <w:vAlign w:val="center"/>
                </w:tcPr>
                <w:p w14:paraId="53A7183E">
                  <w:pPr>
                    <w:tabs>
                      <w:tab w:val="right" w:pos="8906"/>
                    </w:tabs>
                    <w:adjustRightInd w:val="0"/>
                    <w:snapToGrid w:val="0"/>
                    <w:jc w:val="center"/>
                    <w:rPr>
                      <w:color w:val="auto"/>
                      <w:szCs w:val="21"/>
                    </w:rPr>
                  </w:pPr>
                </w:p>
              </w:tc>
            </w:tr>
            <w:tr w14:paraId="60A9289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0A1AF171">
                  <w:pPr>
                    <w:adjustRightInd w:val="0"/>
                    <w:snapToGrid w:val="0"/>
                    <w:jc w:val="center"/>
                    <w:rPr>
                      <w:color w:val="auto"/>
                      <w:szCs w:val="21"/>
                    </w:rPr>
                  </w:pPr>
                </w:p>
              </w:tc>
              <w:tc>
                <w:tcPr>
                  <w:tcW w:w="2080" w:type="dxa"/>
                  <w:vMerge w:val="continue"/>
                  <w:tcBorders>
                    <w:tl2br w:val="nil"/>
                    <w:tr2bl w:val="nil"/>
                  </w:tcBorders>
                  <w:vAlign w:val="center"/>
                </w:tcPr>
                <w:p w14:paraId="2FD4FDB6">
                  <w:pPr>
                    <w:adjustRightInd w:val="0"/>
                    <w:snapToGrid w:val="0"/>
                    <w:jc w:val="center"/>
                    <w:rPr>
                      <w:color w:val="auto"/>
                      <w:szCs w:val="21"/>
                    </w:rPr>
                  </w:pPr>
                </w:p>
              </w:tc>
              <w:tc>
                <w:tcPr>
                  <w:tcW w:w="1554" w:type="dxa"/>
                  <w:vMerge w:val="continue"/>
                  <w:tcBorders>
                    <w:tl2br w:val="nil"/>
                    <w:tr2bl w:val="nil"/>
                  </w:tcBorders>
                  <w:vAlign w:val="center"/>
                </w:tcPr>
                <w:p w14:paraId="13F1A5C6">
                  <w:pPr>
                    <w:adjustRightInd w:val="0"/>
                    <w:snapToGrid w:val="0"/>
                    <w:jc w:val="center"/>
                    <w:rPr>
                      <w:color w:val="auto"/>
                      <w:szCs w:val="21"/>
                    </w:rPr>
                  </w:pPr>
                </w:p>
              </w:tc>
              <w:tc>
                <w:tcPr>
                  <w:tcW w:w="1072" w:type="dxa"/>
                  <w:tcBorders>
                    <w:tl2br w:val="nil"/>
                    <w:tr2bl w:val="nil"/>
                  </w:tcBorders>
                  <w:vAlign w:val="center"/>
                </w:tcPr>
                <w:p w14:paraId="17481B74">
                  <w:pPr>
                    <w:tabs>
                      <w:tab w:val="right" w:pos="8906"/>
                    </w:tabs>
                    <w:adjustRightInd w:val="0"/>
                    <w:snapToGrid w:val="0"/>
                    <w:jc w:val="center"/>
                    <w:rPr>
                      <w:color w:val="auto"/>
                      <w:szCs w:val="21"/>
                    </w:rPr>
                  </w:pPr>
                  <w:r>
                    <w:rPr>
                      <w:color w:val="auto"/>
                      <w:szCs w:val="21"/>
                    </w:rPr>
                    <w:t>202</w:t>
                  </w:r>
                </w:p>
              </w:tc>
              <w:tc>
                <w:tcPr>
                  <w:tcW w:w="2080" w:type="dxa"/>
                  <w:vMerge w:val="continue"/>
                  <w:tcBorders>
                    <w:tl2br w:val="nil"/>
                    <w:tr2bl w:val="nil"/>
                  </w:tcBorders>
                  <w:vAlign w:val="center"/>
                </w:tcPr>
                <w:p w14:paraId="3A7E1387">
                  <w:pPr>
                    <w:tabs>
                      <w:tab w:val="right" w:pos="8906"/>
                    </w:tabs>
                    <w:adjustRightInd w:val="0"/>
                    <w:snapToGrid w:val="0"/>
                    <w:jc w:val="center"/>
                    <w:rPr>
                      <w:color w:val="auto"/>
                      <w:szCs w:val="21"/>
                    </w:rPr>
                  </w:pPr>
                </w:p>
              </w:tc>
              <w:tc>
                <w:tcPr>
                  <w:tcW w:w="1001" w:type="dxa"/>
                  <w:vMerge w:val="continue"/>
                  <w:tcBorders>
                    <w:tl2br w:val="nil"/>
                    <w:tr2bl w:val="nil"/>
                  </w:tcBorders>
                  <w:vAlign w:val="center"/>
                </w:tcPr>
                <w:p w14:paraId="6C90386D">
                  <w:pPr>
                    <w:tabs>
                      <w:tab w:val="right" w:pos="8906"/>
                    </w:tabs>
                    <w:adjustRightInd w:val="0"/>
                    <w:snapToGrid w:val="0"/>
                    <w:jc w:val="center"/>
                    <w:rPr>
                      <w:color w:val="auto"/>
                      <w:szCs w:val="21"/>
                    </w:rPr>
                  </w:pPr>
                </w:p>
              </w:tc>
            </w:tr>
            <w:tr w14:paraId="65B1924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7E3DE818">
                  <w:pPr>
                    <w:adjustRightInd w:val="0"/>
                    <w:snapToGrid w:val="0"/>
                    <w:jc w:val="center"/>
                    <w:rPr>
                      <w:color w:val="auto"/>
                      <w:szCs w:val="21"/>
                    </w:rPr>
                  </w:pPr>
                </w:p>
              </w:tc>
              <w:tc>
                <w:tcPr>
                  <w:tcW w:w="2080" w:type="dxa"/>
                  <w:vMerge w:val="restart"/>
                  <w:tcBorders>
                    <w:tl2br w:val="nil"/>
                    <w:tr2bl w:val="nil"/>
                  </w:tcBorders>
                  <w:vAlign w:val="center"/>
                </w:tcPr>
                <w:p w14:paraId="35F3B840">
                  <w:pPr>
                    <w:adjustRightInd w:val="0"/>
                    <w:snapToGrid w:val="0"/>
                    <w:jc w:val="center"/>
                    <w:rPr>
                      <w:color w:val="auto"/>
                      <w:szCs w:val="21"/>
                    </w:rPr>
                  </w:pPr>
                  <w:r>
                    <w:rPr>
                      <w:color w:val="auto"/>
                      <w:szCs w:val="21"/>
                    </w:rPr>
                    <w:t>2021-</w:t>
                  </w:r>
                  <w:r>
                    <w:rPr>
                      <w:rFonts w:hint="eastAsia"/>
                      <w:color w:val="auto"/>
                      <w:szCs w:val="21"/>
                    </w:rPr>
                    <w:t>6</w:t>
                  </w:r>
                  <w:r>
                    <w:rPr>
                      <w:color w:val="auto"/>
                      <w:szCs w:val="21"/>
                    </w:rPr>
                    <w:t>-</w:t>
                  </w:r>
                  <w:r>
                    <w:rPr>
                      <w:rFonts w:hint="eastAsia"/>
                      <w:color w:val="auto"/>
                      <w:szCs w:val="21"/>
                    </w:rPr>
                    <w:t>24~2021-6-25</w:t>
                  </w:r>
                </w:p>
              </w:tc>
              <w:tc>
                <w:tcPr>
                  <w:tcW w:w="1554" w:type="dxa"/>
                  <w:tcBorders>
                    <w:tl2br w:val="nil"/>
                    <w:tr2bl w:val="nil"/>
                  </w:tcBorders>
                  <w:vAlign w:val="center"/>
                </w:tcPr>
                <w:p w14:paraId="6E819D51">
                  <w:pPr>
                    <w:adjustRightInd w:val="0"/>
                    <w:snapToGrid w:val="0"/>
                    <w:jc w:val="center"/>
                    <w:rPr>
                      <w:color w:val="auto"/>
                      <w:szCs w:val="21"/>
                    </w:rPr>
                  </w:pPr>
                  <w:r>
                    <w:rPr>
                      <w:rFonts w:hint="eastAsia"/>
                      <w:color w:val="auto"/>
                      <w:szCs w:val="21"/>
                    </w:rPr>
                    <w:t>66</w:t>
                  </w:r>
                </w:p>
              </w:tc>
              <w:tc>
                <w:tcPr>
                  <w:tcW w:w="1072" w:type="dxa"/>
                  <w:tcBorders>
                    <w:tl2br w:val="nil"/>
                    <w:tr2bl w:val="nil"/>
                  </w:tcBorders>
                  <w:vAlign w:val="center"/>
                </w:tcPr>
                <w:p w14:paraId="1DA79FAD">
                  <w:pPr>
                    <w:tabs>
                      <w:tab w:val="right" w:pos="8906"/>
                    </w:tabs>
                    <w:adjustRightInd w:val="0"/>
                    <w:snapToGrid w:val="0"/>
                    <w:jc w:val="center"/>
                    <w:rPr>
                      <w:color w:val="auto"/>
                      <w:szCs w:val="21"/>
                    </w:rPr>
                  </w:pPr>
                  <w:r>
                    <w:rPr>
                      <w:color w:val="auto"/>
                      <w:szCs w:val="21"/>
                    </w:rPr>
                    <w:t>189</w:t>
                  </w:r>
                </w:p>
              </w:tc>
              <w:tc>
                <w:tcPr>
                  <w:tcW w:w="2080" w:type="dxa"/>
                  <w:vMerge w:val="restart"/>
                  <w:tcBorders>
                    <w:tl2br w:val="nil"/>
                    <w:tr2bl w:val="nil"/>
                  </w:tcBorders>
                  <w:vAlign w:val="center"/>
                </w:tcPr>
                <w:p w14:paraId="48DCA490">
                  <w:pPr>
                    <w:autoSpaceDN w:val="0"/>
                    <w:adjustRightInd w:val="0"/>
                    <w:snapToGrid w:val="0"/>
                    <w:jc w:val="center"/>
                    <w:textAlignment w:val="center"/>
                    <w:rPr>
                      <w:color w:val="auto"/>
                      <w:szCs w:val="21"/>
                    </w:rPr>
                  </w:pPr>
                  <w:r>
                    <w:rPr>
                      <w:rFonts w:hint="eastAsia"/>
                      <w:color w:val="auto"/>
                      <w:szCs w:val="21"/>
                    </w:rPr>
                    <w:t>2</w:t>
                  </w:r>
                  <w:r>
                    <w:rPr>
                      <w:color w:val="auto"/>
                      <w:szCs w:val="21"/>
                    </w:rPr>
                    <w:t>021-</w:t>
                  </w:r>
                  <w:r>
                    <w:rPr>
                      <w:rFonts w:hint="eastAsia"/>
                      <w:color w:val="auto"/>
                      <w:szCs w:val="21"/>
                    </w:rPr>
                    <w:t>9</w:t>
                  </w:r>
                  <w:r>
                    <w:rPr>
                      <w:color w:val="auto"/>
                      <w:szCs w:val="21"/>
                    </w:rPr>
                    <w:t>-</w:t>
                  </w:r>
                  <w:r>
                    <w:rPr>
                      <w:rFonts w:hint="eastAsia"/>
                      <w:color w:val="auto"/>
                      <w:szCs w:val="21"/>
                    </w:rPr>
                    <w:t>22~2021-9-23</w:t>
                  </w:r>
                </w:p>
              </w:tc>
              <w:tc>
                <w:tcPr>
                  <w:tcW w:w="1001" w:type="dxa"/>
                  <w:tcBorders>
                    <w:tl2br w:val="nil"/>
                    <w:tr2bl w:val="nil"/>
                  </w:tcBorders>
                  <w:vAlign w:val="center"/>
                </w:tcPr>
                <w:p w14:paraId="1D90FD64">
                  <w:pPr>
                    <w:tabs>
                      <w:tab w:val="right" w:pos="8906"/>
                    </w:tabs>
                    <w:adjustRightInd w:val="0"/>
                    <w:snapToGrid w:val="0"/>
                    <w:jc w:val="center"/>
                    <w:rPr>
                      <w:color w:val="auto"/>
                      <w:szCs w:val="21"/>
                    </w:rPr>
                  </w:pPr>
                  <w:r>
                    <w:rPr>
                      <w:rFonts w:hint="eastAsia"/>
                      <w:color w:val="auto"/>
                      <w:szCs w:val="21"/>
                    </w:rPr>
                    <w:t>27</w:t>
                  </w:r>
                </w:p>
              </w:tc>
            </w:tr>
            <w:tr w14:paraId="6B189EF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5C759F4C">
                  <w:pPr>
                    <w:adjustRightInd w:val="0"/>
                    <w:snapToGrid w:val="0"/>
                    <w:jc w:val="center"/>
                    <w:rPr>
                      <w:color w:val="auto"/>
                      <w:szCs w:val="21"/>
                    </w:rPr>
                  </w:pPr>
                </w:p>
              </w:tc>
              <w:tc>
                <w:tcPr>
                  <w:tcW w:w="2080" w:type="dxa"/>
                  <w:vMerge w:val="continue"/>
                  <w:tcBorders>
                    <w:tl2br w:val="nil"/>
                    <w:tr2bl w:val="nil"/>
                  </w:tcBorders>
                  <w:vAlign w:val="center"/>
                </w:tcPr>
                <w:p w14:paraId="7C914F9B">
                  <w:pPr>
                    <w:adjustRightInd w:val="0"/>
                    <w:snapToGrid w:val="0"/>
                    <w:jc w:val="center"/>
                    <w:rPr>
                      <w:color w:val="auto"/>
                      <w:szCs w:val="21"/>
                    </w:rPr>
                  </w:pPr>
                </w:p>
              </w:tc>
              <w:tc>
                <w:tcPr>
                  <w:tcW w:w="1554" w:type="dxa"/>
                  <w:vMerge w:val="restart"/>
                  <w:tcBorders>
                    <w:tl2br w:val="nil"/>
                    <w:tr2bl w:val="nil"/>
                  </w:tcBorders>
                  <w:vAlign w:val="center"/>
                </w:tcPr>
                <w:p w14:paraId="79C4EFF6">
                  <w:pPr>
                    <w:adjustRightInd w:val="0"/>
                    <w:snapToGrid w:val="0"/>
                    <w:jc w:val="center"/>
                    <w:rPr>
                      <w:color w:val="auto"/>
                      <w:szCs w:val="21"/>
                    </w:rPr>
                  </w:pPr>
                  <w:r>
                    <w:rPr>
                      <w:color w:val="auto"/>
                      <w:szCs w:val="21"/>
                    </w:rPr>
                    <w:t>/</w:t>
                  </w:r>
                </w:p>
              </w:tc>
              <w:tc>
                <w:tcPr>
                  <w:tcW w:w="1072" w:type="dxa"/>
                  <w:tcBorders>
                    <w:tl2br w:val="nil"/>
                    <w:tr2bl w:val="nil"/>
                  </w:tcBorders>
                  <w:vAlign w:val="center"/>
                </w:tcPr>
                <w:p w14:paraId="7786E9F0">
                  <w:pPr>
                    <w:tabs>
                      <w:tab w:val="right" w:pos="8906"/>
                    </w:tabs>
                    <w:adjustRightInd w:val="0"/>
                    <w:snapToGrid w:val="0"/>
                    <w:jc w:val="center"/>
                    <w:rPr>
                      <w:color w:val="auto"/>
                      <w:szCs w:val="21"/>
                    </w:rPr>
                  </w:pPr>
                  <w:r>
                    <w:rPr>
                      <w:color w:val="auto"/>
                      <w:szCs w:val="21"/>
                    </w:rPr>
                    <w:t>211</w:t>
                  </w:r>
                </w:p>
              </w:tc>
              <w:tc>
                <w:tcPr>
                  <w:tcW w:w="2080" w:type="dxa"/>
                  <w:vMerge w:val="continue"/>
                  <w:tcBorders>
                    <w:tl2br w:val="nil"/>
                    <w:tr2bl w:val="nil"/>
                  </w:tcBorders>
                  <w:vAlign w:val="center"/>
                </w:tcPr>
                <w:p w14:paraId="3FFEE211">
                  <w:pPr>
                    <w:tabs>
                      <w:tab w:val="right" w:pos="8906"/>
                    </w:tabs>
                    <w:adjustRightInd w:val="0"/>
                    <w:snapToGrid w:val="0"/>
                    <w:jc w:val="center"/>
                    <w:rPr>
                      <w:color w:val="auto"/>
                      <w:szCs w:val="21"/>
                    </w:rPr>
                  </w:pPr>
                </w:p>
              </w:tc>
              <w:tc>
                <w:tcPr>
                  <w:tcW w:w="1001" w:type="dxa"/>
                  <w:vMerge w:val="restart"/>
                  <w:tcBorders>
                    <w:tl2br w:val="nil"/>
                    <w:tr2bl w:val="nil"/>
                  </w:tcBorders>
                  <w:vAlign w:val="center"/>
                </w:tcPr>
                <w:p w14:paraId="7E141DEF">
                  <w:pPr>
                    <w:tabs>
                      <w:tab w:val="right" w:pos="8906"/>
                    </w:tabs>
                    <w:adjustRightInd w:val="0"/>
                    <w:snapToGrid w:val="0"/>
                    <w:jc w:val="center"/>
                    <w:rPr>
                      <w:color w:val="auto"/>
                      <w:szCs w:val="21"/>
                    </w:rPr>
                  </w:pPr>
                  <w:r>
                    <w:rPr>
                      <w:color w:val="auto"/>
                      <w:szCs w:val="21"/>
                    </w:rPr>
                    <w:t>/</w:t>
                  </w:r>
                </w:p>
              </w:tc>
            </w:tr>
            <w:tr w14:paraId="2A253ED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611FDABF">
                  <w:pPr>
                    <w:adjustRightInd w:val="0"/>
                    <w:snapToGrid w:val="0"/>
                    <w:jc w:val="center"/>
                    <w:rPr>
                      <w:color w:val="auto"/>
                      <w:szCs w:val="21"/>
                    </w:rPr>
                  </w:pPr>
                </w:p>
              </w:tc>
              <w:tc>
                <w:tcPr>
                  <w:tcW w:w="2080" w:type="dxa"/>
                  <w:vMerge w:val="continue"/>
                  <w:tcBorders>
                    <w:tl2br w:val="nil"/>
                    <w:tr2bl w:val="nil"/>
                  </w:tcBorders>
                  <w:vAlign w:val="center"/>
                </w:tcPr>
                <w:p w14:paraId="4C3EB0A4">
                  <w:pPr>
                    <w:adjustRightInd w:val="0"/>
                    <w:snapToGrid w:val="0"/>
                    <w:jc w:val="center"/>
                    <w:rPr>
                      <w:color w:val="auto"/>
                      <w:szCs w:val="21"/>
                    </w:rPr>
                  </w:pPr>
                </w:p>
              </w:tc>
              <w:tc>
                <w:tcPr>
                  <w:tcW w:w="1554" w:type="dxa"/>
                  <w:vMerge w:val="continue"/>
                  <w:tcBorders>
                    <w:tl2br w:val="nil"/>
                    <w:tr2bl w:val="nil"/>
                  </w:tcBorders>
                  <w:vAlign w:val="center"/>
                </w:tcPr>
                <w:p w14:paraId="00642EC6">
                  <w:pPr>
                    <w:adjustRightInd w:val="0"/>
                    <w:snapToGrid w:val="0"/>
                    <w:jc w:val="center"/>
                    <w:rPr>
                      <w:color w:val="auto"/>
                      <w:szCs w:val="21"/>
                    </w:rPr>
                  </w:pPr>
                </w:p>
              </w:tc>
              <w:tc>
                <w:tcPr>
                  <w:tcW w:w="1072" w:type="dxa"/>
                  <w:tcBorders>
                    <w:tl2br w:val="nil"/>
                    <w:tr2bl w:val="nil"/>
                  </w:tcBorders>
                  <w:vAlign w:val="center"/>
                </w:tcPr>
                <w:p w14:paraId="522C9293">
                  <w:pPr>
                    <w:tabs>
                      <w:tab w:val="right" w:pos="8906"/>
                    </w:tabs>
                    <w:adjustRightInd w:val="0"/>
                    <w:snapToGrid w:val="0"/>
                    <w:jc w:val="center"/>
                    <w:rPr>
                      <w:color w:val="auto"/>
                      <w:szCs w:val="21"/>
                    </w:rPr>
                  </w:pPr>
                  <w:r>
                    <w:rPr>
                      <w:color w:val="auto"/>
                      <w:szCs w:val="21"/>
                    </w:rPr>
                    <w:t>217</w:t>
                  </w:r>
                </w:p>
              </w:tc>
              <w:tc>
                <w:tcPr>
                  <w:tcW w:w="2080" w:type="dxa"/>
                  <w:vMerge w:val="continue"/>
                  <w:tcBorders>
                    <w:tl2br w:val="nil"/>
                    <w:tr2bl w:val="nil"/>
                  </w:tcBorders>
                  <w:vAlign w:val="center"/>
                </w:tcPr>
                <w:p w14:paraId="1E3B25DB">
                  <w:pPr>
                    <w:tabs>
                      <w:tab w:val="right" w:pos="8906"/>
                    </w:tabs>
                    <w:adjustRightInd w:val="0"/>
                    <w:snapToGrid w:val="0"/>
                    <w:jc w:val="center"/>
                    <w:rPr>
                      <w:color w:val="auto"/>
                      <w:szCs w:val="21"/>
                    </w:rPr>
                  </w:pPr>
                </w:p>
              </w:tc>
              <w:tc>
                <w:tcPr>
                  <w:tcW w:w="1001" w:type="dxa"/>
                  <w:vMerge w:val="continue"/>
                  <w:tcBorders>
                    <w:tl2br w:val="nil"/>
                    <w:tr2bl w:val="nil"/>
                  </w:tcBorders>
                  <w:vAlign w:val="center"/>
                </w:tcPr>
                <w:p w14:paraId="0D0CD756">
                  <w:pPr>
                    <w:tabs>
                      <w:tab w:val="right" w:pos="8906"/>
                    </w:tabs>
                    <w:adjustRightInd w:val="0"/>
                    <w:snapToGrid w:val="0"/>
                    <w:jc w:val="center"/>
                    <w:rPr>
                      <w:color w:val="auto"/>
                      <w:szCs w:val="21"/>
                    </w:rPr>
                  </w:pPr>
                </w:p>
              </w:tc>
            </w:tr>
            <w:tr w14:paraId="2570F7E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72D94155">
                  <w:pPr>
                    <w:adjustRightInd w:val="0"/>
                    <w:snapToGrid w:val="0"/>
                    <w:jc w:val="center"/>
                    <w:rPr>
                      <w:color w:val="auto"/>
                      <w:szCs w:val="21"/>
                    </w:rPr>
                  </w:pPr>
                </w:p>
              </w:tc>
              <w:tc>
                <w:tcPr>
                  <w:tcW w:w="2080" w:type="dxa"/>
                  <w:vMerge w:val="continue"/>
                  <w:tcBorders>
                    <w:tl2br w:val="nil"/>
                    <w:tr2bl w:val="nil"/>
                  </w:tcBorders>
                  <w:vAlign w:val="center"/>
                </w:tcPr>
                <w:p w14:paraId="6F5BAB6E">
                  <w:pPr>
                    <w:adjustRightInd w:val="0"/>
                    <w:snapToGrid w:val="0"/>
                    <w:jc w:val="center"/>
                    <w:rPr>
                      <w:color w:val="auto"/>
                      <w:szCs w:val="21"/>
                    </w:rPr>
                  </w:pPr>
                </w:p>
              </w:tc>
              <w:tc>
                <w:tcPr>
                  <w:tcW w:w="1554" w:type="dxa"/>
                  <w:vMerge w:val="continue"/>
                  <w:tcBorders>
                    <w:tl2br w:val="nil"/>
                    <w:tr2bl w:val="nil"/>
                  </w:tcBorders>
                  <w:vAlign w:val="center"/>
                </w:tcPr>
                <w:p w14:paraId="09F6A7FD">
                  <w:pPr>
                    <w:adjustRightInd w:val="0"/>
                    <w:snapToGrid w:val="0"/>
                    <w:jc w:val="center"/>
                    <w:rPr>
                      <w:color w:val="auto"/>
                      <w:szCs w:val="21"/>
                    </w:rPr>
                  </w:pPr>
                </w:p>
              </w:tc>
              <w:tc>
                <w:tcPr>
                  <w:tcW w:w="1072" w:type="dxa"/>
                  <w:tcBorders>
                    <w:tl2br w:val="nil"/>
                    <w:tr2bl w:val="nil"/>
                  </w:tcBorders>
                  <w:vAlign w:val="center"/>
                </w:tcPr>
                <w:p w14:paraId="71E72944">
                  <w:pPr>
                    <w:tabs>
                      <w:tab w:val="right" w:pos="8906"/>
                    </w:tabs>
                    <w:adjustRightInd w:val="0"/>
                    <w:snapToGrid w:val="0"/>
                    <w:jc w:val="center"/>
                    <w:rPr>
                      <w:color w:val="auto"/>
                      <w:szCs w:val="21"/>
                    </w:rPr>
                  </w:pPr>
                  <w:r>
                    <w:rPr>
                      <w:color w:val="auto"/>
                      <w:szCs w:val="21"/>
                    </w:rPr>
                    <w:t>186</w:t>
                  </w:r>
                </w:p>
              </w:tc>
              <w:tc>
                <w:tcPr>
                  <w:tcW w:w="2080" w:type="dxa"/>
                  <w:vMerge w:val="continue"/>
                  <w:tcBorders>
                    <w:tl2br w:val="nil"/>
                    <w:tr2bl w:val="nil"/>
                  </w:tcBorders>
                  <w:vAlign w:val="center"/>
                </w:tcPr>
                <w:p w14:paraId="74D38A57">
                  <w:pPr>
                    <w:tabs>
                      <w:tab w:val="right" w:pos="8906"/>
                    </w:tabs>
                    <w:adjustRightInd w:val="0"/>
                    <w:snapToGrid w:val="0"/>
                    <w:jc w:val="center"/>
                    <w:rPr>
                      <w:color w:val="auto"/>
                      <w:szCs w:val="21"/>
                    </w:rPr>
                  </w:pPr>
                </w:p>
              </w:tc>
              <w:tc>
                <w:tcPr>
                  <w:tcW w:w="1001" w:type="dxa"/>
                  <w:vMerge w:val="continue"/>
                  <w:tcBorders>
                    <w:tl2br w:val="nil"/>
                    <w:tr2bl w:val="nil"/>
                  </w:tcBorders>
                  <w:vAlign w:val="center"/>
                </w:tcPr>
                <w:p w14:paraId="20E1DD6A">
                  <w:pPr>
                    <w:tabs>
                      <w:tab w:val="right" w:pos="8906"/>
                    </w:tabs>
                    <w:adjustRightInd w:val="0"/>
                    <w:snapToGrid w:val="0"/>
                    <w:jc w:val="center"/>
                    <w:rPr>
                      <w:color w:val="auto"/>
                      <w:szCs w:val="21"/>
                    </w:rPr>
                  </w:pPr>
                </w:p>
              </w:tc>
            </w:tr>
            <w:tr w14:paraId="7A5ED99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2CFE957F">
                  <w:pPr>
                    <w:adjustRightInd w:val="0"/>
                    <w:snapToGrid w:val="0"/>
                    <w:jc w:val="center"/>
                    <w:rPr>
                      <w:color w:val="auto"/>
                      <w:szCs w:val="21"/>
                    </w:rPr>
                  </w:pPr>
                </w:p>
              </w:tc>
              <w:tc>
                <w:tcPr>
                  <w:tcW w:w="2080" w:type="dxa"/>
                  <w:vMerge w:val="continue"/>
                  <w:tcBorders>
                    <w:tl2br w:val="nil"/>
                    <w:tr2bl w:val="nil"/>
                  </w:tcBorders>
                  <w:vAlign w:val="center"/>
                </w:tcPr>
                <w:p w14:paraId="1AFBF5EB">
                  <w:pPr>
                    <w:adjustRightInd w:val="0"/>
                    <w:snapToGrid w:val="0"/>
                    <w:jc w:val="center"/>
                    <w:rPr>
                      <w:color w:val="auto"/>
                      <w:szCs w:val="21"/>
                    </w:rPr>
                  </w:pPr>
                </w:p>
              </w:tc>
              <w:tc>
                <w:tcPr>
                  <w:tcW w:w="1554" w:type="dxa"/>
                  <w:vMerge w:val="continue"/>
                  <w:tcBorders>
                    <w:tl2br w:val="nil"/>
                    <w:tr2bl w:val="nil"/>
                  </w:tcBorders>
                  <w:vAlign w:val="center"/>
                </w:tcPr>
                <w:p w14:paraId="0B1D3BD3">
                  <w:pPr>
                    <w:adjustRightInd w:val="0"/>
                    <w:snapToGrid w:val="0"/>
                    <w:jc w:val="center"/>
                    <w:rPr>
                      <w:color w:val="auto"/>
                      <w:szCs w:val="21"/>
                    </w:rPr>
                  </w:pPr>
                </w:p>
              </w:tc>
              <w:tc>
                <w:tcPr>
                  <w:tcW w:w="1072" w:type="dxa"/>
                  <w:tcBorders>
                    <w:tl2br w:val="nil"/>
                    <w:tr2bl w:val="nil"/>
                  </w:tcBorders>
                  <w:vAlign w:val="center"/>
                </w:tcPr>
                <w:p w14:paraId="494E75C3">
                  <w:pPr>
                    <w:tabs>
                      <w:tab w:val="right" w:pos="8906"/>
                    </w:tabs>
                    <w:adjustRightInd w:val="0"/>
                    <w:snapToGrid w:val="0"/>
                    <w:jc w:val="center"/>
                    <w:rPr>
                      <w:color w:val="auto"/>
                      <w:szCs w:val="21"/>
                    </w:rPr>
                  </w:pPr>
                  <w:r>
                    <w:rPr>
                      <w:color w:val="auto"/>
                      <w:szCs w:val="21"/>
                    </w:rPr>
                    <w:t>174</w:t>
                  </w:r>
                </w:p>
              </w:tc>
              <w:tc>
                <w:tcPr>
                  <w:tcW w:w="2080" w:type="dxa"/>
                  <w:vMerge w:val="continue"/>
                  <w:tcBorders>
                    <w:tl2br w:val="nil"/>
                    <w:tr2bl w:val="nil"/>
                  </w:tcBorders>
                  <w:vAlign w:val="center"/>
                </w:tcPr>
                <w:p w14:paraId="5542E7C5">
                  <w:pPr>
                    <w:tabs>
                      <w:tab w:val="right" w:pos="8906"/>
                    </w:tabs>
                    <w:adjustRightInd w:val="0"/>
                    <w:snapToGrid w:val="0"/>
                    <w:jc w:val="center"/>
                    <w:rPr>
                      <w:color w:val="auto"/>
                      <w:szCs w:val="21"/>
                    </w:rPr>
                  </w:pPr>
                </w:p>
              </w:tc>
              <w:tc>
                <w:tcPr>
                  <w:tcW w:w="1001" w:type="dxa"/>
                  <w:vMerge w:val="continue"/>
                  <w:tcBorders>
                    <w:tl2br w:val="nil"/>
                    <w:tr2bl w:val="nil"/>
                  </w:tcBorders>
                  <w:vAlign w:val="center"/>
                </w:tcPr>
                <w:p w14:paraId="5D84A591">
                  <w:pPr>
                    <w:tabs>
                      <w:tab w:val="right" w:pos="8906"/>
                    </w:tabs>
                    <w:adjustRightInd w:val="0"/>
                    <w:snapToGrid w:val="0"/>
                    <w:jc w:val="center"/>
                    <w:rPr>
                      <w:color w:val="auto"/>
                      <w:szCs w:val="21"/>
                    </w:rPr>
                  </w:pPr>
                </w:p>
              </w:tc>
            </w:tr>
            <w:tr w14:paraId="595A3BC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249FE4EF">
                  <w:pPr>
                    <w:adjustRightInd w:val="0"/>
                    <w:snapToGrid w:val="0"/>
                    <w:jc w:val="center"/>
                    <w:rPr>
                      <w:color w:val="auto"/>
                      <w:szCs w:val="21"/>
                    </w:rPr>
                  </w:pPr>
                </w:p>
              </w:tc>
              <w:tc>
                <w:tcPr>
                  <w:tcW w:w="2080" w:type="dxa"/>
                  <w:vMerge w:val="continue"/>
                  <w:tcBorders>
                    <w:tl2br w:val="nil"/>
                    <w:tr2bl w:val="nil"/>
                  </w:tcBorders>
                  <w:vAlign w:val="center"/>
                </w:tcPr>
                <w:p w14:paraId="628C8047">
                  <w:pPr>
                    <w:adjustRightInd w:val="0"/>
                    <w:snapToGrid w:val="0"/>
                    <w:jc w:val="center"/>
                    <w:rPr>
                      <w:color w:val="auto"/>
                      <w:szCs w:val="21"/>
                    </w:rPr>
                  </w:pPr>
                </w:p>
              </w:tc>
              <w:tc>
                <w:tcPr>
                  <w:tcW w:w="1554" w:type="dxa"/>
                  <w:vMerge w:val="continue"/>
                  <w:tcBorders>
                    <w:tl2br w:val="nil"/>
                    <w:tr2bl w:val="nil"/>
                  </w:tcBorders>
                  <w:vAlign w:val="center"/>
                </w:tcPr>
                <w:p w14:paraId="2C9CE613">
                  <w:pPr>
                    <w:adjustRightInd w:val="0"/>
                    <w:snapToGrid w:val="0"/>
                    <w:jc w:val="center"/>
                    <w:rPr>
                      <w:color w:val="auto"/>
                      <w:szCs w:val="21"/>
                    </w:rPr>
                  </w:pPr>
                </w:p>
              </w:tc>
              <w:tc>
                <w:tcPr>
                  <w:tcW w:w="1072" w:type="dxa"/>
                  <w:tcBorders>
                    <w:tl2br w:val="nil"/>
                    <w:tr2bl w:val="nil"/>
                  </w:tcBorders>
                  <w:vAlign w:val="center"/>
                </w:tcPr>
                <w:p w14:paraId="19C4EC72">
                  <w:pPr>
                    <w:tabs>
                      <w:tab w:val="right" w:pos="8906"/>
                    </w:tabs>
                    <w:adjustRightInd w:val="0"/>
                    <w:snapToGrid w:val="0"/>
                    <w:jc w:val="center"/>
                    <w:rPr>
                      <w:color w:val="auto"/>
                      <w:szCs w:val="21"/>
                    </w:rPr>
                  </w:pPr>
                  <w:r>
                    <w:rPr>
                      <w:color w:val="auto"/>
                      <w:szCs w:val="21"/>
                    </w:rPr>
                    <w:t>166</w:t>
                  </w:r>
                </w:p>
              </w:tc>
              <w:tc>
                <w:tcPr>
                  <w:tcW w:w="2080" w:type="dxa"/>
                  <w:vMerge w:val="continue"/>
                  <w:tcBorders>
                    <w:tl2br w:val="nil"/>
                    <w:tr2bl w:val="nil"/>
                  </w:tcBorders>
                  <w:vAlign w:val="center"/>
                </w:tcPr>
                <w:p w14:paraId="0052E147">
                  <w:pPr>
                    <w:tabs>
                      <w:tab w:val="right" w:pos="8906"/>
                    </w:tabs>
                    <w:adjustRightInd w:val="0"/>
                    <w:snapToGrid w:val="0"/>
                    <w:jc w:val="center"/>
                    <w:rPr>
                      <w:color w:val="auto"/>
                      <w:szCs w:val="21"/>
                    </w:rPr>
                  </w:pPr>
                </w:p>
              </w:tc>
              <w:tc>
                <w:tcPr>
                  <w:tcW w:w="1001" w:type="dxa"/>
                  <w:vMerge w:val="continue"/>
                  <w:tcBorders>
                    <w:tl2br w:val="nil"/>
                    <w:tr2bl w:val="nil"/>
                  </w:tcBorders>
                  <w:vAlign w:val="center"/>
                </w:tcPr>
                <w:p w14:paraId="3A16153A">
                  <w:pPr>
                    <w:tabs>
                      <w:tab w:val="right" w:pos="8906"/>
                    </w:tabs>
                    <w:adjustRightInd w:val="0"/>
                    <w:snapToGrid w:val="0"/>
                    <w:jc w:val="center"/>
                    <w:rPr>
                      <w:color w:val="auto"/>
                      <w:szCs w:val="21"/>
                    </w:rPr>
                  </w:pPr>
                </w:p>
              </w:tc>
            </w:tr>
            <w:tr w14:paraId="6AD0811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6BC62080">
                  <w:pPr>
                    <w:adjustRightInd w:val="0"/>
                    <w:snapToGrid w:val="0"/>
                    <w:jc w:val="center"/>
                    <w:rPr>
                      <w:color w:val="auto"/>
                      <w:szCs w:val="21"/>
                    </w:rPr>
                  </w:pPr>
                </w:p>
              </w:tc>
              <w:tc>
                <w:tcPr>
                  <w:tcW w:w="2080" w:type="dxa"/>
                  <w:vMerge w:val="continue"/>
                  <w:tcBorders>
                    <w:tl2br w:val="nil"/>
                    <w:tr2bl w:val="nil"/>
                  </w:tcBorders>
                  <w:vAlign w:val="center"/>
                </w:tcPr>
                <w:p w14:paraId="60456E6E">
                  <w:pPr>
                    <w:adjustRightInd w:val="0"/>
                    <w:snapToGrid w:val="0"/>
                    <w:jc w:val="center"/>
                    <w:rPr>
                      <w:color w:val="auto"/>
                      <w:szCs w:val="21"/>
                    </w:rPr>
                  </w:pPr>
                </w:p>
              </w:tc>
              <w:tc>
                <w:tcPr>
                  <w:tcW w:w="1554" w:type="dxa"/>
                  <w:vMerge w:val="continue"/>
                  <w:tcBorders>
                    <w:tl2br w:val="nil"/>
                    <w:tr2bl w:val="nil"/>
                  </w:tcBorders>
                  <w:vAlign w:val="center"/>
                </w:tcPr>
                <w:p w14:paraId="201861D0">
                  <w:pPr>
                    <w:adjustRightInd w:val="0"/>
                    <w:snapToGrid w:val="0"/>
                    <w:jc w:val="center"/>
                    <w:rPr>
                      <w:color w:val="auto"/>
                      <w:szCs w:val="21"/>
                    </w:rPr>
                  </w:pPr>
                </w:p>
              </w:tc>
              <w:tc>
                <w:tcPr>
                  <w:tcW w:w="1072" w:type="dxa"/>
                  <w:tcBorders>
                    <w:tl2br w:val="nil"/>
                    <w:tr2bl w:val="nil"/>
                  </w:tcBorders>
                  <w:vAlign w:val="center"/>
                </w:tcPr>
                <w:p w14:paraId="7A65A1AD">
                  <w:pPr>
                    <w:tabs>
                      <w:tab w:val="right" w:pos="8906"/>
                    </w:tabs>
                    <w:adjustRightInd w:val="0"/>
                    <w:snapToGrid w:val="0"/>
                    <w:jc w:val="center"/>
                    <w:rPr>
                      <w:color w:val="auto"/>
                      <w:szCs w:val="21"/>
                    </w:rPr>
                  </w:pPr>
                  <w:r>
                    <w:rPr>
                      <w:color w:val="auto"/>
                      <w:szCs w:val="21"/>
                    </w:rPr>
                    <w:t>180</w:t>
                  </w:r>
                </w:p>
              </w:tc>
              <w:tc>
                <w:tcPr>
                  <w:tcW w:w="2080" w:type="dxa"/>
                  <w:vMerge w:val="continue"/>
                  <w:tcBorders>
                    <w:tl2br w:val="nil"/>
                    <w:tr2bl w:val="nil"/>
                  </w:tcBorders>
                  <w:vAlign w:val="center"/>
                </w:tcPr>
                <w:p w14:paraId="34D75274">
                  <w:pPr>
                    <w:tabs>
                      <w:tab w:val="right" w:pos="8906"/>
                    </w:tabs>
                    <w:adjustRightInd w:val="0"/>
                    <w:snapToGrid w:val="0"/>
                    <w:jc w:val="center"/>
                    <w:rPr>
                      <w:color w:val="auto"/>
                      <w:szCs w:val="21"/>
                    </w:rPr>
                  </w:pPr>
                </w:p>
              </w:tc>
              <w:tc>
                <w:tcPr>
                  <w:tcW w:w="1001" w:type="dxa"/>
                  <w:vMerge w:val="continue"/>
                  <w:tcBorders>
                    <w:tl2br w:val="nil"/>
                    <w:tr2bl w:val="nil"/>
                  </w:tcBorders>
                  <w:vAlign w:val="center"/>
                </w:tcPr>
                <w:p w14:paraId="477ED86F">
                  <w:pPr>
                    <w:tabs>
                      <w:tab w:val="right" w:pos="8906"/>
                    </w:tabs>
                    <w:adjustRightInd w:val="0"/>
                    <w:snapToGrid w:val="0"/>
                    <w:jc w:val="center"/>
                    <w:rPr>
                      <w:color w:val="auto"/>
                      <w:szCs w:val="21"/>
                    </w:rPr>
                  </w:pPr>
                </w:p>
              </w:tc>
            </w:tr>
            <w:tr w14:paraId="6B7D312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12C50E42">
                  <w:pPr>
                    <w:adjustRightInd w:val="0"/>
                    <w:snapToGrid w:val="0"/>
                    <w:jc w:val="center"/>
                    <w:rPr>
                      <w:color w:val="auto"/>
                      <w:szCs w:val="21"/>
                    </w:rPr>
                  </w:pPr>
                </w:p>
              </w:tc>
              <w:tc>
                <w:tcPr>
                  <w:tcW w:w="2080" w:type="dxa"/>
                  <w:vMerge w:val="continue"/>
                  <w:tcBorders>
                    <w:tl2br w:val="nil"/>
                    <w:tr2bl w:val="nil"/>
                  </w:tcBorders>
                  <w:vAlign w:val="center"/>
                </w:tcPr>
                <w:p w14:paraId="5EA177F1">
                  <w:pPr>
                    <w:adjustRightInd w:val="0"/>
                    <w:snapToGrid w:val="0"/>
                    <w:jc w:val="center"/>
                    <w:rPr>
                      <w:color w:val="auto"/>
                      <w:szCs w:val="21"/>
                    </w:rPr>
                  </w:pPr>
                </w:p>
              </w:tc>
              <w:tc>
                <w:tcPr>
                  <w:tcW w:w="1554" w:type="dxa"/>
                  <w:vMerge w:val="continue"/>
                  <w:tcBorders>
                    <w:tl2br w:val="nil"/>
                    <w:tr2bl w:val="nil"/>
                  </w:tcBorders>
                  <w:vAlign w:val="center"/>
                </w:tcPr>
                <w:p w14:paraId="74DEC816">
                  <w:pPr>
                    <w:adjustRightInd w:val="0"/>
                    <w:snapToGrid w:val="0"/>
                    <w:jc w:val="center"/>
                    <w:rPr>
                      <w:color w:val="auto"/>
                      <w:szCs w:val="21"/>
                    </w:rPr>
                  </w:pPr>
                </w:p>
              </w:tc>
              <w:tc>
                <w:tcPr>
                  <w:tcW w:w="1072" w:type="dxa"/>
                  <w:tcBorders>
                    <w:tl2br w:val="nil"/>
                    <w:tr2bl w:val="nil"/>
                  </w:tcBorders>
                  <w:vAlign w:val="center"/>
                </w:tcPr>
                <w:p w14:paraId="47343BC0">
                  <w:pPr>
                    <w:tabs>
                      <w:tab w:val="right" w:pos="8906"/>
                    </w:tabs>
                    <w:adjustRightInd w:val="0"/>
                    <w:snapToGrid w:val="0"/>
                    <w:jc w:val="center"/>
                    <w:rPr>
                      <w:color w:val="auto"/>
                      <w:szCs w:val="21"/>
                    </w:rPr>
                  </w:pPr>
                  <w:r>
                    <w:rPr>
                      <w:color w:val="auto"/>
                      <w:szCs w:val="21"/>
                    </w:rPr>
                    <w:t>188</w:t>
                  </w:r>
                </w:p>
              </w:tc>
              <w:tc>
                <w:tcPr>
                  <w:tcW w:w="2080" w:type="dxa"/>
                  <w:vMerge w:val="continue"/>
                  <w:tcBorders>
                    <w:tl2br w:val="nil"/>
                    <w:tr2bl w:val="nil"/>
                  </w:tcBorders>
                  <w:vAlign w:val="center"/>
                </w:tcPr>
                <w:p w14:paraId="48D8DA9D">
                  <w:pPr>
                    <w:tabs>
                      <w:tab w:val="right" w:pos="8906"/>
                    </w:tabs>
                    <w:adjustRightInd w:val="0"/>
                    <w:snapToGrid w:val="0"/>
                    <w:jc w:val="center"/>
                    <w:rPr>
                      <w:color w:val="auto"/>
                      <w:szCs w:val="21"/>
                    </w:rPr>
                  </w:pPr>
                </w:p>
              </w:tc>
              <w:tc>
                <w:tcPr>
                  <w:tcW w:w="1001" w:type="dxa"/>
                  <w:vMerge w:val="continue"/>
                  <w:tcBorders>
                    <w:tl2br w:val="nil"/>
                    <w:tr2bl w:val="nil"/>
                  </w:tcBorders>
                  <w:vAlign w:val="center"/>
                </w:tcPr>
                <w:p w14:paraId="0DAEDF17">
                  <w:pPr>
                    <w:tabs>
                      <w:tab w:val="right" w:pos="8906"/>
                    </w:tabs>
                    <w:adjustRightInd w:val="0"/>
                    <w:snapToGrid w:val="0"/>
                    <w:jc w:val="center"/>
                    <w:rPr>
                      <w:color w:val="auto"/>
                      <w:szCs w:val="21"/>
                    </w:rPr>
                  </w:pPr>
                </w:p>
              </w:tc>
            </w:tr>
            <w:tr w14:paraId="0FC85EC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070C6149">
                  <w:pPr>
                    <w:adjustRightInd w:val="0"/>
                    <w:snapToGrid w:val="0"/>
                    <w:jc w:val="center"/>
                    <w:rPr>
                      <w:color w:val="auto"/>
                      <w:szCs w:val="21"/>
                    </w:rPr>
                  </w:pPr>
                </w:p>
              </w:tc>
              <w:tc>
                <w:tcPr>
                  <w:tcW w:w="2080" w:type="dxa"/>
                  <w:vMerge w:val="restart"/>
                  <w:tcBorders>
                    <w:tl2br w:val="nil"/>
                    <w:tr2bl w:val="nil"/>
                  </w:tcBorders>
                  <w:vAlign w:val="center"/>
                </w:tcPr>
                <w:p w14:paraId="0D3C67E0">
                  <w:pPr>
                    <w:adjustRightInd w:val="0"/>
                    <w:snapToGrid w:val="0"/>
                    <w:jc w:val="center"/>
                    <w:rPr>
                      <w:color w:val="auto"/>
                      <w:szCs w:val="21"/>
                    </w:rPr>
                  </w:pPr>
                  <w:r>
                    <w:rPr>
                      <w:color w:val="auto"/>
                      <w:szCs w:val="21"/>
                    </w:rPr>
                    <w:t>2021-</w:t>
                  </w:r>
                  <w:r>
                    <w:rPr>
                      <w:rFonts w:hint="eastAsia"/>
                      <w:color w:val="auto"/>
                      <w:szCs w:val="21"/>
                    </w:rPr>
                    <w:t>6</w:t>
                  </w:r>
                  <w:r>
                    <w:rPr>
                      <w:color w:val="auto"/>
                      <w:szCs w:val="21"/>
                    </w:rPr>
                    <w:t>-</w:t>
                  </w:r>
                  <w:r>
                    <w:rPr>
                      <w:rFonts w:hint="eastAsia"/>
                      <w:color w:val="auto"/>
                      <w:szCs w:val="21"/>
                    </w:rPr>
                    <w:t>25~2021-6-26</w:t>
                  </w:r>
                </w:p>
              </w:tc>
              <w:tc>
                <w:tcPr>
                  <w:tcW w:w="1554" w:type="dxa"/>
                  <w:tcBorders>
                    <w:tl2br w:val="nil"/>
                    <w:tr2bl w:val="nil"/>
                  </w:tcBorders>
                  <w:vAlign w:val="center"/>
                </w:tcPr>
                <w:p w14:paraId="12ED1172">
                  <w:pPr>
                    <w:adjustRightInd w:val="0"/>
                    <w:snapToGrid w:val="0"/>
                    <w:jc w:val="center"/>
                    <w:rPr>
                      <w:color w:val="auto"/>
                      <w:szCs w:val="21"/>
                    </w:rPr>
                  </w:pPr>
                  <w:r>
                    <w:rPr>
                      <w:rFonts w:hint="eastAsia"/>
                      <w:color w:val="auto"/>
                      <w:szCs w:val="21"/>
                    </w:rPr>
                    <w:t>72</w:t>
                  </w:r>
                </w:p>
              </w:tc>
              <w:tc>
                <w:tcPr>
                  <w:tcW w:w="1072" w:type="dxa"/>
                  <w:tcBorders>
                    <w:tl2br w:val="nil"/>
                    <w:tr2bl w:val="nil"/>
                  </w:tcBorders>
                  <w:vAlign w:val="center"/>
                </w:tcPr>
                <w:p w14:paraId="106B5B9C">
                  <w:pPr>
                    <w:tabs>
                      <w:tab w:val="right" w:pos="8906"/>
                    </w:tabs>
                    <w:adjustRightInd w:val="0"/>
                    <w:snapToGrid w:val="0"/>
                    <w:jc w:val="center"/>
                    <w:rPr>
                      <w:color w:val="auto"/>
                      <w:szCs w:val="21"/>
                    </w:rPr>
                  </w:pPr>
                  <w:r>
                    <w:rPr>
                      <w:color w:val="auto"/>
                      <w:szCs w:val="21"/>
                    </w:rPr>
                    <w:t>158</w:t>
                  </w:r>
                </w:p>
              </w:tc>
              <w:tc>
                <w:tcPr>
                  <w:tcW w:w="2080" w:type="dxa"/>
                  <w:vMerge w:val="restart"/>
                  <w:tcBorders>
                    <w:tl2br w:val="nil"/>
                    <w:tr2bl w:val="nil"/>
                  </w:tcBorders>
                  <w:vAlign w:val="center"/>
                </w:tcPr>
                <w:p w14:paraId="61D7B6B2">
                  <w:pPr>
                    <w:autoSpaceDN w:val="0"/>
                    <w:adjustRightInd w:val="0"/>
                    <w:snapToGrid w:val="0"/>
                    <w:jc w:val="center"/>
                    <w:textAlignment w:val="center"/>
                    <w:rPr>
                      <w:color w:val="auto"/>
                      <w:szCs w:val="21"/>
                    </w:rPr>
                  </w:pPr>
                  <w:r>
                    <w:rPr>
                      <w:rFonts w:hint="eastAsia"/>
                      <w:color w:val="auto"/>
                      <w:szCs w:val="21"/>
                    </w:rPr>
                    <w:t>2</w:t>
                  </w:r>
                  <w:r>
                    <w:rPr>
                      <w:color w:val="auto"/>
                      <w:szCs w:val="21"/>
                    </w:rPr>
                    <w:t>021-</w:t>
                  </w:r>
                  <w:r>
                    <w:rPr>
                      <w:rFonts w:hint="eastAsia"/>
                      <w:color w:val="auto"/>
                      <w:szCs w:val="21"/>
                    </w:rPr>
                    <w:t>9</w:t>
                  </w:r>
                  <w:r>
                    <w:rPr>
                      <w:color w:val="auto"/>
                      <w:szCs w:val="21"/>
                    </w:rPr>
                    <w:t>-</w:t>
                  </w:r>
                  <w:r>
                    <w:rPr>
                      <w:rFonts w:hint="eastAsia"/>
                      <w:color w:val="auto"/>
                      <w:szCs w:val="21"/>
                    </w:rPr>
                    <w:t>23~2021-9-24</w:t>
                  </w:r>
                </w:p>
              </w:tc>
              <w:tc>
                <w:tcPr>
                  <w:tcW w:w="1001" w:type="dxa"/>
                  <w:tcBorders>
                    <w:tl2br w:val="nil"/>
                    <w:tr2bl w:val="nil"/>
                  </w:tcBorders>
                  <w:vAlign w:val="center"/>
                </w:tcPr>
                <w:p w14:paraId="5B5DAE99">
                  <w:pPr>
                    <w:tabs>
                      <w:tab w:val="right" w:pos="8906"/>
                    </w:tabs>
                    <w:adjustRightInd w:val="0"/>
                    <w:snapToGrid w:val="0"/>
                    <w:jc w:val="center"/>
                    <w:rPr>
                      <w:color w:val="auto"/>
                      <w:szCs w:val="21"/>
                    </w:rPr>
                  </w:pPr>
                  <w:r>
                    <w:rPr>
                      <w:rFonts w:hint="eastAsia"/>
                      <w:color w:val="auto"/>
                      <w:szCs w:val="21"/>
                    </w:rPr>
                    <w:t>26</w:t>
                  </w:r>
                </w:p>
              </w:tc>
            </w:tr>
            <w:tr w14:paraId="0142288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425E8A0E">
                  <w:pPr>
                    <w:adjustRightInd w:val="0"/>
                    <w:snapToGrid w:val="0"/>
                    <w:jc w:val="center"/>
                    <w:rPr>
                      <w:color w:val="auto"/>
                      <w:szCs w:val="21"/>
                    </w:rPr>
                  </w:pPr>
                </w:p>
              </w:tc>
              <w:tc>
                <w:tcPr>
                  <w:tcW w:w="2080" w:type="dxa"/>
                  <w:vMerge w:val="continue"/>
                  <w:tcBorders>
                    <w:tl2br w:val="nil"/>
                    <w:tr2bl w:val="nil"/>
                  </w:tcBorders>
                  <w:vAlign w:val="center"/>
                </w:tcPr>
                <w:p w14:paraId="0FA8A8A4">
                  <w:pPr>
                    <w:adjustRightInd w:val="0"/>
                    <w:snapToGrid w:val="0"/>
                    <w:jc w:val="center"/>
                    <w:rPr>
                      <w:color w:val="auto"/>
                      <w:szCs w:val="21"/>
                    </w:rPr>
                  </w:pPr>
                </w:p>
              </w:tc>
              <w:tc>
                <w:tcPr>
                  <w:tcW w:w="1554" w:type="dxa"/>
                  <w:vMerge w:val="restart"/>
                  <w:tcBorders>
                    <w:tl2br w:val="nil"/>
                    <w:tr2bl w:val="nil"/>
                  </w:tcBorders>
                  <w:vAlign w:val="center"/>
                </w:tcPr>
                <w:p w14:paraId="1E53D494">
                  <w:pPr>
                    <w:adjustRightInd w:val="0"/>
                    <w:snapToGrid w:val="0"/>
                    <w:jc w:val="center"/>
                    <w:rPr>
                      <w:color w:val="auto"/>
                      <w:szCs w:val="21"/>
                    </w:rPr>
                  </w:pPr>
                  <w:r>
                    <w:rPr>
                      <w:color w:val="auto"/>
                      <w:szCs w:val="21"/>
                    </w:rPr>
                    <w:t>/</w:t>
                  </w:r>
                </w:p>
              </w:tc>
              <w:tc>
                <w:tcPr>
                  <w:tcW w:w="1072" w:type="dxa"/>
                  <w:tcBorders>
                    <w:tl2br w:val="nil"/>
                    <w:tr2bl w:val="nil"/>
                  </w:tcBorders>
                  <w:vAlign w:val="center"/>
                </w:tcPr>
                <w:p w14:paraId="64998A91">
                  <w:pPr>
                    <w:tabs>
                      <w:tab w:val="right" w:pos="8906"/>
                    </w:tabs>
                    <w:adjustRightInd w:val="0"/>
                    <w:snapToGrid w:val="0"/>
                    <w:jc w:val="center"/>
                    <w:rPr>
                      <w:color w:val="auto"/>
                      <w:szCs w:val="21"/>
                    </w:rPr>
                  </w:pPr>
                  <w:r>
                    <w:rPr>
                      <w:color w:val="auto"/>
                      <w:szCs w:val="21"/>
                    </w:rPr>
                    <w:t>174</w:t>
                  </w:r>
                </w:p>
              </w:tc>
              <w:tc>
                <w:tcPr>
                  <w:tcW w:w="2080" w:type="dxa"/>
                  <w:vMerge w:val="continue"/>
                  <w:tcBorders>
                    <w:tl2br w:val="nil"/>
                    <w:tr2bl w:val="nil"/>
                  </w:tcBorders>
                  <w:vAlign w:val="center"/>
                </w:tcPr>
                <w:p w14:paraId="7755D010">
                  <w:pPr>
                    <w:tabs>
                      <w:tab w:val="right" w:pos="8906"/>
                    </w:tabs>
                    <w:adjustRightInd w:val="0"/>
                    <w:snapToGrid w:val="0"/>
                    <w:jc w:val="center"/>
                    <w:rPr>
                      <w:color w:val="auto"/>
                      <w:szCs w:val="21"/>
                    </w:rPr>
                  </w:pPr>
                </w:p>
              </w:tc>
              <w:tc>
                <w:tcPr>
                  <w:tcW w:w="1001" w:type="dxa"/>
                  <w:vMerge w:val="restart"/>
                  <w:tcBorders>
                    <w:tl2br w:val="nil"/>
                    <w:tr2bl w:val="nil"/>
                  </w:tcBorders>
                  <w:vAlign w:val="center"/>
                </w:tcPr>
                <w:p w14:paraId="7C6B3BC3">
                  <w:pPr>
                    <w:tabs>
                      <w:tab w:val="right" w:pos="8906"/>
                    </w:tabs>
                    <w:adjustRightInd w:val="0"/>
                    <w:snapToGrid w:val="0"/>
                    <w:jc w:val="center"/>
                    <w:rPr>
                      <w:color w:val="auto"/>
                      <w:szCs w:val="21"/>
                    </w:rPr>
                  </w:pPr>
                  <w:r>
                    <w:rPr>
                      <w:color w:val="auto"/>
                      <w:szCs w:val="21"/>
                    </w:rPr>
                    <w:t>/</w:t>
                  </w:r>
                </w:p>
              </w:tc>
            </w:tr>
            <w:tr w14:paraId="03FE61F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12624652">
                  <w:pPr>
                    <w:adjustRightInd w:val="0"/>
                    <w:snapToGrid w:val="0"/>
                    <w:jc w:val="center"/>
                    <w:rPr>
                      <w:color w:val="auto"/>
                      <w:szCs w:val="21"/>
                    </w:rPr>
                  </w:pPr>
                </w:p>
              </w:tc>
              <w:tc>
                <w:tcPr>
                  <w:tcW w:w="2080" w:type="dxa"/>
                  <w:vMerge w:val="continue"/>
                  <w:tcBorders>
                    <w:tl2br w:val="nil"/>
                    <w:tr2bl w:val="nil"/>
                  </w:tcBorders>
                  <w:vAlign w:val="center"/>
                </w:tcPr>
                <w:p w14:paraId="5EF046B5">
                  <w:pPr>
                    <w:adjustRightInd w:val="0"/>
                    <w:snapToGrid w:val="0"/>
                    <w:jc w:val="center"/>
                    <w:rPr>
                      <w:color w:val="auto"/>
                      <w:szCs w:val="21"/>
                    </w:rPr>
                  </w:pPr>
                </w:p>
              </w:tc>
              <w:tc>
                <w:tcPr>
                  <w:tcW w:w="1554" w:type="dxa"/>
                  <w:vMerge w:val="continue"/>
                  <w:tcBorders>
                    <w:tl2br w:val="nil"/>
                    <w:tr2bl w:val="nil"/>
                  </w:tcBorders>
                  <w:vAlign w:val="center"/>
                </w:tcPr>
                <w:p w14:paraId="798D6261">
                  <w:pPr>
                    <w:adjustRightInd w:val="0"/>
                    <w:snapToGrid w:val="0"/>
                    <w:jc w:val="center"/>
                    <w:rPr>
                      <w:color w:val="auto"/>
                      <w:szCs w:val="21"/>
                    </w:rPr>
                  </w:pPr>
                </w:p>
              </w:tc>
              <w:tc>
                <w:tcPr>
                  <w:tcW w:w="1072" w:type="dxa"/>
                  <w:tcBorders>
                    <w:tl2br w:val="nil"/>
                    <w:tr2bl w:val="nil"/>
                  </w:tcBorders>
                  <w:vAlign w:val="center"/>
                </w:tcPr>
                <w:p w14:paraId="749B266C">
                  <w:pPr>
                    <w:tabs>
                      <w:tab w:val="right" w:pos="8906"/>
                    </w:tabs>
                    <w:adjustRightInd w:val="0"/>
                    <w:snapToGrid w:val="0"/>
                    <w:jc w:val="center"/>
                    <w:rPr>
                      <w:color w:val="auto"/>
                      <w:szCs w:val="21"/>
                    </w:rPr>
                  </w:pPr>
                  <w:r>
                    <w:rPr>
                      <w:color w:val="auto"/>
                      <w:szCs w:val="21"/>
                    </w:rPr>
                    <w:t>156</w:t>
                  </w:r>
                </w:p>
              </w:tc>
              <w:tc>
                <w:tcPr>
                  <w:tcW w:w="2080" w:type="dxa"/>
                  <w:vMerge w:val="continue"/>
                  <w:tcBorders>
                    <w:tl2br w:val="nil"/>
                    <w:tr2bl w:val="nil"/>
                  </w:tcBorders>
                  <w:vAlign w:val="center"/>
                </w:tcPr>
                <w:p w14:paraId="156F068D">
                  <w:pPr>
                    <w:tabs>
                      <w:tab w:val="right" w:pos="8906"/>
                    </w:tabs>
                    <w:adjustRightInd w:val="0"/>
                    <w:snapToGrid w:val="0"/>
                    <w:jc w:val="center"/>
                    <w:rPr>
                      <w:color w:val="auto"/>
                      <w:szCs w:val="21"/>
                    </w:rPr>
                  </w:pPr>
                </w:p>
              </w:tc>
              <w:tc>
                <w:tcPr>
                  <w:tcW w:w="1001" w:type="dxa"/>
                  <w:vMerge w:val="continue"/>
                  <w:tcBorders>
                    <w:tl2br w:val="nil"/>
                    <w:tr2bl w:val="nil"/>
                  </w:tcBorders>
                  <w:vAlign w:val="center"/>
                </w:tcPr>
                <w:p w14:paraId="54106884">
                  <w:pPr>
                    <w:tabs>
                      <w:tab w:val="right" w:pos="8906"/>
                    </w:tabs>
                    <w:adjustRightInd w:val="0"/>
                    <w:snapToGrid w:val="0"/>
                    <w:jc w:val="center"/>
                    <w:rPr>
                      <w:color w:val="auto"/>
                      <w:szCs w:val="21"/>
                    </w:rPr>
                  </w:pPr>
                </w:p>
              </w:tc>
            </w:tr>
            <w:tr w14:paraId="467282C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1CCE4ADF">
                  <w:pPr>
                    <w:adjustRightInd w:val="0"/>
                    <w:snapToGrid w:val="0"/>
                    <w:jc w:val="center"/>
                    <w:rPr>
                      <w:color w:val="auto"/>
                      <w:szCs w:val="21"/>
                    </w:rPr>
                  </w:pPr>
                </w:p>
              </w:tc>
              <w:tc>
                <w:tcPr>
                  <w:tcW w:w="2080" w:type="dxa"/>
                  <w:vMerge w:val="continue"/>
                  <w:tcBorders>
                    <w:tl2br w:val="nil"/>
                    <w:tr2bl w:val="nil"/>
                  </w:tcBorders>
                  <w:vAlign w:val="center"/>
                </w:tcPr>
                <w:p w14:paraId="35338807">
                  <w:pPr>
                    <w:adjustRightInd w:val="0"/>
                    <w:snapToGrid w:val="0"/>
                    <w:jc w:val="center"/>
                    <w:rPr>
                      <w:color w:val="auto"/>
                      <w:szCs w:val="21"/>
                    </w:rPr>
                  </w:pPr>
                </w:p>
              </w:tc>
              <w:tc>
                <w:tcPr>
                  <w:tcW w:w="1554" w:type="dxa"/>
                  <w:vMerge w:val="continue"/>
                  <w:tcBorders>
                    <w:tl2br w:val="nil"/>
                    <w:tr2bl w:val="nil"/>
                  </w:tcBorders>
                  <w:vAlign w:val="center"/>
                </w:tcPr>
                <w:p w14:paraId="4A9C3793">
                  <w:pPr>
                    <w:adjustRightInd w:val="0"/>
                    <w:snapToGrid w:val="0"/>
                    <w:jc w:val="center"/>
                    <w:rPr>
                      <w:color w:val="auto"/>
                      <w:szCs w:val="21"/>
                    </w:rPr>
                  </w:pPr>
                </w:p>
              </w:tc>
              <w:tc>
                <w:tcPr>
                  <w:tcW w:w="1072" w:type="dxa"/>
                  <w:tcBorders>
                    <w:tl2br w:val="nil"/>
                    <w:tr2bl w:val="nil"/>
                  </w:tcBorders>
                  <w:vAlign w:val="center"/>
                </w:tcPr>
                <w:p w14:paraId="34AAE6E8">
                  <w:pPr>
                    <w:tabs>
                      <w:tab w:val="right" w:pos="8906"/>
                    </w:tabs>
                    <w:adjustRightInd w:val="0"/>
                    <w:snapToGrid w:val="0"/>
                    <w:jc w:val="center"/>
                    <w:rPr>
                      <w:color w:val="auto"/>
                      <w:szCs w:val="21"/>
                    </w:rPr>
                  </w:pPr>
                  <w:r>
                    <w:rPr>
                      <w:color w:val="auto"/>
                      <w:szCs w:val="21"/>
                    </w:rPr>
                    <w:t>156</w:t>
                  </w:r>
                </w:p>
              </w:tc>
              <w:tc>
                <w:tcPr>
                  <w:tcW w:w="2080" w:type="dxa"/>
                  <w:vMerge w:val="continue"/>
                  <w:tcBorders>
                    <w:tl2br w:val="nil"/>
                    <w:tr2bl w:val="nil"/>
                  </w:tcBorders>
                  <w:vAlign w:val="center"/>
                </w:tcPr>
                <w:p w14:paraId="6FB8DFAA">
                  <w:pPr>
                    <w:tabs>
                      <w:tab w:val="right" w:pos="8906"/>
                    </w:tabs>
                    <w:adjustRightInd w:val="0"/>
                    <w:snapToGrid w:val="0"/>
                    <w:jc w:val="center"/>
                    <w:rPr>
                      <w:color w:val="auto"/>
                      <w:szCs w:val="21"/>
                    </w:rPr>
                  </w:pPr>
                </w:p>
              </w:tc>
              <w:tc>
                <w:tcPr>
                  <w:tcW w:w="1001" w:type="dxa"/>
                  <w:vMerge w:val="continue"/>
                  <w:tcBorders>
                    <w:tl2br w:val="nil"/>
                    <w:tr2bl w:val="nil"/>
                  </w:tcBorders>
                  <w:vAlign w:val="center"/>
                </w:tcPr>
                <w:p w14:paraId="653154A7">
                  <w:pPr>
                    <w:tabs>
                      <w:tab w:val="right" w:pos="8906"/>
                    </w:tabs>
                    <w:adjustRightInd w:val="0"/>
                    <w:snapToGrid w:val="0"/>
                    <w:jc w:val="center"/>
                    <w:rPr>
                      <w:color w:val="auto"/>
                      <w:szCs w:val="21"/>
                    </w:rPr>
                  </w:pPr>
                </w:p>
              </w:tc>
            </w:tr>
            <w:tr w14:paraId="057BE8B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57381F0F">
                  <w:pPr>
                    <w:adjustRightInd w:val="0"/>
                    <w:snapToGrid w:val="0"/>
                    <w:jc w:val="center"/>
                    <w:rPr>
                      <w:color w:val="auto"/>
                      <w:szCs w:val="21"/>
                    </w:rPr>
                  </w:pPr>
                </w:p>
              </w:tc>
              <w:tc>
                <w:tcPr>
                  <w:tcW w:w="2080" w:type="dxa"/>
                  <w:vMerge w:val="continue"/>
                  <w:tcBorders>
                    <w:tl2br w:val="nil"/>
                    <w:tr2bl w:val="nil"/>
                  </w:tcBorders>
                  <w:vAlign w:val="center"/>
                </w:tcPr>
                <w:p w14:paraId="1C131398">
                  <w:pPr>
                    <w:adjustRightInd w:val="0"/>
                    <w:snapToGrid w:val="0"/>
                    <w:jc w:val="center"/>
                    <w:rPr>
                      <w:color w:val="auto"/>
                      <w:szCs w:val="21"/>
                    </w:rPr>
                  </w:pPr>
                </w:p>
              </w:tc>
              <w:tc>
                <w:tcPr>
                  <w:tcW w:w="1554" w:type="dxa"/>
                  <w:vMerge w:val="continue"/>
                  <w:tcBorders>
                    <w:tl2br w:val="nil"/>
                    <w:tr2bl w:val="nil"/>
                  </w:tcBorders>
                  <w:vAlign w:val="center"/>
                </w:tcPr>
                <w:p w14:paraId="531577A7">
                  <w:pPr>
                    <w:adjustRightInd w:val="0"/>
                    <w:snapToGrid w:val="0"/>
                    <w:jc w:val="center"/>
                    <w:rPr>
                      <w:color w:val="auto"/>
                      <w:szCs w:val="21"/>
                    </w:rPr>
                  </w:pPr>
                </w:p>
              </w:tc>
              <w:tc>
                <w:tcPr>
                  <w:tcW w:w="1072" w:type="dxa"/>
                  <w:tcBorders>
                    <w:tl2br w:val="nil"/>
                    <w:tr2bl w:val="nil"/>
                  </w:tcBorders>
                  <w:vAlign w:val="center"/>
                </w:tcPr>
                <w:p w14:paraId="4C729E0E">
                  <w:pPr>
                    <w:tabs>
                      <w:tab w:val="right" w:pos="8906"/>
                    </w:tabs>
                    <w:adjustRightInd w:val="0"/>
                    <w:snapToGrid w:val="0"/>
                    <w:jc w:val="center"/>
                    <w:rPr>
                      <w:color w:val="auto"/>
                      <w:szCs w:val="21"/>
                    </w:rPr>
                  </w:pPr>
                  <w:r>
                    <w:rPr>
                      <w:color w:val="auto"/>
                      <w:szCs w:val="21"/>
                    </w:rPr>
                    <w:t>149</w:t>
                  </w:r>
                </w:p>
              </w:tc>
              <w:tc>
                <w:tcPr>
                  <w:tcW w:w="2080" w:type="dxa"/>
                  <w:vMerge w:val="continue"/>
                  <w:tcBorders>
                    <w:tl2br w:val="nil"/>
                    <w:tr2bl w:val="nil"/>
                  </w:tcBorders>
                  <w:vAlign w:val="center"/>
                </w:tcPr>
                <w:p w14:paraId="21366F70">
                  <w:pPr>
                    <w:tabs>
                      <w:tab w:val="right" w:pos="8906"/>
                    </w:tabs>
                    <w:adjustRightInd w:val="0"/>
                    <w:snapToGrid w:val="0"/>
                    <w:jc w:val="center"/>
                    <w:rPr>
                      <w:color w:val="auto"/>
                      <w:szCs w:val="21"/>
                    </w:rPr>
                  </w:pPr>
                </w:p>
              </w:tc>
              <w:tc>
                <w:tcPr>
                  <w:tcW w:w="1001" w:type="dxa"/>
                  <w:vMerge w:val="continue"/>
                  <w:tcBorders>
                    <w:tl2br w:val="nil"/>
                    <w:tr2bl w:val="nil"/>
                  </w:tcBorders>
                  <w:vAlign w:val="center"/>
                </w:tcPr>
                <w:p w14:paraId="63A36A8F">
                  <w:pPr>
                    <w:tabs>
                      <w:tab w:val="right" w:pos="8906"/>
                    </w:tabs>
                    <w:adjustRightInd w:val="0"/>
                    <w:snapToGrid w:val="0"/>
                    <w:jc w:val="center"/>
                    <w:rPr>
                      <w:color w:val="auto"/>
                      <w:szCs w:val="21"/>
                    </w:rPr>
                  </w:pPr>
                </w:p>
              </w:tc>
            </w:tr>
            <w:tr w14:paraId="2962337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0B760C47">
                  <w:pPr>
                    <w:adjustRightInd w:val="0"/>
                    <w:snapToGrid w:val="0"/>
                    <w:jc w:val="center"/>
                    <w:rPr>
                      <w:color w:val="auto"/>
                      <w:szCs w:val="21"/>
                    </w:rPr>
                  </w:pPr>
                </w:p>
              </w:tc>
              <w:tc>
                <w:tcPr>
                  <w:tcW w:w="2080" w:type="dxa"/>
                  <w:vMerge w:val="continue"/>
                  <w:tcBorders>
                    <w:tl2br w:val="nil"/>
                    <w:tr2bl w:val="nil"/>
                  </w:tcBorders>
                  <w:vAlign w:val="center"/>
                </w:tcPr>
                <w:p w14:paraId="09FB02A6">
                  <w:pPr>
                    <w:adjustRightInd w:val="0"/>
                    <w:snapToGrid w:val="0"/>
                    <w:jc w:val="center"/>
                    <w:rPr>
                      <w:color w:val="auto"/>
                      <w:szCs w:val="21"/>
                    </w:rPr>
                  </w:pPr>
                </w:p>
              </w:tc>
              <w:tc>
                <w:tcPr>
                  <w:tcW w:w="1554" w:type="dxa"/>
                  <w:vMerge w:val="continue"/>
                  <w:tcBorders>
                    <w:tl2br w:val="nil"/>
                    <w:tr2bl w:val="nil"/>
                  </w:tcBorders>
                  <w:vAlign w:val="center"/>
                </w:tcPr>
                <w:p w14:paraId="060C85BF">
                  <w:pPr>
                    <w:adjustRightInd w:val="0"/>
                    <w:snapToGrid w:val="0"/>
                    <w:jc w:val="center"/>
                    <w:rPr>
                      <w:color w:val="auto"/>
                      <w:szCs w:val="21"/>
                    </w:rPr>
                  </w:pPr>
                </w:p>
              </w:tc>
              <w:tc>
                <w:tcPr>
                  <w:tcW w:w="1072" w:type="dxa"/>
                  <w:tcBorders>
                    <w:tl2br w:val="nil"/>
                    <w:tr2bl w:val="nil"/>
                  </w:tcBorders>
                  <w:vAlign w:val="center"/>
                </w:tcPr>
                <w:p w14:paraId="2D624421">
                  <w:pPr>
                    <w:tabs>
                      <w:tab w:val="right" w:pos="8906"/>
                    </w:tabs>
                    <w:adjustRightInd w:val="0"/>
                    <w:snapToGrid w:val="0"/>
                    <w:jc w:val="center"/>
                    <w:rPr>
                      <w:color w:val="auto"/>
                      <w:szCs w:val="21"/>
                    </w:rPr>
                  </w:pPr>
                  <w:r>
                    <w:rPr>
                      <w:color w:val="auto"/>
                      <w:szCs w:val="21"/>
                    </w:rPr>
                    <w:t>175</w:t>
                  </w:r>
                </w:p>
              </w:tc>
              <w:tc>
                <w:tcPr>
                  <w:tcW w:w="2080" w:type="dxa"/>
                  <w:vMerge w:val="continue"/>
                  <w:tcBorders>
                    <w:tl2br w:val="nil"/>
                    <w:tr2bl w:val="nil"/>
                  </w:tcBorders>
                  <w:vAlign w:val="center"/>
                </w:tcPr>
                <w:p w14:paraId="77474E22">
                  <w:pPr>
                    <w:tabs>
                      <w:tab w:val="right" w:pos="8906"/>
                    </w:tabs>
                    <w:adjustRightInd w:val="0"/>
                    <w:snapToGrid w:val="0"/>
                    <w:jc w:val="center"/>
                    <w:rPr>
                      <w:color w:val="auto"/>
                      <w:szCs w:val="21"/>
                    </w:rPr>
                  </w:pPr>
                </w:p>
              </w:tc>
              <w:tc>
                <w:tcPr>
                  <w:tcW w:w="1001" w:type="dxa"/>
                  <w:vMerge w:val="continue"/>
                  <w:tcBorders>
                    <w:tl2br w:val="nil"/>
                    <w:tr2bl w:val="nil"/>
                  </w:tcBorders>
                  <w:vAlign w:val="center"/>
                </w:tcPr>
                <w:p w14:paraId="3691AC43">
                  <w:pPr>
                    <w:tabs>
                      <w:tab w:val="right" w:pos="8906"/>
                    </w:tabs>
                    <w:adjustRightInd w:val="0"/>
                    <w:snapToGrid w:val="0"/>
                    <w:jc w:val="center"/>
                    <w:rPr>
                      <w:color w:val="auto"/>
                      <w:szCs w:val="21"/>
                    </w:rPr>
                  </w:pPr>
                </w:p>
              </w:tc>
            </w:tr>
            <w:tr w14:paraId="733DD9D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4A773ADF">
                  <w:pPr>
                    <w:adjustRightInd w:val="0"/>
                    <w:snapToGrid w:val="0"/>
                    <w:jc w:val="center"/>
                    <w:rPr>
                      <w:color w:val="auto"/>
                      <w:szCs w:val="21"/>
                    </w:rPr>
                  </w:pPr>
                </w:p>
              </w:tc>
              <w:tc>
                <w:tcPr>
                  <w:tcW w:w="2080" w:type="dxa"/>
                  <w:vMerge w:val="continue"/>
                  <w:tcBorders>
                    <w:tl2br w:val="nil"/>
                    <w:tr2bl w:val="nil"/>
                  </w:tcBorders>
                  <w:vAlign w:val="center"/>
                </w:tcPr>
                <w:p w14:paraId="75CBF250">
                  <w:pPr>
                    <w:adjustRightInd w:val="0"/>
                    <w:snapToGrid w:val="0"/>
                    <w:jc w:val="center"/>
                    <w:rPr>
                      <w:color w:val="auto"/>
                      <w:szCs w:val="21"/>
                    </w:rPr>
                  </w:pPr>
                </w:p>
              </w:tc>
              <w:tc>
                <w:tcPr>
                  <w:tcW w:w="1554" w:type="dxa"/>
                  <w:vMerge w:val="continue"/>
                  <w:tcBorders>
                    <w:tl2br w:val="nil"/>
                    <w:tr2bl w:val="nil"/>
                  </w:tcBorders>
                  <w:vAlign w:val="center"/>
                </w:tcPr>
                <w:p w14:paraId="2DF1F2CD">
                  <w:pPr>
                    <w:adjustRightInd w:val="0"/>
                    <w:snapToGrid w:val="0"/>
                    <w:jc w:val="center"/>
                    <w:rPr>
                      <w:color w:val="auto"/>
                      <w:szCs w:val="21"/>
                    </w:rPr>
                  </w:pPr>
                </w:p>
              </w:tc>
              <w:tc>
                <w:tcPr>
                  <w:tcW w:w="1072" w:type="dxa"/>
                  <w:tcBorders>
                    <w:tl2br w:val="nil"/>
                    <w:tr2bl w:val="nil"/>
                  </w:tcBorders>
                  <w:vAlign w:val="center"/>
                </w:tcPr>
                <w:p w14:paraId="1E11D6C8">
                  <w:pPr>
                    <w:tabs>
                      <w:tab w:val="right" w:pos="8906"/>
                    </w:tabs>
                    <w:adjustRightInd w:val="0"/>
                    <w:snapToGrid w:val="0"/>
                    <w:jc w:val="center"/>
                    <w:rPr>
                      <w:color w:val="auto"/>
                      <w:szCs w:val="21"/>
                    </w:rPr>
                  </w:pPr>
                  <w:r>
                    <w:rPr>
                      <w:color w:val="auto"/>
                      <w:szCs w:val="21"/>
                    </w:rPr>
                    <w:t>181</w:t>
                  </w:r>
                </w:p>
              </w:tc>
              <w:tc>
                <w:tcPr>
                  <w:tcW w:w="2080" w:type="dxa"/>
                  <w:vMerge w:val="continue"/>
                  <w:tcBorders>
                    <w:tl2br w:val="nil"/>
                    <w:tr2bl w:val="nil"/>
                  </w:tcBorders>
                  <w:vAlign w:val="center"/>
                </w:tcPr>
                <w:p w14:paraId="44F9E000">
                  <w:pPr>
                    <w:tabs>
                      <w:tab w:val="right" w:pos="8906"/>
                    </w:tabs>
                    <w:adjustRightInd w:val="0"/>
                    <w:snapToGrid w:val="0"/>
                    <w:jc w:val="center"/>
                    <w:rPr>
                      <w:color w:val="auto"/>
                      <w:szCs w:val="21"/>
                    </w:rPr>
                  </w:pPr>
                </w:p>
              </w:tc>
              <w:tc>
                <w:tcPr>
                  <w:tcW w:w="1001" w:type="dxa"/>
                  <w:vMerge w:val="continue"/>
                  <w:tcBorders>
                    <w:tl2br w:val="nil"/>
                    <w:tr2bl w:val="nil"/>
                  </w:tcBorders>
                  <w:vAlign w:val="center"/>
                </w:tcPr>
                <w:p w14:paraId="2926F506">
                  <w:pPr>
                    <w:tabs>
                      <w:tab w:val="right" w:pos="8906"/>
                    </w:tabs>
                    <w:adjustRightInd w:val="0"/>
                    <w:snapToGrid w:val="0"/>
                    <w:jc w:val="center"/>
                    <w:rPr>
                      <w:color w:val="auto"/>
                      <w:szCs w:val="21"/>
                    </w:rPr>
                  </w:pPr>
                </w:p>
              </w:tc>
            </w:tr>
            <w:tr w14:paraId="78B250A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4E79AF98">
                  <w:pPr>
                    <w:adjustRightInd w:val="0"/>
                    <w:snapToGrid w:val="0"/>
                    <w:jc w:val="center"/>
                    <w:rPr>
                      <w:color w:val="auto"/>
                      <w:szCs w:val="21"/>
                    </w:rPr>
                  </w:pPr>
                </w:p>
              </w:tc>
              <w:tc>
                <w:tcPr>
                  <w:tcW w:w="2080" w:type="dxa"/>
                  <w:vMerge w:val="continue"/>
                  <w:tcBorders>
                    <w:tl2br w:val="nil"/>
                    <w:tr2bl w:val="nil"/>
                  </w:tcBorders>
                  <w:vAlign w:val="center"/>
                </w:tcPr>
                <w:p w14:paraId="6489D76D">
                  <w:pPr>
                    <w:adjustRightInd w:val="0"/>
                    <w:snapToGrid w:val="0"/>
                    <w:jc w:val="center"/>
                    <w:rPr>
                      <w:color w:val="auto"/>
                      <w:szCs w:val="21"/>
                    </w:rPr>
                  </w:pPr>
                </w:p>
              </w:tc>
              <w:tc>
                <w:tcPr>
                  <w:tcW w:w="1554" w:type="dxa"/>
                  <w:vMerge w:val="continue"/>
                  <w:tcBorders>
                    <w:tl2br w:val="nil"/>
                    <w:tr2bl w:val="nil"/>
                  </w:tcBorders>
                  <w:vAlign w:val="center"/>
                </w:tcPr>
                <w:p w14:paraId="296E8759">
                  <w:pPr>
                    <w:adjustRightInd w:val="0"/>
                    <w:snapToGrid w:val="0"/>
                    <w:jc w:val="center"/>
                    <w:rPr>
                      <w:color w:val="auto"/>
                      <w:szCs w:val="21"/>
                    </w:rPr>
                  </w:pPr>
                </w:p>
              </w:tc>
              <w:tc>
                <w:tcPr>
                  <w:tcW w:w="1072" w:type="dxa"/>
                  <w:tcBorders>
                    <w:tl2br w:val="nil"/>
                    <w:tr2bl w:val="nil"/>
                  </w:tcBorders>
                  <w:vAlign w:val="center"/>
                </w:tcPr>
                <w:p w14:paraId="33A11536">
                  <w:pPr>
                    <w:tabs>
                      <w:tab w:val="right" w:pos="8906"/>
                    </w:tabs>
                    <w:adjustRightInd w:val="0"/>
                    <w:snapToGrid w:val="0"/>
                    <w:jc w:val="center"/>
                    <w:rPr>
                      <w:color w:val="auto"/>
                      <w:szCs w:val="21"/>
                    </w:rPr>
                  </w:pPr>
                  <w:r>
                    <w:rPr>
                      <w:color w:val="auto"/>
                      <w:szCs w:val="21"/>
                    </w:rPr>
                    <w:t>174</w:t>
                  </w:r>
                </w:p>
              </w:tc>
              <w:tc>
                <w:tcPr>
                  <w:tcW w:w="2080" w:type="dxa"/>
                  <w:vMerge w:val="continue"/>
                  <w:tcBorders>
                    <w:tl2br w:val="nil"/>
                    <w:tr2bl w:val="nil"/>
                  </w:tcBorders>
                  <w:vAlign w:val="center"/>
                </w:tcPr>
                <w:p w14:paraId="5C059FE8">
                  <w:pPr>
                    <w:tabs>
                      <w:tab w:val="right" w:pos="8906"/>
                    </w:tabs>
                    <w:adjustRightInd w:val="0"/>
                    <w:snapToGrid w:val="0"/>
                    <w:jc w:val="center"/>
                    <w:rPr>
                      <w:color w:val="auto"/>
                      <w:szCs w:val="21"/>
                    </w:rPr>
                  </w:pPr>
                </w:p>
              </w:tc>
              <w:tc>
                <w:tcPr>
                  <w:tcW w:w="1001" w:type="dxa"/>
                  <w:vMerge w:val="continue"/>
                  <w:tcBorders>
                    <w:tl2br w:val="nil"/>
                    <w:tr2bl w:val="nil"/>
                  </w:tcBorders>
                  <w:vAlign w:val="center"/>
                </w:tcPr>
                <w:p w14:paraId="75500688">
                  <w:pPr>
                    <w:tabs>
                      <w:tab w:val="right" w:pos="8906"/>
                    </w:tabs>
                    <w:adjustRightInd w:val="0"/>
                    <w:snapToGrid w:val="0"/>
                    <w:jc w:val="center"/>
                    <w:rPr>
                      <w:color w:val="auto"/>
                      <w:szCs w:val="21"/>
                    </w:rPr>
                  </w:pPr>
                </w:p>
              </w:tc>
            </w:tr>
            <w:tr w14:paraId="6B676DA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4975C597">
                  <w:pPr>
                    <w:adjustRightInd w:val="0"/>
                    <w:snapToGrid w:val="0"/>
                    <w:jc w:val="center"/>
                    <w:rPr>
                      <w:color w:val="auto"/>
                      <w:szCs w:val="21"/>
                    </w:rPr>
                  </w:pPr>
                </w:p>
              </w:tc>
              <w:tc>
                <w:tcPr>
                  <w:tcW w:w="2080" w:type="dxa"/>
                  <w:vMerge w:val="restart"/>
                  <w:tcBorders>
                    <w:tl2br w:val="nil"/>
                    <w:tr2bl w:val="nil"/>
                  </w:tcBorders>
                  <w:vAlign w:val="center"/>
                </w:tcPr>
                <w:p w14:paraId="781A2430">
                  <w:pPr>
                    <w:adjustRightInd w:val="0"/>
                    <w:snapToGrid w:val="0"/>
                    <w:jc w:val="center"/>
                    <w:rPr>
                      <w:color w:val="auto"/>
                      <w:szCs w:val="21"/>
                    </w:rPr>
                  </w:pPr>
                  <w:r>
                    <w:rPr>
                      <w:color w:val="auto"/>
                      <w:szCs w:val="21"/>
                    </w:rPr>
                    <w:t>2021-</w:t>
                  </w:r>
                  <w:r>
                    <w:rPr>
                      <w:rFonts w:hint="eastAsia"/>
                      <w:color w:val="auto"/>
                      <w:szCs w:val="21"/>
                    </w:rPr>
                    <w:t>6</w:t>
                  </w:r>
                  <w:r>
                    <w:rPr>
                      <w:color w:val="auto"/>
                      <w:szCs w:val="21"/>
                    </w:rPr>
                    <w:t>-</w:t>
                  </w:r>
                  <w:r>
                    <w:rPr>
                      <w:rFonts w:hint="eastAsia"/>
                      <w:color w:val="auto"/>
                      <w:szCs w:val="21"/>
                    </w:rPr>
                    <w:t>26~2021-6-27</w:t>
                  </w:r>
                </w:p>
              </w:tc>
              <w:tc>
                <w:tcPr>
                  <w:tcW w:w="1554" w:type="dxa"/>
                  <w:tcBorders>
                    <w:tl2br w:val="nil"/>
                    <w:tr2bl w:val="nil"/>
                  </w:tcBorders>
                  <w:vAlign w:val="center"/>
                </w:tcPr>
                <w:p w14:paraId="22E04B9D">
                  <w:pPr>
                    <w:adjustRightInd w:val="0"/>
                    <w:snapToGrid w:val="0"/>
                    <w:jc w:val="center"/>
                    <w:rPr>
                      <w:color w:val="auto"/>
                      <w:szCs w:val="21"/>
                    </w:rPr>
                  </w:pPr>
                  <w:r>
                    <w:rPr>
                      <w:rFonts w:hint="eastAsia"/>
                      <w:color w:val="auto"/>
                      <w:szCs w:val="21"/>
                    </w:rPr>
                    <w:t>70</w:t>
                  </w:r>
                </w:p>
              </w:tc>
              <w:tc>
                <w:tcPr>
                  <w:tcW w:w="1072" w:type="dxa"/>
                  <w:tcBorders>
                    <w:tl2br w:val="nil"/>
                    <w:tr2bl w:val="nil"/>
                  </w:tcBorders>
                  <w:vAlign w:val="center"/>
                </w:tcPr>
                <w:p w14:paraId="23592E63">
                  <w:pPr>
                    <w:tabs>
                      <w:tab w:val="right" w:pos="8906"/>
                    </w:tabs>
                    <w:adjustRightInd w:val="0"/>
                    <w:snapToGrid w:val="0"/>
                    <w:jc w:val="center"/>
                    <w:rPr>
                      <w:color w:val="auto"/>
                      <w:szCs w:val="21"/>
                    </w:rPr>
                  </w:pPr>
                  <w:r>
                    <w:rPr>
                      <w:color w:val="auto"/>
                      <w:szCs w:val="21"/>
                    </w:rPr>
                    <w:t>184</w:t>
                  </w:r>
                </w:p>
              </w:tc>
              <w:tc>
                <w:tcPr>
                  <w:tcW w:w="2080" w:type="dxa"/>
                  <w:vMerge w:val="restart"/>
                  <w:tcBorders>
                    <w:tl2br w:val="nil"/>
                    <w:tr2bl w:val="nil"/>
                  </w:tcBorders>
                  <w:vAlign w:val="center"/>
                </w:tcPr>
                <w:p w14:paraId="169DB75E">
                  <w:pPr>
                    <w:autoSpaceDN w:val="0"/>
                    <w:adjustRightInd w:val="0"/>
                    <w:snapToGrid w:val="0"/>
                    <w:jc w:val="center"/>
                    <w:textAlignment w:val="center"/>
                    <w:rPr>
                      <w:color w:val="auto"/>
                      <w:szCs w:val="21"/>
                    </w:rPr>
                  </w:pPr>
                  <w:r>
                    <w:rPr>
                      <w:rFonts w:hint="eastAsia"/>
                      <w:color w:val="auto"/>
                      <w:szCs w:val="21"/>
                    </w:rPr>
                    <w:t>2</w:t>
                  </w:r>
                  <w:r>
                    <w:rPr>
                      <w:color w:val="auto"/>
                      <w:szCs w:val="21"/>
                    </w:rPr>
                    <w:t>021-</w:t>
                  </w:r>
                  <w:r>
                    <w:rPr>
                      <w:rFonts w:hint="eastAsia"/>
                      <w:color w:val="auto"/>
                      <w:szCs w:val="21"/>
                    </w:rPr>
                    <w:t>9</w:t>
                  </w:r>
                  <w:r>
                    <w:rPr>
                      <w:color w:val="auto"/>
                      <w:szCs w:val="21"/>
                    </w:rPr>
                    <w:t>-</w:t>
                  </w:r>
                  <w:r>
                    <w:rPr>
                      <w:rFonts w:hint="eastAsia"/>
                      <w:color w:val="auto"/>
                      <w:szCs w:val="21"/>
                    </w:rPr>
                    <w:t>24~2021-9-25</w:t>
                  </w:r>
                </w:p>
              </w:tc>
              <w:tc>
                <w:tcPr>
                  <w:tcW w:w="1001" w:type="dxa"/>
                  <w:tcBorders>
                    <w:tl2br w:val="nil"/>
                    <w:tr2bl w:val="nil"/>
                  </w:tcBorders>
                  <w:vAlign w:val="center"/>
                </w:tcPr>
                <w:p w14:paraId="3D3B3ABA">
                  <w:pPr>
                    <w:tabs>
                      <w:tab w:val="right" w:pos="8906"/>
                    </w:tabs>
                    <w:adjustRightInd w:val="0"/>
                    <w:snapToGrid w:val="0"/>
                    <w:jc w:val="center"/>
                    <w:rPr>
                      <w:color w:val="auto"/>
                      <w:szCs w:val="21"/>
                    </w:rPr>
                  </w:pPr>
                  <w:r>
                    <w:rPr>
                      <w:rFonts w:hint="eastAsia"/>
                      <w:color w:val="auto"/>
                      <w:szCs w:val="21"/>
                    </w:rPr>
                    <w:t>27</w:t>
                  </w:r>
                </w:p>
              </w:tc>
            </w:tr>
            <w:tr w14:paraId="1FF1351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79845AD8">
                  <w:pPr>
                    <w:adjustRightInd w:val="0"/>
                    <w:snapToGrid w:val="0"/>
                    <w:jc w:val="center"/>
                    <w:rPr>
                      <w:color w:val="auto"/>
                      <w:szCs w:val="21"/>
                    </w:rPr>
                  </w:pPr>
                </w:p>
              </w:tc>
              <w:tc>
                <w:tcPr>
                  <w:tcW w:w="2080" w:type="dxa"/>
                  <w:vMerge w:val="continue"/>
                  <w:tcBorders>
                    <w:tl2br w:val="nil"/>
                    <w:tr2bl w:val="nil"/>
                  </w:tcBorders>
                  <w:vAlign w:val="center"/>
                </w:tcPr>
                <w:p w14:paraId="1A05A3D7">
                  <w:pPr>
                    <w:adjustRightInd w:val="0"/>
                    <w:snapToGrid w:val="0"/>
                    <w:jc w:val="center"/>
                    <w:rPr>
                      <w:color w:val="auto"/>
                      <w:szCs w:val="21"/>
                    </w:rPr>
                  </w:pPr>
                </w:p>
              </w:tc>
              <w:tc>
                <w:tcPr>
                  <w:tcW w:w="1554" w:type="dxa"/>
                  <w:vMerge w:val="restart"/>
                  <w:tcBorders>
                    <w:tl2br w:val="nil"/>
                    <w:tr2bl w:val="nil"/>
                  </w:tcBorders>
                  <w:vAlign w:val="center"/>
                </w:tcPr>
                <w:p w14:paraId="5B51E93A">
                  <w:pPr>
                    <w:adjustRightInd w:val="0"/>
                    <w:snapToGrid w:val="0"/>
                    <w:jc w:val="center"/>
                    <w:rPr>
                      <w:color w:val="auto"/>
                      <w:szCs w:val="21"/>
                    </w:rPr>
                  </w:pPr>
                  <w:r>
                    <w:rPr>
                      <w:color w:val="auto"/>
                      <w:szCs w:val="21"/>
                    </w:rPr>
                    <w:t>/</w:t>
                  </w:r>
                </w:p>
              </w:tc>
              <w:tc>
                <w:tcPr>
                  <w:tcW w:w="1072" w:type="dxa"/>
                  <w:tcBorders>
                    <w:tl2br w:val="nil"/>
                    <w:tr2bl w:val="nil"/>
                  </w:tcBorders>
                  <w:vAlign w:val="center"/>
                </w:tcPr>
                <w:p w14:paraId="214C4951">
                  <w:pPr>
                    <w:tabs>
                      <w:tab w:val="right" w:pos="8906"/>
                    </w:tabs>
                    <w:adjustRightInd w:val="0"/>
                    <w:snapToGrid w:val="0"/>
                    <w:jc w:val="center"/>
                    <w:rPr>
                      <w:color w:val="auto"/>
                      <w:szCs w:val="21"/>
                    </w:rPr>
                  </w:pPr>
                  <w:r>
                    <w:rPr>
                      <w:color w:val="auto"/>
                      <w:szCs w:val="21"/>
                    </w:rPr>
                    <w:t>206</w:t>
                  </w:r>
                </w:p>
              </w:tc>
              <w:tc>
                <w:tcPr>
                  <w:tcW w:w="2080" w:type="dxa"/>
                  <w:vMerge w:val="continue"/>
                  <w:tcBorders>
                    <w:tl2br w:val="nil"/>
                    <w:tr2bl w:val="nil"/>
                  </w:tcBorders>
                  <w:vAlign w:val="center"/>
                </w:tcPr>
                <w:p w14:paraId="447C0F61">
                  <w:pPr>
                    <w:tabs>
                      <w:tab w:val="right" w:pos="8906"/>
                    </w:tabs>
                    <w:adjustRightInd w:val="0"/>
                    <w:snapToGrid w:val="0"/>
                    <w:jc w:val="center"/>
                    <w:rPr>
                      <w:color w:val="auto"/>
                      <w:szCs w:val="21"/>
                    </w:rPr>
                  </w:pPr>
                </w:p>
              </w:tc>
              <w:tc>
                <w:tcPr>
                  <w:tcW w:w="1001" w:type="dxa"/>
                  <w:vMerge w:val="restart"/>
                  <w:tcBorders>
                    <w:tl2br w:val="nil"/>
                    <w:tr2bl w:val="nil"/>
                  </w:tcBorders>
                  <w:vAlign w:val="center"/>
                </w:tcPr>
                <w:p w14:paraId="414F01BA">
                  <w:pPr>
                    <w:tabs>
                      <w:tab w:val="right" w:pos="8906"/>
                    </w:tabs>
                    <w:adjustRightInd w:val="0"/>
                    <w:snapToGrid w:val="0"/>
                    <w:jc w:val="center"/>
                    <w:rPr>
                      <w:color w:val="auto"/>
                      <w:szCs w:val="21"/>
                    </w:rPr>
                  </w:pPr>
                  <w:r>
                    <w:rPr>
                      <w:color w:val="auto"/>
                      <w:szCs w:val="21"/>
                    </w:rPr>
                    <w:t>/</w:t>
                  </w:r>
                </w:p>
              </w:tc>
            </w:tr>
            <w:tr w14:paraId="3663DD6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0CC23445">
                  <w:pPr>
                    <w:adjustRightInd w:val="0"/>
                    <w:snapToGrid w:val="0"/>
                    <w:jc w:val="center"/>
                    <w:rPr>
                      <w:color w:val="auto"/>
                      <w:szCs w:val="21"/>
                    </w:rPr>
                  </w:pPr>
                </w:p>
              </w:tc>
              <w:tc>
                <w:tcPr>
                  <w:tcW w:w="2080" w:type="dxa"/>
                  <w:vMerge w:val="continue"/>
                  <w:tcBorders>
                    <w:tl2br w:val="nil"/>
                    <w:tr2bl w:val="nil"/>
                  </w:tcBorders>
                  <w:vAlign w:val="center"/>
                </w:tcPr>
                <w:p w14:paraId="493D386E">
                  <w:pPr>
                    <w:adjustRightInd w:val="0"/>
                    <w:snapToGrid w:val="0"/>
                    <w:jc w:val="center"/>
                    <w:rPr>
                      <w:color w:val="auto"/>
                      <w:szCs w:val="21"/>
                    </w:rPr>
                  </w:pPr>
                </w:p>
              </w:tc>
              <w:tc>
                <w:tcPr>
                  <w:tcW w:w="1554" w:type="dxa"/>
                  <w:vMerge w:val="continue"/>
                  <w:tcBorders>
                    <w:tl2br w:val="nil"/>
                    <w:tr2bl w:val="nil"/>
                  </w:tcBorders>
                  <w:vAlign w:val="center"/>
                </w:tcPr>
                <w:p w14:paraId="419BE5AB">
                  <w:pPr>
                    <w:adjustRightInd w:val="0"/>
                    <w:snapToGrid w:val="0"/>
                    <w:jc w:val="center"/>
                    <w:rPr>
                      <w:color w:val="auto"/>
                      <w:szCs w:val="21"/>
                    </w:rPr>
                  </w:pPr>
                </w:p>
              </w:tc>
              <w:tc>
                <w:tcPr>
                  <w:tcW w:w="1072" w:type="dxa"/>
                  <w:tcBorders>
                    <w:tl2br w:val="nil"/>
                    <w:tr2bl w:val="nil"/>
                  </w:tcBorders>
                  <w:vAlign w:val="center"/>
                </w:tcPr>
                <w:p w14:paraId="2030285C">
                  <w:pPr>
                    <w:tabs>
                      <w:tab w:val="right" w:pos="8906"/>
                    </w:tabs>
                    <w:adjustRightInd w:val="0"/>
                    <w:snapToGrid w:val="0"/>
                    <w:jc w:val="center"/>
                    <w:rPr>
                      <w:color w:val="auto"/>
                      <w:szCs w:val="21"/>
                    </w:rPr>
                  </w:pPr>
                  <w:r>
                    <w:rPr>
                      <w:color w:val="auto"/>
                      <w:szCs w:val="21"/>
                    </w:rPr>
                    <w:t>137</w:t>
                  </w:r>
                </w:p>
              </w:tc>
              <w:tc>
                <w:tcPr>
                  <w:tcW w:w="2080" w:type="dxa"/>
                  <w:vMerge w:val="continue"/>
                  <w:tcBorders>
                    <w:tl2br w:val="nil"/>
                    <w:tr2bl w:val="nil"/>
                  </w:tcBorders>
                  <w:vAlign w:val="center"/>
                </w:tcPr>
                <w:p w14:paraId="39608178">
                  <w:pPr>
                    <w:tabs>
                      <w:tab w:val="right" w:pos="8906"/>
                    </w:tabs>
                    <w:adjustRightInd w:val="0"/>
                    <w:snapToGrid w:val="0"/>
                    <w:jc w:val="center"/>
                    <w:rPr>
                      <w:color w:val="auto"/>
                      <w:szCs w:val="21"/>
                    </w:rPr>
                  </w:pPr>
                </w:p>
              </w:tc>
              <w:tc>
                <w:tcPr>
                  <w:tcW w:w="1001" w:type="dxa"/>
                  <w:vMerge w:val="continue"/>
                  <w:tcBorders>
                    <w:tl2br w:val="nil"/>
                    <w:tr2bl w:val="nil"/>
                  </w:tcBorders>
                  <w:vAlign w:val="center"/>
                </w:tcPr>
                <w:p w14:paraId="64BD1148">
                  <w:pPr>
                    <w:tabs>
                      <w:tab w:val="right" w:pos="8906"/>
                    </w:tabs>
                    <w:adjustRightInd w:val="0"/>
                    <w:snapToGrid w:val="0"/>
                    <w:jc w:val="center"/>
                    <w:rPr>
                      <w:color w:val="auto"/>
                      <w:szCs w:val="21"/>
                    </w:rPr>
                  </w:pPr>
                </w:p>
              </w:tc>
            </w:tr>
            <w:tr w14:paraId="63C0BAC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517FD76F">
                  <w:pPr>
                    <w:adjustRightInd w:val="0"/>
                    <w:snapToGrid w:val="0"/>
                    <w:jc w:val="center"/>
                    <w:rPr>
                      <w:color w:val="auto"/>
                      <w:szCs w:val="21"/>
                    </w:rPr>
                  </w:pPr>
                </w:p>
              </w:tc>
              <w:tc>
                <w:tcPr>
                  <w:tcW w:w="2080" w:type="dxa"/>
                  <w:vMerge w:val="continue"/>
                  <w:tcBorders>
                    <w:tl2br w:val="nil"/>
                    <w:tr2bl w:val="nil"/>
                  </w:tcBorders>
                  <w:vAlign w:val="center"/>
                </w:tcPr>
                <w:p w14:paraId="6C1C3CF7">
                  <w:pPr>
                    <w:adjustRightInd w:val="0"/>
                    <w:snapToGrid w:val="0"/>
                    <w:jc w:val="center"/>
                    <w:rPr>
                      <w:color w:val="auto"/>
                      <w:szCs w:val="21"/>
                    </w:rPr>
                  </w:pPr>
                </w:p>
              </w:tc>
              <w:tc>
                <w:tcPr>
                  <w:tcW w:w="1554" w:type="dxa"/>
                  <w:vMerge w:val="continue"/>
                  <w:tcBorders>
                    <w:tl2br w:val="nil"/>
                    <w:tr2bl w:val="nil"/>
                  </w:tcBorders>
                  <w:vAlign w:val="center"/>
                </w:tcPr>
                <w:p w14:paraId="00B7FAF2">
                  <w:pPr>
                    <w:adjustRightInd w:val="0"/>
                    <w:snapToGrid w:val="0"/>
                    <w:jc w:val="center"/>
                    <w:rPr>
                      <w:color w:val="auto"/>
                      <w:szCs w:val="21"/>
                    </w:rPr>
                  </w:pPr>
                </w:p>
              </w:tc>
              <w:tc>
                <w:tcPr>
                  <w:tcW w:w="1072" w:type="dxa"/>
                  <w:tcBorders>
                    <w:tl2br w:val="nil"/>
                    <w:tr2bl w:val="nil"/>
                  </w:tcBorders>
                  <w:vAlign w:val="center"/>
                </w:tcPr>
                <w:p w14:paraId="6D93CA92">
                  <w:pPr>
                    <w:tabs>
                      <w:tab w:val="right" w:pos="8906"/>
                    </w:tabs>
                    <w:adjustRightInd w:val="0"/>
                    <w:snapToGrid w:val="0"/>
                    <w:jc w:val="center"/>
                    <w:rPr>
                      <w:color w:val="auto"/>
                      <w:szCs w:val="21"/>
                    </w:rPr>
                  </w:pPr>
                  <w:r>
                    <w:rPr>
                      <w:color w:val="auto"/>
                      <w:szCs w:val="21"/>
                    </w:rPr>
                    <w:t>203</w:t>
                  </w:r>
                </w:p>
              </w:tc>
              <w:tc>
                <w:tcPr>
                  <w:tcW w:w="2080" w:type="dxa"/>
                  <w:vMerge w:val="continue"/>
                  <w:tcBorders>
                    <w:tl2br w:val="nil"/>
                    <w:tr2bl w:val="nil"/>
                  </w:tcBorders>
                  <w:vAlign w:val="center"/>
                </w:tcPr>
                <w:p w14:paraId="3E283D38">
                  <w:pPr>
                    <w:tabs>
                      <w:tab w:val="right" w:pos="8906"/>
                    </w:tabs>
                    <w:adjustRightInd w:val="0"/>
                    <w:snapToGrid w:val="0"/>
                    <w:jc w:val="center"/>
                    <w:rPr>
                      <w:color w:val="auto"/>
                      <w:szCs w:val="21"/>
                    </w:rPr>
                  </w:pPr>
                </w:p>
              </w:tc>
              <w:tc>
                <w:tcPr>
                  <w:tcW w:w="1001" w:type="dxa"/>
                  <w:vMerge w:val="continue"/>
                  <w:tcBorders>
                    <w:tl2br w:val="nil"/>
                    <w:tr2bl w:val="nil"/>
                  </w:tcBorders>
                  <w:vAlign w:val="center"/>
                </w:tcPr>
                <w:p w14:paraId="7DEE8174">
                  <w:pPr>
                    <w:tabs>
                      <w:tab w:val="right" w:pos="8906"/>
                    </w:tabs>
                    <w:adjustRightInd w:val="0"/>
                    <w:snapToGrid w:val="0"/>
                    <w:jc w:val="center"/>
                    <w:rPr>
                      <w:color w:val="auto"/>
                      <w:szCs w:val="21"/>
                    </w:rPr>
                  </w:pPr>
                </w:p>
              </w:tc>
            </w:tr>
            <w:tr w14:paraId="47D11A1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65D711E7">
                  <w:pPr>
                    <w:adjustRightInd w:val="0"/>
                    <w:snapToGrid w:val="0"/>
                    <w:jc w:val="center"/>
                    <w:rPr>
                      <w:color w:val="auto"/>
                      <w:szCs w:val="21"/>
                    </w:rPr>
                  </w:pPr>
                </w:p>
              </w:tc>
              <w:tc>
                <w:tcPr>
                  <w:tcW w:w="2080" w:type="dxa"/>
                  <w:vMerge w:val="continue"/>
                  <w:tcBorders>
                    <w:tl2br w:val="nil"/>
                    <w:tr2bl w:val="nil"/>
                  </w:tcBorders>
                  <w:vAlign w:val="center"/>
                </w:tcPr>
                <w:p w14:paraId="2A0AFC9E">
                  <w:pPr>
                    <w:adjustRightInd w:val="0"/>
                    <w:snapToGrid w:val="0"/>
                    <w:jc w:val="center"/>
                    <w:rPr>
                      <w:color w:val="auto"/>
                      <w:szCs w:val="21"/>
                    </w:rPr>
                  </w:pPr>
                </w:p>
              </w:tc>
              <w:tc>
                <w:tcPr>
                  <w:tcW w:w="1554" w:type="dxa"/>
                  <w:vMerge w:val="continue"/>
                  <w:tcBorders>
                    <w:tl2br w:val="nil"/>
                    <w:tr2bl w:val="nil"/>
                  </w:tcBorders>
                  <w:vAlign w:val="center"/>
                </w:tcPr>
                <w:p w14:paraId="1687BDA7">
                  <w:pPr>
                    <w:adjustRightInd w:val="0"/>
                    <w:snapToGrid w:val="0"/>
                    <w:jc w:val="center"/>
                    <w:rPr>
                      <w:color w:val="auto"/>
                      <w:szCs w:val="21"/>
                    </w:rPr>
                  </w:pPr>
                </w:p>
              </w:tc>
              <w:tc>
                <w:tcPr>
                  <w:tcW w:w="1072" w:type="dxa"/>
                  <w:tcBorders>
                    <w:tl2br w:val="nil"/>
                    <w:tr2bl w:val="nil"/>
                  </w:tcBorders>
                  <w:vAlign w:val="center"/>
                </w:tcPr>
                <w:p w14:paraId="153A2AAD">
                  <w:pPr>
                    <w:tabs>
                      <w:tab w:val="right" w:pos="8906"/>
                    </w:tabs>
                    <w:adjustRightInd w:val="0"/>
                    <w:snapToGrid w:val="0"/>
                    <w:jc w:val="center"/>
                    <w:rPr>
                      <w:color w:val="auto"/>
                      <w:szCs w:val="21"/>
                    </w:rPr>
                  </w:pPr>
                  <w:r>
                    <w:rPr>
                      <w:color w:val="auto"/>
                      <w:szCs w:val="21"/>
                    </w:rPr>
                    <w:t>180</w:t>
                  </w:r>
                </w:p>
              </w:tc>
              <w:tc>
                <w:tcPr>
                  <w:tcW w:w="2080" w:type="dxa"/>
                  <w:vMerge w:val="continue"/>
                  <w:tcBorders>
                    <w:tl2br w:val="nil"/>
                    <w:tr2bl w:val="nil"/>
                  </w:tcBorders>
                  <w:vAlign w:val="center"/>
                </w:tcPr>
                <w:p w14:paraId="328EEF54">
                  <w:pPr>
                    <w:tabs>
                      <w:tab w:val="right" w:pos="8906"/>
                    </w:tabs>
                    <w:adjustRightInd w:val="0"/>
                    <w:snapToGrid w:val="0"/>
                    <w:jc w:val="center"/>
                    <w:rPr>
                      <w:color w:val="auto"/>
                      <w:szCs w:val="21"/>
                    </w:rPr>
                  </w:pPr>
                </w:p>
              </w:tc>
              <w:tc>
                <w:tcPr>
                  <w:tcW w:w="1001" w:type="dxa"/>
                  <w:vMerge w:val="continue"/>
                  <w:tcBorders>
                    <w:tl2br w:val="nil"/>
                    <w:tr2bl w:val="nil"/>
                  </w:tcBorders>
                  <w:vAlign w:val="center"/>
                </w:tcPr>
                <w:p w14:paraId="3796E52A">
                  <w:pPr>
                    <w:tabs>
                      <w:tab w:val="right" w:pos="8906"/>
                    </w:tabs>
                    <w:adjustRightInd w:val="0"/>
                    <w:snapToGrid w:val="0"/>
                    <w:jc w:val="center"/>
                    <w:rPr>
                      <w:color w:val="auto"/>
                      <w:szCs w:val="21"/>
                    </w:rPr>
                  </w:pPr>
                </w:p>
              </w:tc>
            </w:tr>
            <w:tr w14:paraId="749E45A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1A2A7C2B">
                  <w:pPr>
                    <w:adjustRightInd w:val="0"/>
                    <w:snapToGrid w:val="0"/>
                    <w:jc w:val="center"/>
                    <w:rPr>
                      <w:color w:val="auto"/>
                      <w:szCs w:val="21"/>
                    </w:rPr>
                  </w:pPr>
                </w:p>
              </w:tc>
              <w:tc>
                <w:tcPr>
                  <w:tcW w:w="2080" w:type="dxa"/>
                  <w:vMerge w:val="continue"/>
                  <w:tcBorders>
                    <w:tl2br w:val="nil"/>
                    <w:tr2bl w:val="nil"/>
                  </w:tcBorders>
                  <w:vAlign w:val="center"/>
                </w:tcPr>
                <w:p w14:paraId="44A69F72">
                  <w:pPr>
                    <w:adjustRightInd w:val="0"/>
                    <w:snapToGrid w:val="0"/>
                    <w:jc w:val="center"/>
                    <w:rPr>
                      <w:color w:val="auto"/>
                      <w:szCs w:val="21"/>
                    </w:rPr>
                  </w:pPr>
                </w:p>
              </w:tc>
              <w:tc>
                <w:tcPr>
                  <w:tcW w:w="1554" w:type="dxa"/>
                  <w:vMerge w:val="continue"/>
                  <w:tcBorders>
                    <w:tl2br w:val="nil"/>
                    <w:tr2bl w:val="nil"/>
                  </w:tcBorders>
                  <w:vAlign w:val="center"/>
                </w:tcPr>
                <w:p w14:paraId="7B2A6B6B">
                  <w:pPr>
                    <w:adjustRightInd w:val="0"/>
                    <w:snapToGrid w:val="0"/>
                    <w:jc w:val="center"/>
                    <w:rPr>
                      <w:color w:val="auto"/>
                      <w:szCs w:val="21"/>
                    </w:rPr>
                  </w:pPr>
                </w:p>
              </w:tc>
              <w:tc>
                <w:tcPr>
                  <w:tcW w:w="1072" w:type="dxa"/>
                  <w:tcBorders>
                    <w:tl2br w:val="nil"/>
                    <w:tr2bl w:val="nil"/>
                  </w:tcBorders>
                  <w:vAlign w:val="center"/>
                </w:tcPr>
                <w:p w14:paraId="4814DEF8">
                  <w:pPr>
                    <w:tabs>
                      <w:tab w:val="right" w:pos="8906"/>
                    </w:tabs>
                    <w:adjustRightInd w:val="0"/>
                    <w:snapToGrid w:val="0"/>
                    <w:jc w:val="center"/>
                    <w:rPr>
                      <w:color w:val="auto"/>
                      <w:szCs w:val="21"/>
                    </w:rPr>
                  </w:pPr>
                  <w:r>
                    <w:rPr>
                      <w:color w:val="auto"/>
                      <w:szCs w:val="21"/>
                    </w:rPr>
                    <w:t>206</w:t>
                  </w:r>
                </w:p>
              </w:tc>
              <w:tc>
                <w:tcPr>
                  <w:tcW w:w="2080" w:type="dxa"/>
                  <w:vMerge w:val="continue"/>
                  <w:tcBorders>
                    <w:tl2br w:val="nil"/>
                    <w:tr2bl w:val="nil"/>
                  </w:tcBorders>
                  <w:vAlign w:val="center"/>
                </w:tcPr>
                <w:p w14:paraId="28578841">
                  <w:pPr>
                    <w:tabs>
                      <w:tab w:val="right" w:pos="8906"/>
                    </w:tabs>
                    <w:adjustRightInd w:val="0"/>
                    <w:snapToGrid w:val="0"/>
                    <w:jc w:val="center"/>
                    <w:rPr>
                      <w:color w:val="auto"/>
                      <w:szCs w:val="21"/>
                    </w:rPr>
                  </w:pPr>
                </w:p>
              </w:tc>
              <w:tc>
                <w:tcPr>
                  <w:tcW w:w="1001" w:type="dxa"/>
                  <w:vMerge w:val="continue"/>
                  <w:tcBorders>
                    <w:tl2br w:val="nil"/>
                    <w:tr2bl w:val="nil"/>
                  </w:tcBorders>
                  <w:vAlign w:val="center"/>
                </w:tcPr>
                <w:p w14:paraId="4EB1DC3D">
                  <w:pPr>
                    <w:tabs>
                      <w:tab w:val="right" w:pos="8906"/>
                    </w:tabs>
                    <w:adjustRightInd w:val="0"/>
                    <w:snapToGrid w:val="0"/>
                    <w:jc w:val="center"/>
                    <w:rPr>
                      <w:color w:val="auto"/>
                      <w:szCs w:val="21"/>
                    </w:rPr>
                  </w:pPr>
                </w:p>
              </w:tc>
            </w:tr>
            <w:tr w14:paraId="597E778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65FE5316">
                  <w:pPr>
                    <w:adjustRightInd w:val="0"/>
                    <w:snapToGrid w:val="0"/>
                    <w:jc w:val="center"/>
                    <w:rPr>
                      <w:color w:val="auto"/>
                      <w:szCs w:val="21"/>
                    </w:rPr>
                  </w:pPr>
                </w:p>
              </w:tc>
              <w:tc>
                <w:tcPr>
                  <w:tcW w:w="2080" w:type="dxa"/>
                  <w:vMerge w:val="continue"/>
                  <w:tcBorders>
                    <w:tl2br w:val="nil"/>
                    <w:tr2bl w:val="nil"/>
                  </w:tcBorders>
                  <w:vAlign w:val="center"/>
                </w:tcPr>
                <w:p w14:paraId="50B7EDFC">
                  <w:pPr>
                    <w:adjustRightInd w:val="0"/>
                    <w:snapToGrid w:val="0"/>
                    <w:jc w:val="center"/>
                    <w:rPr>
                      <w:color w:val="auto"/>
                      <w:szCs w:val="21"/>
                    </w:rPr>
                  </w:pPr>
                </w:p>
              </w:tc>
              <w:tc>
                <w:tcPr>
                  <w:tcW w:w="1554" w:type="dxa"/>
                  <w:vMerge w:val="continue"/>
                  <w:tcBorders>
                    <w:tl2br w:val="nil"/>
                    <w:tr2bl w:val="nil"/>
                  </w:tcBorders>
                  <w:vAlign w:val="center"/>
                </w:tcPr>
                <w:p w14:paraId="07F16F46">
                  <w:pPr>
                    <w:adjustRightInd w:val="0"/>
                    <w:snapToGrid w:val="0"/>
                    <w:jc w:val="center"/>
                    <w:rPr>
                      <w:color w:val="auto"/>
                      <w:szCs w:val="21"/>
                    </w:rPr>
                  </w:pPr>
                </w:p>
              </w:tc>
              <w:tc>
                <w:tcPr>
                  <w:tcW w:w="1072" w:type="dxa"/>
                  <w:tcBorders>
                    <w:tl2br w:val="nil"/>
                    <w:tr2bl w:val="nil"/>
                  </w:tcBorders>
                  <w:vAlign w:val="center"/>
                </w:tcPr>
                <w:p w14:paraId="2C658245">
                  <w:pPr>
                    <w:tabs>
                      <w:tab w:val="right" w:pos="8906"/>
                    </w:tabs>
                    <w:adjustRightInd w:val="0"/>
                    <w:snapToGrid w:val="0"/>
                    <w:jc w:val="center"/>
                    <w:rPr>
                      <w:color w:val="auto"/>
                      <w:szCs w:val="21"/>
                    </w:rPr>
                  </w:pPr>
                  <w:r>
                    <w:rPr>
                      <w:color w:val="auto"/>
                      <w:szCs w:val="21"/>
                    </w:rPr>
                    <w:t>199</w:t>
                  </w:r>
                </w:p>
              </w:tc>
              <w:tc>
                <w:tcPr>
                  <w:tcW w:w="2080" w:type="dxa"/>
                  <w:vMerge w:val="continue"/>
                  <w:tcBorders>
                    <w:tl2br w:val="nil"/>
                    <w:tr2bl w:val="nil"/>
                  </w:tcBorders>
                  <w:vAlign w:val="center"/>
                </w:tcPr>
                <w:p w14:paraId="2BE597F4">
                  <w:pPr>
                    <w:tabs>
                      <w:tab w:val="right" w:pos="8906"/>
                    </w:tabs>
                    <w:adjustRightInd w:val="0"/>
                    <w:snapToGrid w:val="0"/>
                    <w:jc w:val="center"/>
                    <w:rPr>
                      <w:color w:val="auto"/>
                      <w:szCs w:val="21"/>
                    </w:rPr>
                  </w:pPr>
                </w:p>
              </w:tc>
              <w:tc>
                <w:tcPr>
                  <w:tcW w:w="1001" w:type="dxa"/>
                  <w:vMerge w:val="continue"/>
                  <w:tcBorders>
                    <w:tl2br w:val="nil"/>
                    <w:tr2bl w:val="nil"/>
                  </w:tcBorders>
                  <w:vAlign w:val="center"/>
                </w:tcPr>
                <w:p w14:paraId="64F26270">
                  <w:pPr>
                    <w:tabs>
                      <w:tab w:val="right" w:pos="8906"/>
                    </w:tabs>
                    <w:adjustRightInd w:val="0"/>
                    <w:snapToGrid w:val="0"/>
                    <w:jc w:val="center"/>
                    <w:rPr>
                      <w:color w:val="auto"/>
                      <w:szCs w:val="21"/>
                    </w:rPr>
                  </w:pPr>
                </w:p>
              </w:tc>
            </w:tr>
            <w:tr w14:paraId="18D223B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67AE1F7D">
                  <w:pPr>
                    <w:adjustRightInd w:val="0"/>
                    <w:snapToGrid w:val="0"/>
                    <w:jc w:val="center"/>
                    <w:rPr>
                      <w:color w:val="auto"/>
                      <w:szCs w:val="21"/>
                    </w:rPr>
                  </w:pPr>
                </w:p>
              </w:tc>
              <w:tc>
                <w:tcPr>
                  <w:tcW w:w="2080" w:type="dxa"/>
                  <w:vMerge w:val="continue"/>
                  <w:tcBorders>
                    <w:tl2br w:val="nil"/>
                    <w:tr2bl w:val="nil"/>
                  </w:tcBorders>
                  <w:vAlign w:val="center"/>
                </w:tcPr>
                <w:p w14:paraId="66FC3D18">
                  <w:pPr>
                    <w:adjustRightInd w:val="0"/>
                    <w:snapToGrid w:val="0"/>
                    <w:jc w:val="center"/>
                    <w:rPr>
                      <w:color w:val="auto"/>
                      <w:szCs w:val="21"/>
                    </w:rPr>
                  </w:pPr>
                </w:p>
              </w:tc>
              <w:tc>
                <w:tcPr>
                  <w:tcW w:w="1554" w:type="dxa"/>
                  <w:vMerge w:val="continue"/>
                  <w:tcBorders>
                    <w:tl2br w:val="nil"/>
                    <w:tr2bl w:val="nil"/>
                  </w:tcBorders>
                  <w:vAlign w:val="center"/>
                </w:tcPr>
                <w:p w14:paraId="572204FB">
                  <w:pPr>
                    <w:adjustRightInd w:val="0"/>
                    <w:snapToGrid w:val="0"/>
                    <w:jc w:val="center"/>
                    <w:rPr>
                      <w:color w:val="auto"/>
                      <w:szCs w:val="21"/>
                    </w:rPr>
                  </w:pPr>
                </w:p>
              </w:tc>
              <w:tc>
                <w:tcPr>
                  <w:tcW w:w="1072" w:type="dxa"/>
                  <w:tcBorders>
                    <w:tl2br w:val="nil"/>
                    <w:tr2bl w:val="nil"/>
                  </w:tcBorders>
                  <w:vAlign w:val="center"/>
                </w:tcPr>
                <w:p w14:paraId="6EFF0EB2">
                  <w:pPr>
                    <w:tabs>
                      <w:tab w:val="right" w:pos="8906"/>
                    </w:tabs>
                    <w:adjustRightInd w:val="0"/>
                    <w:snapToGrid w:val="0"/>
                    <w:jc w:val="center"/>
                    <w:rPr>
                      <w:color w:val="auto"/>
                      <w:szCs w:val="21"/>
                    </w:rPr>
                  </w:pPr>
                  <w:r>
                    <w:rPr>
                      <w:color w:val="auto"/>
                      <w:szCs w:val="21"/>
                    </w:rPr>
                    <w:t>204</w:t>
                  </w:r>
                </w:p>
              </w:tc>
              <w:tc>
                <w:tcPr>
                  <w:tcW w:w="2080" w:type="dxa"/>
                  <w:vMerge w:val="continue"/>
                  <w:tcBorders>
                    <w:tl2br w:val="nil"/>
                    <w:tr2bl w:val="nil"/>
                  </w:tcBorders>
                  <w:vAlign w:val="center"/>
                </w:tcPr>
                <w:p w14:paraId="433B5F7C">
                  <w:pPr>
                    <w:tabs>
                      <w:tab w:val="right" w:pos="8906"/>
                    </w:tabs>
                    <w:adjustRightInd w:val="0"/>
                    <w:snapToGrid w:val="0"/>
                    <w:jc w:val="center"/>
                    <w:rPr>
                      <w:color w:val="auto"/>
                      <w:szCs w:val="21"/>
                    </w:rPr>
                  </w:pPr>
                </w:p>
              </w:tc>
              <w:tc>
                <w:tcPr>
                  <w:tcW w:w="1001" w:type="dxa"/>
                  <w:vMerge w:val="continue"/>
                  <w:tcBorders>
                    <w:tl2br w:val="nil"/>
                    <w:tr2bl w:val="nil"/>
                  </w:tcBorders>
                  <w:vAlign w:val="center"/>
                </w:tcPr>
                <w:p w14:paraId="37D3BA87">
                  <w:pPr>
                    <w:tabs>
                      <w:tab w:val="right" w:pos="8906"/>
                    </w:tabs>
                    <w:adjustRightInd w:val="0"/>
                    <w:snapToGrid w:val="0"/>
                    <w:jc w:val="center"/>
                    <w:rPr>
                      <w:color w:val="auto"/>
                      <w:szCs w:val="21"/>
                    </w:rPr>
                  </w:pPr>
                </w:p>
              </w:tc>
            </w:tr>
            <w:tr w14:paraId="0F25DC4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30B8A00A">
                  <w:pPr>
                    <w:adjustRightInd w:val="0"/>
                    <w:snapToGrid w:val="0"/>
                    <w:jc w:val="center"/>
                    <w:rPr>
                      <w:color w:val="auto"/>
                      <w:szCs w:val="21"/>
                    </w:rPr>
                  </w:pPr>
                </w:p>
              </w:tc>
              <w:tc>
                <w:tcPr>
                  <w:tcW w:w="2080" w:type="dxa"/>
                  <w:vMerge w:val="restart"/>
                  <w:tcBorders>
                    <w:tl2br w:val="nil"/>
                    <w:tr2bl w:val="nil"/>
                  </w:tcBorders>
                  <w:vAlign w:val="center"/>
                </w:tcPr>
                <w:p w14:paraId="39877AEA">
                  <w:pPr>
                    <w:adjustRightInd w:val="0"/>
                    <w:snapToGrid w:val="0"/>
                    <w:jc w:val="center"/>
                    <w:rPr>
                      <w:color w:val="auto"/>
                      <w:szCs w:val="21"/>
                    </w:rPr>
                  </w:pPr>
                  <w:r>
                    <w:rPr>
                      <w:color w:val="auto"/>
                      <w:szCs w:val="21"/>
                    </w:rPr>
                    <w:t>2021-</w:t>
                  </w:r>
                  <w:r>
                    <w:rPr>
                      <w:rFonts w:hint="eastAsia"/>
                      <w:color w:val="auto"/>
                      <w:szCs w:val="21"/>
                    </w:rPr>
                    <w:t>6</w:t>
                  </w:r>
                  <w:r>
                    <w:rPr>
                      <w:color w:val="auto"/>
                      <w:szCs w:val="21"/>
                    </w:rPr>
                    <w:t>-</w:t>
                  </w:r>
                  <w:r>
                    <w:rPr>
                      <w:rFonts w:hint="eastAsia"/>
                      <w:color w:val="auto"/>
                      <w:szCs w:val="21"/>
                    </w:rPr>
                    <w:t>27~2021-6-28</w:t>
                  </w:r>
                </w:p>
              </w:tc>
              <w:tc>
                <w:tcPr>
                  <w:tcW w:w="1554" w:type="dxa"/>
                  <w:tcBorders>
                    <w:tl2br w:val="nil"/>
                    <w:tr2bl w:val="nil"/>
                  </w:tcBorders>
                  <w:vAlign w:val="center"/>
                </w:tcPr>
                <w:p w14:paraId="52FFDEFF">
                  <w:pPr>
                    <w:adjustRightInd w:val="0"/>
                    <w:snapToGrid w:val="0"/>
                    <w:jc w:val="center"/>
                    <w:rPr>
                      <w:color w:val="auto"/>
                      <w:szCs w:val="21"/>
                    </w:rPr>
                  </w:pPr>
                  <w:r>
                    <w:rPr>
                      <w:rFonts w:hint="eastAsia"/>
                      <w:color w:val="auto"/>
                      <w:szCs w:val="21"/>
                    </w:rPr>
                    <w:t>68</w:t>
                  </w:r>
                </w:p>
              </w:tc>
              <w:tc>
                <w:tcPr>
                  <w:tcW w:w="1072" w:type="dxa"/>
                  <w:tcBorders>
                    <w:tl2br w:val="nil"/>
                    <w:tr2bl w:val="nil"/>
                  </w:tcBorders>
                  <w:vAlign w:val="center"/>
                </w:tcPr>
                <w:p w14:paraId="2C259B23">
                  <w:pPr>
                    <w:tabs>
                      <w:tab w:val="right" w:pos="8906"/>
                    </w:tabs>
                    <w:adjustRightInd w:val="0"/>
                    <w:snapToGrid w:val="0"/>
                    <w:jc w:val="center"/>
                    <w:rPr>
                      <w:color w:val="auto"/>
                      <w:szCs w:val="21"/>
                    </w:rPr>
                  </w:pPr>
                  <w:r>
                    <w:rPr>
                      <w:color w:val="auto"/>
                      <w:szCs w:val="21"/>
                    </w:rPr>
                    <w:t>197</w:t>
                  </w:r>
                </w:p>
              </w:tc>
              <w:tc>
                <w:tcPr>
                  <w:tcW w:w="2080" w:type="dxa"/>
                  <w:vMerge w:val="restart"/>
                  <w:tcBorders>
                    <w:tl2br w:val="nil"/>
                    <w:tr2bl w:val="nil"/>
                  </w:tcBorders>
                  <w:vAlign w:val="center"/>
                </w:tcPr>
                <w:p w14:paraId="61E6A435">
                  <w:pPr>
                    <w:autoSpaceDN w:val="0"/>
                    <w:adjustRightInd w:val="0"/>
                    <w:snapToGrid w:val="0"/>
                    <w:jc w:val="center"/>
                    <w:textAlignment w:val="center"/>
                    <w:rPr>
                      <w:color w:val="auto"/>
                      <w:szCs w:val="21"/>
                    </w:rPr>
                  </w:pPr>
                  <w:r>
                    <w:rPr>
                      <w:rFonts w:hint="eastAsia"/>
                      <w:color w:val="auto"/>
                      <w:szCs w:val="21"/>
                    </w:rPr>
                    <w:t>2</w:t>
                  </w:r>
                  <w:r>
                    <w:rPr>
                      <w:color w:val="auto"/>
                      <w:szCs w:val="21"/>
                    </w:rPr>
                    <w:t>021-</w:t>
                  </w:r>
                  <w:r>
                    <w:rPr>
                      <w:rFonts w:hint="eastAsia"/>
                      <w:color w:val="auto"/>
                      <w:szCs w:val="21"/>
                    </w:rPr>
                    <w:t>9</w:t>
                  </w:r>
                  <w:r>
                    <w:rPr>
                      <w:color w:val="auto"/>
                      <w:szCs w:val="21"/>
                    </w:rPr>
                    <w:t>-</w:t>
                  </w:r>
                  <w:r>
                    <w:rPr>
                      <w:rFonts w:hint="eastAsia"/>
                      <w:color w:val="auto"/>
                      <w:szCs w:val="21"/>
                    </w:rPr>
                    <w:t>25~2021-9-26</w:t>
                  </w:r>
                </w:p>
              </w:tc>
              <w:tc>
                <w:tcPr>
                  <w:tcW w:w="1001" w:type="dxa"/>
                  <w:tcBorders>
                    <w:tl2br w:val="nil"/>
                    <w:tr2bl w:val="nil"/>
                  </w:tcBorders>
                  <w:vAlign w:val="center"/>
                </w:tcPr>
                <w:p w14:paraId="2FC6C778">
                  <w:pPr>
                    <w:tabs>
                      <w:tab w:val="right" w:pos="8906"/>
                    </w:tabs>
                    <w:adjustRightInd w:val="0"/>
                    <w:snapToGrid w:val="0"/>
                    <w:jc w:val="center"/>
                    <w:rPr>
                      <w:color w:val="auto"/>
                      <w:szCs w:val="21"/>
                    </w:rPr>
                  </w:pPr>
                  <w:r>
                    <w:rPr>
                      <w:rFonts w:hint="eastAsia"/>
                      <w:color w:val="auto"/>
                      <w:szCs w:val="21"/>
                    </w:rPr>
                    <w:t>27</w:t>
                  </w:r>
                </w:p>
              </w:tc>
            </w:tr>
            <w:tr w14:paraId="5EE4697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1880400A">
                  <w:pPr>
                    <w:adjustRightInd w:val="0"/>
                    <w:snapToGrid w:val="0"/>
                    <w:jc w:val="center"/>
                    <w:rPr>
                      <w:color w:val="auto"/>
                      <w:szCs w:val="21"/>
                    </w:rPr>
                  </w:pPr>
                </w:p>
              </w:tc>
              <w:tc>
                <w:tcPr>
                  <w:tcW w:w="2080" w:type="dxa"/>
                  <w:vMerge w:val="continue"/>
                  <w:tcBorders>
                    <w:tl2br w:val="nil"/>
                    <w:tr2bl w:val="nil"/>
                  </w:tcBorders>
                  <w:vAlign w:val="center"/>
                </w:tcPr>
                <w:p w14:paraId="4189431B">
                  <w:pPr>
                    <w:adjustRightInd w:val="0"/>
                    <w:snapToGrid w:val="0"/>
                    <w:jc w:val="center"/>
                    <w:rPr>
                      <w:color w:val="auto"/>
                      <w:szCs w:val="21"/>
                    </w:rPr>
                  </w:pPr>
                </w:p>
              </w:tc>
              <w:tc>
                <w:tcPr>
                  <w:tcW w:w="1554" w:type="dxa"/>
                  <w:vMerge w:val="restart"/>
                  <w:tcBorders>
                    <w:tl2br w:val="nil"/>
                    <w:tr2bl w:val="nil"/>
                  </w:tcBorders>
                  <w:vAlign w:val="center"/>
                </w:tcPr>
                <w:p w14:paraId="4F47F9AD">
                  <w:pPr>
                    <w:adjustRightInd w:val="0"/>
                    <w:snapToGrid w:val="0"/>
                    <w:jc w:val="center"/>
                    <w:rPr>
                      <w:color w:val="auto"/>
                      <w:szCs w:val="21"/>
                    </w:rPr>
                  </w:pPr>
                  <w:r>
                    <w:rPr>
                      <w:color w:val="auto"/>
                      <w:szCs w:val="21"/>
                    </w:rPr>
                    <w:t>/</w:t>
                  </w:r>
                </w:p>
              </w:tc>
              <w:tc>
                <w:tcPr>
                  <w:tcW w:w="1072" w:type="dxa"/>
                  <w:tcBorders>
                    <w:tl2br w:val="nil"/>
                    <w:tr2bl w:val="nil"/>
                  </w:tcBorders>
                  <w:vAlign w:val="center"/>
                </w:tcPr>
                <w:p w14:paraId="7BABDE50">
                  <w:pPr>
                    <w:tabs>
                      <w:tab w:val="right" w:pos="8906"/>
                    </w:tabs>
                    <w:adjustRightInd w:val="0"/>
                    <w:snapToGrid w:val="0"/>
                    <w:jc w:val="center"/>
                    <w:rPr>
                      <w:color w:val="auto"/>
                      <w:szCs w:val="21"/>
                    </w:rPr>
                  </w:pPr>
                  <w:r>
                    <w:rPr>
                      <w:color w:val="auto"/>
                      <w:szCs w:val="21"/>
                    </w:rPr>
                    <w:t>202</w:t>
                  </w:r>
                </w:p>
              </w:tc>
              <w:tc>
                <w:tcPr>
                  <w:tcW w:w="2080" w:type="dxa"/>
                  <w:vMerge w:val="continue"/>
                  <w:tcBorders>
                    <w:tl2br w:val="nil"/>
                    <w:tr2bl w:val="nil"/>
                  </w:tcBorders>
                  <w:vAlign w:val="center"/>
                </w:tcPr>
                <w:p w14:paraId="62D770F2">
                  <w:pPr>
                    <w:tabs>
                      <w:tab w:val="right" w:pos="8906"/>
                    </w:tabs>
                    <w:adjustRightInd w:val="0"/>
                    <w:snapToGrid w:val="0"/>
                    <w:jc w:val="center"/>
                    <w:rPr>
                      <w:color w:val="auto"/>
                      <w:szCs w:val="21"/>
                    </w:rPr>
                  </w:pPr>
                </w:p>
              </w:tc>
              <w:tc>
                <w:tcPr>
                  <w:tcW w:w="1001" w:type="dxa"/>
                  <w:vMerge w:val="restart"/>
                  <w:tcBorders>
                    <w:tl2br w:val="nil"/>
                    <w:tr2bl w:val="nil"/>
                  </w:tcBorders>
                  <w:vAlign w:val="center"/>
                </w:tcPr>
                <w:p w14:paraId="7D1F134E">
                  <w:pPr>
                    <w:tabs>
                      <w:tab w:val="right" w:pos="8906"/>
                    </w:tabs>
                    <w:adjustRightInd w:val="0"/>
                    <w:snapToGrid w:val="0"/>
                    <w:jc w:val="center"/>
                    <w:rPr>
                      <w:color w:val="auto"/>
                      <w:szCs w:val="21"/>
                    </w:rPr>
                  </w:pPr>
                  <w:r>
                    <w:rPr>
                      <w:color w:val="auto"/>
                      <w:szCs w:val="21"/>
                    </w:rPr>
                    <w:t>/</w:t>
                  </w:r>
                </w:p>
              </w:tc>
            </w:tr>
            <w:tr w14:paraId="4068BE8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3A75315C">
                  <w:pPr>
                    <w:adjustRightInd w:val="0"/>
                    <w:snapToGrid w:val="0"/>
                    <w:jc w:val="center"/>
                    <w:rPr>
                      <w:color w:val="auto"/>
                      <w:szCs w:val="21"/>
                    </w:rPr>
                  </w:pPr>
                </w:p>
              </w:tc>
              <w:tc>
                <w:tcPr>
                  <w:tcW w:w="2080" w:type="dxa"/>
                  <w:vMerge w:val="continue"/>
                  <w:tcBorders>
                    <w:tl2br w:val="nil"/>
                    <w:tr2bl w:val="nil"/>
                  </w:tcBorders>
                  <w:vAlign w:val="center"/>
                </w:tcPr>
                <w:p w14:paraId="68204375">
                  <w:pPr>
                    <w:adjustRightInd w:val="0"/>
                    <w:snapToGrid w:val="0"/>
                    <w:jc w:val="center"/>
                    <w:rPr>
                      <w:color w:val="auto"/>
                      <w:szCs w:val="21"/>
                    </w:rPr>
                  </w:pPr>
                </w:p>
              </w:tc>
              <w:tc>
                <w:tcPr>
                  <w:tcW w:w="1554" w:type="dxa"/>
                  <w:vMerge w:val="continue"/>
                  <w:tcBorders>
                    <w:tl2br w:val="nil"/>
                    <w:tr2bl w:val="nil"/>
                  </w:tcBorders>
                  <w:vAlign w:val="center"/>
                </w:tcPr>
                <w:p w14:paraId="49792590">
                  <w:pPr>
                    <w:adjustRightInd w:val="0"/>
                    <w:snapToGrid w:val="0"/>
                    <w:jc w:val="center"/>
                    <w:rPr>
                      <w:color w:val="auto"/>
                      <w:szCs w:val="21"/>
                    </w:rPr>
                  </w:pPr>
                </w:p>
              </w:tc>
              <w:tc>
                <w:tcPr>
                  <w:tcW w:w="1072" w:type="dxa"/>
                  <w:tcBorders>
                    <w:tl2br w:val="nil"/>
                    <w:tr2bl w:val="nil"/>
                  </w:tcBorders>
                  <w:vAlign w:val="center"/>
                </w:tcPr>
                <w:p w14:paraId="319F502B">
                  <w:pPr>
                    <w:tabs>
                      <w:tab w:val="right" w:pos="8906"/>
                    </w:tabs>
                    <w:adjustRightInd w:val="0"/>
                    <w:snapToGrid w:val="0"/>
                    <w:jc w:val="center"/>
                    <w:rPr>
                      <w:color w:val="auto"/>
                      <w:szCs w:val="21"/>
                    </w:rPr>
                  </w:pPr>
                  <w:r>
                    <w:rPr>
                      <w:color w:val="auto"/>
                      <w:szCs w:val="21"/>
                    </w:rPr>
                    <w:t>202</w:t>
                  </w:r>
                </w:p>
              </w:tc>
              <w:tc>
                <w:tcPr>
                  <w:tcW w:w="2080" w:type="dxa"/>
                  <w:vMerge w:val="continue"/>
                  <w:tcBorders>
                    <w:tl2br w:val="nil"/>
                    <w:tr2bl w:val="nil"/>
                  </w:tcBorders>
                  <w:vAlign w:val="center"/>
                </w:tcPr>
                <w:p w14:paraId="718F1128">
                  <w:pPr>
                    <w:tabs>
                      <w:tab w:val="right" w:pos="8906"/>
                    </w:tabs>
                    <w:adjustRightInd w:val="0"/>
                    <w:snapToGrid w:val="0"/>
                    <w:jc w:val="center"/>
                    <w:rPr>
                      <w:color w:val="auto"/>
                      <w:szCs w:val="21"/>
                    </w:rPr>
                  </w:pPr>
                </w:p>
              </w:tc>
              <w:tc>
                <w:tcPr>
                  <w:tcW w:w="1001" w:type="dxa"/>
                  <w:vMerge w:val="continue"/>
                  <w:tcBorders>
                    <w:tl2br w:val="nil"/>
                    <w:tr2bl w:val="nil"/>
                  </w:tcBorders>
                  <w:vAlign w:val="center"/>
                </w:tcPr>
                <w:p w14:paraId="0528728B">
                  <w:pPr>
                    <w:tabs>
                      <w:tab w:val="right" w:pos="8906"/>
                    </w:tabs>
                    <w:adjustRightInd w:val="0"/>
                    <w:snapToGrid w:val="0"/>
                    <w:jc w:val="center"/>
                    <w:rPr>
                      <w:color w:val="auto"/>
                      <w:szCs w:val="21"/>
                    </w:rPr>
                  </w:pPr>
                </w:p>
              </w:tc>
            </w:tr>
            <w:tr w14:paraId="0796969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39842218">
                  <w:pPr>
                    <w:adjustRightInd w:val="0"/>
                    <w:snapToGrid w:val="0"/>
                    <w:jc w:val="center"/>
                    <w:rPr>
                      <w:color w:val="auto"/>
                      <w:szCs w:val="21"/>
                    </w:rPr>
                  </w:pPr>
                </w:p>
              </w:tc>
              <w:tc>
                <w:tcPr>
                  <w:tcW w:w="2080" w:type="dxa"/>
                  <w:vMerge w:val="continue"/>
                  <w:tcBorders>
                    <w:tl2br w:val="nil"/>
                    <w:tr2bl w:val="nil"/>
                  </w:tcBorders>
                  <w:vAlign w:val="center"/>
                </w:tcPr>
                <w:p w14:paraId="4A9671BC">
                  <w:pPr>
                    <w:adjustRightInd w:val="0"/>
                    <w:snapToGrid w:val="0"/>
                    <w:jc w:val="center"/>
                    <w:rPr>
                      <w:color w:val="auto"/>
                      <w:szCs w:val="21"/>
                    </w:rPr>
                  </w:pPr>
                </w:p>
              </w:tc>
              <w:tc>
                <w:tcPr>
                  <w:tcW w:w="1554" w:type="dxa"/>
                  <w:vMerge w:val="continue"/>
                  <w:tcBorders>
                    <w:tl2br w:val="nil"/>
                    <w:tr2bl w:val="nil"/>
                  </w:tcBorders>
                  <w:vAlign w:val="center"/>
                </w:tcPr>
                <w:p w14:paraId="0B766D74">
                  <w:pPr>
                    <w:adjustRightInd w:val="0"/>
                    <w:snapToGrid w:val="0"/>
                    <w:jc w:val="center"/>
                    <w:rPr>
                      <w:color w:val="auto"/>
                      <w:szCs w:val="21"/>
                    </w:rPr>
                  </w:pPr>
                </w:p>
              </w:tc>
              <w:tc>
                <w:tcPr>
                  <w:tcW w:w="1072" w:type="dxa"/>
                  <w:tcBorders>
                    <w:tl2br w:val="nil"/>
                    <w:tr2bl w:val="nil"/>
                  </w:tcBorders>
                  <w:vAlign w:val="center"/>
                </w:tcPr>
                <w:p w14:paraId="71EE1278">
                  <w:pPr>
                    <w:tabs>
                      <w:tab w:val="right" w:pos="8906"/>
                    </w:tabs>
                    <w:adjustRightInd w:val="0"/>
                    <w:snapToGrid w:val="0"/>
                    <w:jc w:val="center"/>
                    <w:rPr>
                      <w:color w:val="auto"/>
                      <w:szCs w:val="21"/>
                    </w:rPr>
                  </w:pPr>
                  <w:r>
                    <w:rPr>
                      <w:color w:val="auto"/>
                      <w:szCs w:val="21"/>
                    </w:rPr>
                    <w:t>229</w:t>
                  </w:r>
                </w:p>
              </w:tc>
              <w:tc>
                <w:tcPr>
                  <w:tcW w:w="2080" w:type="dxa"/>
                  <w:vMerge w:val="continue"/>
                  <w:tcBorders>
                    <w:tl2br w:val="nil"/>
                    <w:tr2bl w:val="nil"/>
                  </w:tcBorders>
                  <w:vAlign w:val="center"/>
                </w:tcPr>
                <w:p w14:paraId="00B01DC0">
                  <w:pPr>
                    <w:tabs>
                      <w:tab w:val="right" w:pos="8906"/>
                    </w:tabs>
                    <w:adjustRightInd w:val="0"/>
                    <w:snapToGrid w:val="0"/>
                    <w:jc w:val="center"/>
                    <w:rPr>
                      <w:color w:val="auto"/>
                      <w:szCs w:val="21"/>
                    </w:rPr>
                  </w:pPr>
                </w:p>
              </w:tc>
              <w:tc>
                <w:tcPr>
                  <w:tcW w:w="1001" w:type="dxa"/>
                  <w:vMerge w:val="continue"/>
                  <w:tcBorders>
                    <w:tl2br w:val="nil"/>
                    <w:tr2bl w:val="nil"/>
                  </w:tcBorders>
                  <w:vAlign w:val="center"/>
                </w:tcPr>
                <w:p w14:paraId="5EE3398E">
                  <w:pPr>
                    <w:tabs>
                      <w:tab w:val="right" w:pos="8906"/>
                    </w:tabs>
                    <w:adjustRightInd w:val="0"/>
                    <w:snapToGrid w:val="0"/>
                    <w:jc w:val="center"/>
                    <w:rPr>
                      <w:color w:val="auto"/>
                      <w:szCs w:val="21"/>
                    </w:rPr>
                  </w:pPr>
                </w:p>
              </w:tc>
            </w:tr>
            <w:tr w14:paraId="4C04FA4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7598A772">
                  <w:pPr>
                    <w:adjustRightInd w:val="0"/>
                    <w:snapToGrid w:val="0"/>
                    <w:jc w:val="center"/>
                    <w:rPr>
                      <w:color w:val="auto"/>
                      <w:szCs w:val="21"/>
                    </w:rPr>
                  </w:pPr>
                </w:p>
              </w:tc>
              <w:tc>
                <w:tcPr>
                  <w:tcW w:w="2080" w:type="dxa"/>
                  <w:vMerge w:val="continue"/>
                  <w:tcBorders>
                    <w:tl2br w:val="nil"/>
                    <w:tr2bl w:val="nil"/>
                  </w:tcBorders>
                  <w:vAlign w:val="center"/>
                </w:tcPr>
                <w:p w14:paraId="3AB4061A">
                  <w:pPr>
                    <w:adjustRightInd w:val="0"/>
                    <w:snapToGrid w:val="0"/>
                    <w:jc w:val="center"/>
                    <w:rPr>
                      <w:color w:val="auto"/>
                      <w:szCs w:val="21"/>
                    </w:rPr>
                  </w:pPr>
                </w:p>
              </w:tc>
              <w:tc>
                <w:tcPr>
                  <w:tcW w:w="1554" w:type="dxa"/>
                  <w:vMerge w:val="continue"/>
                  <w:tcBorders>
                    <w:tl2br w:val="nil"/>
                    <w:tr2bl w:val="nil"/>
                  </w:tcBorders>
                  <w:vAlign w:val="center"/>
                </w:tcPr>
                <w:p w14:paraId="143A1448">
                  <w:pPr>
                    <w:adjustRightInd w:val="0"/>
                    <w:snapToGrid w:val="0"/>
                    <w:jc w:val="center"/>
                    <w:rPr>
                      <w:color w:val="auto"/>
                      <w:szCs w:val="21"/>
                    </w:rPr>
                  </w:pPr>
                </w:p>
              </w:tc>
              <w:tc>
                <w:tcPr>
                  <w:tcW w:w="1072" w:type="dxa"/>
                  <w:tcBorders>
                    <w:tl2br w:val="nil"/>
                    <w:tr2bl w:val="nil"/>
                  </w:tcBorders>
                  <w:vAlign w:val="center"/>
                </w:tcPr>
                <w:p w14:paraId="7BDFE048">
                  <w:pPr>
                    <w:tabs>
                      <w:tab w:val="right" w:pos="8906"/>
                    </w:tabs>
                    <w:adjustRightInd w:val="0"/>
                    <w:snapToGrid w:val="0"/>
                    <w:jc w:val="center"/>
                    <w:rPr>
                      <w:color w:val="auto"/>
                      <w:szCs w:val="21"/>
                    </w:rPr>
                  </w:pPr>
                  <w:r>
                    <w:rPr>
                      <w:color w:val="auto"/>
                      <w:szCs w:val="21"/>
                    </w:rPr>
                    <w:t>181</w:t>
                  </w:r>
                </w:p>
              </w:tc>
              <w:tc>
                <w:tcPr>
                  <w:tcW w:w="2080" w:type="dxa"/>
                  <w:vMerge w:val="continue"/>
                  <w:tcBorders>
                    <w:tl2br w:val="nil"/>
                    <w:tr2bl w:val="nil"/>
                  </w:tcBorders>
                  <w:vAlign w:val="center"/>
                </w:tcPr>
                <w:p w14:paraId="449DE596">
                  <w:pPr>
                    <w:tabs>
                      <w:tab w:val="right" w:pos="8906"/>
                    </w:tabs>
                    <w:adjustRightInd w:val="0"/>
                    <w:snapToGrid w:val="0"/>
                    <w:jc w:val="center"/>
                    <w:rPr>
                      <w:color w:val="auto"/>
                      <w:szCs w:val="21"/>
                    </w:rPr>
                  </w:pPr>
                </w:p>
              </w:tc>
              <w:tc>
                <w:tcPr>
                  <w:tcW w:w="1001" w:type="dxa"/>
                  <w:vMerge w:val="continue"/>
                  <w:tcBorders>
                    <w:tl2br w:val="nil"/>
                    <w:tr2bl w:val="nil"/>
                  </w:tcBorders>
                  <w:vAlign w:val="center"/>
                </w:tcPr>
                <w:p w14:paraId="2241466C">
                  <w:pPr>
                    <w:tabs>
                      <w:tab w:val="right" w:pos="8906"/>
                    </w:tabs>
                    <w:adjustRightInd w:val="0"/>
                    <w:snapToGrid w:val="0"/>
                    <w:jc w:val="center"/>
                    <w:rPr>
                      <w:color w:val="auto"/>
                      <w:szCs w:val="21"/>
                    </w:rPr>
                  </w:pPr>
                </w:p>
              </w:tc>
            </w:tr>
            <w:tr w14:paraId="01C98FF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1ECDF0EC">
                  <w:pPr>
                    <w:adjustRightInd w:val="0"/>
                    <w:snapToGrid w:val="0"/>
                    <w:jc w:val="center"/>
                    <w:rPr>
                      <w:color w:val="auto"/>
                      <w:szCs w:val="21"/>
                    </w:rPr>
                  </w:pPr>
                </w:p>
              </w:tc>
              <w:tc>
                <w:tcPr>
                  <w:tcW w:w="2080" w:type="dxa"/>
                  <w:vMerge w:val="continue"/>
                  <w:tcBorders>
                    <w:tl2br w:val="nil"/>
                    <w:tr2bl w:val="nil"/>
                  </w:tcBorders>
                  <w:vAlign w:val="center"/>
                </w:tcPr>
                <w:p w14:paraId="0A4BB317">
                  <w:pPr>
                    <w:adjustRightInd w:val="0"/>
                    <w:snapToGrid w:val="0"/>
                    <w:jc w:val="center"/>
                    <w:rPr>
                      <w:color w:val="auto"/>
                      <w:szCs w:val="21"/>
                    </w:rPr>
                  </w:pPr>
                </w:p>
              </w:tc>
              <w:tc>
                <w:tcPr>
                  <w:tcW w:w="1554" w:type="dxa"/>
                  <w:vMerge w:val="continue"/>
                  <w:tcBorders>
                    <w:tl2br w:val="nil"/>
                    <w:tr2bl w:val="nil"/>
                  </w:tcBorders>
                  <w:vAlign w:val="center"/>
                </w:tcPr>
                <w:p w14:paraId="4C953397">
                  <w:pPr>
                    <w:adjustRightInd w:val="0"/>
                    <w:snapToGrid w:val="0"/>
                    <w:jc w:val="center"/>
                    <w:rPr>
                      <w:color w:val="auto"/>
                      <w:szCs w:val="21"/>
                    </w:rPr>
                  </w:pPr>
                </w:p>
              </w:tc>
              <w:tc>
                <w:tcPr>
                  <w:tcW w:w="1072" w:type="dxa"/>
                  <w:tcBorders>
                    <w:tl2br w:val="nil"/>
                    <w:tr2bl w:val="nil"/>
                  </w:tcBorders>
                  <w:vAlign w:val="center"/>
                </w:tcPr>
                <w:p w14:paraId="6424B57F">
                  <w:pPr>
                    <w:tabs>
                      <w:tab w:val="right" w:pos="8906"/>
                    </w:tabs>
                    <w:adjustRightInd w:val="0"/>
                    <w:snapToGrid w:val="0"/>
                    <w:jc w:val="center"/>
                    <w:rPr>
                      <w:color w:val="auto"/>
                      <w:szCs w:val="21"/>
                    </w:rPr>
                  </w:pPr>
                  <w:r>
                    <w:rPr>
                      <w:color w:val="auto"/>
                      <w:szCs w:val="21"/>
                    </w:rPr>
                    <w:t>201</w:t>
                  </w:r>
                </w:p>
              </w:tc>
              <w:tc>
                <w:tcPr>
                  <w:tcW w:w="2080" w:type="dxa"/>
                  <w:vMerge w:val="continue"/>
                  <w:tcBorders>
                    <w:tl2br w:val="nil"/>
                    <w:tr2bl w:val="nil"/>
                  </w:tcBorders>
                  <w:vAlign w:val="center"/>
                </w:tcPr>
                <w:p w14:paraId="21739FD9">
                  <w:pPr>
                    <w:tabs>
                      <w:tab w:val="right" w:pos="8906"/>
                    </w:tabs>
                    <w:adjustRightInd w:val="0"/>
                    <w:snapToGrid w:val="0"/>
                    <w:jc w:val="center"/>
                    <w:rPr>
                      <w:color w:val="auto"/>
                      <w:szCs w:val="21"/>
                    </w:rPr>
                  </w:pPr>
                </w:p>
              </w:tc>
              <w:tc>
                <w:tcPr>
                  <w:tcW w:w="1001" w:type="dxa"/>
                  <w:vMerge w:val="continue"/>
                  <w:tcBorders>
                    <w:tl2br w:val="nil"/>
                    <w:tr2bl w:val="nil"/>
                  </w:tcBorders>
                  <w:vAlign w:val="center"/>
                </w:tcPr>
                <w:p w14:paraId="3EB5770B">
                  <w:pPr>
                    <w:tabs>
                      <w:tab w:val="right" w:pos="8906"/>
                    </w:tabs>
                    <w:adjustRightInd w:val="0"/>
                    <w:snapToGrid w:val="0"/>
                    <w:jc w:val="center"/>
                    <w:rPr>
                      <w:color w:val="auto"/>
                      <w:szCs w:val="21"/>
                    </w:rPr>
                  </w:pPr>
                </w:p>
              </w:tc>
            </w:tr>
            <w:tr w14:paraId="4CEC62D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5060411A">
                  <w:pPr>
                    <w:adjustRightInd w:val="0"/>
                    <w:snapToGrid w:val="0"/>
                    <w:jc w:val="center"/>
                    <w:rPr>
                      <w:color w:val="auto"/>
                      <w:szCs w:val="21"/>
                    </w:rPr>
                  </w:pPr>
                </w:p>
              </w:tc>
              <w:tc>
                <w:tcPr>
                  <w:tcW w:w="2080" w:type="dxa"/>
                  <w:vMerge w:val="continue"/>
                  <w:tcBorders>
                    <w:tl2br w:val="nil"/>
                    <w:tr2bl w:val="nil"/>
                  </w:tcBorders>
                  <w:vAlign w:val="center"/>
                </w:tcPr>
                <w:p w14:paraId="1F8B9F19">
                  <w:pPr>
                    <w:adjustRightInd w:val="0"/>
                    <w:snapToGrid w:val="0"/>
                    <w:jc w:val="center"/>
                    <w:rPr>
                      <w:color w:val="auto"/>
                      <w:szCs w:val="21"/>
                    </w:rPr>
                  </w:pPr>
                </w:p>
              </w:tc>
              <w:tc>
                <w:tcPr>
                  <w:tcW w:w="1554" w:type="dxa"/>
                  <w:vMerge w:val="continue"/>
                  <w:tcBorders>
                    <w:tl2br w:val="nil"/>
                    <w:tr2bl w:val="nil"/>
                  </w:tcBorders>
                  <w:vAlign w:val="center"/>
                </w:tcPr>
                <w:p w14:paraId="50F3764C">
                  <w:pPr>
                    <w:adjustRightInd w:val="0"/>
                    <w:snapToGrid w:val="0"/>
                    <w:jc w:val="center"/>
                    <w:rPr>
                      <w:color w:val="auto"/>
                      <w:szCs w:val="21"/>
                    </w:rPr>
                  </w:pPr>
                </w:p>
              </w:tc>
              <w:tc>
                <w:tcPr>
                  <w:tcW w:w="1072" w:type="dxa"/>
                  <w:tcBorders>
                    <w:tl2br w:val="nil"/>
                    <w:tr2bl w:val="nil"/>
                  </w:tcBorders>
                  <w:vAlign w:val="center"/>
                </w:tcPr>
                <w:p w14:paraId="777BDE0F">
                  <w:pPr>
                    <w:tabs>
                      <w:tab w:val="right" w:pos="8906"/>
                    </w:tabs>
                    <w:adjustRightInd w:val="0"/>
                    <w:snapToGrid w:val="0"/>
                    <w:jc w:val="center"/>
                    <w:rPr>
                      <w:color w:val="auto"/>
                      <w:szCs w:val="21"/>
                    </w:rPr>
                  </w:pPr>
                  <w:r>
                    <w:rPr>
                      <w:color w:val="auto"/>
                      <w:szCs w:val="21"/>
                    </w:rPr>
                    <w:t>230</w:t>
                  </w:r>
                </w:p>
              </w:tc>
              <w:tc>
                <w:tcPr>
                  <w:tcW w:w="2080" w:type="dxa"/>
                  <w:vMerge w:val="continue"/>
                  <w:tcBorders>
                    <w:tl2br w:val="nil"/>
                    <w:tr2bl w:val="nil"/>
                  </w:tcBorders>
                  <w:vAlign w:val="center"/>
                </w:tcPr>
                <w:p w14:paraId="70FC6F45">
                  <w:pPr>
                    <w:tabs>
                      <w:tab w:val="right" w:pos="8906"/>
                    </w:tabs>
                    <w:adjustRightInd w:val="0"/>
                    <w:snapToGrid w:val="0"/>
                    <w:jc w:val="center"/>
                    <w:rPr>
                      <w:color w:val="auto"/>
                      <w:szCs w:val="21"/>
                    </w:rPr>
                  </w:pPr>
                </w:p>
              </w:tc>
              <w:tc>
                <w:tcPr>
                  <w:tcW w:w="1001" w:type="dxa"/>
                  <w:vMerge w:val="continue"/>
                  <w:tcBorders>
                    <w:tl2br w:val="nil"/>
                    <w:tr2bl w:val="nil"/>
                  </w:tcBorders>
                  <w:vAlign w:val="center"/>
                </w:tcPr>
                <w:p w14:paraId="7C035C1F">
                  <w:pPr>
                    <w:tabs>
                      <w:tab w:val="right" w:pos="8906"/>
                    </w:tabs>
                    <w:adjustRightInd w:val="0"/>
                    <w:snapToGrid w:val="0"/>
                    <w:jc w:val="center"/>
                    <w:rPr>
                      <w:color w:val="auto"/>
                      <w:szCs w:val="21"/>
                    </w:rPr>
                  </w:pPr>
                </w:p>
              </w:tc>
            </w:tr>
            <w:tr w14:paraId="662F676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12896822">
                  <w:pPr>
                    <w:adjustRightInd w:val="0"/>
                    <w:snapToGrid w:val="0"/>
                    <w:jc w:val="center"/>
                    <w:rPr>
                      <w:color w:val="auto"/>
                      <w:szCs w:val="21"/>
                    </w:rPr>
                  </w:pPr>
                </w:p>
              </w:tc>
              <w:tc>
                <w:tcPr>
                  <w:tcW w:w="2080" w:type="dxa"/>
                  <w:vMerge w:val="continue"/>
                  <w:tcBorders>
                    <w:tl2br w:val="nil"/>
                    <w:tr2bl w:val="nil"/>
                  </w:tcBorders>
                  <w:vAlign w:val="center"/>
                </w:tcPr>
                <w:p w14:paraId="19226102">
                  <w:pPr>
                    <w:adjustRightInd w:val="0"/>
                    <w:snapToGrid w:val="0"/>
                    <w:jc w:val="center"/>
                    <w:rPr>
                      <w:color w:val="auto"/>
                      <w:szCs w:val="21"/>
                    </w:rPr>
                  </w:pPr>
                </w:p>
              </w:tc>
              <w:tc>
                <w:tcPr>
                  <w:tcW w:w="1554" w:type="dxa"/>
                  <w:vMerge w:val="continue"/>
                  <w:tcBorders>
                    <w:tl2br w:val="nil"/>
                    <w:tr2bl w:val="nil"/>
                  </w:tcBorders>
                  <w:vAlign w:val="center"/>
                </w:tcPr>
                <w:p w14:paraId="78C88984">
                  <w:pPr>
                    <w:adjustRightInd w:val="0"/>
                    <w:snapToGrid w:val="0"/>
                    <w:jc w:val="center"/>
                    <w:rPr>
                      <w:color w:val="auto"/>
                      <w:szCs w:val="21"/>
                    </w:rPr>
                  </w:pPr>
                </w:p>
              </w:tc>
              <w:tc>
                <w:tcPr>
                  <w:tcW w:w="1072" w:type="dxa"/>
                  <w:tcBorders>
                    <w:tl2br w:val="nil"/>
                    <w:tr2bl w:val="nil"/>
                  </w:tcBorders>
                  <w:vAlign w:val="center"/>
                </w:tcPr>
                <w:p w14:paraId="14A58EA9">
                  <w:pPr>
                    <w:tabs>
                      <w:tab w:val="right" w:pos="8906"/>
                    </w:tabs>
                    <w:adjustRightInd w:val="0"/>
                    <w:snapToGrid w:val="0"/>
                    <w:jc w:val="center"/>
                    <w:rPr>
                      <w:color w:val="auto"/>
                      <w:szCs w:val="21"/>
                    </w:rPr>
                  </w:pPr>
                  <w:r>
                    <w:rPr>
                      <w:color w:val="auto"/>
                      <w:szCs w:val="21"/>
                    </w:rPr>
                    <w:t>220</w:t>
                  </w:r>
                </w:p>
              </w:tc>
              <w:tc>
                <w:tcPr>
                  <w:tcW w:w="2080" w:type="dxa"/>
                  <w:vMerge w:val="continue"/>
                  <w:tcBorders>
                    <w:tl2br w:val="nil"/>
                    <w:tr2bl w:val="nil"/>
                  </w:tcBorders>
                  <w:vAlign w:val="center"/>
                </w:tcPr>
                <w:p w14:paraId="2082CB1C">
                  <w:pPr>
                    <w:tabs>
                      <w:tab w:val="right" w:pos="8906"/>
                    </w:tabs>
                    <w:adjustRightInd w:val="0"/>
                    <w:snapToGrid w:val="0"/>
                    <w:jc w:val="center"/>
                    <w:rPr>
                      <w:color w:val="auto"/>
                      <w:szCs w:val="21"/>
                    </w:rPr>
                  </w:pPr>
                </w:p>
              </w:tc>
              <w:tc>
                <w:tcPr>
                  <w:tcW w:w="1001" w:type="dxa"/>
                  <w:vMerge w:val="continue"/>
                  <w:tcBorders>
                    <w:tl2br w:val="nil"/>
                    <w:tr2bl w:val="nil"/>
                  </w:tcBorders>
                  <w:vAlign w:val="center"/>
                </w:tcPr>
                <w:p w14:paraId="3A9DBAF6">
                  <w:pPr>
                    <w:tabs>
                      <w:tab w:val="right" w:pos="8906"/>
                    </w:tabs>
                    <w:adjustRightInd w:val="0"/>
                    <w:snapToGrid w:val="0"/>
                    <w:jc w:val="center"/>
                    <w:rPr>
                      <w:color w:val="auto"/>
                      <w:szCs w:val="21"/>
                    </w:rPr>
                  </w:pPr>
                </w:p>
              </w:tc>
            </w:tr>
            <w:tr w14:paraId="57A6188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3970486F">
                  <w:pPr>
                    <w:adjustRightInd w:val="0"/>
                    <w:snapToGrid w:val="0"/>
                    <w:jc w:val="center"/>
                    <w:rPr>
                      <w:color w:val="auto"/>
                      <w:szCs w:val="21"/>
                    </w:rPr>
                  </w:pPr>
                </w:p>
              </w:tc>
              <w:tc>
                <w:tcPr>
                  <w:tcW w:w="2080" w:type="dxa"/>
                  <w:vMerge w:val="restart"/>
                  <w:tcBorders>
                    <w:tl2br w:val="nil"/>
                    <w:tr2bl w:val="nil"/>
                  </w:tcBorders>
                  <w:vAlign w:val="center"/>
                </w:tcPr>
                <w:p w14:paraId="34DDD7C0">
                  <w:pPr>
                    <w:adjustRightInd w:val="0"/>
                    <w:snapToGrid w:val="0"/>
                    <w:jc w:val="center"/>
                    <w:rPr>
                      <w:color w:val="auto"/>
                      <w:szCs w:val="21"/>
                    </w:rPr>
                  </w:pPr>
                  <w:r>
                    <w:rPr>
                      <w:color w:val="auto"/>
                      <w:szCs w:val="21"/>
                    </w:rPr>
                    <w:t>2021-</w:t>
                  </w:r>
                  <w:r>
                    <w:rPr>
                      <w:rFonts w:hint="eastAsia"/>
                      <w:color w:val="auto"/>
                      <w:szCs w:val="21"/>
                    </w:rPr>
                    <w:t>6</w:t>
                  </w:r>
                  <w:r>
                    <w:rPr>
                      <w:color w:val="auto"/>
                      <w:szCs w:val="21"/>
                    </w:rPr>
                    <w:t>-</w:t>
                  </w:r>
                  <w:r>
                    <w:rPr>
                      <w:rFonts w:hint="eastAsia"/>
                      <w:color w:val="auto"/>
                      <w:szCs w:val="21"/>
                    </w:rPr>
                    <w:t>28~2021-6-29</w:t>
                  </w:r>
                </w:p>
              </w:tc>
              <w:tc>
                <w:tcPr>
                  <w:tcW w:w="1554" w:type="dxa"/>
                  <w:tcBorders>
                    <w:tl2br w:val="nil"/>
                    <w:tr2bl w:val="nil"/>
                  </w:tcBorders>
                  <w:vAlign w:val="center"/>
                </w:tcPr>
                <w:p w14:paraId="77C1A380">
                  <w:pPr>
                    <w:adjustRightInd w:val="0"/>
                    <w:snapToGrid w:val="0"/>
                    <w:jc w:val="center"/>
                    <w:rPr>
                      <w:color w:val="auto"/>
                      <w:szCs w:val="21"/>
                    </w:rPr>
                  </w:pPr>
                  <w:r>
                    <w:rPr>
                      <w:rFonts w:hint="eastAsia"/>
                      <w:color w:val="auto"/>
                      <w:szCs w:val="21"/>
                    </w:rPr>
                    <w:t>78</w:t>
                  </w:r>
                </w:p>
              </w:tc>
              <w:tc>
                <w:tcPr>
                  <w:tcW w:w="1072" w:type="dxa"/>
                  <w:tcBorders>
                    <w:tl2br w:val="nil"/>
                    <w:tr2bl w:val="nil"/>
                  </w:tcBorders>
                  <w:vAlign w:val="center"/>
                </w:tcPr>
                <w:p w14:paraId="3FA506AA">
                  <w:pPr>
                    <w:tabs>
                      <w:tab w:val="right" w:pos="8906"/>
                    </w:tabs>
                    <w:adjustRightInd w:val="0"/>
                    <w:snapToGrid w:val="0"/>
                    <w:jc w:val="center"/>
                    <w:rPr>
                      <w:color w:val="auto"/>
                      <w:szCs w:val="21"/>
                    </w:rPr>
                  </w:pPr>
                  <w:r>
                    <w:rPr>
                      <w:color w:val="auto"/>
                      <w:szCs w:val="21"/>
                    </w:rPr>
                    <w:t>218</w:t>
                  </w:r>
                </w:p>
              </w:tc>
              <w:tc>
                <w:tcPr>
                  <w:tcW w:w="2080" w:type="dxa"/>
                  <w:vMerge w:val="restart"/>
                  <w:tcBorders>
                    <w:tl2br w:val="nil"/>
                    <w:tr2bl w:val="nil"/>
                  </w:tcBorders>
                  <w:vAlign w:val="center"/>
                </w:tcPr>
                <w:p w14:paraId="6E96EA85">
                  <w:pPr>
                    <w:autoSpaceDN w:val="0"/>
                    <w:adjustRightInd w:val="0"/>
                    <w:snapToGrid w:val="0"/>
                    <w:jc w:val="center"/>
                    <w:textAlignment w:val="center"/>
                    <w:rPr>
                      <w:color w:val="auto"/>
                      <w:szCs w:val="21"/>
                    </w:rPr>
                  </w:pPr>
                  <w:r>
                    <w:rPr>
                      <w:rFonts w:hint="eastAsia"/>
                      <w:color w:val="auto"/>
                      <w:szCs w:val="21"/>
                    </w:rPr>
                    <w:t>2</w:t>
                  </w:r>
                  <w:r>
                    <w:rPr>
                      <w:color w:val="auto"/>
                      <w:szCs w:val="21"/>
                    </w:rPr>
                    <w:t>021-</w:t>
                  </w:r>
                  <w:r>
                    <w:rPr>
                      <w:rFonts w:hint="eastAsia"/>
                      <w:color w:val="auto"/>
                      <w:szCs w:val="21"/>
                    </w:rPr>
                    <w:t>9</w:t>
                  </w:r>
                  <w:r>
                    <w:rPr>
                      <w:color w:val="auto"/>
                      <w:szCs w:val="21"/>
                    </w:rPr>
                    <w:t>-</w:t>
                  </w:r>
                  <w:r>
                    <w:rPr>
                      <w:rFonts w:hint="eastAsia"/>
                      <w:color w:val="auto"/>
                      <w:szCs w:val="21"/>
                    </w:rPr>
                    <w:t>26~2021-9-27</w:t>
                  </w:r>
                </w:p>
              </w:tc>
              <w:tc>
                <w:tcPr>
                  <w:tcW w:w="1001" w:type="dxa"/>
                  <w:tcBorders>
                    <w:tl2br w:val="nil"/>
                    <w:tr2bl w:val="nil"/>
                  </w:tcBorders>
                  <w:vAlign w:val="center"/>
                </w:tcPr>
                <w:p w14:paraId="3129BF2B">
                  <w:pPr>
                    <w:tabs>
                      <w:tab w:val="right" w:pos="8906"/>
                    </w:tabs>
                    <w:adjustRightInd w:val="0"/>
                    <w:snapToGrid w:val="0"/>
                    <w:jc w:val="center"/>
                    <w:rPr>
                      <w:color w:val="auto"/>
                      <w:szCs w:val="21"/>
                    </w:rPr>
                  </w:pPr>
                  <w:r>
                    <w:rPr>
                      <w:rFonts w:hint="eastAsia"/>
                      <w:color w:val="auto"/>
                      <w:szCs w:val="21"/>
                    </w:rPr>
                    <w:t>26</w:t>
                  </w:r>
                </w:p>
              </w:tc>
            </w:tr>
            <w:tr w14:paraId="5AE70CE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36F7CB48">
                  <w:pPr>
                    <w:adjustRightInd w:val="0"/>
                    <w:snapToGrid w:val="0"/>
                    <w:jc w:val="center"/>
                    <w:rPr>
                      <w:color w:val="auto"/>
                      <w:szCs w:val="21"/>
                    </w:rPr>
                  </w:pPr>
                </w:p>
              </w:tc>
              <w:tc>
                <w:tcPr>
                  <w:tcW w:w="2080" w:type="dxa"/>
                  <w:vMerge w:val="continue"/>
                  <w:tcBorders>
                    <w:tl2br w:val="nil"/>
                    <w:tr2bl w:val="nil"/>
                  </w:tcBorders>
                  <w:vAlign w:val="center"/>
                </w:tcPr>
                <w:p w14:paraId="161CA791">
                  <w:pPr>
                    <w:adjustRightInd w:val="0"/>
                    <w:snapToGrid w:val="0"/>
                    <w:jc w:val="center"/>
                    <w:rPr>
                      <w:color w:val="auto"/>
                      <w:szCs w:val="21"/>
                    </w:rPr>
                  </w:pPr>
                </w:p>
              </w:tc>
              <w:tc>
                <w:tcPr>
                  <w:tcW w:w="1554" w:type="dxa"/>
                  <w:vMerge w:val="restart"/>
                  <w:tcBorders>
                    <w:tl2br w:val="nil"/>
                    <w:tr2bl w:val="nil"/>
                  </w:tcBorders>
                  <w:vAlign w:val="center"/>
                </w:tcPr>
                <w:p w14:paraId="675C2E57">
                  <w:pPr>
                    <w:adjustRightInd w:val="0"/>
                    <w:snapToGrid w:val="0"/>
                    <w:jc w:val="center"/>
                    <w:rPr>
                      <w:color w:val="auto"/>
                      <w:szCs w:val="21"/>
                    </w:rPr>
                  </w:pPr>
                  <w:r>
                    <w:rPr>
                      <w:color w:val="auto"/>
                      <w:szCs w:val="21"/>
                    </w:rPr>
                    <w:t>/</w:t>
                  </w:r>
                </w:p>
              </w:tc>
              <w:tc>
                <w:tcPr>
                  <w:tcW w:w="1072" w:type="dxa"/>
                  <w:tcBorders>
                    <w:tl2br w:val="nil"/>
                    <w:tr2bl w:val="nil"/>
                  </w:tcBorders>
                  <w:vAlign w:val="center"/>
                </w:tcPr>
                <w:p w14:paraId="32B6228D">
                  <w:pPr>
                    <w:tabs>
                      <w:tab w:val="right" w:pos="8906"/>
                    </w:tabs>
                    <w:adjustRightInd w:val="0"/>
                    <w:snapToGrid w:val="0"/>
                    <w:jc w:val="center"/>
                    <w:rPr>
                      <w:color w:val="auto"/>
                      <w:szCs w:val="21"/>
                    </w:rPr>
                  </w:pPr>
                  <w:r>
                    <w:rPr>
                      <w:color w:val="auto"/>
                      <w:szCs w:val="21"/>
                    </w:rPr>
                    <w:t>224</w:t>
                  </w:r>
                </w:p>
              </w:tc>
              <w:tc>
                <w:tcPr>
                  <w:tcW w:w="2080" w:type="dxa"/>
                  <w:vMerge w:val="continue"/>
                  <w:tcBorders>
                    <w:tl2br w:val="nil"/>
                    <w:tr2bl w:val="nil"/>
                  </w:tcBorders>
                  <w:vAlign w:val="center"/>
                </w:tcPr>
                <w:p w14:paraId="2CB48070">
                  <w:pPr>
                    <w:tabs>
                      <w:tab w:val="right" w:pos="8906"/>
                    </w:tabs>
                    <w:adjustRightInd w:val="0"/>
                    <w:snapToGrid w:val="0"/>
                    <w:jc w:val="center"/>
                    <w:rPr>
                      <w:color w:val="auto"/>
                      <w:szCs w:val="21"/>
                    </w:rPr>
                  </w:pPr>
                </w:p>
              </w:tc>
              <w:tc>
                <w:tcPr>
                  <w:tcW w:w="1001" w:type="dxa"/>
                  <w:vMerge w:val="restart"/>
                  <w:tcBorders>
                    <w:tl2br w:val="nil"/>
                    <w:tr2bl w:val="nil"/>
                  </w:tcBorders>
                  <w:vAlign w:val="center"/>
                </w:tcPr>
                <w:p w14:paraId="77D3A7B6">
                  <w:pPr>
                    <w:tabs>
                      <w:tab w:val="right" w:pos="8906"/>
                    </w:tabs>
                    <w:adjustRightInd w:val="0"/>
                    <w:snapToGrid w:val="0"/>
                    <w:jc w:val="center"/>
                    <w:rPr>
                      <w:color w:val="auto"/>
                      <w:szCs w:val="21"/>
                    </w:rPr>
                  </w:pPr>
                  <w:r>
                    <w:rPr>
                      <w:color w:val="auto"/>
                      <w:szCs w:val="21"/>
                    </w:rPr>
                    <w:t>/</w:t>
                  </w:r>
                </w:p>
              </w:tc>
            </w:tr>
            <w:tr w14:paraId="2775430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0DCDCAEE">
                  <w:pPr>
                    <w:adjustRightInd w:val="0"/>
                    <w:snapToGrid w:val="0"/>
                    <w:jc w:val="center"/>
                    <w:rPr>
                      <w:color w:val="auto"/>
                      <w:szCs w:val="21"/>
                    </w:rPr>
                  </w:pPr>
                </w:p>
              </w:tc>
              <w:tc>
                <w:tcPr>
                  <w:tcW w:w="2080" w:type="dxa"/>
                  <w:vMerge w:val="continue"/>
                  <w:tcBorders>
                    <w:tl2br w:val="nil"/>
                    <w:tr2bl w:val="nil"/>
                  </w:tcBorders>
                  <w:vAlign w:val="center"/>
                </w:tcPr>
                <w:p w14:paraId="0E1CC603">
                  <w:pPr>
                    <w:adjustRightInd w:val="0"/>
                    <w:snapToGrid w:val="0"/>
                    <w:jc w:val="center"/>
                    <w:rPr>
                      <w:color w:val="auto"/>
                      <w:szCs w:val="21"/>
                    </w:rPr>
                  </w:pPr>
                </w:p>
              </w:tc>
              <w:tc>
                <w:tcPr>
                  <w:tcW w:w="1554" w:type="dxa"/>
                  <w:vMerge w:val="continue"/>
                  <w:tcBorders>
                    <w:tl2br w:val="nil"/>
                    <w:tr2bl w:val="nil"/>
                  </w:tcBorders>
                  <w:vAlign w:val="center"/>
                </w:tcPr>
                <w:p w14:paraId="27FB52A6">
                  <w:pPr>
                    <w:adjustRightInd w:val="0"/>
                    <w:snapToGrid w:val="0"/>
                    <w:jc w:val="center"/>
                    <w:rPr>
                      <w:color w:val="auto"/>
                      <w:szCs w:val="21"/>
                    </w:rPr>
                  </w:pPr>
                </w:p>
              </w:tc>
              <w:tc>
                <w:tcPr>
                  <w:tcW w:w="1072" w:type="dxa"/>
                  <w:tcBorders>
                    <w:tl2br w:val="nil"/>
                    <w:tr2bl w:val="nil"/>
                  </w:tcBorders>
                  <w:vAlign w:val="center"/>
                </w:tcPr>
                <w:p w14:paraId="205768E3">
                  <w:pPr>
                    <w:tabs>
                      <w:tab w:val="right" w:pos="8906"/>
                    </w:tabs>
                    <w:adjustRightInd w:val="0"/>
                    <w:snapToGrid w:val="0"/>
                    <w:jc w:val="center"/>
                    <w:rPr>
                      <w:color w:val="auto"/>
                      <w:szCs w:val="21"/>
                    </w:rPr>
                  </w:pPr>
                  <w:r>
                    <w:rPr>
                      <w:color w:val="auto"/>
                      <w:szCs w:val="21"/>
                    </w:rPr>
                    <w:t>224</w:t>
                  </w:r>
                </w:p>
              </w:tc>
              <w:tc>
                <w:tcPr>
                  <w:tcW w:w="2080" w:type="dxa"/>
                  <w:vMerge w:val="continue"/>
                  <w:tcBorders>
                    <w:tl2br w:val="nil"/>
                    <w:tr2bl w:val="nil"/>
                  </w:tcBorders>
                  <w:vAlign w:val="center"/>
                </w:tcPr>
                <w:p w14:paraId="68555220">
                  <w:pPr>
                    <w:tabs>
                      <w:tab w:val="right" w:pos="8906"/>
                    </w:tabs>
                    <w:adjustRightInd w:val="0"/>
                    <w:snapToGrid w:val="0"/>
                    <w:jc w:val="center"/>
                    <w:rPr>
                      <w:color w:val="auto"/>
                      <w:szCs w:val="21"/>
                    </w:rPr>
                  </w:pPr>
                </w:p>
              </w:tc>
              <w:tc>
                <w:tcPr>
                  <w:tcW w:w="1001" w:type="dxa"/>
                  <w:vMerge w:val="continue"/>
                  <w:tcBorders>
                    <w:tl2br w:val="nil"/>
                    <w:tr2bl w:val="nil"/>
                  </w:tcBorders>
                  <w:vAlign w:val="center"/>
                </w:tcPr>
                <w:p w14:paraId="0CD334D3">
                  <w:pPr>
                    <w:tabs>
                      <w:tab w:val="right" w:pos="8906"/>
                    </w:tabs>
                    <w:adjustRightInd w:val="0"/>
                    <w:snapToGrid w:val="0"/>
                    <w:jc w:val="center"/>
                    <w:rPr>
                      <w:color w:val="auto"/>
                      <w:szCs w:val="21"/>
                    </w:rPr>
                  </w:pPr>
                </w:p>
              </w:tc>
            </w:tr>
            <w:tr w14:paraId="7939820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5B2E01C7">
                  <w:pPr>
                    <w:adjustRightInd w:val="0"/>
                    <w:snapToGrid w:val="0"/>
                    <w:jc w:val="center"/>
                    <w:rPr>
                      <w:color w:val="auto"/>
                      <w:szCs w:val="21"/>
                    </w:rPr>
                  </w:pPr>
                </w:p>
              </w:tc>
              <w:tc>
                <w:tcPr>
                  <w:tcW w:w="2080" w:type="dxa"/>
                  <w:vMerge w:val="continue"/>
                  <w:tcBorders>
                    <w:tl2br w:val="nil"/>
                    <w:tr2bl w:val="nil"/>
                  </w:tcBorders>
                  <w:vAlign w:val="center"/>
                </w:tcPr>
                <w:p w14:paraId="70164D30">
                  <w:pPr>
                    <w:adjustRightInd w:val="0"/>
                    <w:snapToGrid w:val="0"/>
                    <w:jc w:val="center"/>
                    <w:rPr>
                      <w:color w:val="auto"/>
                      <w:szCs w:val="21"/>
                    </w:rPr>
                  </w:pPr>
                </w:p>
              </w:tc>
              <w:tc>
                <w:tcPr>
                  <w:tcW w:w="1554" w:type="dxa"/>
                  <w:vMerge w:val="continue"/>
                  <w:tcBorders>
                    <w:tl2br w:val="nil"/>
                    <w:tr2bl w:val="nil"/>
                  </w:tcBorders>
                  <w:vAlign w:val="center"/>
                </w:tcPr>
                <w:p w14:paraId="2A40FDC9">
                  <w:pPr>
                    <w:adjustRightInd w:val="0"/>
                    <w:snapToGrid w:val="0"/>
                    <w:jc w:val="center"/>
                    <w:rPr>
                      <w:color w:val="auto"/>
                      <w:szCs w:val="21"/>
                    </w:rPr>
                  </w:pPr>
                </w:p>
              </w:tc>
              <w:tc>
                <w:tcPr>
                  <w:tcW w:w="1072" w:type="dxa"/>
                  <w:tcBorders>
                    <w:tl2br w:val="nil"/>
                    <w:tr2bl w:val="nil"/>
                  </w:tcBorders>
                  <w:vAlign w:val="center"/>
                </w:tcPr>
                <w:p w14:paraId="689CFB5F">
                  <w:pPr>
                    <w:tabs>
                      <w:tab w:val="right" w:pos="8906"/>
                    </w:tabs>
                    <w:adjustRightInd w:val="0"/>
                    <w:snapToGrid w:val="0"/>
                    <w:jc w:val="center"/>
                    <w:rPr>
                      <w:color w:val="auto"/>
                      <w:szCs w:val="21"/>
                    </w:rPr>
                  </w:pPr>
                  <w:r>
                    <w:rPr>
                      <w:color w:val="auto"/>
                      <w:szCs w:val="21"/>
                    </w:rPr>
                    <w:t>232</w:t>
                  </w:r>
                </w:p>
              </w:tc>
              <w:tc>
                <w:tcPr>
                  <w:tcW w:w="2080" w:type="dxa"/>
                  <w:vMerge w:val="continue"/>
                  <w:tcBorders>
                    <w:tl2br w:val="nil"/>
                    <w:tr2bl w:val="nil"/>
                  </w:tcBorders>
                  <w:vAlign w:val="center"/>
                </w:tcPr>
                <w:p w14:paraId="7B7EF7C9">
                  <w:pPr>
                    <w:adjustRightInd w:val="0"/>
                    <w:snapToGrid w:val="0"/>
                    <w:jc w:val="center"/>
                    <w:rPr>
                      <w:color w:val="auto"/>
                      <w:szCs w:val="21"/>
                    </w:rPr>
                  </w:pPr>
                </w:p>
              </w:tc>
              <w:tc>
                <w:tcPr>
                  <w:tcW w:w="1001" w:type="dxa"/>
                  <w:vMerge w:val="continue"/>
                  <w:tcBorders>
                    <w:tl2br w:val="nil"/>
                    <w:tr2bl w:val="nil"/>
                  </w:tcBorders>
                  <w:vAlign w:val="center"/>
                </w:tcPr>
                <w:p w14:paraId="596A2647">
                  <w:pPr>
                    <w:tabs>
                      <w:tab w:val="right" w:pos="8906"/>
                    </w:tabs>
                    <w:adjustRightInd w:val="0"/>
                    <w:snapToGrid w:val="0"/>
                    <w:jc w:val="center"/>
                    <w:rPr>
                      <w:color w:val="auto"/>
                      <w:szCs w:val="21"/>
                    </w:rPr>
                  </w:pPr>
                </w:p>
              </w:tc>
            </w:tr>
            <w:tr w14:paraId="248B740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4F90E609">
                  <w:pPr>
                    <w:adjustRightInd w:val="0"/>
                    <w:snapToGrid w:val="0"/>
                    <w:jc w:val="center"/>
                    <w:rPr>
                      <w:color w:val="auto"/>
                      <w:szCs w:val="21"/>
                    </w:rPr>
                  </w:pPr>
                </w:p>
              </w:tc>
              <w:tc>
                <w:tcPr>
                  <w:tcW w:w="2080" w:type="dxa"/>
                  <w:vMerge w:val="continue"/>
                  <w:tcBorders>
                    <w:tl2br w:val="nil"/>
                    <w:tr2bl w:val="nil"/>
                  </w:tcBorders>
                  <w:vAlign w:val="center"/>
                </w:tcPr>
                <w:p w14:paraId="1714B1D2">
                  <w:pPr>
                    <w:adjustRightInd w:val="0"/>
                    <w:snapToGrid w:val="0"/>
                    <w:jc w:val="center"/>
                    <w:rPr>
                      <w:color w:val="auto"/>
                      <w:szCs w:val="21"/>
                    </w:rPr>
                  </w:pPr>
                </w:p>
              </w:tc>
              <w:tc>
                <w:tcPr>
                  <w:tcW w:w="1554" w:type="dxa"/>
                  <w:vMerge w:val="continue"/>
                  <w:tcBorders>
                    <w:tl2br w:val="nil"/>
                    <w:tr2bl w:val="nil"/>
                  </w:tcBorders>
                  <w:vAlign w:val="center"/>
                </w:tcPr>
                <w:p w14:paraId="643287C7">
                  <w:pPr>
                    <w:adjustRightInd w:val="0"/>
                    <w:snapToGrid w:val="0"/>
                    <w:jc w:val="center"/>
                    <w:rPr>
                      <w:color w:val="auto"/>
                      <w:szCs w:val="21"/>
                    </w:rPr>
                  </w:pPr>
                </w:p>
              </w:tc>
              <w:tc>
                <w:tcPr>
                  <w:tcW w:w="1072" w:type="dxa"/>
                  <w:tcBorders>
                    <w:tl2br w:val="nil"/>
                    <w:tr2bl w:val="nil"/>
                  </w:tcBorders>
                  <w:vAlign w:val="center"/>
                </w:tcPr>
                <w:p w14:paraId="5917FEF2">
                  <w:pPr>
                    <w:tabs>
                      <w:tab w:val="right" w:pos="8906"/>
                    </w:tabs>
                    <w:adjustRightInd w:val="0"/>
                    <w:snapToGrid w:val="0"/>
                    <w:jc w:val="center"/>
                    <w:rPr>
                      <w:color w:val="auto"/>
                      <w:szCs w:val="21"/>
                    </w:rPr>
                  </w:pPr>
                  <w:r>
                    <w:rPr>
                      <w:color w:val="auto"/>
                      <w:szCs w:val="21"/>
                    </w:rPr>
                    <w:t>221</w:t>
                  </w:r>
                </w:p>
              </w:tc>
              <w:tc>
                <w:tcPr>
                  <w:tcW w:w="2080" w:type="dxa"/>
                  <w:vMerge w:val="continue"/>
                  <w:tcBorders>
                    <w:tl2br w:val="nil"/>
                    <w:tr2bl w:val="nil"/>
                  </w:tcBorders>
                  <w:vAlign w:val="center"/>
                </w:tcPr>
                <w:p w14:paraId="769A95B7">
                  <w:pPr>
                    <w:adjustRightInd w:val="0"/>
                    <w:snapToGrid w:val="0"/>
                    <w:jc w:val="center"/>
                    <w:rPr>
                      <w:color w:val="auto"/>
                      <w:szCs w:val="21"/>
                    </w:rPr>
                  </w:pPr>
                </w:p>
              </w:tc>
              <w:tc>
                <w:tcPr>
                  <w:tcW w:w="1001" w:type="dxa"/>
                  <w:vMerge w:val="continue"/>
                  <w:tcBorders>
                    <w:tl2br w:val="nil"/>
                    <w:tr2bl w:val="nil"/>
                  </w:tcBorders>
                  <w:vAlign w:val="center"/>
                </w:tcPr>
                <w:p w14:paraId="3B37E6F5">
                  <w:pPr>
                    <w:tabs>
                      <w:tab w:val="right" w:pos="8906"/>
                    </w:tabs>
                    <w:adjustRightInd w:val="0"/>
                    <w:snapToGrid w:val="0"/>
                    <w:jc w:val="center"/>
                    <w:rPr>
                      <w:color w:val="auto"/>
                      <w:szCs w:val="21"/>
                    </w:rPr>
                  </w:pPr>
                </w:p>
              </w:tc>
            </w:tr>
            <w:tr w14:paraId="393E791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3F24435C">
                  <w:pPr>
                    <w:adjustRightInd w:val="0"/>
                    <w:snapToGrid w:val="0"/>
                    <w:jc w:val="center"/>
                    <w:rPr>
                      <w:color w:val="auto"/>
                      <w:szCs w:val="21"/>
                    </w:rPr>
                  </w:pPr>
                </w:p>
              </w:tc>
              <w:tc>
                <w:tcPr>
                  <w:tcW w:w="2080" w:type="dxa"/>
                  <w:vMerge w:val="continue"/>
                  <w:tcBorders>
                    <w:tl2br w:val="nil"/>
                    <w:tr2bl w:val="nil"/>
                  </w:tcBorders>
                  <w:vAlign w:val="center"/>
                </w:tcPr>
                <w:p w14:paraId="3A8D3DCA">
                  <w:pPr>
                    <w:adjustRightInd w:val="0"/>
                    <w:snapToGrid w:val="0"/>
                    <w:jc w:val="center"/>
                    <w:rPr>
                      <w:color w:val="auto"/>
                      <w:szCs w:val="21"/>
                    </w:rPr>
                  </w:pPr>
                </w:p>
              </w:tc>
              <w:tc>
                <w:tcPr>
                  <w:tcW w:w="1554" w:type="dxa"/>
                  <w:vMerge w:val="continue"/>
                  <w:tcBorders>
                    <w:tl2br w:val="nil"/>
                    <w:tr2bl w:val="nil"/>
                  </w:tcBorders>
                  <w:vAlign w:val="center"/>
                </w:tcPr>
                <w:p w14:paraId="434BCE29">
                  <w:pPr>
                    <w:adjustRightInd w:val="0"/>
                    <w:snapToGrid w:val="0"/>
                    <w:jc w:val="center"/>
                    <w:rPr>
                      <w:color w:val="auto"/>
                      <w:szCs w:val="21"/>
                    </w:rPr>
                  </w:pPr>
                </w:p>
              </w:tc>
              <w:tc>
                <w:tcPr>
                  <w:tcW w:w="1072" w:type="dxa"/>
                  <w:tcBorders>
                    <w:tl2br w:val="nil"/>
                    <w:tr2bl w:val="nil"/>
                  </w:tcBorders>
                  <w:vAlign w:val="center"/>
                </w:tcPr>
                <w:p w14:paraId="5FC92849">
                  <w:pPr>
                    <w:tabs>
                      <w:tab w:val="right" w:pos="8906"/>
                    </w:tabs>
                    <w:adjustRightInd w:val="0"/>
                    <w:snapToGrid w:val="0"/>
                    <w:jc w:val="center"/>
                    <w:rPr>
                      <w:color w:val="auto"/>
                      <w:szCs w:val="21"/>
                    </w:rPr>
                  </w:pPr>
                  <w:r>
                    <w:rPr>
                      <w:color w:val="auto"/>
                      <w:szCs w:val="21"/>
                    </w:rPr>
                    <w:t>218</w:t>
                  </w:r>
                </w:p>
              </w:tc>
              <w:tc>
                <w:tcPr>
                  <w:tcW w:w="2080" w:type="dxa"/>
                  <w:vMerge w:val="continue"/>
                  <w:tcBorders>
                    <w:tl2br w:val="nil"/>
                    <w:tr2bl w:val="nil"/>
                  </w:tcBorders>
                  <w:vAlign w:val="center"/>
                </w:tcPr>
                <w:p w14:paraId="2332DFA3">
                  <w:pPr>
                    <w:adjustRightInd w:val="0"/>
                    <w:snapToGrid w:val="0"/>
                    <w:jc w:val="center"/>
                    <w:rPr>
                      <w:color w:val="auto"/>
                      <w:szCs w:val="21"/>
                    </w:rPr>
                  </w:pPr>
                </w:p>
              </w:tc>
              <w:tc>
                <w:tcPr>
                  <w:tcW w:w="1001" w:type="dxa"/>
                  <w:vMerge w:val="continue"/>
                  <w:tcBorders>
                    <w:tl2br w:val="nil"/>
                    <w:tr2bl w:val="nil"/>
                  </w:tcBorders>
                  <w:vAlign w:val="center"/>
                </w:tcPr>
                <w:p w14:paraId="7681819E">
                  <w:pPr>
                    <w:tabs>
                      <w:tab w:val="right" w:pos="8906"/>
                    </w:tabs>
                    <w:adjustRightInd w:val="0"/>
                    <w:snapToGrid w:val="0"/>
                    <w:jc w:val="center"/>
                    <w:rPr>
                      <w:color w:val="auto"/>
                      <w:szCs w:val="21"/>
                    </w:rPr>
                  </w:pPr>
                </w:p>
              </w:tc>
            </w:tr>
            <w:tr w14:paraId="46F4CD2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3FE58204">
                  <w:pPr>
                    <w:adjustRightInd w:val="0"/>
                    <w:snapToGrid w:val="0"/>
                    <w:jc w:val="center"/>
                    <w:rPr>
                      <w:color w:val="auto"/>
                      <w:szCs w:val="21"/>
                    </w:rPr>
                  </w:pPr>
                </w:p>
              </w:tc>
              <w:tc>
                <w:tcPr>
                  <w:tcW w:w="2080" w:type="dxa"/>
                  <w:vMerge w:val="continue"/>
                  <w:tcBorders>
                    <w:tl2br w:val="nil"/>
                    <w:tr2bl w:val="nil"/>
                  </w:tcBorders>
                  <w:vAlign w:val="center"/>
                </w:tcPr>
                <w:p w14:paraId="32BA098C">
                  <w:pPr>
                    <w:adjustRightInd w:val="0"/>
                    <w:snapToGrid w:val="0"/>
                    <w:jc w:val="center"/>
                    <w:rPr>
                      <w:color w:val="auto"/>
                      <w:szCs w:val="21"/>
                    </w:rPr>
                  </w:pPr>
                </w:p>
              </w:tc>
              <w:tc>
                <w:tcPr>
                  <w:tcW w:w="1554" w:type="dxa"/>
                  <w:vMerge w:val="continue"/>
                  <w:tcBorders>
                    <w:tl2br w:val="nil"/>
                    <w:tr2bl w:val="nil"/>
                  </w:tcBorders>
                  <w:vAlign w:val="center"/>
                </w:tcPr>
                <w:p w14:paraId="04FA264C">
                  <w:pPr>
                    <w:adjustRightInd w:val="0"/>
                    <w:snapToGrid w:val="0"/>
                    <w:jc w:val="center"/>
                    <w:rPr>
                      <w:color w:val="auto"/>
                      <w:szCs w:val="21"/>
                    </w:rPr>
                  </w:pPr>
                </w:p>
              </w:tc>
              <w:tc>
                <w:tcPr>
                  <w:tcW w:w="1072" w:type="dxa"/>
                  <w:tcBorders>
                    <w:tl2br w:val="nil"/>
                    <w:tr2bl w:val="nil"/>
                  </w:tcBorders>
                  <w:vAlign w:val="center"/>
                </w:tcPr>
                <w:p w14:paraId="63017E0B">
                  <w:pPr>
                    <w:tabs>
                      <w:tab w:val="right" w:pos="8906"/>
                    </w:tabs>
                    <w:adjustRightInd w:val="0"/>
                    <w:snapToGrid w:val="0"/>
                    <w:jc w:val="center"/>
                    <w:rPr>
                      <w:color w:val="auto"/>
                      <w:szCs w:val="21"/>
                    </w:rPr>
                  </w:pPr>
                  <w:r>
                    <w:rPr>
                      <w:color w:val="auto"/>
                      <w:szCs w:val="21"/>
                    </w:rPr>
                    <w:t>238</w:t>
                  </w:r>
                </w:p>
              </w:tc>
              <w:tc>
                <w:tcPr>
                  <w:tcW w:w="2080" w:type="dxa"/>
                  <w:vMerge w:val="continue"/>
                  <w:tcBorders>
                    <w:tl2br w:val="nil"/>
                    <w:tr2bl w:val="nil"/>
                  </w:tcBorders>
                  <w:vAlign w:val="center"/>
                </w:tcPr>
                <w:p w14:paraId="113BA43A">
                  <w:pPr>
                    <w:adjustRightInd w:val="0"/>
                    <w:snapToGrid w:val="0"/>
                    <w:jc w:val="center"/>
                    <w:rPr>
                      <w:color w:val="auto"/>
                      <w:szCs w:val="21"/>
                    </w:rPr>
                  </w:pPr>
                </w:p>
              </w:tc>
              <w:tc>
                <w:tcPr>
                  <w:tcW w:w="1001" w:type="dxa"/>
                  <w:vMerge w:val="continue"/>
                  <w:tcBorders>
                    <w:tl2br w:val="nil"/>
                    <w:tr2bl w:val="nil"/>
                  </w:tcBorders>
                  <w:vAlign w:val="center"/>
                </w:tcPr>
                <w:p w14:paraId="29668134">
                  <w:pPr>
                    <w:tabs>
                      <w:tab w:val="right" w:pos="8906"/>
                    </w:tabs>
                    <w:adjustRightInd w:val="0"/>
                    <w:snapToGrid w:val="0"/>
                    <w:jc w:val="center"/>
                    <w:rPr>
                      <w:color w:val="auto"/>
                      <w:szCs w:val="21"/>
                    </w:rPr>
                  </w:pPr>
                </w:p>
              </w:tc>
            </w:tr>
            <w:tr w14:paraId="35F1F08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14:paraId="3AFE2238">
                  <w:pPr>
                    <w:adjustRightInd w:val="0"/>
                    <w:snapToGrid w:val="0"/>
                    <w:jc w:val="center"/>
                    <w:rPr>
                      <w:color w:val="auto"/>
                      <w:szCs w:val="21"/>
                    </w:rPr>
                  </w:pPr>
                </w:p>
              </w:tc>
              <w:tc>
                <w:tcPr>
                  <w:tcW w:w="2080" w:type="dxa"/>
                  <w:vMerge w:val="continue"/>
                  <w:tcBorders>
                    <w:tl2br w:val="nil"/>
                    <w:tr2bl w:val="nil"/>
                  </w:tcBorders>
                  <w:vAlign w:val="center"/>
                </w:tcPr>
                <w:p w14:paraId="2AEC053D">
                  <w:pPr>
                    <w:adjustRightInd w:val="0"/>
                    <w:snapToGrid w:val="0"/>
                    <w:jc w:val="center"/>
                    <w:rPr>
                      <w:color w:val="auto"/>
                      <w:szCs w:val="21"/>
                    </w:rPr>
                  </w:pPr>
                </w:p>
              </w:tc>
              <w:tc>
                <w:tcPr>
                  <w:tcW w:w="1554" w:type="dxa"/>
                  <w:vMerge w:val="continue"/>
                  <w:tcBorders>
                    <w:tl2br w:val="nil"/>
                    <w:tr2bl w:val="nil"/>
                  </w:tcBorders>
                  <w:vAlign w:val="center"/>
                </w:tcPr>
                <w:p w14:paraId="2B6DD099">
                  <w:pPr>
                    <w:adjustRightInd w:val="0"/>
                    <w:snapToGrid w:val="0"/>
                    <w:jc w:val="center"/>
                    <w:rPr>
                      <w:color w:val="auto"/>
                      <w:szCs w:val="21"/>
                    </w:rPr>
                  </w:pPr>
                </w:p>
              </w:tc>
              <w:tc>
                <w:tcPr>
                  <w:tcW w:w="1072" w:type="dxa"/>
                  <w:tcBorders>
                    <w:tl2br w:val="nil"/>
                    <w:tr2bl w:val="nil"/>
                  </w:tcBorders>
                  <w:vAlign w:val="center"/>
                </w:tcPr>
                <w:p w14:paraId="29B4D01E">
                  <w:pPr>
                    <w:tabs>
                      <w:tab w:val="right" w:pos="8906"/>
                    </w:tabs>
                    <w:adjustRightInd w:val="0"/>
                    <w:snapToGrid w:val="0"/>
                    <w:jc w:val="center"/>
                    <w:rPr>
                      <w:color w:val="auto"/>
                      <w:szCs w:val="21"/>
                    </w:rPr>
                  </w:pPr>
                  <w:r>
                    <w:rPr>
                      <w:color w:val="auto"/>
                      <w:szCs w:val="21"/>
                    </w:rPr>
                    <w:t>219</w:t>
                  </w:r>
                </w:p>
              </w:tc>
              <w:tc>
                <w:tcPr>
                  <w:tcW w:w="2080" w:type="dxa"/>
                  <w:vMerge w:val="continue"/>
                  <w:tcBorders>
                    <w:tl2br w:val="nil"/>
                    <w:tr2bl w:val="nil"/>
                  </w:tcBorders>
                  <w:vAlign w:val="center"/>
                </w:tcPr>
                <w:p w14:paraId="6E23B1E3">
                  <w:pPr>
                    <w:adjustRightInd w:val="0"/>
                    <w:snapToGrid w:val="0"/>
                    <w:jc w:val="center"/>
                    <w:rPr>
                      <w:color w:val="auto"/>
                      <w:szCs w:val="21"/>
                    </w:rPr>
                  </w:pPr>
                </w:p>
              </w:tc>
              <w:tc>
                <w:tcPr>
                  <w:tcW w:w="1001" w:type="dxa"/>
                  <w:vMerge w:val="continue"/>
                  <w:tcBorders>
                    <w:tl2br w:val="nil"/>
                    <w:tr2bl w:val="nil"/>
                  </w:tcBorders>
                  <w:vAlign w:val="center"/>
                </w:tcPr>
                <w:p w14:paraId="2D4BDEE6">
                  <w:pPr>
                    <w:tabs>
                      <w:tab w:val="right" w:pos="8906"/>
                    </w:tabs>
                    <w:adjustRightInd w:val="0"/>
                    <w:snapToGrid w:val="0"/>
                    <w:jc w:val="center"/>
                    <w:rPr>
                      <w:color w:val="auto"/>
                      <w:szCs w:val="21"/>
                    </w:rPr>
                  </w:pPr>
                </w:p>
              </w:tc>
            </w:tr>
            <w:tr w14:paraId="714F31B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141" w:type="dxa"/>
                  <w:gridSpan w:val="2"/>
                  <w:tcBorders>
                    <w:tl2br w:val="nil"/>
                    <w:tr2bl w:val="nil"/>
                  </w:tcBorders>
                  <w:vAlign w:val="center"/>
                </w:tcPr>
                <w:p w14:paraId="0ECAA55D">
                  <w:pPr>
                    <w:adjustRightInd w:val="0"/>
                    <w:snapToGrid w:val="0"/>
                    <w:jc w:val="center"/>
                    <w:rPr>
                      <w:color w:val="auto"/>
                      <w:szCs w:val="21"/>
                    </w:rPr>
                  </w:pPr>
                  <w:r>
                    <w:rPr>
                      <w:color w:val="auto"/>
                      <w:szCs w:val="21"/>
                    </w:rPr>
                    <w:t>标准值</w:t>
                  </w:r>
                </w:p>
              </w:tc>
              <w:tc>
                <w:tcPr>
                  <w:tcW w:w="1554" w:type="dxa"/>
                  <w:tcBorders>
                    <w:tl2br w:val="nil"/>
                    <w:tr2bl w:val="nil"/>
                  </w:tcBorders>
                  <w:vAlign w:val="center"/>
                </w:tcPr>
                <w:p w14:paraId="43C2DD6A">
                  <w:pPr>
                    <w:adjustRightInd w:val="0"/>
                    <w:snapToGrid w:val="0"/>
                    <w:jc w:val="center"/>
                    <w:rPr>
                      <w:color w:val="auto"/>
                      <w:szCs w:val="21"/>
                    </w:rPr>
                  </w:pPr>
                  <w:r>
                    <w:rPr>
                      <w:color w:val="auto"/>
                      <w:szCs w:val="21"/>
                    </w:rPr>
                    <w:t>3</w:t>
                  </w:r>
                  <w:r>
                    <w:rPr>
                      <w:rFonts w:hint="eastAsia"/>
                      <w:color w:val="auto"/>
                      <w:szCs w:val="21"/>
                    </w:rPr>
                    <w:t>00</w:t>
                  </w:r>
                </w:p>
              </w:tc>
              <w:tc>
                <w:tcPr>
                  <w:tcW w:w="1072" w:type="dxa"/>
                  <w:tcBorders>
                    <w:tl2br w:val="nil"/>
                    <w:tr2bl w:val="nil"/>
                  </w:tcBorders>
                  <w:vAlign w:val="center"/>
                </w:tcPr>
                <w:p w14:paraId="649B944D">
                  <w:pPr>
                    <w:adjustRightInd w:val="0"/>
                    <w:snapToGrid w:val="0"/>
                    <w:jc w:val="center"/>
                    <w:rPr>
                      <w:color w:val="auto"/>
                      <w:szCs w:val="21"/>
                    </w:rPr>
                  </w:pPr>
                  <w:r>
                    <w:rPr>
                      <w:rFonts w:hint="eastAsia"/>
                      <w:color w:val="auto"/>
                      <w:szCs w:val="21"/>
                    </w:rPr>
                    <w:t>600</w:t>
                  </w:r>
                </w:p>
              </w:tc>
              <w:tc>
                <w:tcPr>
                  <w:tcW w:w="2080" w:type="dxa"/>
                  <w:tcBorders>
                    <w:tl2br w:val="nil"/>
                    <w:tr2bl w:val="nil"/>
                  </w:tcBorders>
                  <w:vAlign w:val="center"/>
                </w:tcPr>
                <w:p w14:paraId="1C074363">
                  <w:pPr>
                    <w:adjustRightInd w:val="0"/>
                    <w:snapToGrid w:val="0"/>
                    <w:jc w:val="center"/>
                    <w:rPr>
                      <w:color w:val="auto"/>
                      <w:szCs w:val="21"/>
                    </w:rPr>
                  </w:pPr>
                  <w:r>
                    <w:rPr>
                      <w:color w:val="auto"/>
                      <w:szCs w:val="21"/>
                    </w:rPr>
                    <w:t>标准值</w:t>
                  </w:r>
                </w:p>
              </w:tc>
              <w:tc>
                <w:tcPr>
                  <w:tcW w:w="1001" w:type="dxa"/>
                  <w:tcBorders>
                    <w:tl2br w:val="nil"/>
                    <w:tr2bl w:val="nil"/>
                  </w:tcBorders>
                  <w:vAlign w:val="center"/>
                </w:tcPr>
                <w:p w14:paraId="4CF951E4">
                  <w:pPr>
                    <w:adjustRightInd w:val="0"/>
                    <w:snapToGrid w:val="0"/>
                    <w:jc w:val="center"/>
                    <w:rPr>
                      <w:color w:val="auto"/>
                      <w:szCs w:val="21"/>
                    </w:rPr>
                  </w:pPr>
                  <w:r>
                    <w:rPr>
                      <w:rFonts w:hint="eastAsia"/>
                      <w:color w:val="auto"/>
                      <w:szCs w:val="21"/>
                    </w:rPr>
                    <w:t>100</w:t>
                  </w:r>
                </w:p>
              </w:tc>
            </w:tr>
            <w:tr w14:paraId="67F76B8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141" w:type="dxa"/>
                  <w:gridSpan w:val="2"/>
                  <w:tcBorders>
                    <w:tl2br w:val="nil"/>
                    <w:tr2bl w:val="nil"/>
                  </w:tcBorders>
                  <w:vAlign w:val="center"/>
                </w:tcPr>
                <w:p w14:paraId="0E1606D3">
                  <w:pPr>
                    <w:adjustRightInd w:val="0"/>
                    <w:snapToGrid w:val="0"/>
                    <w:jc w:val="center"/>
                    <w:rPr>
                      <w:color w:val="auto"/>
                      <w:szCs w:val="21"/>
                    </w:rPr>
                  </w:pPr>
                  <w:r>
                    <w:rPr>
                      <w:color w:val="auto"/>
                      <w:szCs w:val="21"/>
                    </w:rPr>
                    <w:t>达标情况</w:t>
                  </w:r>
                </w:p>
              </w:tc>
              <w:tc>
                <w:tcPr>
                  <w:tcW w:w="1554" w:type="dxa"/>
                  <w:tcBorders>
                    <w:tl2br w:val="nil"/>
                    <w:tr2bl w:val="nil"/>
                  </w:tcBorders>
                  <w:vAlign w:val="center"/>
                </w:tcPr>
                <w:p w14:paraId="26D4550E">
                  <w:pPr>
                    <w:adjustRightInd w:val="0"/>
                    <w:snapToGrid w:val="0"/>
                    <w:jc w:val="center"/>
                    <w:rPr>
                      <w:color w:val="auto"/>
                      <w:szCs w:val="21"/>
                    </w:rPr>
                  </w:pPr>
                  <w:r>
                    <w:rPr>
                      <w:color w:val="auto"/>
                      <w:szCs w:val="21"/>
                    </w:rPr>
                    <w:t>达标</w:t>
                  </w:r>
                </w:p>
              </w:tc>
              <w:tc>
                <w:tcPr>
                  <w:tcW w:w="1072" w:type="dxa"/>
                  <w:tcBorders>
                    <w:tl2br w:val="nil"/>
                    <w:tr2bl w:val="nil"/>
                  </w:tcBorders>
                  <w:vAlign w:val="center"/>
                </w:tcPr>
                <w:p w14:paraId="72D58DE7">
                  <w:pPr>
                    <w:adjustRightInd w:val="0"/>
                    <w:snapToGrid w:val="0"/>
                    <w:jc w:val="center"/>
                    <w:rPr>
                      <w:color w:val="auto"/>
                      <w:szCs w:val="21"/>
                    </w:rPr>
                  </w:pPr>
                  <w:r>
                    <w:rPr>
                      <w:color w:val="auto"/>
                      <w:szCs w:val="21"/>
                    </w:rPr>
                    <w:t>达标</w:t>
                  </w:r>
                </w:p>
              </w:tc>
              <w:tc>
                <w:tcPr>
                  <w:tcW w:w="2080" w:type="dxa"/>
                  <w:tcBorders>
                    <w:tl2br w:val="nil"/>
                    <w:tr2bl w:val="nil"/>
                  </w:tcBorders>
                  <w:vAlign w:val="center"/>
                </w:tcPr>
                <w:p w14:paraId="7A3F176F">
                  <w:pPr>
                    <w:adjustRightInd w:val="0"/>
                    <w:snapToGrid w:val="0"/>
                    <w:jc w:val="center"/>
                    <w:rPr>
                      <w:color w:val="auto"/>
                      <w:szCs w:val="21"/>
                    </w:rPr>
                  </w:pPr>
                  <w:r>
                    <w:rPr>
                      <w:color w:val="auto"/>
                      <w:szCs w:val="21"/>
                    </w:rPr>
                    <w:t>达标情况</w:t>
                  </w:r>
                </w:p>
              </w:tc>
              <w:tc>
                <w:tcPr>
                  <w:tcW w:w="1001" w:type="dxa"/>
                  <w:tcBorders>
                    <w:tl2br w:val="nil"/>
                    <w:tr2bl w:val="nil"/>
                  </w:tcBorders>
                  <w:vAlign w:val="center"/>
                </w:tcPr>
                <w:p w14:paraId="6AB124AA">
                  <w:pPr>
                    <w:adjustRightInd w:val="0"/>
                    <w:snapToGrid w:val="0"/>
                    <w:jc w:val="center"/>
                    <w:rPr>
                      <w:color w:val="auto"/>
                      <w:szCs w:val="21"/>
                    </w:rPr>
                  </w:pPr>
                  <w:r>
                    <w:rPr>
                      <w:color w:val="auto"/>
                      <w:szCs w:val="21"/>
                    </w:rPr>
                    <w:t>达标</w:t>
                  </w:r>
                </w:p>
              </w:tc>
            </w:tr>
          </w:tbl>
          <w:p w14:paraId="008BD493">
            <w:pPr>
              <w:spacing w:before="38" w:line="375" w:lineRule="auto"/>
              <w:ind w:left="106" w:right="102" w:firstLine="482"/>
              <w:rPr>
                <w:color w:val="auto"/>
              </w:rPr>
            </w:pPr>
            <w:r>
              <w:rPr>
                <w:color w:val="auto"/>
                <w:kern w:val="0"/>
                <w:sz w:val="24"/>
              </w:rPr>
              <w:t>根据引用监测结果可知，引用两个监测点TSP</w:t>
            </w:r>
            <w:r>
              <w:rPr>
                <w:rFonts w:hint="eastAsia"/>
                <w:color w:val="auto"/>
                <w:kern w:val="0"/>
                <w:sz w:val="24"/>
              </w:rPr>
              <w:t>、NOx</w:t>
            </w:r>
            <w:r>
              <w:rPr>
                <w:color w:val="auto"/>
                <w:kern w:val="0"/>
                <w:sz w:val="24"/>
              </w:rPr>
              <w:t>日均值浓度能够达到《环境空气质量标准》（GB3095-2012）二级评价标准要求；TVOC</w:t>
            </w:r>
            <w:r>
              <w:rPr>
                <w:rFonts w:hint="eastAsia"/>
                <w:color w:val="auto"/>
                <w:kern w:val="0"/>
                <w:sz w:val="24"/>
              </w:rPr>
              <w:t>满足</w:t>
            </w:r>
            <w:r>
              <w:rPr>
                <w:color w:val="auto"/>
                <w:kern w:val="0"/>
                <w:sz w:val="24"/>
              </w:rPr>
              <w:t>《环境影响评价技术导则 大气环境HJ2.2-2018》附录D中的浓度限值要求</w:t>
            </w:r>
            <w:r>
              <w:rPr>
                <w:rFonts w:hint="eastAsia"/>
                <w:color w:val="auto"/>
                <w:kern w:val="0"/>
                <w:sz w:val="24"/>
              </w:rPr>
              <w:t>；</w:t>
            </w:r>
            <w:r>
              <w:rPr>
                <w:color w:val="auto"/>
                <w:kern w:val="0"/>
                <w:sz w:val="24"/>
              </w:rPr>
              <w:t>甲醛满足《环境影响评价技术导则大气环境 HJ2.2-2018》附录D中的浓度限值要求。</w:t>
            </w:r>
            <w:r>
              <w:rPr>
                <w:rFonts w:hint="eastAsia"/>
                <w:color w:val="auto"/>
                <w:kern w:val="0"/>
                <w:sz w:val="24"/>
              </w:rPr>
              <w:t>综上所述，</w:t>
            </w:r>
            <w:r>
              <w:rPr>
                <w:color w:val="auto"/>
                <w:kern w:val="0"/>
                <w:sz w:val="24"/>
              </w:rPr>
              <w:t>项目区环境空气质量满足功能区要求。</w:t>
            </w:r>
          </w:p>
          <w:p w14:paraId="139748C7">
            <w:pPr>
              <w:numPr>
                <w:ilvl w:val="0"/>
                <w:numId w:val="8"/>
              </w:numPr>
              <w:adjustRightInd w:val="0"/>
              <w:snapToGrid w:val="0"/>
              <w:spacing w:line="360" w:lineRule="auto"/>
              <w:ind w:firstLine="482" w:firstLineChars="200"/>
              <w:jc w:val="left"/>
              <w:rPr>
                <w:rFonts w:cs="宋体"/>
                <w:b/>
                <w:bCs/>
                <w:color w:val="auto"/>
                <w:kern w:val="0"/>
                <w:sz w:val="24"/>
              </w:rPr>
            </w:pPr>
            <w:r>
              <w:rPr>
                <w:rFonts w:cs="宋体"/>
                <w:b/>
                <w:bCs/>
                <w:color w:val="auto"/>
                <w:kern w:val="0"/>
                <w:sz w:val="24"/>
              </w:rPr>
              <w:t>地表水环境质量状况</w:t>
            </w:r>
          </w:p>
          <w:p w14:paraId="373D2F47">
            <w:pPr>
              <w:snapToGrid w:val="0"/>
              <w:spacing w:line="360" w:lineRule="auto"/>
              <w:ind w:firstLine="560"/>
              <w:rPr>
                <w:color w:val="auto"/>
                <w:kern w:val="0"/>
                <w:sz w:val="24"/>
                <w:lang w:val="zh-CN"/>
              </w:rPr>
            </w:pPr>
            <w:r>
              <w:rPr>
                <w:color w:val="auto"/>
                <w:kern w:val="0"/>
                <w:sz w:val="24"/>
              </w:rPr>
              <w:t>本项目涉及的地表水体主要为</w:t>
            </w:r>
            <w:r>
              <w:rPr>
                <w:rFonts w:hint="eastAsia"/>
                <w:color w:val="auto"/>
                <w:kern w:val="0"/>
                <w:sz w:val="24"/>
              </w:rPr>
              <w:t>西侧1.5km</w:t>
            </w:r>
            <w:r>
              <w:rPr>
                <w:color w:val="auto"/>
                <w:kern w:val="0"/>
                <w:sz w:val="24"/>
              </w:rPr>
              <w:t>处羊街河（果马河）。</w:t>
            </w:r>
            <w:r>
              <w:rPr>
                <w:color w:val="auto"/>
                <w:sz w:val="24"/>
              </w:rPr>
              <w:t>根据云南省水利厅2014年5月发布的《云南省水功能区划》（2014年修订），牛栏江（寻甸县河源—</w:t>
            </w:r>
            <w:r>
              <w:rPr>
                <w:rFonts w:hint="eastAsia"/>
                <w:color w:val="auto"/>
                <w:sz w:val="24"/>
                <w:lang w:eastAsia="zh-CN"/>
              </w:rPr>
              <w:t>沾益区</w:t>
            </w:r>
            <w:r>
              <w:rPr>
                <w:color w:val="auto"/>
                <w:sz w:val="24"/>
              </w:rPr>
              <w:t>德泽水库坝址）水功能区划为牛栏江-滇池补水水源保护区。现状水质为Ⅲ类～Ⅴ类，2030年水质目标为III类，羊街河（果马河）位于牛栏江-滇池补水水源保护区，寻甸县河源—</w:t>
            </w:r>
            <w:r>
              <w:rPr>
                <w:rFonts w:hint="eastAsia"/>
                <w:color w:val="auto"/>
                <w:sz w:val="24"/>
                <w:lang w:eastAsia="zh-CN"/>
              </w:rPr>
              <w:t>沾益区</w:t>
            </w:r>
            <w:r>
              <w:rPr>
                <w:color w:val="auto"/>
                <w:sz w:val="24"/>
              </w:rPr>
              <w:t>德泽水库坝址段，功能类别为III类水，执行《地表水环境质量标准》（GB3838-2002）III类标准</w:t>
            </w:r>
            <w:r>
              <w:rPr>
                <w:color w:val="auto"/>
                <w:kern w:val="0"/>
                <w:sz w:val="24"/>
                <w:lang w:val="zh-CN"/>
              </w:rPr>
              <w:t>。</w:t>
            </w:r>
          </w:p>
          <w:p w14:paraId="066B4F13">
            <w:pPr>
              <w:adjustRightInd w:val="0"/>
              <w:snapToGrid w:val="0"/>
              <w:spacing w:line="360" w:lineRule="auto"/>
              <w:ind w:firstLine="480" w:firstLineChars="200"/>
              <w:rPr>
                <w:rFonts w:cs="宋体"/>
                <w:color w:val="auto"/>
                <w:kern w:val="0"/>
                <w:sz w:val="24"/>
              </w:rPr>
            </w:pPr>
            <w:r>
              <w:rPr>
                <w:color w:val="auto"/>
                <w:kern w:val="0"/>
                <w:sz w:val="24"/>
                <w:lang w:val="zh-CN"/>
              </w:rPr>
              <w:t>根据寻甸县人民政府发布的“20</w:t>
            </w:r>
            <w:r>
              <w:rPr>
                <w:color w:val="auto"/>
                <w:kern w:val="0"/>
                <w:sz w:val="24"/>
              </w:rPr>
              <w:t>2</w:t>
            </w:r>
            <w:r>
              <w:rPr>
                <w:rFonts w:hint="eastAsia"/>
                <w:color w:val="auto"/>
                <w:kern w:val="0"/>
                <w:sz w:val="24"/>
              </w:rPr>
              <w:t>3</w:t>
            </w:r>
            <w:r>
              <w:rPr>
                <w:color w:val="auto"/>
                <w:kern w:val="0"/>
                <w:sz w:val="24"/>
                <w:lang w:val="zh-CN"/>
              </w:rPr>
              <w:t>年</w:t>
            </w:r>
            <w:r>
              <w:rPr>
                <w:rFonts w:hint="eastAsia"/>
                <w:color w:val="auto"/>
                <w:kern w:val="0"/>
                <w:sz w:val="24"/>
              </w:rPr>
              <w:t>7</w:t>
            </w:r>
            <w:r>
              <w:rPr>
                <w:color w:val="auto"/>
                <w:kern w:val="0"/>
                <w:sz w:val="24"/>
                <w:lang w:val="zh-CN"/>
              </w:rPr>
              <w:t>月寻甸县水环境质量监测月报</w:t>
            </w:r>
            <w:r>
              <w:rPr>
                <w:rFonts w:hint="eastAsia"/>
                <w:color w:val="auto"/>
                <w:kern w:val="0"/>
                <w:sz w:val="24"/>
                <w:lang w:val="zh-CN"/>
              </w:rPr>
              <w:t>（二零二三年第七期）</w:t>
            </w:r>
            <w:r>
              <w:rPr>
                <w:color w:val="auto"/>
                <w:kern w:val="0"/>
                <w:sz w:val="24"/>
                <w:lang w:val="zh-CN"/>
              </w:rPr>
              <w:t>””，寻甸县环境监测站</w:t>
            </w:r>
            <w:r>
              <w:rPr>
                <w:color w:val="auto"/>
                <w:kern w:val="0"/>
                <w:sz w:val="24"/>
              </w:rPr>
              <w:t>202</w:t>
            </w:r>
            <w:r>
              <w:rPr>
                <w:rFonts w:hint="eastAsia"/>
                <w:color w:val="auto"/>
                <w:kern w:val="0"/>
                <w:sz w:val="24"/>
              </w:rPr>
              <w:t>3</w:t>
            </w:r>
            <w:r>
              <w:rPr>
                <w:color w:val="auto"/>
                <w:kern w:val="0"/>
                <w:sz w:val="24"/>
              </w:rPr>
              <w:t>年</w:t>
            </w:r>
            <w:r>
              <w:rPr>
                <w:rFonts w:hint="eastAsia"/>
                <w:color w:val="auto"/>
                <w:kern w:val="0"/>
                <w:sz w:val="24"/>
              </w:rPr>
              <w:t>7</w:t>
            </w:r>
            <w:r>
              <w:rPr>
                <w:color w:val="auto"/>
                <w:kern w:val="0"/>
                <w:sz w:val="24"/>
              </w:rPr>
              <w:t>月</w:t>
            </w:r>
            <w:r>
              <w:rPr>
                <w:rFonts w:hint="eastAsia"/>
                <w:color w:val="auto"/>
                <w:kern w:val="0"/>
                <w:sz w:val="24"/>
              </w:rPr>
              <w:t>4</w:t>
            </w:r>
            <w:r>
              <w:rPr>
                <w:color w:val="auto"/>
                <w:kern w:val="0"/>
                <w:sz w:val="24"/>
              </w:rPr>
              <w:t>日</w:t>
            </w:r>
            <w:r>
              <w:rPr>
                <w:color w:val="auto"/>
                <w:kern w:val="0"/>
                <w:sz w:val="24"/>
                <w:lang w:val="zh-CN"/>
              </w:rPr>
              <w:t>对羊街河</w:t>
            </w:r>
            <w:r>
              <w:rPr>
                <w:rFonts w:hint="eastAsia"/>
                <w:color w:val="auto"/>
                <w:kern w:val="0"/>
                <w:sz w:val="24"/>
                <w:lang w:val="zh-CN"/>
              </w:rPr>
              <w:t>（</w:t>
            </w:r>
            <w:r>
              <w:rPr>
                <w:rFonts w:hint="eastAsia"/>
                <w:color w:val="auto"/>
                <w:kern w:val="0"/>
                <w:sz w:val="24"/>
              </w:rPr>
              <w:t>果马河</w:t>
            </w:r>
            <w:r>
              <w:rPr>
                <w:rFonts w:hint="eastAsia"/>
                <w:color w:val="auto"/>
                <w:kern w:val="0"/>
                <w:sz w:val="24"/>
                <w:lang w:val="zh-CN"/>
              </w:rPr>
              <w:t>）</w:t>
            </w:r>
            <w:r>
              <w:rPr>
                <w:color w:val="auto"/>
                <w:kern w:val="0"/>
                <w:sz w:val="24"/>
                <w:lang w:val="zh-CN"/>
              </w:rPr>
              <w:t>李家坝断面的水质监测结果为</w:t>
            </w:r>
            <w:r>
              <w:rPr>
                <w:color w:val="auto"/>
                <w:sz w:val="24"/>
              </w:rPr>
              <w:t>III</w:t>
            </w:r>
            <w:r>
              <w:rPr>
                <w:color w:val="auto"/>
                <w:kern w:val="0"/>
                <w:sz w:val="24"/>
                <w:lang w:val="zh-CN"/>
              </w:rPr>
              <w:t>类</w:t>
            </w:r>
            <w:r>
              <w:rPr>
                <w:rFonts w:hint="eastAsia"/>
                <w:color w:val="auto"/>
                <w:kern w:val="0"/>
                <w:sz w:val="24"/>
                <w:lang w:val="zh-CN"/>
              </w:rPr>
              <w:t>。</w:t>
            </w:r>
            <w:r>
              <w:rPr>
                <w:rFonts w:hint="eastAsia"/>
                <w:color w:val="auto"/>
                <w:kern w:val="0"/>
                <w:sz w:val="24"/>
              </w:rPr>
              <w:t>故项目区域地表水</w:t>
            </w:r>
            <w:r>
              <w:rPr>
                <w:color w:val="auto"/>
                <w:kern w:val="0"/>
                <w:sz w:val="24"/>
              </w:rPr>
              <w:t>羊街河（果马河）</w:t>
            </w:r>
            <w:r>
              <w:rPr>
                <w:color w:val="auto"/>
                <w:kern w:val="0"/>
                <w:sz w:val="24"/>
                <w:lang w:val="zh-CN"/>
              </w:rPr>
              <w:t>能满足 GB3838-2002《地表水环境质量标准》</w:t>
            </w:r>
            <w:r>
              <w:rPr>
                <w:color w:val="auto"/>
                <w:sz w:val="24"/>
              </w:rPr>
              <w:t>III</w:t>
            </w:r>
            <w:r>
              <w:rPr>
                <w:color w:val="auto"/>
                <w:kern w:val="0"/>
                <w:sz w:val="24"/>
                <w:lang w:val="zh-CN"/>
              </w:rPr>
              <w:t>类标准要求</w:t>
            </w:r>
            <w:r>
              <w:rPr>
                <w:color w:val="auto"/>
                <w:sz w:val="24"/>
                <w:lang w:val="zh-CN"/>
              </w:rPr>
              <w:t>。</w:t>
            </w:r>
          </w:p>
          <w:p w14:paraId="0591C220">
            <w:pPr>
              <w:adjustRightInd w:val="0"/>
              <w:snapToGrid w:val="0"/>
              <w:spacing w:line="360" w:lineRule="auto"/>
              <w:ind w:firstLine="482" w:firstLineChars="200"/>
              <w:jc w:val="left"/>
              <w:rPr>
                <w:rFonts w:cs="宋体"/>
                <w:b/>
                <w:bCs/>
                <w:color w:val="auto"/>
                <w:kern w:val="0"/>
                <w:sz w:val="24"/>
              </w:rPr>
            </w:pPr>
            <w:r>
              <w:rPr>
                <w:rFonts w:cs="宋体"/>
                <w:b/>
                <w:bCs/>
                <w:color w:val="auto"/>
                <w:kern w:val="0"/>
                <w:sz w:val="24"/>
              </w:rPr>
              <w:t>3、声环境质量状况</w:t>
            </w:r>
          </w:p>
          <w:p w14:paraId="3E47E747">
            <w:pPr>
              <w:adjustRightInd w:val="0"/>
              <w:snapToGrid w:val="0"/>
              <w:spacing w:line="360" w:lineRule="auto"/>
              <w:ind w:firstLine="480" w:firstLineChars="200"/>
              <w:rPr>
                <w:color w:val="auto"/>
                <w:sz w:val="24"/>
              </w:rPr>
            </w:pPr>
            <w:r>
              <w:rPr>
                <w:rFonts w:hint="eastAsia"/>
                <w:color w:val="auto"/>
                <w:sz w:val="24"/>
              </w:rPr>
              <w:t>项目位于寻甸特色产业园羊街片区，根据《云南寻甸特色产业园区总体规划修编（2021-2035年）》，</w:t>
            </w:r>
            <w:r>
              <w:rPr>
                <w:color w:val="auto"/>
                <w:sz w:val="24"/>
              </w:rPr>
              <w:t>项目所在区域属于3类声环境功能区，</w:t>
            </w:r>
            <w:r>
              <w:rPr>
                <w:color w:val="auto"/>
                <w:sz w:val="24"/>
                <w:lang w:val="zh-CN"/>
              </w:rPr>
              <w:t>在项目区50m范围内无声环境保护目标</w:t>
            </w:r>
            <w:r>
              <w:rPr>
                <w:rFonts w:hint="eastAsia"/>
                <w:color w:val="auto"/>
                <w:sz w:val="24"/>
                <w:lang w:val="zh-CN"/>
              </w:rPr>
              <w:t>，</w:t>
            </w:r>
            <w:r>
              <w:rPr>
                <w:color w:val="auto"/>
                <w:sz w:val="24"/>
                <w:lang w:val="zh-CN"/>
              </w:rPr>
              <w:t>根据实际情况，对区域声环境质量调查，项目</w:t>
            </w:r>
            <w:r>
              <w:rPr>
                <w:rFonts w:hint="eastAsia"/>
                <w:bCs/>
                <w:color w:val="auto"/>
                <w:sz w:val="24"/>
              </w:rPr>
              <w:t>南、西厂界</w:t>
            </w:r>
            <w:r>
              <w:rPr>
                <w:rFonts w:hint="eastAsia"/>
                <w:bCs/>
                <w:color w:val="auto"/>
                <w:sz w:val="24"/>
                <w:lang w:val="en-US" w:eastAsia="zh-CN"/>
              </w:rPr>
              <w:t>距离厂界外围道路红线30m范围内执行</w:t>
            </w:r>
            <w:r>
              <w:rPr>
                <w:bCs/>
                <w:color w:val="auto"/>
                <w:sz w:val="24"/>
              </w:rPr>
              <w:t>《</w:t>
            </w:r>
            <w:r>
              <w:rPr>
                <w:rFonts w:hint="eastAsia"/>
                <w:bCs/>
                <w:color w:val="auto"/>
                <w:sz w:val="24"/>
                <w:lang w:val="en-US" w:eastAsia="zh-CN"/>
              </w:rPr>
              <w:t>声环境质量标准</w:t>
            </w:r>
            <w:r>
              <w:rPr>
                <w:bCs/>
                <w:color w:val="auto"/>
                <w:sz w:val="24"/>
              </w:rPr>
              <w:t>标准》（GB12348-2008）</w:t>
            </w:r>
            <w:r>
              <w:rPr>
                <w:rFonts w:hint="eastAsia"/>
                <w:bCs/>
                <w:color w:val="auto"/>
                <w:sz w:val="24"/>
              </w:rPr>
              <w:t>4</w:t>
            </w:r>
            <w:r>
              <w:rPr>
                <w:bCs/>
                <w:color w:val="auto"/>
                <w:sz w:val="24"/>
              </w:rPr>
              <w:t>a类标准，</w:t>
            </w:r>
            <w:r>
              <w:rPr>
                <w:rFonts w:hint="eastAsia"/>
                <w:bCs/>
                <w:color w:val="auto"/>
                <w:sz w:val="24"/>
                <w:lang w:val="en-US" w:eastAsia="zh-CN"/>
              </w:rPr>
              <w:t>其它部分执行</w:t>
            </w:r>
            <w:r>
              <w:rPr>
                <w:rFonts w:hint="eastAsia"/>
                <w:bCs/>
                <w:color w:val="auto"/>
                <w:sz w:val="24"/>
              </w:rPr>
              <w:t>3类标准</w:t>
            </w:r>
            <w:r>
              <w:rPr>
                <w:color w:val="auto"/>
                <w:sz w:val="24"/>
                <w:lang w:val="zh-CN"/>
              </w:rPr>
              <w:t>。</w:t>
            </w:r>
          </w:p>
          <w:p w14:paraId="7ED7C2B3">
            <w:pPr>
              <w:pStyle w:val="73"/>
              <w:snapToGrid w:val="0"/>
              <w:rPr>
                <w:bCs/>
                <w:color w:val="auto"/>
              </w:rPr>
            </w:pPr>
            <w:r>
              <w:rPr>
                <w:color w:val="auto"/>
              </w:rPr>
              <w:t>根据调查资料和现场踏勘，项目区周边200m范围主要为</w:t>
            </w:r>
            <w:r>
              <w:rPr>
                <w:rFonts w:hint="eastAsia"/>
                <w:color w:val="auto"/>
              </w:rPr>
              <w:t>园区其他在建企业及未建企业</w:t>
            </w:r>
            <w:r>
              <w:rPr>
                <w:color w:val="auto"/>
              </w:rPr>
              <w:t>，无较大工业噪声源</w:t>
            </w:r>
            <w:r>
              <w:rPr>
                <w:rFonts w:hint="eastAsia"/>
                <w:color w:val="auto"/>
              </w:rPr>
              <w:t>，且</w:t>
            </w:r>
            <w:r>
              <w:rPr>
                <w:color w:val="auto"/>
              </w:rPr>
              <w:t>本项目厂界外50米范围内不存在声环境保护目标</w:t>
            </w:r>
            <w:r>
              <w:rPr>
                <w:rFonts w:hint="eastAsia"/>
                <w:color w:val="auto"/>
              </w:rPr>
              <w:t>。</w:t>
            </w:r>
            <w:r>
              <w:rPr>
                <w:color w:val="auto"/>
              </w:rPr>
              <w:t>根</w:t>
            </w:r>
            <w:r>
              <w:rPr>
                <w:bCs/>
                <w:color w:val="auto"/>
              </w:rPr>
              <w:t>据《202</w:t>
            </w:r>
            <w:r>
              <w:rPr>
                <w:rFonts w:hint="eastAsia"/>
                <w:bCs/>
                <w:color w:val="auto"/>
              </w:rPr>
              <w:t>2</w:t>
            </w:r>
            <w:r>
              <w:rPr>
                <w:bCs/>
                <w:color w:val="auto"/>
              </w:rPr>
              <w:t>年度昆明市生态环境状况公报》：昆明</w:t>
            </w:r>
            <w:r>
              <w:rPr>
                <w:rFonts w:hint="eastAsia"/>
                <w:bCs/>
                <w:color w:val="auto"/>
                <w:lang w:eastAsia="zh-CN"/>
              </w:rPr>
              <w:t>主城区</w:t>
            </w:r>
            <w:r>
              <w:rPr>
                <w:rFonts w:hint="eastAsia"/>
                <w:bCs/>
                <w:color w:val="auto"/>
              </w:rPr>
              <w:t>各类功能区昼间、夜间声环境质量基本达标。主城区昼间区域环境噪声总体水平达二级（较好），各县（市）区区域环境噪声总体水平在一级（好）和二级（较好）之间。与2021年相比，东川区、石林县、寻甸县的昼间区域声环境质量平均等效声级上升。</w:t>
            </w:r>
          </w:p>
          <w:p w14:paraId="19C8F6E4">
            <w:pPr>
              <w:spacing w:line="360" w:lineRule="auto"/>
              <w:ind w:firstLine="480" w:firstLineChars="200"/>
              <w:rPr>
                <w:color w:val="auto"/>
                <w:sz w:val="24"/>
                <w:lang w:val="zh-CN"/>
              </w:rPr>
            </w:pPr>
            <w:r>
              <w:rPr>
                <w:color w:val="auto"/>
                <w:sz w:val="24"/>
                <w:lang w:val="zh-CN"/>
              </w:rPr>
              <w:t>项目</w:t>
            </w:r>
            <w:r>
              <w:rPr>
                <w:rFonts w:hint="eastAsia"/>
                <w:bCs/>
                <w:color w:val="auto"/>
                <w:sz w:val="24"/>
              </w:rPr>
              <w:t>南、西厂界</w:t>
            </w:r>
            <w:r>
              <w:rPr>
                <w:rFonts w:hint="eastAsia"/>
                <w:bCs/>
                <w:color w:val="auto"/>
                <w:sz w:val="24"/>
                <w:lang w:val="en-US" w:eastAsia="zh-CN"/>
              </w:rPr>
              <w:t>距离厂界外围道路红线30m范围内可达到</w:t>
            </w:r>
            <w:r>
              <w:rPr>
                <w:bCs/>
                <w:color w:val="auto"/>
                <w:sz w:val="24"/>
              </w:rPr>
              <w:t>《</w:t>
            </w:r>
            <w:r>
              <w:rPr>
                <w:rFonts w:hint="eastAsia"/>
                <w:bCs/>
                <w:color w:val="auto"/>
                <w:sz w:val="24"/>
                <w:lang w:val="en-US" w:eastAsia="zh-CN"/>
              </w:rPr>
              <w:t>声环境质量标准</w:t>
            </w:r>
            <w:r>
              <w:rPr>
                <w:bCs/>
                <w:color w:val="auto"/>
                <w:sz w:val="24"/>
              </w:rPr>
              <w:t>标准》（GB12348-2008）</w:t>
            </w:r>
            <w:r>
              <w:rPr>
                <w:rFonts w:hint="eastAsia"/>
                <w:bCs/>
                <w:color w:val="auto"/>
                <w:sz w:val="24"/>
              </w:rPr>
              <w:t>4</w:t>
            </w:r>
            <w:r>
              <w:rPr>
                <w:bCs/>
                <w:color w:val="auto"/>
                <w:sz w:val="24"/>
              </w:rPr>
              <w:t>a类标准，</w:t>
            </w:r>
            <w:r>
              <w:rPr>
                <w:rFonts w:hint="eastAsia"/>
                <w:bCs/>
                <w:color w:val="auto"/>
                <w:sz w:val="24"/>
                <w:lang w:val="en-US" w:eastAsia="zh-CN"/>
              </w:rPr>
              <w:t>其它部分可达到</w:t>
            </w:r>
            <w:r>
              <w:rPr>
                <w:rFonts w:hint="eastAsia"/>
                <w:bCs/>
                <w:color w:val="auto"/>
                <w:sz w:val="24"/>
              </w:rPr>
              <w:t>3类标准</w:t>
            </w:r>
            <w:r>
              <w:rPr>
                <w:color w:val="auto"/>
                <w:sz w:val="24"/>
                <w:lang w:val="zh-CN"/>
              </w:rPr>
              <w:t>。</w:t>
            </w:r>
          </w:p>
          <w:p w14:paraId="0AEC9245">
            <w:pPr>
              <w:spacing w:line="360" w:lineRule="auto"/>
              <w:ind w:firstLine="482" w:firstLineChars="200"/>
              <w:rPr>
                <w:b/>
                <w:bCs/>
                <w:color w:val="auto"/>
                <w:kern w:val="0"/>
                <w:sz w:val="24"/>
              </w:rPr>
            </w:pPr>
            <w:r>
              <w:rPr>
                <w:b/>
                <w:bCs/>
                <w:color w:val="auto"/>
                <w:kern w:val="0"/>
                <w:sz w:val="24"/>
              </w:rPr>
              <w:t>4、生态环境质量现状</w:t>
            </w:r>
          </w:p>
          <w:p w14:paraId="4A1F2DAD">
            <w:pPr>
              <w:adjustRightInd w:val="0"/>
              <w:snapToGrid w:val="0"/>
              <w:spacing w:line="360" w:lineRule="auto"/>
              <w:ind w:firstLine="480" w:firstLineChars="200"/>
              <w:jc w:val="left"/>
              <w:rPr>
                <w:rFonts w:cs="宋体"/>
                <w:color w:val="auto"/>
                <w:kern w:val="0"/>
                <w:szCs w:val="21"/>
              </w:rPr>
            </w:pPr>
            <w:r>
              <w:rPr>
                <w:color w:val="auto"/>
                <w:sz w:val="24"/>
                <w:lang w:val="zh-CN"/>
              </w:rPr>
              <w:t>项目</w:t>
            </w:r>
            <w:r>
              <w:rPr>
                <w:rFonts w:hint="eastAsia"/>
                <w:color w:val="auto"/>
                <w:sz w:val="24"/>
              </w:rPr>
              <w:t>位于寻甸产业园区羊街片区，属</w:t>
            </w:r>
            <w:r>
              <w:rPr>
                <w:color w:val="auto"/>
                <w:sz w:val="24"/>
              </w:rPr>
              <w:t>规划的工业园区</w:t>
            </w:r>
            <w:r>
              <w:rPr>
                <w:rFonts w:hint="eastAsia"/>
                <w:color w:val="auto"/>
                <w:sz w:val="24"/>
              </w:rPr>
              <w:t>。根据现场踏勘，项目占地范围内已建厂房。项目所在</w:t>
            </w:r>
            <w:r>
              <w:rPr>
                <w:color w:val="auto"/>
                <w:sz w:val="24"/>
              </w:rPr>
              <w:t>区域</w:t>
            </w:r>
            <w:r>
              <w:rPr>
                <w:color w:val="auto"/>
                <w:sz w:val="24"/>
                <w:lang w:val="zh-CN"/>
              </w:rPr>
              <w:t>现状主要为水泥路面和人工绿化植被，无天然植被，生态环境自我调节能力低。</w:t>
            </w:r>
            <w:r>
              <w:rPr>
                <w:rFonts w:hint="eastAsia"/>
                <w:color w:val="auto"/>
                <w:sz w:val="24"/>
              </w:rPr>
              <w:t>项目</w:t>
            </w:r>
            <w:r>
              <w:rPr>
                <w:color w:val="auto"/>
                <w:sz w:val="24"/>
                <w:lang w:val="zh-CN"/>
              </w:rPr>
              <w:t>调查范围内未涉及国家保护的珍贵野生动、植物。</w:t>
            </w:r>
            <w:r>
              <w:rPr>
                <w:color w:val="auto"/>
                <w:sz w:val="24"/>
              </w:rPr>
              <w:t>评价范围</w:t>
            </w:r>
            <w:r>
              <w:rPr>
                <w:color w:val="auto"/>
                <w:sz w:val="24"/>
                <w:lang w:val="zh-CN"/>
              </w:rPr>
              <w:t>内无自然保护区、风景名胜区、森林公园、历史文化遗迹等需要特殊保护的生态敏感目标，无国家</w:t>
            </w:r>
            <w:r>
              <w:rPr>
                <w:rFonts w:hint="eastAsia"/>
                <w:color w:val="auto"/>
                <w:sz w:val="24"/>
                <w:lang w:val="zh-CN"/>
              </w:rPr>
              <w:t>珍稀濒危</w:t>
            </w:r>
            <w:r>
              <w:rPr>
                <w:color w:val="auto"/>
                <w:sz w:val="24"/>
                <w:lang w:val="zh-CN"/>
              </w:rPr>
              <w:t>保护物种、国家重点保护野生植物和云南省级重点野生保护动物，也没有特有种类存在</w:t>
            </w:r>
            <w:r>
              <w:rPr>
                <w:rFonts w:hint="eastAsia"/>
                <w:color w:val="auto"/>
                <w:sz w:val="24"/>
              </w:rPr>
              <w:t>。</w:t>
            </w:r>
          </w:p>
        </w:tc>
      </w:tr>
      <w:tr w14:paraId="38F8BC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14:paraId="11C4554B">
            <w:pPr>
              <w:adjustRightInd w:val="0"/>
              <w:snapToGrid w:val="0"/>
              <w:jc w:val="center"/>
              <w:rPr>
                <w:rFonts w:cs="宋体"/>
                <w:color w:val="auto"/>
                <w:kern w:val="0"/>
                <w:szCs w:val="21"/>
              </w:rPr>
            </w:pPr>
            <w:r>
              <w:rPr>
                <w:rFonts w:hint="eastAsia" w:cs="宋体"/>
                <w:color w:val="auto"/>
                <w:kern w:val="0"/>
                <w:szCs w:val="21"/>
              </w:rPr>
              <w:t>环境</w:t>
            </w:r>
          </w:p>
          <w:p w14:paraId="0D0938D2">
            <w:pPr>
              <w:adjustRightInd w:val="0"/>
              <w:snapToGrid w:val="0"/>
              <w:jc w:val="center"/>
              <w:rPr>
                <w:rFonts w:cs="宋体"/>
                <w:color w:val="auto"/>
                <w:kern w:val="0"/>
                <w:szCs w:val="21"/>
              </w:rPr>
            </w:pPr>
            <w:r>
              <w:rPr>
                <w:rFonts w:hint="eastAsia" w:cs="宋体"/>
                <w:color w:val="auto"/>
                <w:kern w:val="0"/>
                <w:szCs w:val="21"/>
              </w:rPr>
              <w:t>保护</w:t>
            </w:r>
          </w:p>
          <w:p w14:paraId="5BDE2522">
            <w:pPr>
              <w:adjustRightInd w:val="0"/>
              <w:snapToGrid w:val="0"/>
              <w:jc w:val="center"/>
              <w:rPr>
                <w:rFonts w:cs="宋体"/>
                <w:color w:val="auto"/>
                <w:kern w:val="0"/>
                <w:szCs w:val="21"/>
              </w:rPr>
            </w:pPr>
            <w:r>
              <w:rPr>
                <w:rFonts w:hint="eastAsia" w:cs="宋体"/>
                <w:color w:val="auto"/>
                <w:kern w:val="0"/>
                <w:szCs w:val="21"/>
              </w:rPr>
              <w:t>目标</w:t>
            </w:r>
          </w:p>
        </w:tc>
        <w:tc>
          <w:tcPr>
            <w:tcW w:w="9081" w:type="dxa"/>
          </w:tcPr>
          <w:p w14:paraId="57243BE9">
            <w:pPr>
              <w:adjustRightInd w:val="0"/>
              <w:snapToGrid w:val="0"/>
              <w:spacing w:line="360" w:lineRule="auto"/>
              <w:ind w:firstLine="480" w:firstLineChars="200"/>
              <w:jc w:val="left"/>
              <w:rPr>
                <w:color w:val="auto"/>
                <w:sz w:val="24"/>
              </w:rPr>
            </w:pPr>
            <w:r>
              <w:rPr>
                <w:color w:val="auto"/>
                <w:sz w:val="24"/>
              </w:rPr>
              <w:t>根据现场调查，区域内无自然保护区、水源保护区、文教敏感区、国家和地方级文物古迹、珍稀动植物保护物种等。</w:t>
            </w:r>
          </w:p>
          <w:p w14:paraId="576816EC">
            <w:pPr>
              <w:adjustRightInd w:val="0"/>
              <w:snapToGrid w:val="0"/>
              <w:spacing w:line="360" w:lineRule="auto"/>
              <w:ind w:firstLine="482" w:firstLineChars="200"/>
              <w:jc w:val="left"/>
              <w:rPr>
                <w:b/>
                <w:bCs/>
                <w:color w:val="auto"/>
                <w:sz w:val="24"/>
              </w:rPr>
            </w:pPr>
            <w:r>
              <w:rPr>
                <w:rFonts w:hint="eastAsia"/>
                <w:b/>
                <w:bCs/>
                <w:color w:val="auto"/>
                <w:sz w:val="24"/>
              </w:rPr>
              <w:t>1、大气</w:t>
            </w:r>
            <w:r>
              <w:rPr>
                <w:b/>
                <w:bCs/>
                <w:color w:val="auto"/>
                <w:sz w:val="24"/>
              </w:rPr>
              <w:t>环境</w:t>
            </w:r>
          </w:p>
          <w:p w14:paraId="3271C65B">
            <w:pPr>
              <w:pStyle w:val="74"/>
              <w:adjustRightInd w:val="0"/>
              <w:spacing w:before="0" w:after="0" w:line="360" w:lineRule="auto"/>
              <w:ind w:firstLine="480"/>
              <w:rPr>
                <w:color w:val="auto"/>
              </w:rPr>
            </w:pPr>
            <w:r>
              <w:rPr>
                <w:color w:val="auto"/>
              </w:rPr>
              <w:t>项目</w:t>
            </w:r>
            <w:r>
              <w:rPr>
                <w:rFonts w:hint="eastAsia"/>
                <w:color w:val="auto"/>
              </w:rPr>
              <w:t>周边</w:t>
            </w:r>
            <w:r>
              <w:rPr>
                <w:color w:val="auto"/>
              </w:rPr>
              <w:t>500m范围内</w:t>
            </w:r>
            <w:r>
              <w:rPr>
                <w:rFonts w:hint="eastAsia"/>
                <w:color w:val="auto"/>
              </w:rPr>
              <w:t>无</w:t>
            </w:r>
            <w:r>
              <w:rPr>
                <w:color w:val="auto"/>
              </w:rPr>
              <w:t>环境空气</w:t>
            </w:r>
            <w:r>
              <w:rPr>
                <w:rFonts w:hint="eastAsia"/>
                <w:color w:val="auto"/>
              </w:rPr>
              <w:t>保护目标。</w:t>
            </w:r>
          </w:p>
          <w:p w14:paraId="289F94B8">
            <w:pPr>
              <w:adjustRightInd w:val="0"/>
              <w:snapToGrid w:val="0"/>
              <w:spacing w:line="360" w:lineRule="auto"/>
              <w:ind w:firstLine="482" w:firstLineChars="200"/>
              <w:jc w:val="left"/>
              <w:rPr>
                <w:b/>
                <w:bCs/>
                <w:color w:val="auto"/>
                <w:sz w:val="24"/>
              </w:rPr>
            </w:pPr>
            <w:r>
              <w:rPr>
                <w:rFonts w:hint="eastAsia"/>
                <w:b/>
                <w:bCs/>
                <w:color w:val="auto"/>
                <w:sz w:val="24"/>
              </w:rPr>
              <w:t>2</w:t>
            </w:r>
            <w:r>
              <w:rPr>
                <w:b/>
                <w:bCs/>
                <w:color w:val="auto"/>
                <w:sz w:val="24"/>
              </w:rPr>
              <w:t>、声环境</w:t>
            </w:r>
          </w:p>
          <w:p w14:paraId="1BDB2F11">
            <w:pPr>
              <w:adjustRightInd w:val="0"/>
              <w:snapToGrid w:val="0"/>
              <w:spacing w:line="360" w:lineRule="auto"/>
              <w:ind w:firstLine="480" w:firstLineChars="200"/>
              <w:jc w:val="left"/>
              <w:rPr>
                <w:color w:val="auto"/>
                <w:sz w:val="24"/>
              </w:rPr>
            </w:pPr>
            <w:r>
              <w:rPr>
                <w:color w:val="auto"/>
                <w:sz w:val="24"/>
              </w:rPr>
              <w:t>根据现场踏勘，项目厂界外周边50m范围内无声环境保护目标</w:t>
            </w:r>
            <w:r>
              <w:rPr>
                <w:rFonts w:hint="eastAsia"/>
                <w:color w:val="auto"/>
                <w:sz w:val="24"/>
              </w:rPr>
              <w:t>。</w:t>
            </w:r>
          </w:p>
          <w:p w14:paraId="7872F6C3">
            <w:pPr>
              <w:pStyle w:val="13"/>
              <w:adjustRightInd w:val="0"/>
              <w:snapToGrid w:val="0"/>
              <w:spacing w:line="360" w:lineRule="auto"/>
              <w:ind w:firstLine="482" w:firstLineChars="200"/>
              <w:rPr>
                <w:rFonts w:ascii="Times New Roman" w:hAnsi="Times New Roman"/>
                <w:b/>
                <w:bCs/>
                <w:color w:val="auto"/>
                <w:sz w:val="24"/>
                <w:szCs w:val="24"/>
              </w:rPr>
            </w:pPr>
            <w:r>
              <w:rPr>
                <w:rFonts w:ascii="Times New Roman" w:hAnsi="Times New Roman"/>
                <w:b/>
                <w:bCs/>
                <w:color w:val="auto"/>
                <w:sz w:val="24"/>
                <w:szCs w:val="24"/>
              </w:rPr>
              <w:t>3、地表水</w:t>
            </w:r>
          </w:p>
          <w:p w14:paraId="6E67444A">
            <w:pPr>
              <w:snapToGrid w:val="0"/>
              <w:spacing w:line="360" w:lineRule="auto"/>
              <w:ind w:firstLine="560"/>
              <w:rPr>
                <w:color w:val="auto"/>
                <w:kern w:val="0"/>
                <w:sz w:val="24"/>
                <w:lang w:val="zh-CN"/>
              </w:rPr>
            </w:pPr>
            <w:r>
              <w:rPr>
                <w:color w:val="auto"/>
                <w:kern w:val="0"/>
                <w:sz w:val="24"/>
              </w:rPr>
              <w:t>本项目涉及的地表水体主要为</w:t>
            </w:r>
            <w:r>
              <w:rPr>
                <w:rFonts w:hint="eastAsia"/>
                <w:color w:val="auto"/>
                <w:kern w:val="0"/>
                <w:sz w:val="24"/>
              </w:rPr>
              <w:t>西侧1.5km</w:t>
            </w:r>
            <w:r>
              <w:rPr>
                <w:color w:val="auto"/>
                <w:kern w:val="0"/>
                <w:sz w:val="24"/>
              </w:rPr>
              <w:t>处羊街河（果马河）</w:t>
            </w:r>
            <w:r>
              <w:rPr>
                <w:rFonts w:hint="eastAsia"/>
                <w:color w:val="auto"/>
                <w:kern w:val="0"/>
                <w:sz w:val="24"/>
              </w:rPr>
              <w:t>，按</w:t>
            </w:r>
            <w:r>
              <w:rPr>
                <w:color w:val="auto"/>
                <w:sz w:val="24"/>
              </w:rPr>
              <w:t>《地表水环境质量标准》（GB3838-2002）III类</w:t>
            </w:r>
            <w:r>
              <w:rPr>
                <w:rFonts w:hint="eastAsia"/>
                <w:color w:val="auto"/>
                <w:sz w:val="24"/>
              </w:rPr>
              <w:t>进行保护</w:t>
            </w:r>
            <w:r>
              <w:rPr>
                <w:color w:val="auto"/>
                <w:kern w:val="0"/>
                <w:sz w:val="24"/>
                <w:lang w:val="zh-CN"/>
              </w:rPr>
              <w:t>。</w:t>
            </w:r>
          </w:p>
          <w:p w14:paraId="03A5BF16">
            <w:pPr>
              <w:adjustRightInd w:val="0"/>
              <w:snapToGrid w:val="0"/>
              <w:spacing w:line="360" w:lineRule="auto"/>
              <w:ind w:firstLine="482" w:firstLineChars="200"/>
              <w:jc w:val="left"/>
              <w:rPr>
                <w:b/>
                <w:bCs/>
                <w:color w:val="auto"/>
                <w:sz w:val="24"/>
              </w:rPr>
            </w:pPr>
            <w:r>
              <w:rPr>
                <w:rFonts w:hint="eastAsia"/>
                <w:b/>
                <w:bCs/>
                <w:color w:val="auto"/>
                <w:sz w:val="24"/>
              </w:rPr>
              <w:t>4、地下水</w:t>
            </w:r>
          </w:p>
          <w:p w14:paraId="145992FF">
            <w:pPr>
              <w:adjustRightInd w:val="0"/>
              <w:snapToGrid w:val="0"/>
              <w:spacing w:line="360" w:lineRule="auto"/>
              <w:ind w:firstLine="480" w:firstLineChars="200"/>
              <w:jc w:val="left"/>
              <w:rPr>
                <w:color w:val="auto"/>
                <w:sz w:val="24"/>
              </w:rPr>
            </w:pPr>
            <w:r>
              <w:rPr>
                <w:color w:val="auto"/>
                <w:sz w:val="24"/>
              </w:rPr>
              <w:t>根据现场踏勘，</w:t>
            </w:r>
            <w:r>
              <w:rPr>
                <w:rFonts w:hint="eastAsia"/>
                <w:color w:val="auto"/>
                <w:sz w:val="24"/>
              </w:rPr>
              <w:t>本项目</w:t>
            </w:r>
            <w:r>
              <w:rPr>
                <w:color w:val="auto"/>
                <w:sz w:val="24"/>
              </w:rPr>
              <w:t>厂界外500米范围内无地下水集中式饮用水水源和热水、矿泉水、温泉等特殊地下水资源。</w:t>
            </w:r>
          </w:p>
          <w:p w14:paraId="1229AE97">
            <w:pPr>
              <w:adjustRightInd w:val="0"/>
              <w:snapToGrid w:val="0"/>
              <w:spacing w:line="360" w:lineRule="auto"/>
              <w:ind w:firstLine="482" w:firstLineChars="200"/>
              <w:jc w:val="left"/>
              <w:rPr>
                <w:b/>
                <w:bCs/>
                <w:color w:val="auto"/>
                <w:sz w:val="24"/>
              </w:rPr>
            </w:pPr>
            <w:r>
              <w:rPr>
                <w:rFonts w:hint="eastAsia"/>
                <w:b/>
                <w:bCs/>
                <w:color w:val="auto"/>
                <w:sz w:val="24"/>
              </w:rPr>
              <w:t>5、生态环境</w:t>
            </w:r>
          </w:p>
          <w:p w14:paraId="129AEEEE">
            <w:pPr>
              <w:pStyle w:val="7"/>
              <w:adjustRightInd w:val="0"/>
              <w:snapToGrid w:val="0"/>
              <w:spacing w:line="360" w:lineRule="auto"/>
              <w:ind w:firstLine="480" w:firstLineChars="200"/>
              <w:jc w:val="both"/>
              <w:rPr>
                <w:color w:val="auto"/>
                <w:szCs w:val="24"/>
              </w:rPr>
            </w:pPr>
            <w:r>
              <w:rPr>
                <w:color w:val="auto"/>
                <w:lang w:val="zh-CN"/>
              </w:rPr>
              <w:t>本项目位于</w:t>
            </w:r>
            <w:r>
              <w:rPr>
                <w:color w:val="auto"/>
                <w:szCs w:val="24"/>
              </w:rPr>
              <w:t>寻甸县寻甸特色产业园区</w:t>
            </w:r>
            <w:r>
              <w:rPr>
                <w:rFonts w:hint="eastAsia"/>
                <w:color w:val="auto"/>
                <w:szCs w:val="24"/>
              </w:rPr>
              <w:t>羊街</w:t>
            </w:r>
            <w:r>
              <w:rPr>
                <w:color w:val="auto"/>
                <w:szCs w:val="24"/>
              </w:rPr>
              <w:t>片区，属于规划的工业园区，不涉及园区外用地，不涉及生态保护目标</w:t>
            </w:r>
            <w:r>
              <w:rPr>
                <w:rFonts w:hint="eastAsia"/>
                <w:color w:val="auto"/>
                <w:szCs w:val="24"/>
              </w:rPr>
              <w:t>。</w:t>
            </w:r>
          </w:p>
          <w:p w14:paraId="75C3E3A7">
            <w:pPr>
              <w:widowControl/>
              <w:adjustRightInd w:val="0"/>
              <w:snapToGrid w:val="0"/>
              <w:spacing w:line="360" w:lineRule="auto"/>
              <w:ind w:firstLine="480" w:firstLineChars="200"/>
              <w:jc w:val="left"/>
              <w:rPr>
                <w:b/>
                <w:bCs/>
                <w:snapToGrid w:val="0"/>
                <w:color w:val="auto"/>
                <w:kern w:val="0"/>
                <w:szCs w:val="21"/>
              </w:rPr>
            </w:pPr>
            <w:r>
              <w:rPr>
                <w:color w:val="auto"/>
                <w:kern w:val="0"/>
                <w:sz w:val="24"/>
                <w:lang w:bidi="ar"/>
              </w:rPr>
              <w:t>项目环境保护目标见表3-</w:t>
            </w:r>
            <w:r>
              <w:rPr>
                <w:rFonts w:hint="eastAsia"/>
                <w:color w:val="auto"/>
                <w:kern w:val="0"/>
                <w:sz w:val="24"/>
                <w:lang w:bidi="ar"/>
              </w:rPr>
              <w:t>4</w:t>
            </w:r>
            <w:r>
              <w:rPr>
                <w:color w:val="auto"/>
                <w:kern w:val="0"/>
                <w:sz w:val="24"/>
                <w:lang w:bidi="ar"/>
              </w:rPr>
              <w:t>。</w:t>
            </w:r>
          </w:p>
          <w:p w14:paraId="4C4B73F3">
            <w:pPr>
              <w:jc w:val="center"/>
              <w:rPr>
                <w:b/>
                <w:bCs/>
                <w:snapToGrid w:val="0"/>
                <w:color w:val="auto"/>
                <w:kern w:val="0"/>
                <w:szCs w:val="21"/>
              </w:rPr>
            </w:pPr>
            <w:r>
              <w:rPr>
                <w:b/>
                <w:bCs/>
                <w:snapToGrid w:val="0"/>
                <w:color w:val="auto"/>
                <w:kern w:val="0"/>
                <w:szCs w:val="21"/>
              </w:rPr>
              <w:t>表3-</w:t>
            </w:r>
            <w:r>
              <w:rPr>
                <w:rFonts w:hint="eastAsia"/>
                <w:b/>
                <w:bCs/>
                <w:snapToGrid w:val="0"/>
                <w:color w:val="auto"/>
                <w:kern w:val="0"/>
                <w:szCs w:val="21"/>
              </w:rPr>
              <w:t>4</w:t>
            </w:r>
            <w:r>
              <w:rPr>
                <w:b/>
                <w:bCs/>
                <w:snapToGrid w:val="0"/>
                <w:color w:val="auto"/>
                <w:kern w:val="0"/>
                <w:szCs w:val="21"/>
              </w:rPr>
              <w:t xml:space="preserve">  项目主要保护目标一览表</w:t>
            </w:r>
          </w:p>
          <w:tbl>
            <w:tblPr>
              <w:tblStyle w:val="31"/>
              <w:tblW w:w="89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777"/>
              <w:gridCol w:w="1227"/>
              <w:gridCol w:w="1063"/>
              <w:gridCol w:w="776"/>
              <w:gridCol w:w="807"/>
              <w:gridCol w:w="1839"/>
              <w:gridCol w:w="974"/>
              <w:gridCol w:w="814"/>
            </w:tblGrid>
            <w:tr w14:paraId="64922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631" w:type="dxa"/>
                  <w:vMerge w:val="restart"/>
                  <w:vAlign w:val="center"/>
                </w:tcPr>
                <w:p w14:paraId="6596D5EC">
                  <w:pPr>
                    <w:adjustRightInd w:val="0"/>
                    <w:snapToGrid w:val="0"/>
                    <w:jc w:val="center"/>
                    <w:rPr>
                      <w:color w:val="auto"/>
                      <w:kern w:val="0"/>
                      <w:szCs w:val="21"/>
                    </w:rPr>
                  </w:pPr>
                  <w:r>
                    <w:rPr>
                      <w:color w:val="auto"/>
                      <w:szCs w:val="21"/>
                    </w:rPr>
                    <w:t>保护类别</w:t>
                  </w:r>
                </w:p>
              </w:tc>
              <w:tc>
                <w:tcPr>
                  <w:tcW w:w="777" w:type="dxa"/>
                  <w:vMerge w:val="restart"/>
                  <w:vAlign w:val="center"/>
                </w:tcPr>
                <w:p w14:paraId="441F9731">
                  <w:pPr>
                    <w:adjustRightInd w:val="0"/>
                    <w:snapToGrid w:val="0"/>
                    <w:jc w:val="center"/>
                    <w:rPr>
                      <w:color w:val="auto"/>
                      <w:kern w:val="0"/>
                      <w:szCs w:val="21"/>
                    </w:rPr>
                  </w:pPr>
                  <w:r>
                    <w:rPr>
                      <w:rFonts w:hint="eastAsia"/>
                      <w:color w:val="auto"/>
                      <w:szCs w:val="21"/>
                    </w:rPr>
                    <w:t>名称</w:t>
                  </w:r>
                </w:p>
              </w:tc>
              <w:tc>
                <w:tcPr>
                  <w:tcW w:w="2290" w:type="dxa"/>
                  <w:gridSpan w:val="2"/>
                  <w:vAlign w:val="center"/>
                </w:tcPr>
                <w:p w14:paraId="123895B0">
                  <w:pPr>
                    <w:adjustRightInd w:val="0"/>
                    <w:snapToGrid w:val="0"/>
                    <w:jc w:val="center"/>
                    <w:rPr>
                      <w:color w:val="auto"/>
                      <w:kern w:val="0"/>
                      <w:szCs w:val="21"/>
                    </w:rPr>
                  </w:pPr>
                  <w:r>
                    <w:rPr>
                      <w:color w:val="auto"/>
                      <w:szCs w:val="21"/>
                    </w:rPr>
                    <w:t>坐标</w:t>
                  </w:r>
                </w:p>
              </w:tc>
              <w:tc>
                <w:tcPr>
                  <w:tcW w:w="776" w:type="dxa"/>
                  <w:vMerge w:val="restart"/>
                  <w:vAlign w:val="center"/>
                </w:tcPr>
                <w:p w14:paraId="159338DF">
                  <w:pPr>
                    <w:adjustRightInd w:val="0"/>
                    <w:snapToGrid w:val="0"/>
                    <w:jc w:val="center"/>
                    <w:rPr>
                      <w:color w:val="auto"/>
                      <w:kern w:val="0"/>
                      <w:szCs w:val="21"/>
                    </w:rPr>
                  </w:pPr>
                  <w:r>
                    <w:rPr>
                      <w:rFonts w:hint="eastAsia"/>
                      <w:color w:val="auto"/>
                      <w:kern w:val="0"/>
                      <w:szCs w:val="21"/>
                    </w:rPr>
                    <w:t>保护对象</w:t>
                  </w:r>
                </w:p>
              </w:tc>
              <w:tc>
                <w:tcPr>
                  <w:tcW w:w="807" w:type="dxa"/>
                  <w:vMerge w:val="restart"/>
                  <w:vAlign w:val="center"/>
                </w:tcPr>
                <w:p w14:paraId="480DCDF0">
                  <w:pPr>
                    <w:adjustRightInd w:val="0"/>
                    <w:snapToGrid w:val="0"/>
                    <w:jc w:val="center"/>
                    <w:rPr>
                      <w:color w:val="auto"/>
                      <w:kern w:val="0"/>
                      <w:szCs w:val="21"/>
                    </w:rPr>
                  </w:pPr>
                  <w:r>
                    <w:rPr>
                      <w:rFonts w:hint="eastAsia"/>
                      <w:color w:val="auto"/>
                      <w:szCs w:val="21"/>
                    </w:rPr>
                    <w:t>保护内容</w:t>
                  </w:r>
                </w:p>
              </w:tc>
              <w:tc>
                <w:tcPr>
                  <w:tcW w:w="1839" w:type="dxa"/>
                  <w:vMerge w:val="restart"/>
                  <w:vAlign w:val="center"/>
                </w:tcPr>
                <w:p w14:paraId="08F4711A">
                  <w:pPr>
                    <w:adjustRightInd w:val="0"/>
                    <w:snapToGrid w:val="0"/>
                    <w:jc w:val="center"/>
                    <w:rPr>
                      <w:color w:val="auto"/>
                      <w:szCs w:val="21"/>
                    </w:rPr>
                  </w:pPr>
                  <w:r>
                    <w:rPr>
                      <w:rFonts w:hint="eastAsia"/>
                      <w:color w:val="auto"/>
                      <w:szCs w:val="21"/>
                    </w:rPr>
                    <w:t>环境功能区</w:t>
                  </w:r>
                </w:p>
              </w:tc>
              <w:tc>
                <w:tcPr>
                  <w:tcW w:w="974" w:type="dxa"/>
                  <w:vMerge w:val="restart"/>
                  <w:vAlign w:val="center"/>
                </w:tcPr>
                <w:p w14:paraId="2DFA803F">
                  <w:pPr>
                    <w:adjustRightInd w:val="0"/>
                    <w:snapToGrid w:val="0"/>
                    <w:jc w:val="center"/>
                    <w:rPr>
                      <w:color w:val="auto"/>
                      <w:szCs w:val="21"/>
                    </w:rPr>
                  </w:pPr>
                  <w:r>
                    <w:rPr>
                      <w:rFonts w:hint="eastAsia"/>
                      <w:color w:val="auto"/>
                      <w:szCs w:val="21"/>
                    </w:rPr>
                    <w:t>相对厂界方位</w:t>
                  </w:r>
                </w:p>
              </w:tc>
              <w:tc>
                <w:tcPr>
                  <w:tcW w:w="814" w:type="dxa"/>
                  <w:vMerge w:val="restart"/>
                  <w:vAlign w:val="center"/>
                </w:tcPr>
                <w:p w14:paraId="562438D9">
                  <w:pPr>
                    <w:adjustRightInd w:val="0"/>
                    <w:snapToGrid w:val="0"/>
                    <w:jc w:val="center"/>
                    <w:rPr>
                      <w:color w:val="auto"/>
                      <w:kern w:val="0"/>
                      <w:szCs w:val="21"/>
                    </w:rPr>
                  </w:pPr>
                  <w:r>
                    <w:rPr>
                      <w:rFonts w:hint="eastAsia"/>
                      <w:color w:val="auto"/>
                      <w:szCs w:val="21"/>
                    </w:rPr>
                    <w:t>相对厂界距离/m</w:t>
                  </w:r>
                </w:p>
              </w:tc>
            </w:tr>
            <w:tr w14:paraId="443C0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631" w:type="dxa"/>
                  <w:vMerge w:val="continue"/>
                  <w:vAlign w:val="center"/>
                </w:tcPr>
                <w:p w14:paraId="58F7366D">
                  <w:pPr>
                    <w:adjustRightInd w:val="0"/>
                    <w:snapToGrid w:val="0"/>
                    <w:jc w:val="center"/>
                    <w:rPr>
                      <w:color w:val="auto"/>
                      <w:szCs w:val="21"/>
                    </w:rPr>
                  </w:pPr>
                </w:p>
              </w:tc>
              <w:tc>
                <w:tcPr>
                  <w:tcW w:w="777" w:type="dxa"/>
                  <w:vMerge w:val="continue"/>
                  <w:vAlign w:val="center"/>
                </w:tcPr>
                <w:p w14:paraId="09E0A9CA">
                  <w:pPr>
                    <w:adjustRightInd w:val="0"/>
                    <w:snapToGrid w:val="0"/>
                    <w:jc w:val="center"/>
                    <w:rPr>
                      <w:color w:val="auto"/>
                      <w:szCs w:val="21"/>
                    </w:rPr>
                  </w:pPr>
                </w:p>
              </w:tc>
              <w:tc>
                <w:tcPr>
                  <w:tcW w:w="1227" w:type="dxa"/>
                  <w:vAlign w:val="center"/>
                </w:tcPr>
                <w:p w14:paraId="7772AD36">
                  <w:pPr>
                    <w:adjustRightInd w:val="0"/>
                    <w:snapToGrid w:val="0"/>
                    <w:jc w:val="center"/>
                    <w:rPr>
                      <w:color w:val="auto"/>
                      <w:kern w:val="0"/>
                      <w:szCs w:val="21"/>
                    </w:rPr>
                  </w:pPr>
                  <w:r>
                    <w:rPr>
                      <w:rFonts w:hint="eastAsia"/>
                      <w:color w:val="auto"/>
                      <w:szCs w:val="21"/>
                    </w:rPr>
                    <w:t>东经</w:t>
                  </w:r>
                </w:p>
              </w:tc>
              <w:tc>
                <w:tcPr>
                  <w:tcW w:w="1063" w:type="dxa"/>
                  <w:vAlign w:val="center"/>
                </w:tcPr>
                <w:p w14:paraId="6DC1FA22">
                  <w:pPr>
                    <w:adjustRightInd w:val="0"/>
                    <w:snapToGrid w:val="0"/>
                    <w:jc w:val="center"/>
                    <w:rPr>
                      <w:color w:val="auto"/>
                      <w:kern w:val="0"/>
                      <w:szCs w:val="21"/>
                    </w:rPr>
                  </w:pPr>
                  <w:r>
                    <w:rPr>
                      <w:rFonts w:hint="eastAsia"/>
                      <w:color w:val="auto"/>
                      <w:szCs w:val="21"/>
                    </w:rPr>
                    <w:t>北纬</w:t>
                  </w:r>
                </w:p>
              </w:tc>
              <w:tc>
                <w:tcPr>
                  <w:tcW w:w="776" w:type="dxa"/>
                  <w:vMerge w:val="continue"/>
                  <w:vAlign w:val="center"/>
                </w:tcPr>
                <w:p w14:paraId="760E4205">
                  <w:pPr>
                    <w:adjustRightInd w:val="0"/>
                    <w:snapToGrid w:val="0"/>
                    <w:jc w:val="center"/>
                    <w:rPr>
                      <w:color w:val="auto"/>
                      <w:kern w:val="0"/>
                      <w:szCs w:val="21"/>
                    </w:rPr>
                  </w:pPr>
                </w:p>
              </w:tc>
              <w:tc>
                <w:tcPr>
                  <w:tcW w:w="807" w:type="dxa"/>
                  <w:vMerge w:val="continue"/>
                  <w:vAlign w:val="center"/>
                </w:tcPr>
                <w:p w14:paraId="6FE2E3DC">
                  <w:pPr>
                    <w:adjustRightInd w:val="0"/>
                    <w:snapToGrid w:val="0"/>
                    <w:jc w:val="center"/>
                    <w:rPr>
                      <w:color w:val="auto"/>
                      <w:kern w:val="0"/>
                      <w:szCs w:val="21"/>
                    </w:rPr>
                  </w:pPr>
                </w:p>
              </w:tc>
              <w:tc>
                <w:tcPr>
                  <w:tcW w:w="1839" w:type="dxa"/>
                  <w:vMerge w:val="continue"/>
                  <w:vAlign w:val="center"/>
                </w:tcPr>
                <w:p w14:paraId="5FEAF7E4">
                  <w:pPr>
                    <w:adjustRightInd w:val="0"/>
                    <w:snapToGrid w:val="0"/>
                    <w:jc w:val="center"/>
                    <w:rPr>
                      <w:color w:val="auto"/>
                      <w:kern w:val="0"/>
                      <w:szCs w:val="21"/>
                    </w:rPr>
                  </w:pPr>
                </w:p>
              </w:tc>
              <w:tc>
                <w:tcPr>
                  <w:tcW w:w="974" w:type="dxa"/>
                  <w:vMerge w:val="continue"/>
                  <w:vAlign w:val="center"/>
                </w:tcPr>
                <w:p w14:paraId="5004FA02">
                  <w:pPr>
                    <w:adjustRightInd w:val="0"/>
                    <w:snapToGrid w:val="0"/>
                    <w:jc w:val="center"/>
                    <w:rPr>
                      <w:color w:val="auto"/>
                      <w:kern w:val="0"/>
                      <w:szCs w:val="21"/>
                    </w:rPr>
                  </w:pPr>
                </w:p>
              </w:tc>
              <w:tc>
                <w:tcPr>
                  <w:tcW w:w="814" w:type="dxa"/>
                  <w:vMerge w:val="continue"/>
                  <w:vAlign w:val="center"/>
                </w:tcPr>
                <w:p w14:paraId="102CDC2F">
                  <w:pPr>
                    <w:adjustRightInd w:val="0"/>
                    <w:snapToGrid w:val="0"/>
                    <w:jc w:val="center"/>
                    <w:rPr>
                      <w:color w:val="auto"/>
                      <w:kern w:val="0"/>
                      <w:szCs w:val="21"/>
                    </w:rPr>
                  </w:pPr>
                </w:p>
              </w:tc>
            </w:tr>
            <w:tr w14:paraId="7E683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631" w:type="dxa"/>
                  <w:vAlign w:val="center"/>
                </w:tcPr>
                <w:p w14:paraId="1C1381EA">
                  <w:pPr>
                    <w:adjustRightInd w:val="0"/>
                    <w:snapToGrid w:val="0"/>
                    <w:jc w:val="center"/>
                    <w:rPr>
                      <w:color w:val="auto"/>
                      <w:kern w:val="0"/>
                      <w:szCs w:val="21"/>
                    </w:rPr>
                  </w:pPr>
                  <w:r>
                    <w:rPr>
                      <w:rFonts w:hint="eastAsia"/>
                      <w:color w:val="auto"/>
                      <w:kern w:val="0"/>
                      <w:szCs w:val="21"/>
                    </w:rPr>
                    <w:t>地表水环境</w:t>
                  </w:r>
                </w:p>
              </w:tc>
              <w:tc>
                <w:tcPr>
                  <w:tcW w:w="777" w:type="dxa"/>
                  <w:vAlign w:val="center"/>
                </w:tcPr>
                <w:p w14:paraId="17D134B1">
                  <w:pPr>
                    <w:pStyle w:val="48"/>
                    <w:spacing w:before="0" w:beforeLines="0" w:afterLines="0" w:line="240" w:lineRule="auto"/>
                    <w:ind w:firstLine="0" w:firstLineChars="0"/>
                    <w:rPr>
                      <w:rFonts w:ascii="Times New Roman" w:hAnsi="Times New Roman" w:eastAsia="宋体"/>
                      <w:bCs/>
                      <w:color w:val="auto"/>
                      <w:sz w:val="21"/>
                      <w:szCs w:val="21"/>
                    </w:rPr>
                  </w:pPr>
                  <w:r>
                    <w:rPr>
                      <w:rFonts w:hint="eastAsia" w:ascii="Times New Roman" w:hAnsi="Times New Roman" w:eastAsia="宋体"/>
                      <w:bCs/>
                      <w:color w:val="auto"/>
                      <w:sz w:val="21"/>
                      <w:szCs w:val="21"/>
                    </w:rPr>
                    <w:t>羊街河（果马河）</w:t>
                  </w:r>
                </w:p>
              </w:tc>
              <w:tc>
                <w:tcPr>
                  <w:tcW w:w="1227" w:type="dxa"/>
                  <w:vAlign w:val="center"/>
                </w:tcPr>
                <w:p w14:paraId="2BDF5C83">
                  <w:pPr>
                    <w:widowControl/>
                    <w:adjustRightInd w:val="0"/>
                    <w:snapToGrid w:val="0"/>
                    <w:jc w:val="center"/>
                    <w:rPr>
                      <w:bCs/>
                      <w:color w:val="auto"/>
                      <w:szCs w:val="21"/>
                    </w:rPr>
                  </w:pPr>
                  <w:r>
                    <w:rPr>
                      <w:rFonts w:hint="eastAsia"/>
                      <w:bCs/>
                      <w:color w:val="auto"/>
                      <w:szCs w:val="21"/>
                    </w:rPr>
                    <w:t>/</w:t>
                  </w:r>
                </w:p>
              </w:tc>
              <w:tc>
                <w:tcPr>
                  <w:tcW w:w="1063" w:type="dxa"/>
                  <w:vAlign w:val="center"/>
                </w:tcPr>
                <w:p w14:paraId="0B8B7528">
                  <w:pPr>
                    <w:widowControl/>
                    <w:adjustRightInd w:val="0"/>
                    <w:snapToGrid w:val="0"/>
                    <w:jc w:val="center"/>
                    <w:rPr>
                      <w:bCs/>
                      <w:color w:val="auto"/>
                      <w:szCs w:val="21"/>
                    </w:rPr>
                  </w:pPr>
                  <w:r>
                    <w:rPr>
                      <w:rFonts w:hint="eastAsia"/>
                      <w:bCs/>
                      <w:color w:val="auto"/>
                      <w:szCs w:val="21"/>
                    </w:rPr>
                    <w:t>/</w:t>
                  </w:r>
                </w:p>
              </w:tc>
              <w:tc>
                <w:tcPr>
                  <w:tcW w:w="776" w:type="dxa"/>
                  <w:vAlign w:val="center"/>
                </w:tcPr>
                <w:p w14:paraId="46FF1A40">
                  <w:pPr>
                    <w:adjustRightInd w:val="0"/>
                    <w:snapToGrid w:val="0"/>
                    <w:jc w:val="center"/>
                    <w:rPr>
                      <w:color w:val="auto"/>
                      <w:szCs w:val="21"/>
                    </w:rPr>
                  </w:pPr>
                  <w:r>
                    <w:rPr>
                      <w:rFonts w:hint="eastAsia"/>
                      <w:bCs/>
                      <w:color w:val="auto"/>
                      <w:szCs w:val="21"/>
                    </w:rPr>
                    <w:t>河流</w:t>
                  </w:r>
                </w:p>
              </w:tc>
              <w:tc>
                <w:tcPr>
                  <w:tcW w:w="807" w:type="dxa"/>
                  <w:vAlign w:val="center"/>
                </w:tcPr>
                <w:p w14:paraId="09E63A66">
                  <w:pPr>
                    <w:adjustRightInd w:val="0"/>
                    <w:snapToGrid w:val="0"/>
                    <w:jc w:val="center"/>
                    <w:rPr>
                      <w:bCs/>
                      <w:color w:val="auto"/>
                      <w:szCs w:val="21"/>
                    </w:rPr>
                  </w:pPr>
                  <w:r>
                    <w:rPr>
                      <w:rFonts w:hint="eastAsia"/>
                      <w:bCs/>
                      <w:color w:val="auto"/>
                      <w:szCs w:val="21"/>
                    </w:rPr>
                    <w:t>/</w:t>
                  </w:r>
                </w:p>
              </w:tc>
              <w:tc>
                <w:tcPr>
                  <w:tcW w:w="1839" w:type="dxa"/>
                  <w:vAlign w:val="center"/>
                </w:tcPr>
                <w:p w14:paraId="54624691">
                  <w:pPr>
                    <w:adjustRightInd w:val="0"/>
                    <w:snapToGrid w:val="0"/>
                    <w:jc w:val="center"/>
                    <w:rPr>
                      <w:bCs/>
                      <w:color w:val="auto"/>
                      <w:szCs w:val="21"/>
                    </w:rPr>
                  </w:pPr>
                  <w:r>
                    <w:rPr>
                      <w:bCs/>
                      <w:color w:val="auto"/>
                      <w:szCs w:val="21"/>
                    </w:rPr>
                    <w:t>《地表水环境质量标准》（GB3838-2002）III类</w:t>
                  </w:r>
                </w:p>
              </w:tc>
              <w:tc>
                <w:tcPr>
                  <w:tcW w:w="974" w:type="dxa"/>
                  <w:vAlign w:val="center"/>
                </w:tcPr>
                <w:p w14:paraId="4EB7D153">
                  <w:pPr>
                    <w:adjustRightInd w:val="0"/>
                    <w:snapToGrid w:val="0"/>
                    <w:jc w:val="center"/>
                    <w:rPr>
                      <w:bCs/>
                      <w:color w:val="auto"/>
                      <w:szCs w:val="21"/>
                    </w:rPr>
                  </w:pPr>
                  <w:r>
                    <w:rPr>
                      <w:rFonts w:hint="eastAsia"/>
                      <w:bCs/>
                      <w:color w:val="auto"/>
                      <w:szCs w:val="21"/>
                    </w:rPr>
                    <w:t>西侧</w:t>
                  </w:r>
                </w:p>
              </w:tc>
              <w:tc>
                <w:tcPr>
                  <w:tcW w:w="814" w:type="dxa"/>
                  <w:vAlign w:val="center"/>
                </w:tcPr>
                <w:p w14:paraId="067BE648">
                  <w:pPr>
                    <w:adjustRightInd w:val="0"/>
                    <w:snapToGrid w:val="0"/>
                    <w:jc w:val="center"/>
                    <w:rPr>
                      <w:bCs/>
                      <w:color w:val="auto"/>
                      <w:szCs w:val="21"/>
                    </w:rPr>
                  </w:pPr>
                  <w:r>
                    <w:rPr>
                      <w:rFonts w:hint="eastAsia"/>
                      <w:bCs/>
                      <w:color w:val="auto"/>
                      <w:szCs w:val="21"/>
                    </w:rPr>
                    <w:t>1500</w:t>
                  </w:r>
                </w:p>
              </w:tc>
            </w:tr>
          </w:tbl>
          <w:p w14:paraId="0691D154">
            <w:pPr>
              <w:adjustRightInd w:val="0"/>
              <w:snapToGrid w:val="0"/>
              <w:rPr>
                <w:rFonts w:cs="宋体"/>
                <w:color w:val="auto"/>
                <w:kern w:val="0"/>
                <w:szCs w:val="21"/>
              </w:rPr>
            </w:pPr>
          </w:p>
        </w:tc>
      </w:tr>
      <w:tr w14:paraId="5657F2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26" w:type="dxa"/>
            <w:tcMar>
              <w:left w:w="28" w:type="dxa"/>
              <w:right w:w="28" w:type="dxa"/>
            </w:tcMar>
            <w:vAlign w:val="center"/>
          </w:tcPr>
          <w:p w14:paraId="19CBBDD7">
            <w:pPr>
              <w:adjustRightInd w:val="0"/>
              <w:snapToGrid w:val="0"/>
              <w:jc w:val="center"/>
              <w:rPr>
                <w:rFonts w:cs="宋体"/>
                <w:color w:val="auto"/>
                <w:kern w:val="0"/>
                <w:szCs w:val="21"/>
              </w:rPr>
            </w:pPr>
            <w:r>
              <w:rPr>
                <w:rFonts w:hint="eastAsia" w:cs="宋体"/>
                <w:color w:val="auto"/>
                <w:kern w:val="0"/>
                <w:szCs w:val="21"/>
              </w:rPr>
              <w:t>污染</w:t>
            </w:r>
          </w:p>
          <w:p w14:paraId="7979E7F2">
            <w:pPr>
              <w:adjustRightInd w:val="0"/>
              <w:snapToGrid w:val="0"/>
              <w:jc w:val="center"/>
              <w:rPr>
                <w:rFonts w:cs="宋体"/>
                <w:color w:val="auto"/>
                <w:kern w:val="0"/>
                <w:szCs w:val="21"/>
              </w:rPr>
            </w:pPr>
            <w:r>
              <w:rPr>
                <w:rFonts w:hint="eastAsia" w:cs="宋体"/>
                <w:color w:val="auto"/>
                <w:kern w:val="0"/>
                <w:szCs w:val="21"/>
              </w:rPr>
              <w:t>物排</w:t>
            </w:r>
          </w:p>
          <w:p w14:paraId="2D923397">
            <w:pPr>
              <w:adjustRightInd w:val="0"/>
              <w:snapToGrid w:val="0"/>
              <w:jc w:val="center"/>
              <w:rPr>
                <w:rFonts w:cs="宋体"/>
                <w:color w:val="auto"/>
                <w:kern w:val="0"/>
                <w:szCs w:val="21"/>
              </w:rPr>
            </w:pPr>
            <w:r>
              <w:rPr>
                <w:rFonts w:hint="eastAsia" w:cs="宋体"/>
                <w:color w:val="auto"/>
                <w:kern w:val="0"/>
                <w:szCs w:val="21"/>
              </w:rPr>
              <w:t>放控</w:t>
            </w:r>
          </w:p>
          <w:p w14:paraId="417FDDE2">
            <w:pPr>
              <w:adjustRightInd w:val="0"/>
              <w:snapToGrid w:val="0"/>
              <w:jc w:val="center"/>
              <w:rPr>
                <w:rFonts w:cs="宋体"/>
                <w:color w:val="auto"/>
                <w:kern w:val="0"/>
                <w:szCs w:val="21"/>
              </w:rPr>
            </w:pPr>
            <w:r>
              <w:rPr>
                <w:rFonts w:hint="eastAsia" w:cs="宋体"/>
                <w:color w:val="auto"/>
                <w:kern w:val="0"/>
                <w:szCs w:val="21"/>
              </w:rPr>
              <w:t>制标</w:t>
            </w:r>
          </w:p>
          <w:p w14:paraId="086BBEE9">
            <w:pPr>
              <w:adjustRightInd w:val="0"/>
              <w:snapToGrid w:val="0"/>
              <w:jc w:val="center"/>
              <w:rPr>
                <w:rFonts w:cs="宋体"/>
                <w:color w:val="auto"/>
                <w:kern w:val="0"/>
                <w:szCs w:val="21"/>
              </w:rPr>
            </w:pPr>
            <w:r>
              <w:rPr>
                <w:rFonts w:hint="eastAsia" w:cs="宋体"/>
                <w:color w:val="auto"/>
                <w:kern w:val="0"/>
                <w:szCs w:val="21"/>
              </w:rPr>
              <w:t>准</w:t>
            </w:r>
          </w:p>
        </w:tc>
        <w:tc>
          <w:tcPr>
            <w:tcW w:w="9081" w:type="dxa"/>
            <w:vAlign w:val="center"/>
          </w:tcPr>
          <w:p w14:paraId="46D7EC88">
            <w:pPr>
              <w:pStyle w:val="16"/>
              <w:adjustRightInd w:val="0"/>
              <w:snapToGrid w:val="0"/>
              <w:spacing w:after="0" w:line="360" w:lineRule="auto"/>
              <w:ind w:left="0" w:leftChars="0" w:firstLine="482"/>
              <w:rPr>
                <w:b/>
                <w:bCs/>
                <w:color w:val="auto"/>
                <w:szCs w:val="28"/>
              </w:rPr>
            </w:pPr>
            <w:r>
              <w:rPr>
                <w:rFonts w:hint="eastAsia"/>
                <w:b/>
                <w:bCs/>
                <w:color w:val="auto"/>
                <w:szCs w:val="28"/>
              </w:rPr>
              <w:t>一、大气污染物排放标准</w:t>
            </w:r>
          </w:p>
          <w:p w14:paraId="0A181F86">
            <w:pPr>
              <w:adjustRightInd w:val="0"/>
              <w:snapToGrid w:val="0"/>
              <w:spacing w:line="360" w:lineRule="auto"/>
              <w:ind w:firstLine="480" w:firstLineChars="200"/>
              <w:jc w:val="left"/>
              <w:rPr>
                <w:color w:val="auto"/>
                <w:sz w:val="24"/>
              </w:rPr>
            </w:pPr>
            <w:r>
              <w:rPr>
                <w:color w:val="auto"/>
                <w:sz w:val="24"/>
              </w:rPr>
              <w:t>（1）施工期</w:t>
            </w:r>
          </w:p>
          <w:p w14:paraId="54381833">
            <w:pPr>
              <w:adjustRightInd w:val="0"/>
              <w:snapToGrid w:val="0"/>
              <w:spacing w:line="360" w:lineRule="auto"/>
              <w:ind w:firstLine="480" w:firstLineChars="200"/>
              <w:jc w:val="left"/>
              <w:rPr>
                <w:color w:val="auto"/>
                <w:sz w:val="24"/>
              </w:rPr>
            </w:pPr>
            <w:r>
              <w:rPr>
                <w:color w:val="auto"/>
                <w:sz w:val="24"/>
              </w:rPr>
              <w:t>施工期无组织粉尘执行《大气污染物综合排放标准》（GB16297-1996）表2中的无组织排放监控浓度限值。污染物排放标准见表</w:t>
            </w:r>
            <w:r>
              <w:rPr>
                <w:rFonts w:hint="eastAsia"/>
                <w:color w:val="auto"/>
                <w:sz w:val="24"/>
              </w:rPr>
              <w:t>3</w:t>
            </w:r>
            <w:r>
              <w:rPr>
                <w:color w:val="auto"/>
                <w:sz w:val="24"/>
              </w:rPr>
              <w:t>-</w:t>
            </w:r>
            <w:r>
              <w:rPr>
                <w:rFonts w:hint="eastAsia"/>
                <w:color w:val="auto"/>
                <w:sz w:val="24"/>
              </w:rPr>
              <w:t>5</w:t>
            </w:r>
            <w:r>
              <w:rPr>
                <w:color w:val="auto"/>
                <w:sz w:val="24"/>
              </w:rPr>
              <w:t>。</w:t>
            </w:r>
          </w:p>
          <w:p w14:paraId="460B7A9A">
            <w:pPr>
              <w:adjustRightInd w:val="0"/>
              <w:snapToGrid w:val="0"/>
              <w:jc w:val="center"/>
              <w:rPr>
                <w:b/>
                <w:bCs/>
                <w:color w:val="auto"/>
                <w:szCs w:val="21"/>
              </w:rPr>
            </w:pPr>
            <w:r>
              <w:rPr>
                <w:rFonts w:hint="eastAsia"/>
                <w:b/>
                <w:bCs/>
                <w:color w:val="auto"/>
                <w:szCs w:val="21"/>
              </w:rPr>
              <w:t>表3-5  颗粒物大气污染物排放浓度限值</w:t>
            </w:r>
          </w:p>
          <w:tbl>
            <w:tblPr>
              <w:tblStyle w:val="30"/>
              <w:tblW w:w="832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51"/>
              <w:gridCol w:w="2751"/>
              <w:gridCol w:w="2824"/>
            </w:tblGrid>
            <w:tr w14:paraId="668AC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5" w:hRule="atLeast"/>
              </w:trPr>
              <w:tc>
                <w:tcPr>
                  <w:tcW w:w="2751" w:type="dxa"/>
                  <w:vMerge w:val="restart"/>
                  <w:vAlign w:val="center"/>
                </w:tcPr>
                <w:p w14:paraId="3E2317D3">
                  <w:pPr>
                    <w:adjustRightInd w:val="0"/>
                    <w:snapToGrid w:val="0"/>
                    <w:ind w:firstLine="422" w:firstLineChars="200"/>
                    <w:jc w:val="center"/>
                    <w:rPr>
                      <w:b/>
                      <w:color w:val="auto"/>
                      <w:szCs w:val="21"/>
                    </w:rPr>
                  </w:pPr>
                  <w:r>
                    <w:rPr>
                      <w:b/>
                      <w:color w:val="auto"/>
                      <w:szCs w:val="21"/>
                    </w:rPr>
                    <w:t>污染物</w:t>
                  </w:r>
                </w:p>
              </w:tc>
              <w:tc>
                <w:tcPr>
                  <w:tcW w:w="5575" w:type="dxa"/>
                  <w:gridSpan w:val="2"/>
                  <w:vAlign w:val="center"/>
                </w:tcPr>
                <w:p w14:paraId="76D3879C">
                  <w:pPr>
                    <w:adjustRightInd w:val="0"/>
                    <w:snapToGrid w:val="0"/>
                    <w:ind w:firstLine="422" w:firstLineChars="200"/>
                    <w:jc w:val="center"/>
                    <w:rPr>
                      <w:b/>
                      <w:color w:val="auto"/>
                      <w:szCs w:val="21"/>
                    </w:rPr>
                  </w:pPr>
                  <w:r>
                    <w:rPr>
                      <w:b/>
                      <w:color w:val="auto"/>
                      <w:szCs w:val="21"/>
                    </w:rPr>
                    <w:t>无组织排放浓度监控限值</w:t>
                  </w:r>
                </w:p>
              </w:tc>
            </w:tr>
            <w:tr w14:paraId="496CDF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2751" w:type="dxa"/>
                  <w:vMerge w:val="continue"/>
                  <w:vAlign w:val="center"/>
                </w:tcPr>
                <w:p w14:paraId="19AE3217">
                  <w:pPr>
                    <w:adjustRightInd w:val="0"/>
                    <w:snapToGrid w:val="0"/>
                    <w:ind w:firstLine="422" w:firstLineChars="200"/>
                    <w:jc w:val="center"/>
                    <w:rPr>
                      <w:b/>
                      <w:color w:val="auto"/>
                      <w:szCs w:val="21"/>
                    </w:rPr>
                  </w:pPr>
                </w:p>
              </w:tc>
              <w:tc>
                <w:tcPr>
                  <w:tcW w:w="2751" w:type="dxa"/>
                  <w:vAlign w:val="center"/>
                </w:tcPr>
                <w:p w14:paraId="33C0A679">
                  <w:pPr>
                    <w:adjustRightInd w:val="0"/>
                    <w:snapToGrid w:val="0"/>
                    <w:ind w:firstLine="422" w:firstLineChars="200"/>
                    <w:jc w:val="center"/>
                    <w:rPr>
                      <w:b/>
                      <w:color w:val="auto"/>
                      <w:szCs w:val="21"/>
                    </w:rPr>
                  </w:pPr>
                  <w:r>
                    <w:rPr>
                      <w:b/>
                      <w:color w:val="auto"/>
                      <w:szCs w:val="21"/>
                    </w:rPr>
                    <w:t>监控点</w:t>
                  </w:r>
                </w:p>
              </w:tc>
              <w:tc>
                <w:tcPr>
                  <w:tcW w:w="2824" w:type="dxa"/>
                  <w:vAlign w:val="center"/>
                </w:tcPr>
                <w:p w14:paraId="1BAD9D0B">
                  <w:pPr>
                    <w:adjustRightInd w:val="0"/>
                    <w:snapToGrid w:val="0"/>
                    <w:ind w:firstLine="422" w:firstLineChars="200"/>
                    <w:jc w:val="center"/>
                    <w:rPr>
                      <w:b/>
                      <w:color w:val="auto"/>
                      <w:szCs w:val="21"/>
                    </w:rPr>
                  </w:pPr>
                  <w:r>
                    <w:rPr>
                      <w:b/>
                      <w:color w:val="auto"/>
                      <w:szCs w:val="21"/>
                    </w:rPr>
                    <w:t>浓度限值（mg/m</w:t>
                  </w:r>
                  <w:r>
                    <w:rPr>
                      <w:b/>
                      <w:color w:val="auto"/>
                      <w:szCs w:val="21"/>
                      <w:vertAlign w:val="superscript"/>
                    </w:rPr>
                    <w:t>3</w:t>
                  </w:r>
                  <w:r>
                    <w:rPr>
                      <w:b/>
                      <w:color w:val="auto"/>
                      <w:szCs w:val="21"/>
                    </w:rPr>
                    <w:t>）</w:t>
                  </w:r>
                </w:p>
              </w:tc>
            </w:tr>
            <w:tr w14:paraId="78EF6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5" w:hRule="atLeast"/>
              </w:trPr>
              <w:tc>
                <w:tcPr>
                  <w:tcW w:w="2751" w:type="dxa"/>
                  <w:vAlign w:val="center"/>
                </w:tcPr>
                <w:p w14:paraId="246CB32C">
                  <w:pPr>
                    <w:adjustRightInd w:val="0"/>
                    <w:snapToGrid w:val="0"/>
                    <w:ind w:firstLine="420" w:firstLineChars="200"/>
                    <w:jc w:val="center"/>
                    <w:rPr>
                      <w:color w:val="auto"/>
                      <w:szCs w:val="21"/>
                    </w:rPr>
                  </w:pPr>
                  <w:r>
                    <w:rPr>
                      <w:color w:val="auto"/>
                      <w:szCs w:val="21"/>
                    </w:rPr>
                    <w:t>颗粒物</w:t>
                  </w:r>
                </w:p>
              </w:tc>
              <w:tc>
                <w:tcPr>
                  <w:tcW w:w="2751" w:type="dxa"/>
                  <w:vAlign w:val="center"/>
                </w:tcPr>
                <w:p w14:paraId="258531E8">
                  <w:pPr>
                    <w:adjustRightInd w:val="0"/>
                    <w:snapToGrid w:val="0"/>
                    <w:ind w:firstLine="420" w:firstLineChars="200"/>
                    <w:jc w:val="center"/>
                    <w:rPr>
                      <w:color w:val="auto"/>
                      <w:szCs w:val="21"/>
                    </w:rPr>
                  </w:pPr>
                  <w:r>
                    <w:rPr>
                      <w:color w:val="auto"/>
                      <w:szCs w:val="21"/>
                    </w:rPr>
                    <w:t>周界外浓度最高点</w:t>
                  </w:r>
                </w:p>
              </w:tc>
              <w:tc>
                <w:tcPr>
                  <w:tcW w:w="2824" w:type="dxa"/>
                  <w:vAlign w:val="center"/>
                </w:tcPr>
                <w:p w14:paraId="2A4BBC92">
                  <w:pPr>
                    <w:adjustRightInd w:val="0"/>
                    <w:snapToGrid w:val="0"/>
                    <w:ind w:firstLine="420" w:firstLineChars="200"/>
                    <w:jc w:val="center"/>
                    <w:rPr>
                      <w:color w:val="auto"/>
                      <w:szCs w:val="21"/>
                    </w:rPr>
                  </w:pPr>
                  <w:r>
                    <w:rPr>
                      <w:color w:val="auto"/>
                      <w:szCs w:val="21"/>
                    </w:rPr>
                    <w:t>1.0</w:t>
                  </w:r>
                </w:p>
              </w:tc>
            </w:tr>
          </w:tbl>
          <w:p w14:paraId="2915DD66">
            <w:pPr>
              <w:adjustRightInd w:val="0"/>
              <w:snapToGrid w:val="0"/>
              <w:spacing w:line="360" w:lineRule="auto"/>
              <w:ind w:firstLine="480" w:firstLineChars="200"/>
              <w:jc w:val="left"/>
              <w:rPr>
                <w:color w:val="auto"/>
                <w:sz w:val="24"/>
              </w:rPr>
            </w:pPr>
            <w:r>
              <w:rPr>
                <w:color w:val="auto"/>
                <w:sz w:val="24"/>
              </w:rPr>
              <w:t>（2）运营期</w:t>
            </w:r>
          </w:p>
          <w:p w14:paraId="40B48B71">
            <w:pPr>
              <w:spacing w:line="360" w:lineRule="auto"/>
              <w:ind w:firstLine="480" w:firstLineChars="200"/>
              <w:rPr>
                <w:color w:val="auto"/>
                <w:sz w:val="24"/>
                <w:lang w:val="zh-CN"/>
              </w:rPr>
            </w:pPr>
            <w:r>
              <w:rPr>
                <w:rFonts w:hint="eastAsia"/>
                <w:color w:val="auto"/>
                <w:sz w:val="24"/>
              </w:rPr>
              <w:fldChar w:fldCharType="begin"/>
            </w:r>
            <w:r>
              <w:rPr>
                <w:rFonts w:hint="eastAsia"/>
                <w:color w:val="auto"/>
                <w:sz w:val="24"/>
              </w:rPr>
              <w:instrText xml:space="preserve"> = 1 \* GB3 \* MERGEFORMAT </w:instrText>
            </w:r>
            <w:r>
              <w:rPr>
                <w:rFonts w:hint="eastAsia"/>
                <w:color w:val="auto"/>
                <w:sz w:val="24"/>
              </w:rPr>
              <w:fldChar w:fldCharType="separate"/>
            </w:r>
            <w:r>
              <w:rPr>
                <w:color w:val="auto"/>
                <w:sz w:val="24"/>
                <w:lang w:val="zh-CN"/>
              </w:rPr>
              <w:t>①</w:t>
            </w:r>
            <w:r>
              <w:rPr>
                <w:rFonts w:hint="eastAsia"/>
                <w:color w:val="auto"/>
                <w:sz w:val="24"/>
              </w:rPr>
              <w:fldChar w:fldCharType="end"/>
            </w:r>
            <w:r>
              <w:rPr>
                <w:rFonts w:hint="eastAsia"/>
                <w:color w:val="auto"/>
                <w:sz w:val="24"/>
              </w:rPr>
              <w:t>项目生产过程产生的甲醛、VOCs（以非甲烷总烃计）经集气罩收集、</w:t>
            </w:r>
            <w:r>
              <w:rPr>
                <w:rFonts w:hint="eastAsia" w:eastAsia="Times New Roman"/>
                <w:color w:val="auto"/>
                <w:sz w:val="24"/>
              </w:rPr>
              <w:t>“UV光解+三级活性炭吸附净化装置”</w:t>
            </w:r>
            <w:r>
              <w:rPr>
                <w:rFonts w:hint="eastAsia"/>
                <w:color w:val="auto"/>
                <w:sz w:val="24"/>
              </w:rPr>
              <w:t>处理后，由15m高排气筒（DA001）排放。未被集气罩收集部分在车间内呈无组织排放。项目甲醛、VOCs（以非甲烷总烃计）执行</w:t>
            </w:r>
            <w:r>
              <w:rPr>
                <w:color w:val="auto"/>
                <w:sz w:val="24"/>
                <w:lang w:val="zh-CN"/>
              </w:rPr>
              <w:t>《大气污染物综合排放标准》（GB16297-1996）表2中二级标准</w:t>
            </w:r>
            <w:r>
              <w:rPr>
                <w:rFonts w:hint="eastAsia"/>
                <w:color w:val="auto"/>
                <w:sz w:val="24"/>
              </w:rPr>
              <w:t>及无组织排放监控浓度限值，标准值见表3-8</w:t>
            </w:r>
            <w:r>
              <w:rPr>
                <w:rFonts w:hint="eastAsia"/>
                <w:color w:val="auto"/>
                <w:sz w:val="24"/>
                <w:lang w:val="zh-CN"/>
              </w:rPr>
              <w:t>。</w:t>
            </w:r>
          </w:p>
          <w:p w14:paraId="4D1732A7">
            <w:pPr>
              <w:spacing w:line="360" w:lineRule="auto"/>
              <w:ind w:firstLine="480" w:firstLineChars="200"/>
              <w:rPr>
                <w:color w:val="auto"/>
                <w:sz w:val="24"/>
              </w:rPr>
            </w:pPr>
            <w:r>
              <w:rPr>
                <w:rFonts w:hint="eastAsia"/>
                <w:color w:val="auto"/>
                <w:sz w:val="24"/>
              </w:rPr>
              <w:t>天然气燃烧产生的废气主要为颗粒物、二氧化硫、氮氧化物，经15m高排气筒（DA002）排放。天然气燃烧废气浓度限值执行《锅炉大气污染物排放标准》（GB13271-2014）中表2燃气锅炉的排放限值要求；详细</w:t>
            </w:r>
            <w:r>
              <w:rPr>
                <w:color w:val="auto"/>
                <w:sz w:val="24"/>
              </w:rPr>
              <w:t>标准值见表3-</w:t>
            </w:r>
            <w:r>
              <w:rPr>
                <w:rFonts w:hint="eastAsia"/>
                <w:color w:val="auto"/>
                <w:sz w:val="24"/>
              </w:rPr>
              <w:t>7</w:t>
            </w:r>
            <w:r>
              <w:rPr>
                <w:color w:val="auto"/>
                <w:sz w:val="24"/>
                <w:lang w:val="zh-CN"/>
              </w:rPr>
              <w:t>。</w:t>
            </w:r>
          </w:p>
          <w:p w14:paraId="7F1884A1">
            <w:pPr>
              <w:spacing w:line="360" w:lineRule="auto"/>
              <w:ind w:firstLine="480" w:firstLineChars="200"/>
              <w:rPr>
                <w:color w:val="auto"/>
                <w:sz w:val="24"/>
                <w:lang w:val="zh-CN"/>
              </w:rPr>
            </w:pPr>
            <w:r>
              <w:rPr>
                <w:color w:val="auto"/>
                <w:sz w:val="24"/>
              </w:rPr>
              <w:t>厂内无组织挥发性有机物执行《挥发性有机物无组织排放控制标准》（GB37822-2019）中的要求</w:t>
            </w:r>
            <w:r>
              <w:rPr>
                <w:rFonts w:hint="eastAsia"/>
                <w:color w:val="auto"/>
                <w:sz w:val="24"/>
              </w:rPr>
              <w:t>，标准值详见表3-8。</w:t>
            </w:r>
          </w:p>
          <w:p w14:paraId="74B216BC">
            <w:pPr>
              <w:snapToGrid w:val="0"/>
              <w:spacing w:line="360" w:lineRule="auto"/>
              <w:ind w:firstLine="480" w:firstLineChars="200"/>
              <w:rPr>
                <w:color w:val="auto"/>
                <w:sz w:val="24"/>
              </w:rPr>
            </w:pPr>
            <w:r>
              <w:rPr>
                <w:color w:val="auto"/>
                <w:sz w:val="24"/>
              </w:rPr>
              <w:t>根据《大气污染物综合排放标准》（GB16297-1996）中“7.1排气筒高度除须遵守表列排放速率值外，还应高出周围200米半径范围的建筑5米以上，不能达到该要求的排气筒，应按其高度对应的表列排放速率标准值严格50%执行”，</w:t>
            </w:r>
            <w:r>
              <w:rPr>
                <w:rFonts w:hint="eastAsia"/>
                <w:color w:val="auto"/>
                <w:sz w:val="24"/>
              </w:rPr>
              <w:t>由于本项目周围200m内存在高层建筑，</w:t>
            </w:r>
            <w:r>
              <w:rPr>
                <w:color w:val="auto"/>
                <w:sz w:val="24"/>
              </w:rPr>
              <w:t>本项目排气筒</w:t>
            </w:r>
            <w:r>
              <w:rPr>
                <w:rFonts w:hint="eastAsia"/>
                <w:color w:val="auto"/>
                <w:sz w:val="24"/>
              </w:rPr>
              <w:t>DA001</w:t>
            </w:r>
            <w:r>
              <w:rPr>
                <w:color w:val="auto"/>
                <w:sz w:val="24"/>
              </w:rPr>
              <w:t>高度无法做到高出周围200米半径范围内的建筑物5米以上，因此</w:t>
            </w:r>
            <w:r>
              <w:rPr>
                <w:rFonts w:hint="eastAsia"/>
                <w:color w:val="auto"/>
                <w:sz w:val="24"/>
              </w:rPr>
              <w:t>VOCs（以非甲烷总烃计）、甲醛</w:t>
            </w:r>
            <w:r>
              <w:rPr>
                <w:color w:val="auto"/>
                <w:sz w:val="24"/>
              </w:rPr>
              <w:t>排放速率标准严格50%执行，标准值见</w:t>
            </w:r>
            <w:r>
              <w:rPr>
                <w:rFonts w:hint="eastAsia"/>
                <w:color w:val="auto"/>
                <w:sz w:val="24"/>
              </w:rPr>
              <w:t>下表</w:t>
            </w:r>
            <w:r>
              <w:rPr>
                <w:color w:val="auto"/>
                <w:sz w:val="24"/>
              </w:rPr>
              <w:t>。</w:t>
            </w:r>
          </w:p>
          <w:p w14:paraId="100451D9">
            <w:pPr>
              <w:jc w:val="center"/>
              <w:rPr>
                <w:b/>
                <w:bCs/>
                <w:color w:val="auto"/>
              </w:rPr>
            </w:pPr>
            <w:r>
              <w:rPr>
                <w:b/>
                <w:bCs/>
                <w:color w:val="auto"/>
              </w:rPr>
              <w:t>表3-</w:t>
            </w:r>
            <w:r>
              <w:rPr>
                <w:rFonts w:hint="eastAsia"/>
                <w:b/>
                <w:bCs/>
                <w:color w:val="auto"/>
              </w:rPr>
              <w:t>6</w:t>
            </w:r>
            <w:r>
              <w:rPr>
                <w:b/>
                <w:bCs/>
                <w:color w:val="auto"/>
              </w:rPr>
              <w:t xml:space="preserve">  大气污染物综合排放标准</w:t>
            </w:r>
          </w:p>
          <w:tbl>
            <w:tblPr>
              <w:tblStyle w:val="30"/>
              <w:tblW w:w="885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1302"/>
              <w:gridCol w:w="1192"/>
              <w:gridCol w:w="2121"/>
              <w:gridCol w:w="1573"/>
              <w:gridCol w:w="1296"/>
            </w:tblGrid>
            <w:tr w14:paraId="181436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71" w:type="dxa"/>
                  <w:vMerge w:val="restart"/>
                  <w:tcBorders>
                    <w:left w:val="single" w:color="auto" w:sz="0" w:space="0"/>
                  </w:tcBorders>
                  <w:vAlign w:val="center"/>
                </w:tcPr>
                <w:p w14:paraId="666F2070">
                  <w:pPr>
                    <w:adjustRightInd w:val="0"/>
                    <w:snapToGrid w:val="0"/>
                    <w:jc w:val="center"/>
                    <w:rPr>
                      <w:b/>
                      <w:bCs/>
                      <w:color w:val="auto"/>
                      <w:szCs w:val="21"/>
                    </w:rPr>
                  </w:pPr>
                  <w:r>
                    <w:rPr>
                      <w:b/>
                      <w:bCs/>
                      <w:color w:val="auto"/>
                      <w:szCs w:val="21"/>
                    </w:rPr>
                    <w:t>污染物</w:t>
                  </w:r>
                </w:p>
              </w:tc>
              <w:tc>
                <w:tcPr>
                  <w:tcW w:w="4615" w:type="dxa"/>
                  <w:gridSpan w:val="3"/>
                  <w:vAlign w:val="center"/>
                </w:tcPr>
                <w:p w14:paraId="0BAAA256">
                  <w:pPr>
                    <w:adjustRightInd w:val="0"/>
                    <w:snapToGrid w:val="0"/>
                    <w:jc w:val="center"/>
                    <w:rPr>
                      <w:b/>
                      <w:bCs/>
                      <w:color w:val="auto"/>
                      <w:szCs w:val="21"/>
                    </w:rPr>
                  </w:pPr>
                  <w:r>
                    <w:rPr>
                      <w:b/>
                      <w:bCs/>
                      <w:color w:val="auto"/>
                      <w:szCs w:val="21"/>
                    </w:rPr>
                    <w:t>有组织排放</w:t>
                  </w:r>
                </w:p>
              </w:tc>
              <w:tc>
                <w:tcPr>
                  <w:tcW w:w="2869" w:type="dxa"/>
                  <w:gridSpan w:val="2"/>
                  <w:tcBorders>
                    <w:right w:val="single" w:color="auto" w:sz="4" w:space="0"/>
                  </w:tcBorders>
                  <w:vAlign w:val="center"/>
                </w:tcPr>
                <w:p w14:paraId="1FDE8B11">
                  <w:pPr>
                    <w:adjustRightInd w:val="0"/>
                    <w:snapToGrid w:val="0"/>
                    <w:jc w:val="center"/>
                    <w:rPr>
                      <w:b/>
                      <w:bCs/>
                      <w:color w:val="auto"/>
                      <w:szCs w:val="21"/>
                    </w:rPr>
                  </w:pPr>
                  <w:r>
                    <w:rPr>
                      <w:b/>
                      <w:bCs/>
                      <w:color w:val="auto"/>
                      <w:szCs w:val="21"/>
                    </w:rPr>
                    <w:t>无组织排放监控浓度限值</w:t>
                  </w:r>
                </w:p>
              </w:tc>
            </w:tr>
            <w:tr w14:paraId="1E773A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71" w:type="dxa"/>
                  <w:vMerge w:val="continue"/>
                  <w:tcBorders>
                    <w:left w:val="single" w:color="auto" w:sz="4" w:space="0"/>
                  </w:tcBorders>
                  <w:vAlign w:val="center"/>
                </w:tcPr>
                <w:p w14:paraId="577B6780">
                  <w:pPr>
                    <w:adjustRightInd w:val="0"/>
                    <w:snapToGrid w:val="0"/>
                    <w:jc w:val="center"/>
                    <w:textAlignment w:val="baseline"/>
                    <w:rPr>
                      <w:b/>
                      <w:bCs/>
                      <w:color w:val="auto"/>
                      <w:szCs w:val="21"/>
                    </w:rPr>
                  </w:pPr>
                </w:p>
              </w:tc>
              <w:tc>
                <w:tcPr>
                  <w:tcW w:w="1302" w:type="dxa"/>
                  <w:vAlign w:val="center"/>
                </w:tcPr>
                <w:p w14:paraId="47F0DF7C">
                  <w:pPr>
                    <w:adjustRightInd w:val="0"/>
                    <w:snapToGrid w:val="0"/>
                    <w:jc w:val="center"/>
                    <w:rPr>
                      <w:b/>
                      <w:bCs/>
                      <w:color w:val="auto"/>
                      <w:szCs w:val="21"/>
                    </w:rPr>
                  </w:pPr>
                  <w:r>
                    <w:rPr>
                      <w:b/>
                      <w:bCs/>
                      <w:color w:val="auto"/>
                      <w:szCs w:val="21"/>
                    </w:rPr>
                    <w:t>最高允许排放浓度</w:t>
                  </w:r>
                </w:p>
              </w:tc>
              <w:tc>
                <w:tcPr>
                  <w:tcW w:w="1192" w:type="dxa"/>
                  <w:vAlign w:val="center"/>
                </w:tcPr>
                <w:p w14:paraId="00351B7E">
                  <w:pPr>
                    <w:adjustRightInd w:val="0"/>
                    <w:snapToGrid w:val="0"/>
                    <w:jc w:val="center"/>
                    <w:rPr>
                      <w:b/>
                      <w:bCs/>
                      <w:color w:val="auto"/>
                      <w:szCs w:val="21"/>
                    </w:rPr>
                  </w:pPr>
                  <w:r>
                    <w:rPr>
                      <w:b/>
                      <w:bCs/>
                      <w:color w:val="auto"/>
                      <w:szCs w:val="21"/>
                    </w:rPr>
                    <w:t>排气筒高度（m）</w:t>
                  </w:r>
                </w:p>
              </w:tc>
              <w:tc>
                <w:tcPr>
                  <w:tcW w:w="2121" w:type="dxa"/>
                  <w:vAlign w:val="center"/>
                </w:tcPr>
                <w:p w14:paraId="66FDE193">
                  <w:pPr>
                    <w:adjustRightInd w:val="0"/>
                    <w:snapToGrid w:val="0"/>
                    <w:jc w:val="center"/>
                    <w:rPr>
                      <w:b/>
                      <w:bCs/>
                      <w:color w:val="auto"/>
                      <w:szCs w:val="21"/>
                    </w:rPr>
                  </w:pPr>
                  <w:r>
                    <w:rPr>
                      <w:b/>
                      <w:bCs/>
                      <w:color w:val="auto"/>
                      <w:szCs w:val="21"/>
                    </w:rPr>
                    <w:t>最高允许排放速率（kg/h）</w:t>
                  </w:r>
                </w:p>
              </w:tc>
              <w:tc>
                <w:tcPr>
                  <w:tcW w:w="1573" w:type="dxa"/>
                  <w:vAlign w:val="center"/>
                </w:tcPr>
                <w:p w14:paraId="297A9CF9">
                  <w:pPr>
                    <w:adjustRightInd w:val="0"/>
                    <w:snapToGrid w:val="0"/>
                    <w:jc w:val="center"/>
                    <w:rPr>
                      <w:b/>
                      <w:bCs/>
                      <w:color w:val="auto"/>
                      <w:szCs w:val="21"/>
                    </w:rPr>
                  </w:pPr>
                  <w:r>
                    <w:rPr>
                      <w:b/>
                      <w:bCs/>
                      <w:color w:val="auto"/>
                      <w:szCs w:val="21"/>
                    </w:rPr>
                    <w:t>监控点</w:t>
                  </w:r>
                </w:p>
              </w:tc>
              <w:tc>
                <w:tcPr>
                  <w:tcW w:w="1296" w:type="dxa"/>
                  <w:tcBorders>
                    <w:right w:val="single" w:color="auto" w:sz="4" w:space="0"/>
                  </w:tcBorders>
                  <w:vAlign w:val="center"/>
                </w:tcPr>
                <w:p w14:paraId="4A625749">
                  <w:pPr>
                    <w:adjustRightInd w:val="0"/>
                    <w:snapToGrid w:val="0"/>
                    <w:jc w:val="center"/>
                    <w:rPr>
                      <w:b/>
                      <w:bCs/>
                      <w:color w:val="auto"/>
                      <w:szCs w:val="21"/>
                    </w:rPr>
                  </w:pPr>
                  <w:r>
                    <w:rPr>
                      <w:b/>
                      <w:bCs/>
                      <w:color w:val="auto"/>
                      <w:szCs w:val="21"/>
                    </w:rPr>
                    <w:t>浓度（</w:t>
                  </w:r>
                  <w:r>
                    <w:rPr>
                      <w:b/>
                      <w:bCs/>
                      <w:color w:val="auto"/>
                    </w:rPr>
                    <w:t>mg/m</w:t>
                  </w:r>
                  <w:r>
                    <w:rPr>
                      <w:b/>
                      <w:bCs/>
                      <w:color w:val="auto"/>
                      <w:vertAlign w:val="superscript"/>
                    </w:rPr>
                    <w:t>3</w:t>
                  </w:r>
                  <w:r>
                    <w:rPr>
                      <w:b/>
                      <w:bCs/>
                      <w:color w:val="auto"/>
                      <w:szCs w:val="21"/>
                    </w:rPr>
                    <w:t>）</w:t>
                  </w:r>
                </w:p>
              </w:tc>
            </w:tr>
            <w:tr w14:paraId="340B71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71" w:type="dxa"/>
                  <w:tcBorders>
                    <w:left w:val="single" w:color="auto" w:sz="4" w:space="0"/>
                  </w:tcBorders>
                  <w:vAlign w:val="center"/>
                </w:tcPr>
                <w:p w14:paraId="26E909AD">
                  <w:pPr>
                    <w:widowControl/>
                    <w:adjustRightInd w:val="0"/>
                    <w:snapToGrid w:val="0"/>
                    <w:jc w:val="center"/>
                    <w:rPr>
                      <w:color w:val="auto"/>
                      <w:szCs w:val="21"/>
                    </w:rPr>
                  </w:pPr>
                  <w:r>
                    <w:rPr>
                      <w:color w:val="auto"/>
                      <w:szCs w:val="21"/>
                    </w:rPr>
                    <w:t>非甲烷总烃</w:t>
                  </w:r>
                </w:p>
              </w:tc>
              <w:tc>
                <w:tcPr>
                  <w:tcW w:w="1302" w:type="dxa"/>
                  <w:vAlign w:val="center"/>
                </w:tcPr>
                <w:p w14:paraId="74AD5D2A">
                  <w:pPr>
                    <w:adjustRightInd w:val="0"/>
                    <w:snapToGrid w:val="0"/>
                    <w:jc w:val="center"/>
                    <w:rPr>
                      <w:color w:val="auto"/>
                      <w:szCs w:val="21"/>
                    </w:rPr>
                  </w:pPr>
                  <w:r>
                    <w:rPr>
                      <w:color w:val="auto"/>
                      <w:szCs w:val="21"/>
                    </w:rPr>
                    <w:t>120</w:t>
                  </w:r>
                </w:p>
              </w:tc>
              <w:tc>
                <w:tcPr>
                  <w:tcW w:w="1192" w:type="dxa"/>
                  <w:vAlign w:val="center"/>
                </w:tcPr>
                <w:p w14:paraId="622C1CF9">
                  <w:pPr>
                    <w:adjustRightInd w:val="0"/>
                    <w:snapToGrid w:val="0"/>
                    <w:jc w:val="center"/>
                    <w:rPr>
                      <w:color w:val="auto"/>
                      <w:szCs w:val="21"/>
                    </w:rPr>
                  </w:pPr>
                  <w:r>
                    <w:rPr>
                      <w:rFonts w:hint="eastAsia"/>
                      <w:color w:val="auto"/>
                      <w:szCs w:val="21"/>
                    </w:rPr>
                    <w:t>15</w:t>
                  </w:r>
                </w:p>
              </w:tc>
              <w:tc>
                <w:tcPr>
                  <w:tcW w:w="2121" w:type="dxa"/>
                  <w:vAlign w:val="center"/>
                </w:tcPr>
                <w:p w14:paraId="76F163C8">
                  <w:pPr>
                    <w:adjustRightInd w:val="0"/>
                    <w:snapToGrid w:val="0"/>
                    <w:jc w:val="center"/>
                    <w:rPr>
                      <w:color w:val="auto"/>
                      <w:szCs w:val="21"/>
                    </w:rPr>
                  </w:pPr>
                  <w:r>
                    <w:rPr>
                      <w:rFonts w:hint="eastAsia"/>
                      <w:color w:val="auto"/>
                      <w:szCs w:val="21"/>
                    </w:rPr>
                    <w:t>10（50%为5）</w:t>
                  </w:r>
                </w:p>
              </w:tc>
              <w:tc>
                <w:tcPr>
                  <w:tcW w:w="1573" w:type="dxa"/>
                  <w:vMerge w:val="restart"/>
                  <w:vAlign w:val="center"/>
                </w:tcPr>
                <w:p w14:paraId="0FCEF038">
                  <w:pPr>
                    <w:adjustRightInd w:val="0"/>
                    <w:snapToGrid w:val="0"/>
                    <w:jc w:val="center"/>
                    <w:rPr>
                      <w:color w:val="auto"/>
                      <w:szCs w:val="21"/>
                    </w:rPr>
                  </w:pPr>
                  <w:r>
                    <w:rPr>
                      <w:color w:val="auto"/>
                      <w:szCs w:val="21"/>
                    </w:rPr>
                    <w:t>周界外浓度最高点</w:t>
                  </w:r>
                </w:p>
              </w:tc>
              <w:tc>
                <w:tcPr>
                  <w:tcW w:w="1296" w:type="dxa"/>
                  <w:tcBorders>
                    <w:right w:val="single" w:color="auto" w:sz="4" w:space="0"/>
                  </w:tcBorders>
                  <w:vAlign w:val="center"/>
                </w:tcPr>
                <w:p w14:paraId="73543424">
                  <w:pPr>
                    <w:adjustRightInd w:val="0"/>
                    <w:snapToGrid w:val="0"/>
                    <w:jc w:val="center"/>
                    <w:rPr>
                      <w:color w:val="auto"/>
                      <w:szCs w:val="21"/>
                    </w:rPr>
                  </w:pPr>
                  <w:r>
                    <w:rPr>
                      <w:color w:val="auto"/>
                      <w:szCs w:val="21"/>
                    </w:rPr>
                    <w:t>4.0</w:t>
                  </w:r>
                </w:p>
              </w:tc>
            </w:tr>
            <w:tr w14:paraId="7E643A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71" w:type="dxa"/>
                  <w:tcBorders>
                    <w:left w:val="single" w:color="auto" w:sz="4" w:space="0"/>
                  </w:tcBorders>
                  <w:vAlign w:val="center"/>
                </w:tcPr>
                <w:p w14:paraId="34C76CB3">
                  <w:pPr>
                    <w:widowControl/>
                    <w:adjustRightInd w:val="0"/>
                    <w:snapToGrid w:val="0"/>
                    <w:jc w:val="center"/>
                    <w:rPr>
                      <w:color w:val="auto"/>
                      <w:szCs w:val="21"/>
                    </w:rPr>
                  </w:pPr>
                  <w:r>
                    <w:rPr>
                      <w:rFonts w:hint="eastAsia"/>
                      <w:color w:val="auto"/>
                      <w:szCs w:val="21"/>
                    </w:rPr>
                    <w:t>甲醛</w:t>
                  </w:r>
                </w:p>
              </w:tc>
              <w:tc>
                <w:tcPr>
                  <w:tcW w:w="1302" w:type="dxa"/>
                  <w:vAlign w:val="center"/>
                </w:tcPr>
                <w:p w14:paraId="21E1B948">
                  <w:pPr>
                    <w:adjustRightInd w:val="0"/>
                    <w:snapToGrid w:val="0"/>
                    <w:jc w:val="center"/>
                    <w:rPr>
                      <w:color w:val="auto"/>
                      <w:szCs w:val="21"/>
                    </w:rPr>
                  </w:pPr>
                  <w:r>
                    <w:rPr>
                      <w:rFonts w:hint="eastAsia"/>
                      <w:color w:val="auto"/>
                      <w:szCs w:val="21"/>
                    </w:rPr>
                    <w:t>25</w:t>
                  </w:r>
                </w:p>
              </w:tc>
              <w:tc>
                <w:tcPr>
                  <w:tcW w:w="1192" w:type="dxa"/>
                  <w:vAlign w:val="center"/>
                </w:tcPr>
                <w:p w14:paraId="75FBC040">
                  <w:pPr>
                    <w:adjustRightInd w:val="0"/>
                    <w:snapToGrid w:val="0"/>
                    <w:jc w:val="center"/>
                    <w:rPr>
                      <w:color w:val="auto"/>
                      <w:szCs w:val="21"/>
                    </w:rPr>
                  </w:pPr>
                  <w:r>
                    <w:rPr>
                      <w:rFonts w:hint="eastAsia"/>
                      <w:color w:val="auto"/>
                      <w:szCs w:val="21"/>
                    </w:rPr>
                    <w:t>15</w:t>
                  </w:r>
                </w:p>
              </w:tc>
              <w:tc>
                <w:tcPr>
                  <w:tcW w:w="2121" w:type="dxa"/>
                  <w:vAlign w:val="center"/>
                </w:tcPr>
                <w:p w14:paraId="0958FFE5">
                  <w:pPr>
                    <w:adjustRightInd w:val="0"/>
                    <w:snapToGrid w:val="0"/>
                    <w:jc w:val="center"/>
                    <w:rPr>
                      <w:color w:val="auto"/>
                      <w:szCs w:val="21"/>
                    </w:rPr>
                  </w:pPr>
                  <w:r>
                    <w:rPr>
                      <w:rFonts w:hint="eastAsia"/>
                      <w:color w:val="auto"/>
                      <w:szCs w:val="21"/>
                    </w:rPr>
                    <w:t>0.26（50%为0.13）</w:t>
                  </w:r>
                </w:p>
              </w:tc>
              <w:tc>
                <w:tcPr>
                  <w:tcW w:w="1573" w:type="dxa"/>
                  <w:vMerge w:val="continue"/>
                  <w:vAlign w:val="center"/>
                </w:tcPr>
                <w:p w14:paraId="7037AFB7">
                  <w:pPr>
                    <w:adjustRightInd w:val="0"/>
                    <w:snapToGrid w:val="0"/>
                    <w:jc w:val="center"/>
                    <w:rPr>
                      <w:color w:val="auto"/>
                      <w:szCs w:val="21"/>
                    </w:rPr>
                  </w:pPr>
                </w:p>
              </w:tc>
              <w:tc>
                <w:tcPr>
                  <w:tcW w:w="1296" w:type="dxa"/>
                  <w:tcBorders>
                    <w:right w:val="single" w:color="auto" w:sz="4" w:space="0"/>
                  </w:tcBorders>
                  <w:vAlign w:val="center"/>
                </w:tcPr>
                <w:p w14:paraId="019D9A4C">
                  <w:pPr>
                    <w:adjustRightInd w:val="0"/>
                    <w:snapToGrid w:val="0"/>
                    <w:jc w:val="center"/>
                    <w:rPr>
                      <w:color w:val="auto"/>
                      <w:szCs w:val="21"/>
                    </w:rPr>
                  </w:pPr>
                  <w:r>
                    <w:rPr>
                      <w:rFonts w:hint="eastAsia"/>
                      <w:color w:val="auto"/>
                      <w:szCs w:val="21"/>
                    </w:rPr>
                    <w:t>0.2</w:t>
                  </w:r>
                </w:p>
              </w:tc>
            </w:tr>
          </w:tbl>
          <w:p w14:paraId="1E24E096">
            <w:pPr>
              <w:jc w:val="center"/>
              <w:rPr>
                <w:b/>
                <w:bCs/>
                <w:color w:val="auto"/>
              </w:rPr>
            </w:pPr>
            <w:r>
              <w:rPr>
                <w:b/>
                <w:bCs/>
                <w:color w:val="auto"/>
              </w:rPr>
              <w:t>表3-</w:t>
            </w:r>
            <w:r>
              <w:rPr>
                <w:rFonts w:hint="eastAsia"/>
                <w:b/>
                <w:bCs/>
                <w:color w:val="auto"/>
              </w:rPr>
              <w:t>7</w:t>
            </w:r>
            <w:r>
              <w:rPr>
                <w:b/>
                <w:bCs/>
                <w:color w:val="auto"/>
              </w:rPr>
              <w:t xml:space="preserve">  </w:t>
            </w:r>
            <w:r>
              <w:rPr>
                <w:rFonts w:hint="eastAsia"/>
                <w:b/>
                <w:bCs/>
                <w:color w:val="auto"/>
              </w:rPr>
              <w:t>锅炉大气污染物排放浓度限值  单位：mg/m</w:t>
            </w:r>
            <w:r>
              <w:rPr>
                <w:rFonts w:hint="eastAsia"/>
                <w:b/>
                <w:bCs/>
                <w:color w:val="auto"/>
                <w:vertAlign w:val="superscript"/>
              </w:rPr>
              <w:t>3</w:t>
            </w:r>
          </w:p>
          <w:tbl>
            <w:tblPr>
              <w:tblStyle w:val="30"/>
              <w:tblW w:w="88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50"/>
              <w:gridCol w:w="3686"/>
              <w:gridCol w:w="2114"/>
            </w:tblGrid>
            <w:tr w14:paraId="04B9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50" w:type="dxa"/>
                  <w:vMerge w:val="restart"/>
                  <w:tcBorders>
                    <w:tl2br w:val="nil"/>
                    <w:tr2bl w:val="nil"/>
                  </w:tcBorders>
                  <w:vAlign w:val="center"/>
                </w:tcPr>
                <w:p w14:paraId="018F527D">
                  <w:pPr>
                    <w:adjustRightInd w:val="0"/>
                    <w:snapToGrid w:val="0"/>
                    <w:jc w:val="center"/>
                    <w:rPr>
                      <w:b/>
                      <w:bCs/>
                      <w:color w:val="auto"/>
                      <w:szCs w:val="21"/>
                    </w:rPr>
                  </w:pPr>
                  <w:r>
                    <w:rPr>
                      <w:rFonts w:hint="eastAsia"/>
                      <w:b/>
                      <w:bCs/>
                      <w:color w:val="auto"/>
                      <w:szCs w:val="21"/>
                    </w:rPr>
                    <w:t>污染物项目</w:t>
                  </w:r>
                </w:p>
              </w:tc>
              <w:tc>
                <w:tcPr>
                  <w:tcW w:w="3686" w:type="dxa"/>
                  <w:tcBorders>
                    <w:tl2br w:val="nil"/>
                    <w:tr2bl w:val="nil"/>
                  </w:tcBorders>
                  <w:vAlign w:val="center"/>
                </w:tcPr>
                <w:p w14:paraId="2E434D71">
                  <w:pPr>
                    <w:adjustRightInd w:val="0"/>
                    <w:snapToGrid w:val="0"/>
                    <w:jc w:val="center"/>
                    <w:rPr>
                      <w:b/>
                      <w:bCs/>
                      <w:color w:val="auto"/>
                      <w:szCs w:val="21"/>
                    </w:rPr>
                  </w:pPr>
                  <w:r>
                    <w:rPr>
                      <w:rFonts w:hint="eastAsia"/>
                      <w:b/>
                      <w:bCs/>
                      <w:color w:val="auto"/>
                      <w:szCs w:val="21"/>
                    </w:rPr>
                    <w:t>燃气锅炉</w:t>
                  </w:r>
                </w:p>
              </w:tc>
              <w:tc>
                <w:tcPr>
                  <w:tcW w:w="2114" w:type="dxa"/>
                  <w:vMerge w:val="restart"/>
                  <w:tcBorders>
                    <w:tl2br w:val="nil"/>
                    <w:tr2bl w:val="nil"/>
                  </w:tcBorders>
                  <w:vAlign w:val="center"/>
                </w:tcPr>
                <w:p w14:paraId="1BAC9E76">
                  <w:pPr>
                    <w:adjustRightInd w:val="0"/>
                    <w:snapToGrid w:val="0"/>
                    <w:jc w:val="center"/>
                    <w:rPr>
                      <w:b/>
                      <w:bCs/>
                      <w:color w:val="auto"/>
                      <w:szCs w:val="21"/>
                    </w:rPr>
                  </w:pPr>
                  <w:r>
                    <w:rPr>
                      <w:rFonts w:hint="eastAsia"/>
                      <w:b/>
                      <w:bCs/>
                      <w:color w:val="auto"/>
                      <w:szCs w:val="21"/>
                    </w:rPr>
                    <w:t>污染物排放监控位置</w:t>
                  </w:r>
                </w:p>
              </w:tc>
            </w:tr>
            <w:tr w14:paraId="1067A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3050" w:type="dxa"/>
                  <w:vMerge w:val="continue"/>
                  <w:tcBorders>
                    <w:tl2br w:val="nil"/>
                    <w:tr2bl w:val="nil"/>
                  </w:tcBorders>
                  <w:vAlign w:val="center"/>
                </w:tcPr>
                <w:p w14:paraId="528C10BC">
                  <w:pPr>
                    <w:adjustRightInd w:val="0"/>
                    <w:snapToGrid w:val="0"/>
                    <w:jc w:val="center"/>
                    <w:rPr>
                      <w:color w:val="auto"/>
                    </w:rPr>
                  </w:pPr>
                </w:p>
              </w:tc>
              <w:tc>
                <w:tcPr>
                  <w:tcW w:w="3686" w:type="dxa"/>
                  <w:tcBorders>
                    <w:tl2br w:val="nil"/>
                    <w:tr2bl w:val="nil"/>
                  </w:tcBorders>
                  <w:vAlign w:val="center"/>
                </w:tcPr>
                <w:p w14:paraId="7FB91587">
                  <w:pPr>
                    <w:adjustRightInd w:val="0"/>
                    <w:snapToGrid w:val="0"/>
                    <w:jc w:val="center"/>
                    <w:rPr>
                      <w:b/>
                      <w:bCs/>
                      <w:color w:val="auto"/>
                      <w:szCs w:val="21"/>
                    </w:rPr>
                  </w:pPr>
                  <w:r>
                    <w:rPr>
                      <w:rFonts w:hint="eastAsia"/>
                      <w:b/>
                      <w:bCs/>
                      <w:color w:val="auto"/>
                      <w:szCs w:val="21"/>
                    </w:rPr>
                    <w:t>浓度限值</w:t>
                  </w:r>
                  <w:r>
                    <w:rPr>
                      <w:b/>
                      <w:bCs/>
                      <w:color w:val="auto"/>
                    </w:rPr>
                    <w:t>mg/m</w:t>
                  </w:r>
                  <w:r>
                    <w:rPr>
                      <w:b/>
                      <w:bCs/>
                      <w:color w:val="auto"/>
                      <w:vertAlign w:val="superscript"/>
                    </w:rPr>
                    <w:t>3</w:t>
                  </w:r>
                </w:p>
              </w:tc>
              <w:tc>
                <w:tcPr>
                  <w:tcW w:w="2114" w:type="dxa"/>
                  <w:vMerge w:val="continue"/>
                  <w:tcBorders>
                    <w:tl2br w:val="nil"/>
                    <w:tr2bl w:val="nil"/>
                  </w:tcBorders>
                  <w:vAlign w:val="center"/>
                </w:tcPr>
                <w:p w14:paraId="7408DA21">
                  <w:pPr>
                    <w:adjustRightInd w:val="0"/>
                    <w:snapToGrid w:val="0"/>
                    <w:jc w:val="center"/>
                    <w:rPr>
                      <w:b/>
                      <w:bCs/>
                      <w:color w:val="auto"/>
                      <w:szCs w:val="21"/>
                    </w:rPr>
                  </w:pPr>
                </w:p>
              </w:tc>
            </w:tr>
            <w:tr w14:paraId="7275E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50" w:type="dxa"/>
                  <w:tcBorders>
                    <w:tl2br w:val="nil"/>
                    <w:tr2bl w:val="nil"/>
                  </w:tcBorders>
                  <w:vAlign w:val="center"/>
                </w:tcPr>
                <w:p w14:paraId="3A057F0E">
                  <w:pPr>
                    <w:adjustRightInd w:val="0"/>
                    <w:snapToGrid w:val="0"/>
                    <w:jc w:val="center"/>
                    <w:rPr>
                      <w:color w:val="auto"/>
                      <w:szCs w:val="21"/>
                    </w:rPr>
                  </w:pPr>
                  <w:r>
                    <w:rPr>
                      <w:rFonts w:hint="eastAsia"/>
                      <w:color w:val="auto"/>
                      <w:szCs w:val="21"/>
                    </w:rPr>
                    <w:t>颗粒物</w:t>
                  </w:r>
                </w:p>
              </w:tc>
              <w:tc>
                <w:tcPr>
                  <w:tcW w:w="3686" w:type="dxa"/>
                  <w:tcBorders>
                    <w:tl2br w:val="nil"/>
                    <w:tr2bl w:val="nil"/>
                  </w:tcBorders>
                  <w:vAlign w:val="center"/>
                </w:tcPr>
                <w:p w14:paraId="4F5A2C72">
                  <w:pPr>
                    <w:adjustRightInd w:val="0"/>
                    <w:snapToGrid w:val="0"/>
                    <w:jc w:val="center"/>
                    <w:rPr>
                      <w:color w:val="auto"/>
                      <w:szCs w:val="21"/>
                    </w:rPr>
                  </w:pPr>
                  <w:r>
                    <w:rPr>
                      <w:rFonts w:hint="eastAsia"/>
                      <w:color w:val="auto"/>
                      <w:szCs w:val="21"/>
                    </w:rPr>
                    <w:t>20</w:t>
                  </w:r>
                </w:p>
              </w:tc>
              <w:tc>
                <w:tcPr>
                  <w:tcW w:w="2114" w:type="dxa"/>
                  <w:vMerge w:val="restart"/>
                  <w:tcBorders>
                    <w:tl2br w:val="nil"/>
                    <w:tr2bl w:val="nil"/>
                  </w:tcBorders>
                  <w:vAlign w:val="center"/>
                </w:tcPr>
                <w:p w14:paraId="5C9E4DC9">
                  <w:pPr>
                    <w:adjustRightInd w:val="0"/>
                    <w:snapToGrid w:val="0"/>
                    <w:jc w:val="center"/>
                    <w:rPr>
                      <w:color w:val="auto"/>
                      <w:szCs w:val="21"/>
                    </w:rPr>
                  </w:pPr>
                  <w:r>
                    <w:rPr>
                      <w:rFonts w:hint="eastAsia"/>
                      <w:color w:val="auto"/>
                      <w:szCs w:val="21"/>
                    </w:rPr>
                    <w:t>DA002</w:t>
                  </w:r>
                </w:p>
              </w:tc>
            </w:tr>
            <w:tr w14:paraId="648C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50" w:type="dxa"/>
                  <w:tcBorders>
                    <w:tl2br w:val="nil"/>
                    <w:tr2bl w:val="nil"/>
                  </w:tcBorders>
                  <w:vAlign w:val="center"/>
                </w:tcPr>
                <w:p w14:paraId="26820CB9">
                  <w:pPr>
                    <w:adjustRightInd w:val="0"/>
                    <w:snapToGrid w:val="0"/>
                    <w:jc w:val="center"/>
                    <w:rPr>
                      <w:color w:val="auto"/>
                      <w:szCs w:val="21"/>
                    </w:rPr>
                  </w:pPr>
                  <w:r>
                    <w:rPr>
                      <w:rFonts w:hint="eastAsia"/>
                      <w:color w:val="auto"/>
                      <w:szCs w:val="21"/>
                    </w:rPr>
                    <w:t>二氧化硫</w:t>
                  </w:r>
                </w:p>
              </w:tc>
              <w:tc>
                <w:tcPr>
                  <w:tcW w:w="3686" w:type="dxa"/>
                  <w:tcBorders>
                    <w:tl2br w:val="nil"/>
                    <w:tr2bl w:val="nil"/>
                  </w:tcBorders>
                  <w:vAlign w:val="center"/>
                </w:tcPr>
                <w:p w14:paraId="0EFC4BB1">
                  <w:pPr>
                    <w:adjustRightInd w:val="0"/>
                    <w:snapToGrid w:val="0"/>
                    <w:jc w:val="center"/>
                    <w:rPr>
                      <w:color w:val="auto"/>
                      <w:szCs w:val="21"/>
                    </w:rPr>
                  </w:pPr>
                  <w:r>
                    <w:rPr>
                      <w:rFonts w:hint="eastAsia"/>
                      <w:color w:val="auto"/>
                      <w:szCs w:val="21"/>
                    </w:rPr>
                    <w:t>50</w:t>
                  </w:r>
                </w:p>
              </w:tc>
              <w:tc>
                <w:tcPr>
                  <w:tcW w:w="2114" w:type="dxa"/>
                  <w:vMerge w:val="continue"/>
                  <w:tcBorders>
                    <w:tl2br w:val="nil"/>
                    <w:tr2bl w:val="nil"/>
                  </w:tcBorders>
                  <w:vAlign w:val="center"/>
                </w:tcPr>
                <w:p w14:paraId="16442145">
                  <w:pPr>
                    <w:adjustRightInd w:val="0"/>
                    <w:snapToGrid w:val="0"/>
                    <w:jc w:val="center"/>
                    <w:rPr>
                      <w:color w:val="auto"/>
                      <w:szCs w:val="21"/>
                    </w:rPr>
                  </w:pPr>
                </w:p>
              </w:tc>
            </w:tr>
            <w:tr w14:paraId="4DFDE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50" w:type="dxa"/>
                  <w:tcBorders>
                    <w:tl2br w:val="nil"/>
                    <w:tr2bl w:val="nil"/>
                  </w:tcBorders>
                  <w:vAlign w:val="center"/>
                </w:tcPr>
                <w:p w14:paraId="1BF5717A">
                  <w:pPr>
                    <w:adjustRightInd w:val="0"/>
                    <w:snapToGrid w:val="0"/>
                    <w:jc w:val="center"/>
                    <w:rPr>
                      <w:color w:val="auto"/>
                      <w:szCs w:val="21"/>
                    </w:rPr>
                  </w:pPr>
                  <w:r>
                    <w:rPr>
                      <w:rFonts w:hint="eastAsia"/>
                      <w:color w:val="auto"/>
                      <w:szCs w:val="21"/>
                    </w:rPr>
                    <w:t>氮氧化物</w:t>
                  </w:r>
                </w:p>
              </w:tc>
              <w:tc>
                <w:tcPr>
                  <w:tcW w:w="3686" w:type="dxa"/>
                  <w:tcBorders>
                    <w:tl2br w:val="nil"/>
                    <w:tr2bl w:val="nil"/>
                  </w:tcBorders>
                  <w:vAlign w:val="center"/>
                </w:tcPr>
                <w:p w14:paraId="6D1ABA4E">
                  <w:pPr>
                    <w:adjustRightInd w:val="0"/>
                    <w:snapToGrid w:val="0"/>
                    <w:jc w:val="center"/>
                    <w:rPr>
                      <w:color w:val="auto"/>
                      <w:szCs w:val="21"/>
                    </w:rPr>
                  </w:pPr>
                  <w:r>
                    <w:rPr>
                      <w:rFonts w:hint="eastAsia"/>
                      <w:color w:val="auto"/>
                      <w:szCs w:val="21"/>
                    </w:rPr>
                    <w:t>200</w:t>
                  </w:r>
                </w:p>
              </w:tc>
              <w:tc>
                <w:tcPr>
                  <w:tcW w:w="2114" w:type="dxa"/>
                  <w:vMerge w:val="continue"/>
                  <w:tcBorders>
                    <w:tl2br w:val="nil"/>
                    <w:tr2bl w:val="nil"/>
                  </w:tcBorders>
                  <w:vAlign w:val="center"/>
                </w:tcPr>
                <w:p w14:paraId="03EA2D54">
                  <w:pPr>
                    <w:adjustRightInd w:val="0"/>
                    <w:snapToGrid w:val="0"/>
                    <w:jc w:val="center"/>
                    <w:rPr>
                      <w:color w:val="auto"/>
                      <w:szCs w:val="21"/>
                    </w:rPr>
                  </w:pPr>
                </w:p>
              </w:tc>
            </w:tr>
            <w:tr w14:paraId="7B129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50" w:type="dxa"/>
                  <w:tcBorders>
                    <w:tl2br w:val="nil"/>
                    <w:tr2bl w:val="nil"/>
                  </w:tcBorders>
                  <w:vAlign w:val="center"/>
                </w:tcPr>
                <w:p w14:paraId="39C11A84">
                  <w:pPr>
                    <w:adjustRightInd w:val="0"/>
                    <w:snapToGrid w:val="0"/>
                    <w:jc w:val="center"/>
                    <w:rPr>
                      <w:color w:val="auto"/>
                      <w:szCs w:val="21"/>
                    </w:rPr>
                  </w:pPr>
                  <w:r>
                    <w:rPr>
                      <w:rFonts w:hint="eastAsia"/>
                      <w:color w:val="auto"/>
                      <w:szCs w:val="21"/>
                    </w:rPr>
                    <w:t>烟气黑度（林格曼黑度，级）</w:t>
                  </w:r>
                </w:p>
              </w:tc>
              <w:tc>
                <w:tcPr>
                  <w:tcW w:w="3686" w:type="dxa"/>
                  <w:tcBorders>
                    <w:tl2br w:val="nil"/>
                    <w:tr2bl w:val="nil"/>
                  </w:tcBorders>
                  <w:vAlign w:val="center"/>
                </w:tcPr>
                <w:p w14:paraId="3FF4B946">
                  <w:pPr>
                    <w:adjustRightInd w:val="0"/>
                    <w:snapToGrid w:val="0"/>
                    <w:jc w:val="center"/>
                    <w:rPr>
                      <w:color w:val="auto"/>
                      <w:szCs w:val="21"/>
                    </w:rPr>
                  </w:pPr>
                  <w:r>
                    <w:rPr>
                      <w:rFonts w:hint="eastAsia"/>
                      <w:color w:val="auto"/>
                      <w:szCs w:val="21"/>
                    </w:rPr>
                    <w:t>≤1</w:t>
                  </w:r>
                </w:p>
              </w:tc>
              <w:tc>
                <w:tcPr>
                  <w:tcW w:w="2114" w:type="dxa"/>
                  <w:tcBorders>
                    <w:tl2br w:val="nil"/>
                    <w:tr2bl w:val="nil"/>
                  </w:tcBorders>
                  <w:vAlign w:val="center"/>
                </w:tcPr>
                <w:p w14:paraId="13F614A8">
                  <w:pPr>
                    <w:adjustRightInd w:val="0"/>
                    <w:snapToGrid w:val="0"/>
                    <w:jc w:val="center"/>
                    <w:rPr>
                      <w:color w:val="auto"/>
                      <w:szCs w:val="21"/>
                    </w:rPr>
                  </w:pPr>
                  <w:r>
                    <w:rPr>
                      <w:rFonts w:hint="eastAsia"/>
                      <w:color w:val="auto"/>
                      <w:szCs w:val="21"/>
                    </w:rPr>
                    <w:t>/</w:t>
                  </w:r>
                </w:p>
              </w:tc>
            </w:tr>
          </w:tbl>
          <w:p w14:paraId="49F714F4">
            <w:pPr>
              <w:adjustRightInd w:val="0"/>
              <w:snapToGrid w:val="0"/>
              <w:jc w:val="center"/>
              <w:rPr>
                <w:b/>
                <w:bCs/>
                <w:color w:val="auto"/>
                <w:szCs w:val="21"/>
              </w:rPr>
            </w:pPr>
            <w:r>
              <w:rPr>
                <w:b/>
                <w:bCs/>
                <w:color w:val="auto"/>
                <w:szCs w:val="21"/>
              </w:rPr>
              <w:t>表</w:t>
            </w:r>
            <w:r>
              <w:rPr>
                <w:rFonts w:hint="eastAsia"/>
                <w:b/>
                <w:bCs/>
                <w:color w:val="auto"/>
                <w:szCs w:val="21"/>
              </w:rPr>
              <w:t>3</w:t>
            </w:r>
            <w:r>
              <w:rPr>
                <w:b/>
                <w:bCs/>
                <w:color w:val="auto"/>
                <w:szCs w:val="21"/>
              </w:rPr>
              <w:t>-</w:t>
            </w:r>
            <w:r>
              <w:rPr>
                <w:rFonts w:hint="eastAsia"/>
                <w:b/>
                <w:bCs/>
                <w:color w:val="auto"/>
                <w:szCs w:val="21"/>
              </w:rPr>
              <w:t xml:space="preserve">8 </w:t>
            </w:r>
            <w:r>
              <w:rPr>
                <w:b/>
                <w:bCs/>
                <w:color w:val="auto"/>
                <w:szCs w:val="21"/>
              </w:rPr>
              <w:t xml:space="preserve"> 厂区内</w:t>
            </w:r>
            <w:r>
              <w:rPr>
                <w:rFonts w:hint="eastAsia"/>
                <w:b/>
                <w:bCs/>
                <w:color w:val="auto"/>
                <w:szCs w:val="21"/>
              </w:rPr>
              <w:t>VOCs（以非甲烷总烃计）</w:t>
            </w:r>
            <w:r>
              <w:rPr>
                <w:b/>
                <w:bCs/>
                <w:color w:val="auto"/>
                <w:szCs w:val="21"/>
              </w:rPr>
              <w:t>无组织排放限值</w:t>
            </w:r>
          </w:p>
          <w:tbl>
            <w:tblPr>
              <w:tblStyle w:val="30"/>
              <w:tblW w:w="8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1"/>
              <w:gridCol w:w="1826"/>
              <w:gridCol w:w="2659"/>
              <w:gridCol w:w="2715"/>
            </w:tblGrid>
            <w:tr w14:paraId="1B7B9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1" w:type="dxa"/>
                  <w:vAlign w:val="center"/>
                </w:tcPr>
                <w:p w14:paraId="0AA5EDBA">
                  <w:pPr>
                    <w:adjustRightInd w:val="0"/>
                    <w:snapToGrid w:val="0"/>
                    <w:jc w:val="center"/>
                    <w:rPr>
                      <w:b/>
                      <w:bCs/>
                      <w:color w:val="auto"/>
                    </w:rPr>
                  </w:pPr>
                  <w:r>
                    <w:rPr>
                      <w:b/>
                      <w:bCs/>
                      <w:color w:val="auto"/>
                    </w:rPr>
                    <w:t>污染物项目</w:t>
                  </w:r>
                </w:p>
              </w:tc>
              <w:tc>
                <w:tcPr>
                  <w:tcW w:w="1826" w:type="dxa"/>
                  <w:vAlign w:val="center"/>
                </w:tcPr>
                <w:p w14:paraId="047E1ED8">
                  <w:pPr>
                    <w:adjustRightInd w:val="0"/>
                    <w:snapToGrid w:val="0"/>
                    <w:jc w:val="center"/>
                    <w:rPr>
                      <w:b/>
                      <w:bCs/>
                      <w:color w:val="auto"/>
                      <w:vertAlign w:val="superscript"/>
                    </w:rPr>
                  </w:pPr>
                  <w:r>
                    <w:rPr>
                      <w:b/>
                      <w:bCs/>
                      <w:color w:val="auto"/>
                    </w:rPr>
                    <w:t>排放限值mg/m</w:t>
                  </w:r>
                  <w:r>
                    <w:rPr>
                      <w:b/>
                      <w:bCs/>
                      <w:color w:val="auto"/>
                      <w:vertAlign w:val="superscript"/>
                    </w:rPr>
                    <w:t>3</w:t>
                  </w:r>
                </w:p>
              </w:tc>
              <w:tc>
                <w:tcPr>
                  <w:tcW w:w="2659" w:type="dxa"/>
                  <w:vAlign w:val="center"/>
                </w:tcPr>
                <w:p w14:paraId="41413A0E">
                  <w:pPr>
                    <w:adjustRightInd w:val="0"/>
                    <w:snapToGrid w:val="0"/>
                    <w:jc w:val="center"/>
                    <w:rPr>
                      <w:b/>
                      <w:bCs/>
                      <w:color w:val="auto"/>
                    </w:rPr>
                  </w:pPr>
                  <w:r>
                    <w:rPr>
                      <w:b/>
                      <w:bCs/>
                      <w:color w:val="auto"/>
                    </w:rPr>
                    <w:t>限值含义</w:t>
                  </w:r>
                </w:p>
              </w:tc>
              <w:tc>
                <w:tcPr>
                  <w:tcW w:w="2715" w:type="dxa"/>
                  <w:vAlign w:val="center"/>
                </w:tcPr>
                <w:p w14:paraId="0C7C2D29">
                  <w:pPr>
                    <w:adjustRightInd w:val="0"/>
                    <w:snapToGrid w:val="0"/>
                    <w:jc w:val="center"/>
                    <w:rPr>
                      <w:b/>
                      <w:bCs/>
                      <w:color w:val="auto"/>
                    </w:rPr>
                  </w:pPr>
                  <w:r>
                    <w:rPr>
                      <w:b/>
                      <w:bCs/>
                      <w:color w:val="auto"/>
                    </w:rPr>
                    <w:t>无组织排放监控位置</w:t>
                  </w:r>
                </w:p>
              </w:tc>
            </w:tr>
            <w:tr w14:paraId="271BD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1" w:type="dxa"/>
                  <w:vMerge w:val="restart"/>
                  <w:vAlign w:val="center"/>
                </w:tcPr>
                <w:p w14:paraId="581D6A59">
                  <w:pPr>
                    <w:adjustRightInd w:val="0"/>
                    <w:snapToGrid w:val="0"/>
                    <w:jc w:val="center"/>
                    <w:rPr>
                      <w:color w:val="auto"/>
                    </w:rPr>
                  </w:pPr>
                  <w:r>
                    <w:rPr>
                      <w:color w:val="auto"/>
                    </w:rPr>
                    <w:t>非甲烷总烃</w:t>
                  </w:r>
                </w:p>
              </w:tc>
              <w:tc>
                <w:tcPr>
                  <w:tcW w:w="1826" w:type="dxa"/>
                  <w:vAlign w:val="center"/>
                </w:tcPr>
                <w:p w14:paraId="57A35FE2">
                  <w:pPr>
                    <w:adjustRightInd w:val="0"/>
                    <w:snapToGrid w:val="0"/>
                    <w:jc w:val="center"/>
                    <w:rPr>
                      <w:color w:val="auto"/>
                    </w:rPr>
                  </w:pPr>
                  <w:r>
                    <w:rPr>
                      <w:color w:val="auto"/>
                    </w:rPr>
                    <w:t>10</w:t>
                  </w:r>
                </w:p>
              </w:tc>
              <w:tc>
                <w:tcPr>
                  <w:tcW w:w="2659" w:type="dxa"/>
                  <w:vAlign w:val="center"/>
                </w:tcPr>
                <w:p w14:paraId="4B1E0055">
                  <w:pPr>
                    <w:adjustRightInd w:val="0"/>
                    <w:snapToGrid w:val="0"/>
                    <w:jc w:val="center"/>
                    <w:rPr>
                      <w:color w:val="auto"/>
                    </w:rPr>
                  </w:pPr>
                  <w:r>
                    <w:rPr>
                      <w:color w:val="auto"/>
                    </w:rPr>
                    <w:t>监控点处1h平均浓度值</w:t>
                  </w:r>
                </w:p>
              </w:tc>
              <w:tc>
                <w:tcPr>
                  <w:tcW w:w="2715" w:type="dxa"/>
                  <w:vMerge w:val="restart"/>
                  <w:vAlign w:val="center"/>
                </w:tcPr>
                <w:p w14:paraId="7508FC19">
                  <w:pPr>
                    <w:adjustRightInd w:val="0"/>
                    <w:snapToGrid w:val="0"/>
                    <w:jc w:val="center"/>
                    <w:rPr>
                      <w:color w:val="auto"/>
                    </w:rPr>
                  </w:pPr>
                  <w:r>
                    <w:rPr>
                      <w:color w:val="auto"/>
                    </w:rPr>
                    <w:t>在厂房外设置监控点</w:t>
                  </w:r>
                </w:p>
              </w:tc>
            </w:tr>
            <w:tr w14:paraId="06D97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1" w:type="dxa"/>
                  <w:vMerge w:val="continue"/>
                  <w:vAlign w:val="center"/>
                </w:tcPr>
                <w:p w14:paraId="6600E58F">
                  <w:pPr>
                    <w:adjustRightInd w:val="0"/>
                    <w:snapToGrid w:val="0"/>
                    <w:rPr>
                      <w:color w:val="auto"/>
                    </w:rPr>
                  </w:pPr>
                </w:p>
              </w:tc>
              <w:tc>
                <w:tcPr>
                  <w:tcW w:w="1826" w:type="dxa"/>
                  <w:vAlign w:val="center"/>
                </w:tcPr>
                <w:p w14:paraId="169A3BBD">
                  <w:pPr>
                    <w:adjustRightInd w:val="0"/>
                    <w:snapToGrid w:val="0"/>
                    <w:jc w:val="center"/>
                    <w:rPr>
                      <w:color w:val="auto"/>
                    </w:rPr>
                  </w:pPr>
                  <w:r>
                    <w:rPr>
                      <w:color w:val="auto"/>
                    </w:rPr>
                    <w:t>30</w:t>
                  </w:r>
                </w:p>
              </w:tc>
              <w:tc>
                <w:tcPr>
                  <w:tcW w:w="2659" w:type="dxa"/>
                  <w:vAlign w:val="center"/>
                </w:tcPr>
                <w:p w14:paraId="2BD43EB2">
                  <w:pPr>
                    <w:adjustRightInd w:val="0"/>
                    <w:snapToGrid w:val="0"/>
                    <w:jc w:val="center"/>
                    <w:rPr>
                      <w:color w:val="auto"/>
                    </w:rPr>
                  </w:pPr>
                  <w:r>
                    <w:rPr>
                      <w:color w:val="auto"/>
                    </w:rPr>
                    <w:t>监控点处任意一次浓度值</w:t>
                  </w:r>
                </w:p>
              </w:tc>
              <w:tc>
                <w:tcPr>
                  <w:tcW w:w="2715" w:type="dxa"/>
                  <w:vMerge w:val="continue"/>
                  <w:vAlign w:val="center"/>
                </w:tcPr>
                <w:p w14:paraId="1CF721F5">
                  <w:pPr>
                    <w:adjustRightInd w:val="0"/>
                    <w:snapToGrid w:val="0"/>
                    <w:rPr>
                      <w:color w:val="auto"/>
                    </w:rPr>
                  </w:pPr>
                </w:p>
              </w:tc>
            </w:tr>
          </w:tbl>
          <w:p w14:paraId="7CCA5362">
            <w:pPr>
              <w:spacing w:line="360" w:lineRule="auto"/>
              <w:ind w:firstLine="480" w:firstLineChars="200"/>
              <w:rPr>
                <w:color w:val="auto"/>
                <w:sz w:val="24"/>
              </w:rPr>
            </w:pPr>
            <w:r>
              <w:rPr>
                <w:rFonts w:hint="eastAsia"/>
                <w:color w:val="auto"/>
                <w:sz w:val="24"/>
              </w:rPr>
              <w:fldChar w:fldCharType="begin"/>
            </w:r>
            <w:r>
              <w:rPr>
                <w:rFonts w:hint="eastAsia"/>
                <w:color w:val="auto"/>
                <w:sz w:val="24"/>
              </w:rPr>
              <w:instrText xml:space="preserve"> = 2 \* GB3 \* MERGEFORMAT </w:instrText>
            </w:r>
            <w:r>
              <w:rPr>
                <w:rFonts w:hint="eastAsia"/>
                <w:color w:val="auto"/>
                <w:sz w:val="24"/>
              </w:rPr>
              <w:fldChar w:fldCharType="separate"/>
            </w:r>
            <w:r>
              <w:rPr>
                <w:rFonts w:hint="eastAsia"/>
                <w:color w:val="auto"/>
                <w:sz w:val="24"/>
                <w:lang w:val="zh-CN"/>
              </w:rPr>
              <w:t>②</w:t>
            </w:r>
            <w:r>
              <w:rPr>
                <w:rFonts w:hint="eastAsia"/>
                <w:color w:val="auto"/>
                <w:sz w:val="24"/>
              </w:rPr>
              <w:fldChar w:fldCharType="end"/>
            </w:r>
            <w:r>
              <w:rPr>
                <w:rFonts w:hint="eastAsia"/>
                <w:color w:val="auto"/>
                <w:sz w:val="24"/>
              </w:rPr>
              <w:t>厂区异味执行《恶臭污染物排放标准》（GB14554-1993）中相关标准限值，标准值见表3-9。</w:t>
            </w:r>
          </w:p>
          <w:p w14:paraId="66DB1AA5">
            <w:pPr>
              <w:pStyle w:val="13"/>
              <w:jc w:val="center"/>
              <w:rPr>
                <w:rFonts w:ascii="Times New Roman" w:hAnsi="Times New Roman"/>
                <w:b/>
                <w:bCs/>
                <w:color w:val="auto"/>
              </w:rPr>
            </w:pPr>
            <w:r>
              <w:rPr>
                <w:rFonts w:ascii="Times New Roman" w:hAnsi="Times New Roman"/>
                <w:b/>
                <w:bCs/>
                <w:color w:val="auto"/>
              </w:rPr>
              <w:t>表3-</w:t>
            </w:r>
            <w:r>
              <w:rPr>
                <w:rFonts w:hint="eastAsia" w:ascii="Times New Roman" w:hAnsi="Times New Roman"/>
                <w:b/>
                <w:bCs/>
                <w:color w:val="auto"/>
              </w:rPr>
              <w:t>9</w:t>
            </w:r>
            <w:r>
              <w:rPr>
                <w:rFonts w:ascii="Times New Roman" w:hAnsi="Times New Roman"/>
                <w:b/>
                <w:bCs/>
                <w:color w:val="auto"/>
              </w:rPr>
              <w:t xml:space="preserve">   </w:t>
            </w:r>
            <w:r>
              <w:rPr>
                <w:rFonts w:hint="eastAsia" w:ascii="Times New Roman" w:hAnsi="Times New Roman"/>
                <w:b/>
                <w:bCs/>
                <w:color w:val="auto"/>
              </w:rPr>
              <w:t>恶臭污染物排放标准</w:t>
            </w:r>
          </w:p>
          <w:tbl>
            <w:tblPr>
              <w:tblStyle w:val="31"/>
              <w:tblW w:w="88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0"/>
              <w:gridCol w:w="5793"/>
            </w:tblGrid>
            <w:tr w14:paraId="3EB21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vAlign w:val="center"/>
                </w:tcPr>
                <w:p w14:paraId="0E991A87">
                  <w:pPr>
                    <w:pStyle w:val="13"/>
                    <w:jc w:val="center"/>
                    <w:rPr>
                      <w:rFonts w:ascii="Times New Roman" w:hAnsi="Times New Roman"/>
                      <w:b/>
                      <w:bCs/>
                      <w:color w:val="auto"/>
                    </w:rPr>
                  </w:pPr>
                  <w:r>
                    <w:rPr>
                      <w:rFonts w:hint="eastAsia" w:ascii="Times New Roman" w:hAnsi="Times New Roman"/>
                      <w:b/>
                      <w:bCs/>
                      <w:color w:val="auto"/>
                    </w:rPr>
                    <w:t>污染物项目</w:t>
                  </w:r>
                </w:p>
              </w:tc>
              <w:tc>
                <w:tcPr>
                  <w:tcW w:w="5793" w:type="dxa"/>
                  <w:vAlign w:val="center"/>
                </w:tcPr>
                <w:p w14:paraId="35B91AE2">
                  <w:pPr>
                    <w:pStyle w:val="13"/>
                    <w:jc w:val="center"/>
                    <w:rPr>
                      <w:rFonts w:ascii="Times New Roman" w:hAnsi="Times New Roman"/>
                      <w:b/>
                      <w:bCs/>
                      <w:color w:val="auto"/>
                    </w:rPr>
                  </w:pPr>
                  <w:r>
                    <w:rPr>
                      <w:rFonts w:hint="eastAsia" w:ascii="Times New Roman" w:hAnsi="Times New Roman"/>
                      <w:b/>
                      <w:bCs/>
                      <w:color w:val="auto"/>
                    </w:rPr>
                    <w:t>厂界标准限值</w:t>
                  </w:r>
                </w:p>
              </w:tc>
            </w:tr>
            <w:tr w14:paraId="097E4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vAlign w:val="center"/>
                </w:tcPr>
                <w:p w14:paraId="539A1B15">
                  <w:pPr>
                    <w:pStyle w:val="13"/>
                    <w:jc w:val="center"/>
                    <w:rPr>
                      <w:rFonts w:ascii="Times New Roman" w:hAnsi="Times New Roman"/>
                      <w:color w:val="auto"/>
                    </w:rPr>
                  </w:pPr>
                  <w:r>
                    <w:rPr>
                      <w:rFonts w:hint="eastAsia" w:ascii="Times New Roman" w:hAnsi="Times New Roman"/>
                      <w:color w:val="auto"/>
                    </w:rPr>
                    <w:t>臭气浓度（无量纲）</w:t>
                  </w:r>
                </w:p>
              </w:tc>
              <w:tc>
                <w:tcPr>
                  <w:tcW w:w="5793" w:type="dxa"/>
                  <w:vAlign w:val="center"/>
                </w:tcPr>
                <w:p w14:paraId="2212249F">
                  <w:pPr>
                    <w:pStyle w:val="13"/>
                    <w:jc w:val="center"/>
                    <w:rPr>
                      <w:rFonts w:ascii="Times New Roman" w:hAnsi="Times New Roman"/>
                      <w:color w:val="auto"/>
                    </w:rPr>
                  </w:pPr>
                  <w:r>
                    <w:rPr>
                      <w:rFonts w:hint="eastAsia" w:ascii="Times New Roman" w:hAnsi="Times New Roman"/>
                      <w:color w:val="auto"/>
                    </w:rPr>
                    <w:t>20</w:t>
                  </w:r>
                </w:p>
              </w:tc>
            </w:tr>
          </w:tbl>
          <w:p w14:paraId="10EFCA0F">
            <w:pPr>
              <w:pStyle w:val="16"/>
              <w:adjustRightInd w:val="0"/>
              <w:snapToGrid w:val="0"/>
              <w:spacing w:after="0" w:line="360" w:lineRule="auto"/>
              <w:ind w:firstLine="0" w:firstLineChars="0"/>
              <w:rPr>
                <w:b/>
                <w:bCs/>
                <w:color w:val="auto"/>
                <w:szCs w:val="28"/>
              </w:rPr>
            </w:pPr>
            <w:r>
              <w:rPr>
                <w:rFonts w:hint="eastAsia"/>
                <w:b/>
                <w:bCs/>
                <w:color w:val="auto"/>
                <w:szCs w:val="28"/>
              </w:rPr>
              <w:t>二、水污染物排放标准</w:t>
            </w:r>
          </w:p>
          <w:p w14:paraId="0D4B8089">
            <w:pPr>
              <w:adjustRightInd w:val="0"/>
              <w:snapToGrid w:val="0"/>
              <w:spacing w:line="360" w:lineRule="auto"/>
              <w:ind w:firstLine="480" w:firstLineChars="200"/>
              <w:jc w:val="left"/>
              <w:rPr>
                <w:color w:val="auto"/>
                <w:sz w:val="24"/>
              </w:rPr>
            </w:pPr>
            <w:r>
              <w:rPr>
                <w:rFonts w:hint="eastAsia"/>
                <w:color w:val="auto"/>
                <w:sz w:val="24"/>
              </w:rPr>
              <w:t>项目</w:t>
            </w:r>
            <w:r>
              <w:rPr>
                <w:color w:val="auto"/>
                <w:sz w:val="24"/>
              </w:rPr>
              <w:t>生活污水</w:t>
            </w:r>
            <w:r>
              <w:rPr>
                <w:rFonts w:hint="eastAsia"/>
                <w:color w:val="auto"/>
                <w:sz w:val="24"/>
              </w:rPr>
              <w:t>一并进入化粪池、一体化污水处理站处理达《城市污水再生利用 城市杂用水水质》</w:t>
            </w:r>
            <w:r>
              <w:rPr>
                <w:color w:val="auto"/>
                <w:sz w:val="24"/>
              </w:rPr>
              <w:t>（GB/T18920-2020）</w:t>
            </w:r>
            <w:r>
              <w:rPr>
                <w:rFonts w:hint="eastAsia"/>
                <w:color w:val="auto"/>
                <w:sz w:val="24"/>
              </w:rPr>
              <w:t>中城市绿化、道路清扫、消防、建筑施工标准后</w:t>
            </w:r>
            <w:r>
              <w:rPr>
                <w:color w:val="auto"/>
                <w:sz w:val="24"/>
              </w:rPr>
              <w:t>，</w:t>
            </w:r>
            <w:r>
              <w:rPr>
                <w:rFonts w:hint="eastAsia"/>
                <w:color w:val="auto"/>
                <w:sz w:val="24"/>
              </w:rPr>
              <w:t>用于绿化及道路洒水降尘，不外排。标准值详见表3-10。</w:t>
            </w:r>
          </w:p>
          <w:p w14:paraId="471E307B">
            <w:pPr>
              <w:adjustRightInd w:val="0"/>
              <w:snapToGrid w:val="0"/>
              <w:jc w:val="center"/>
              <w:rPr>
                <w:b/>
                <w:bCs/>
                <w:color w:val="auto"/>
                <w:szCs w:val="21"/>
              </w:rPr>
            </w:pPr>
            <w:r>
              <w:rPr>
                <w:b/>
                <w:bCs/>
                <w:color w:val="auto"/>
                <w:szCs w:val="21"/>
              </w:rPr>
              <w:t>表</w:t>
            </w:r>
            <w:r>
              <w:rPr>
                <w:rFonts w:hint="eastAsia"/>
                <w:b/>
                <w:bCs/>
                <w:color w:val="auto"/>
                <w:szCs w:val="21"/>
              </w:rPr>
              <w:t>3-10  城市污水再生利用 城市杂用水水质标准</w:t>
            </w:r>
          </w:p>
          <w:tbl>
            <w:tblPr>
              <w:tblStyle w:val="30"/>
              <w:tblW w:w="8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2"/>
              <w:gridCol w:w="2708"/>
              <w:gridCol w:w="4018"/>
            </w:tblGrid>
            <w:tr w14:paraId="1003F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vMerge w:val="restart"/>
                  <w:vAlign w:val="center"/>
                </w:tcPr>
                <w:p w14:paraId="24947EF7">
                  <w:pPr>
                    <w:adjustRightInd w:val="0"/>
                    <w:snapToGrid w:val="0"/>
                    <w:jc w:val="center"/>
                    <w:rPr>
                      <w:b/>
                      <w:color w:val="auto"/>
                      <w:szCs w:val="21"/>
                    </w:rPr>
                  </w:pPr>
                  <w:r>
                    <w:rPr>
                      <w:b/>
                      <w:color w:val="auto"/>
                      <w:szCs w:val="21"/>
                    </w:rPr>
                    <w:t>污染指标</w:t>
                  </w:r>
                </w:p>
              </w:tc>
              <w:tc>
                <w:tcPr>
                  <w:tcW w:w="2708" w:type="dxa"/>
                  <w:vMerge w:val="restart"/>
                  <w:vAlign w:val="center"/>
                </w:tcPr>
                <w:p w14:paraId="79ECE116">
                  <w:pPr>
                    <w:adjustRightInd w:val="0"/>
                    <w:snapToGrid w:val="0"/>
                    <w:jc w:val="center"/>
                    <w:rPr>
                      <w:b/>
                      <w:color w:val="auto"/>
                      <w:szCs w:val="21"/>
                    </w:rPr>
                  </w:pPr>
                  <w:r>
                    <w:rPr>
                      <w:b/>
                      <w:color w:val="auto"/>
                      <w:szCs w:val="21"/>
                    </w:rPr>
                    <w:t>单位</w:t>
                  </w:r>
                </w:p>
              </w:tc>
              <w:tc>
                <w:tcPr>
                  <w:tcW w:w="4018" w:type="dxa"/>
                  <w:vAlign w:val="center"/>
                </w:tcPr>
                <w:p w14:paraId="492B3F03">
                  <w:pPr>
                    <w:adjustRightInd w:val="0"/>
                    <w:snapToGrid w:val="0"/>
                    <w:jc w:val="center"/>
                    <w:rPr>
                      <w:b/>
                      <w:color w:val="auto"/>
                      <w:szCs w:val="21"/>
                    </w:rPr>
                  </w:pPr>
                  <w:r>
                    <w:rPr>
                      <w:b/>
                      <w:color w:val="auto"/>
                      <w:szCs w:val="21"/>
                    </w:rPr>
                    <w:t>标准限值</w:t>
                  </w:r>
                </w:p>
              </w:tc>
            </w:tr>
            <w:tr w14:paraId="01969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vMerge w:val="continue"/>
                  <w:vAlign w:val="center"/>
                </w:tcPr>
                <w:p w14:paraId="241DA890">
                  <w:pPr>
                    <w:adjustRightInd w:val="0"/>
                    <w:snapToGrid w:val="0"/>
                    <w:jc w:val="center"/>
                    <w:rPr>
                      <w:b/>
                      <w:color w:val="auto"/>
                      <w:szCs w:val="21"/>
                    </w:rPr>
                  </w:pPr>
                </w:p>
              </w:tc>
              <w:tc>
                <w:tcPr>
                  <w:tcW w:w="2708" w:type="dxa"/>
                  <w:vMerge w:val="continue"/>
                  <w:vAlign w:val="center"/>
                </w:tcPr>
                <w:p w14:paraId="75E6FC24">
                  <w:pPr>
                    <w:adjustRightInd w:val="0"/>
                    <w:snapToGrid w:val="0"/>
                    <w:jc w:val="center"/>
                    <w:rPr>
                      <w:b/>
                      <w:color w:val="auto"/>
                      <w:szCs w:val="21"/>
                    </w:rPr>
                  </w:pPr>
                </w:p>
              </w:tc>
              <w:tc>
                <w:tcPr>
                  <w:tcW w:w="4018" w:type="dxa"/>
                  <w:vAlign w:val="center"/>
                </w:tcPr>
                <w:p w14:paraId="4F170C44">
                  <w:pPr>
                    <w:adjustRightInd w:val="0"/>
                    <w:snapToGrid w:val="0"/>
                    <w:jc w:val="center"/>
                    <w:rPr>
                      <w:b/>
                      <w:color w:val="auto"/>
                      <w:szCs w:val="21"/>
                    </w:rPr>
                  </w:pPr>
                  <w:r>
                    <w:rPr>
                      <w:rFonts w:hint="eastAsia"/>
                      <w:b/>
                      <w:color w:val="auto"/>
                      <w:szCs w:val="21"/>
                    </w:rPr>
                    <w:t>城市绿化、道路清扫、消防、建筑施工</w:t>
                  </w:r>
                </w:p>
              </w:tc>
            </w:tr>
            <w:tr w14:paraId="504B2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vAlign w:val="center"/>
                </w:tcPr>
                <w:p w14:paraId="6C84BE42">
                  <w:pPr>
                    <w:adjustRightInd w:val="0"/>
                    <w:snapToGrid w:val="0"/>
                    <w:jc w:val="center"/>
                    <w:rPr>
                      <w:bCs/>
                      <w:color w:val="auto"/>
                      <w:szCs w:val="21"/>
                    </w:rPr>
                  </w:pPr>
                  <w:r>
                    <w:rPr>
                      <w:rFonts w:hint="eastAsia"/>
                      <w:bCs/>
                      <w:color w:val="auto"/>
                      <w:szCs w:val="21"/>
                    </w:rPr>
                    <w:t>p</w:t>
                  </w:r>
                  <w:r>
                    <w:rPr>
                      <w:bCs/>
                      <w:color w:val="auto"/>
                      <w:szCs w:val="21"/>
                    </w:rPr>
                    <w:t>H</w:t>
                  </w:r>
                </w:p>
              </w:tc>
              <w:tc>
                <w:tcPr>
                  <w:tcW w:w="2708" w:type="dxa"/>
                  <w:vAlign w:val="center"/>
                </w:tcPr>
                <w:p w14:paraId="26559D81">
                  <w:pPr>
                    <w:adjustRightInd w:val="0"/>
                    <w:snapToGrid w:val="0"/>
                    <w:jc w:val="center"/>
                    <w:rPr>
                      <w:bCs/>
                      <w:color w:val="auto"/>
                      <w:szCs w:val="21"/>
                    </w:rPr>
                  </w:pPr>
                  <w:r>
                    <w:rPr>
                      <w:bCs/>
                      <w:color w:val="auto"/>
                      <w:szCs w:val="21"/>
                    </w:rPr>
                    <w:t>无量纲</w:t>
                  </w:r>
                </w:p>
              </w:tc>
              <w:tc>
                <w:tcPr>
                  <w:tcW w:w="4018" w:type="dxa"/>
                  <w:vAlign w:val="center"/>
                </w:tcPr>
                <w:p w14:paraId="08B0AE0E">
                  <w:pPr>
                    <w:adjustRightInd w:val="0"/>
                    <w:snapToGrid w:val="0"/>
                    <w:jc w:val="center"/>
                    <w:rPr>
                      <w:bCs/>
                      <w:color w:val="auto"/>
                      <w:szCs w:val="21"/>
                    </w:rPr>
                  </w:pPr>
                  <w:r>
                    <w:rPr>
                      <w:bCs/>
                      <w:color w:val="auto"/>
                      <w:szCs w:val="21"/>
                    </w:rPr>
                    <w:t>6~9</w:t>
                  </w:r>
                </w:p>
              </w:tc>
            </w:tr>
            <w:tr w14:paraId="557E7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vAlign w:val="center"/>
                </w:tcPr>
                <w:p w14:paraId="0EA9CBB0">
                  <w:pPr>
                    <w:adjustRightInd w:val="0"/>
                    <w:snapToGrid w:val="0"/>
                    <w:jc w:val="center"/>
                    <w:rPr>
                      <w:bCs/>
                      <w:color w:val="auto"/>
                      <w:szCs w:val="21"/>
                    </w:rPr>
                  </w:pPr>
                  <w:r>
                    <w:rPr>
                      <w:rFonts w:hint="eastAsia"/>
                      <w:bCs/>
                      <w:color w:val="auto"/>
                      <w:szCs w:val="21"/>
                    </w:rPr>
                    <w:t>色度</w:t>
                  </w:r>
                </w:p>
              </w:tc>
              <w:tc>
                <w:tcPr>
                  <w:tcW w:w="2708" w:type="dxa"/>
                  <w:vAlign w:val="center"/>
                </w:tcPr>
                <w:p w14:paraId="47EAEDEF">
                  <w:pPr>
                    <w:adjustRightInd w:val="0"/>
                    <w:snapToGrid w:val="0"/>
                    <w:jc w:val="center"/>
                    <w:rPr>
                      <w:bCs/>
                      <w:color w:val="auto"/>
                      <w:szCs w:val="21"/>
                    </w:rPr>
                  </w:pPr>
                  <w:r>
                    <w:rPr>
                      <w:rFonts w:hint="eastAsia"/>
                      <w:bCs/>
                      <w:color w:val="auto"/>
                      <w:szCs w:val="21"/>
                    </w:rPr>
                    <w:t>/</w:t>
                  </w:r>
                </w:p>
              </w:tc>
              <w:tc>
                <w:tcPr>
                  <w:tcW w:w="4018" w:type="dxa"/>
                  <w:vAlign w:val="center"/>
                </w:tcPr>
                <w:p w14:paraId="5949338C">
                  <w:pPr>
                    <w:adjustRightInd w:val="0"/>
                    <w:snapToGrid w:val="0"/>
                    <w:jc w:val="center"/>
                    <w:rPr>
                      <w:bCs/>
                      <w:color w:val="auto"/>
                      <w:szCs w:val="21"/>
                    </w:rPr>
                  </w:pPr>
                  <w:r>
                    <w:rPr>
                      <w:rFonts w:hint="eastAsia"/>
                      <w:bCs/>
                      <w:color w:val="auto"/>
                      <w:szCs w:val="21"/>
                    </w:rPr>
                    <w:t>≤30</w:t>
                  </w:r>
                </w:p>
              </w:tc>
            </w:tr>
            <w:tr w14:paraId="05AD0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vAlign w:val="center"/>
                </w:tcPr>
                <w:p w14:paraId="04A95A22">
                  <w:pPr>
                    <w:adjustRightInd w:val="0"/>
                    <w:snapToGrid w:val="0"/>
                    <w:jc w:val="center"/>
                    <w:rPr>
                      <w:bCs/>
                      <w:color w:val="auto"/>
                      <w:szCs w:val="21"/>
                    </w:rPr>
                  </w:pPr>
                  <w:r>
                    <w:rPr>
                      <w:rFonts w:hint="eastAsia"/>
                      <w:bCs/>
                      <w:color w:val="auto"/>
                      <w:szCs w:val="21"/>
                    </w:rPr>
                    <w:t>嗅</w:t>
                  </w:r>
                </w:p>
              </w:tc>
              <w:tc>
                <w:tcPr>
                  <w:tcW w:w="2708" w:type="dxa"/>
                  <w:vAlign w:val="center"/>
                </w:tcPr>
                <w:p w14:paraId="49E41C30">
                  <w:pPr>
                    <w:adjustRightInd w:val="0"/>
                    <w:snapToGrid w:val="0"/>
                    <w:jc w:val="center"/>
                    <w:rPr>
                      <w:bCs/>
                      <w:color w:val="auto"/>
                      <w:szCs w:val="21"/>
                    </w:rPr>
                  </w:pPr>
                  <w:r>
                    <w:rPr>
                      <w:rFonts w:hint="eastAsia"/>
                      <w:bCs/>
                      <w:color w:val="auto"/>
                      <w:szCs w:val="21"/>
                    </w:rPr>
                    <w:t>/</w:t>
                  </w:r>
                </w:p>
              </w:tc>
              <w:tc>
                <w:tcPr>
                  <w:tcW w:w="4018" w:type="dxa"/>
                  <w:vAlign w:val="center"/>
                </w:tcPr>
                <w:p w14:paraId="5B90019D">
                  <w:pPr>
                    <w:adjustRightInd w:val="0"/>
                    <w:snapToGrid w:val="0"/>
                    <w:jc w:val="center"/>
                    <w:rPr>
                      <w:bCs/>
                      <w:color w:val="auto"/>
                      <w:szCs w:val="21"/>
                    </w:rPr>
                  </w:pPr>
                  <w:r>
                    <w:rPr>
                      <w:rFonts w:hint="eastAsia"/>
                      <w:bCs/>
                      <w:color w:val="auto"/>
                      <w:szCs w:val="21"/>
                    </w:rPr>
                    <w:t>无不快感</w:t>
                  </w:r>
                </w:p>
              </w:tc>
            </w:tr>
            <w:tr w14:paraId="42F81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vAlign w:val="center"/>
                </w:tcPr>
                <w:p w14:paraId="5D8EC7EC">
                  <w:pPr>
                    <w:adjustRightInd w:val="0"/>
                    <w:snapToGrid w:val="0"/>
                    <w:jc w:val="center"/>
                    <w:rPr>
                      <w:bCs/>
                      <w:color w:val="auto"/>
                      <w:szCs w:val="21"/>
                    </w:rPr>
                  </w:pPr>
                  <w:r>
                    <w:rPr>
                      <w:rFonts w:hint="eastAsia"/>
                      <w:bCs/>
                      <w:color w:val="auto"/>
                      <w:szCs w:val="21"/>
                    </w:rPr>
                    <w:t>浊度</w:t>
                  </w:r>
                </w:p>
              </w:tc>
              <w:tc>
                <w:tcPr>
                  <w:tcW w:w="2708" w:type="dxa"/>
                  <w:vAlign w:val="center"/>
                </w:tcPr>
                <w:p w14:paraId="680F7A85">
                  <w:pPr>
                    <w:adjustRightInd w:val="0"/>
                    <w:snapToGrid w:val="0"/>
                    <w:jc w:val="center"/>
                    <w:rPr>
                      <w:bCs/>
                      <w:color w:val="auto"/>
                      <w:szCs w:val="21"/>
                    </w:rPr>
                  </w:pPr>
                  <w:r>
                    <w:rPr>
                      <w:rFonts w:hint="eastAsia"/>
                      <w:bCs/>
                      <w:color w:val="auto"/>
                      <w:szCs w:val="21"/>
                    </w:rPr>
                    <w:t>NTU</w:t>
                  </w:r>
                </w:p>
              </w:tc>
              <w:tc>
                <w:tcPr>
                  <w:tcW w:w="4018" w:type="dxa"/>
                  <w:vAlign w:val="center"/>
                </w:tcPr>
                <w:p w14:paraId="0132FE97">
                  <w:pPr>
                    <w:adjustRightInd w:val="0"/>
                    <w:snapToGrid w:val="0"/>
                    <w:jc w:val="center"/>
                    <w:rPr>
                      <w:bCs/>
                      <w:color w:val="auto"/>
                      <w:szCs w:val="21"/>
                    </w:rPr>
                  </w:pPr>
                  <w:r>
                    <w:rPr>
                      <w:rFonts w:hint="eastAsia"/>
                      <w:bCs/>
                      <w:color w:val="auto"/>
                      <w:szCs w:val="21"/>
                    </w:rPr>
                    <w:t>≤10</w:t>
                  </w:r>
                </w:p>
              </w:tc>
            </w:tr>
            <w:tr w14:paraId="0ABC4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vAlign w:val="center"/>
                </w:tcPr>
                <w:p w14:paraId="0DFE9AEE">
                  <w:pPr>
                    <w:adjustRightInd w:val="0"/>
                    <w:snapToGrid w:val="0"/>
                    <w:jc w:val="center"/>
                    <w:rPr>
                      <w:bCs/>
                      <w:color w:val="auto"/>
                      <w:szCs w:val="21"/>
                    </w:rPr>
                  </w:pPr>
                  <w:r>
                    <w:rPr>
                      <w:rFonts w:hint="eastAsia"/>
                      <w:bCs/>
                      <w:color w:val="auto"/>
                      <w:szCs w:val="21"/>
                    </w:rPr>
                    <w:t>溶解性总固体</w:t>
                  </w:r>
                </w:p>
              </w:tc>
              <w:tc>
                <w:tcPr>
                  <w:tcW w:w="2708" w:type="dxa"/>
                  <w:vMerge w:val="restart"/>
                  <w:vAlign w:val="center"/>
                </w:tcPr>
                <w:p w14:paraId="3FD71E3C">
                  <w:pPr>
                    <w:adjustRightInd w:val="0"/>
                    <w:snapToGrid w:val="0"/>
                    <w:jc w:val="center"/>
                    <w:rPr>
                      <w:bCs/>
                      <w:color w:val="auto"/>
                      <w:szCs w:val="21"/>
                    </w:rPr>
                  </w:pPr>
                  <w:r>
                    <w:rPr>
                      <w:bCs/>
                      <w:color w:val="auto"/>
                      <w:szCs w:val="21"/>
                    </w:rPr>
                    <w:t>mg/L</w:t>
                  </w:r>
                </w:p>
              </w:tc>
              <w:tc>
                <w:tcPr>
                  <w:tcW w:w="4018" w:type="dxa"/>
                  <w:vAlign w:val="center"/>
                </w:tcPr>
                <w:p w14:paraId="605F079E">
                  <w:pPr>
                    <w:adjustRightInd w:val="0"/>
                    <w:snapToGrid w:val="0"/>
                    <w:jc w:val="center"/>
                    <w:rPr>
                      <w:bCs/>
                      <w:color w:val="auto"/>
                      <w:szCs w:val="21"/>
                    </w:rPr>
                  </w:pPr>
                  <w:r>
                    <w:rPr>
                      <w:rFonts w:hint="eastAsia"/>
                      <w:bCs/>
                      <w:color w:val="auto"/>
                      <w:szCs w:val="21"/>
                    </w:rPr>
                    <w:t>≤1000</w:t>
                  </w:r>
                </w:p>
              </w:tc>
            </w:tr>
            <w:tr w14:paraId="0CD18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vAlign w:val="center"/>
                </w:tcPr>
                <w:p w14:paraId="72EFCA57">
                  <w:pPr>
                    <w:adjustRightInd w:val="0"/>
                    <w:snapToGrid w:val="0"/>
                    <w:jc w:val="center"/>
                    <w:rPr>
                      <w:bCs/>
                      <w:color w:val="auto"/>
                      <w:szCs w:val="21"/>
                    </w:rPr>
                  </w:pPr>
                  <w:r>
                    <w:rPr>
                      <w:bCs/>
                      <w:color w:val="auto"/>
                      <w:szCs w:val="21"/>
                    </w:rPr>
                    <w:t>BOD</w:t>
                  </w:r>
                  <w:r>
                    <w:rPr>
                      <w:bCs/>
                      <w:color w:val="auto"/>
                      <w:szCs w:val="21"/>
                      <w:vertAlign w:val="subscript"/>
                    </w:rPr>
                    <w:t>5</w:t>
                  </w:r>
                </w:p>
              </w:tc>
              <w:tc>
                <w:tcPr>
                  <w:tcW w:w="2708" w:type="dxa"/>
                  <w:vMerge w:val="continue"/>
                  <w:vAlign w:val="center"/>
                </w:tcPr>
                <w:p w14:paraId="3DE2B468">
                  <w:pPr>
                    <w:adjustRightInd w:val="0"/>
                    <w:snapToGrid w:val="0"/>
                    <w:jc w:val="center"/>
                    <w:rPr>
                      <w:bCs/>
                      <w:color w:val="auto"/>
                      <w:szCs w:val="21"/>
                    </w:rPr>
                  </w:pPr>
                </w:p>
              </w:tc>
              <w:tc>
                <w:tcPr>
                  <w:tcW w:w="4018" w:type="dxa"/>
                  <w:vAlign w:val="center"/>
                </w:tcPr>
                <w:p w14:paraId="5C4E8409">
                  <w:pPr>
                    <w:adjustRightInd w:val="0"/>
                    <w:snapToGrid w:val="0"/>
                    <w:jc w:val="center"/>
                    <w:rPr>
                      <w:bCs/>
                      <w:color w:val="auto"/>
                      <w:szCs w:val="21"/>
                    </w:rPr>
                  </w:pPr>
                  <w:r>
                    <w:rPr>
                      <w:rFonts w:hint="eastAsia"/>
                      <w:bCs/>
                      <w:color w:val="auto"/>
                      <w:szCs w:val="21"/>
                    </w:rPr>
                    <w:t>≤</w:t>
                  </w:r>
                  <w:r>
                    <w:rPr>
                      <w:bCs/>
                      <w:color w:val="auto"/>
                      <w:szCs w:val="21"/>
                    </w:rPr>
                    <w:t>10</w:t>
                  </w:r>
                </w:p>
              </w:tc>
            </w:tr>
            <w:tr w14:paraId="1F093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vAlign w:val="center"/>
                </w:tcPr>
                <w:p w14:paraId="7D2B2950">
                  <w:pPr>
                    <w:adjustRightInd w:val="0"/>
                    <w:snapToGrid w:val="0"/>
                    <w:jc w:val="center"/>
                    <w:rPr>
                      <w:bCs/>
                      <w:color w:val="auto"/>
                      <w:szCs w:val="21"/>
                    </w:rPr>
                  </w:pPr>
                  <w:r>
                    <w:rPr>
                      <w:bCs/>
                      <w:color w:val="auto"/>
                      <w:szCs w:val="21"/>
                    </w:rPr>
                    <w:t>氨氮</w:t>
                  </w:r>
                </w:p>
              </w:tc>
              <w:tc>
                <w:tcPr>
                  <w:tcW w:w="2708" w:type="dxa"/>
                  <w:vMerge w:val="continue"/>
                  <w:vAlign w:val="center"/>
                </w:tcPr>
                <w:p w14:paraId="0986CB40">
                  <w:pPr>
                    <w:adjustRightInd w:val="0"/>
                    <w:snapToGrid w:val="0"/>
                    <w:jc w:val="center"/>
                    <w:rPr>
                      <w:bCs/>
                      <w:color w:val="auto"/>
                      <w:szCs w:val="21"/>
                    </w:rPr>
                  </w:pPr>
                </w:p>
              </w:tc>
              <w:tc>
                <w:tcPr>
                  <w:tcW w:w="4018" w:type="dxa"/>
                  <w:vAlign w:val="center"/>
                </w:tcPr>
                <w:p w14:paraId="6643FC3F">
                  <w:pPr>
                    <w:adjustRightInd w:val="0"/>
                    <w:snapToGrid w:val="0"/>
                    <w:jc w:val="center"/>
                    <w:rPr>
                      <w:bCs/>
                      <w:color w:val="auto"/>
                      <w:szCs w:val="21"/>
                    </w:rPr>
                  </w:pPr>
                  <w:r>
                    <w:rPr>
                      <w:rFonts w:hint="eastAsia"/>
                      <w:bCs/>
                      <w:color w:val="auto"/>
                      <w:szCs w:val="21"/>
                    </w:rPr>
                    <w:t>≤8</w:t>
                  </w:r>
                </w:p>
              </w:tc>
            </w:tr>
            <w:tr w14:paraId="362CE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vAlign w:val="center"/>
                </w:tcPr>
                <w:p w14:paraId="54241743">
                  <w:pPr>
                    <w:adjustRightInd w:val="0"/>
                    <w:snapToGrid w:val="0"/>
                    <w:jc w:val="center"/>
                    <w:rPr>
                      <w:bCs/>
                      <w:color w:val="auto"/>
                      <w:szCs w:val="21"/>
                    </w:rPr>
                  </w:pPr>
                  <w:r>
                    <w:rPr>
                      <w:rFonts w:hint="eastAsia"/>
                      <w:bCs/>
                      <w:color w:val="auto"/>
                      <w:szCs w:val="21"/>
                    </w:rPr>
                    <w:t>阴离子表面活性剂</w:t>
                  </w:r>
                </w:p>
              </w:tc>
              <w:tc>
                <w:tcPr>
                  <w:tcW w:w="2708" w:type="dxa"/>
                  <w:vMerge w:val="continue"/>
                  <w:vAlign w:val="center"/>
                </w:tcPr>
                <w:p w14:paraId="779E0C91">
                  <w:pPr>
                    <w:adjustRightInd w:val="0"/>
                    <w:snapToGrid w:val="0"/>
                    <w:jc w:val="center"/>
                    <w:rPr>
                      <w:bCs/>
                      <w:color w:val="auto"/>
                      <w:szCs w:val="21"/>
                    </w:rPr>
                  </w:pPr>
                </w:p>
              </w:tc>
              <w:tc>
                <w:tcPr>
                  <w:tcW w:w="4018" w:type="dxa"/>
                  <w:vAlign w:val="center"/>
                </w:tcPr>
                <w:p w14:paraId="16811983">
                  <w:pPr>
                    <w:adjustRightInd w:val="0"/>
                    <w:snapToGrid w:val="0"/>
                    <w:jc w:val="center"/>
                    <w:rPr>
                      <w:bCs/>
                      <w:color w:val="auto"/>
                      <w:szCs w:val="21"/>
                    </w:rPr>
                  </w:pPr>
                  <w:r>
                    <w:rPr>
                      <w:rFonts w:hint="eastAsia"/>
                      <w:bCs/>
                      <w:color w:val="auto"/>
                      <w:szCs w:val="21"/>
                    </w:rPr>
                    <w:t>≤0.5</w:t>
                  </w:r>
                </w:p>
              </w:tc>
            </w:tr>
            <w:tr w14:paraId="30D32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vAlign w:val="center"/>
                </w:tcPr>
                <w:p w14:paraId="2F80B4AE">
                  <w:pPr>
                    <w:adjustRightInd w:val="0"/>
                    <w:snapToGrid w:val="0"/>
                    <w:jc w:val="center"/>
                    <w:rPr>
                      <w:bCs/>
                      <w:color w:val="auto"/>
                      <w:szCs w:val="21"/>
                    </w:rPr>
                  </w:pPr>
                  <w:r>
                    <w:rPr>
                      <w:rFonts w:hint="eastAsia"/>
                      <w:bCs/>
                      <w:color w:val="auto"/>
                      <w:szCs w:val="21"/>
                    </w:rPr>
                    <w:t>铁</w:t>
                  </w:r>
                </w:p>
              </w:tc>
              <w:tc>
                <w:tcPr>
                  <w:tcW w:w="2708" w:type="dxa"/>
                  <w:vMerge w:val="continue"/>
                  <w:vAlign w:val="center"/>
                </w:tcPr>
                <w:p w14:paraId="60E61040">
                  <w:pPr>
                    <w:adjustRightInd w:val="0"/>
                    <w:snapToGrid w:val="0"/>
                    <w:jc w:val="center"/>
                    <w:rPr>
                      <w:bCs/>
                      <w:color w:val="auto"/>
                      <w:szCs w:val="21"/>
                    </w:rPr>
                  </w:pPr>
                </w:p>
              </w:tc>
              <w:tc>
                <w:tcPr>
                  <w:tcW w:w="4018" w:type="dxa"/>
                  <w:vAlign w:val="center"/>
                </w:tcPr>
                <w:p w14:paraId="243D7AB6">
                  <w:pPr>
                    <w:adjustRightInd w:val="0"/>
                    <w:snapToGrid w:val="0"/>
                    <w:jc w:val="center"/>
                    <w:rPr>
                      <w:bCs/>
                      <w:color w:val="auto"/>
                      <w:szCs w:val="21"/>
                    </w:rPr>
                  </w:pPr>
                  <w:r>
                    <w:rPr>
                      <w:rFonts w:hint="eastAsia"/>
                      <w:bCs/>
                      <w:color w:val="auto"/>
                      <w:szCs w:val="21"/>
                    </w:rPr>
                    <w:t>/</w:t>
                  </w:r>
                </w:p>
              </w:tc>
            </w:tr>
            <w:tr w14:paraId="21048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vAlign w:val="center"/>
                </w:tcPr>
                <w:p w14:paraId="78FB0BE4">
                  <w:pPr>
                    <w:adjustRightInd w:val="0"/>
                    <w:snapToGrid w:val="0"/>
                    <w:jc w:val="center"/>
                    <w:rPr>
                      <w:bCs/>
                      <w:color w:val="auto"/>
                      <w:szCs w:val="21"/>
                    </w:rPr>
                  </w:pPr>
                  <w:r>
                    <w:rPr>
                      <w:rFonts w:hint="eastAsia"/>
                      <w:bCs/>
                      <w:color w:val="auto"/>
                      <w:szCs w:val="21"/>
                    </w:rPr>
                    <w:t>锰</w:t>
                  </w:r>
                </w:p>
              </w:tc>
              <w:tc>
                <w:tcPr>
                  <w:tcW w:w="2708" w:type="dxa"/>
                  <w:vMerge w:val="continue"/>
                  <w:vAlign w:val="center"/>
                </w:tcPr>
                <w:p w14:paraId="2D0CC67F">
                  <w:pPr>
                    <w:adjustRightInd w:val="0"/>
                    <w:snapToGrid w:val="0"/>
                    <w:jc w:val="center"/>
                    <w:rPr>
                      <w:bCs/>
                      <w:color w:val="auto"/>
                      <w:szCs w:val="21"/>
                    </w:rPr>
                  </w:pPr>
                </w:p>
              </w:tc>
              <w:tc>
                <w:tcPr>
                  <w:tcW w:w="4018" w:type="dxa"/>
                  <w:vAlign w:val="center"/>
                </w:tcPr>
                <w:p w14:paraId="6FE1C782">
                  <w:pPr>
                    <w:adjustRightInd w:val="0"/>
                    <w:snapToGrid w:val="0"/>
                    <w:jc w:val="center"/>
                    <w:rPr>
                      <w:bCs/>
                      <w:color w:val="auto"/>
                      <w:szCs w:val="21"/>
                    </w:rPr>
                  </w:pPr>
                  <w:r>
                    <w:rPr>
                      <w:rFonts w:hint="eastAsia"/>
                      <w:bCs/>
                      <w:color w:val="auto"/>
                      <w:szCs w:val="21"/>
                    </w:rPr>
                    <w:t>/</w:t>
                  </w:r>
                </w:p>
              </w:tc>
            </w:tr>
            <w:tr w14:paraId="54BC5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vAlign w:val="center"/>
                </w:tcPr>
                <w:p w14:paraId="2A60304F">
                  <w:pPr>
                    <w:adjustRightInd w:val="0"/>
                    <w:snapToGrid w:val="0"/>
                    <w:jc w:val="center"/>
                    <w:rPr>
                      <w:bCs/>
                      <w:color w:val="auto"/>
                      <w:szCs w:val="21"/>
                    </w:rPr>
                  </w:pPr>
                  <w:r>
                    <w:rPr>
                      <w:bCs/>
                      <w:color w:val="auto"/>
                      <w:szCs w:val="21"/>
                    </w:rPr>
                    <w:t>溶解氧</w:t>
                  </w:r>
                </w:p>
              </w:tc>
              <w:tc>
                <w:tcPr>
                  <w:tcW w:w="2708" w:type="dxa"/>
                  <w:vMerge w:val="continue"/>
                  <w:vAlign w:val="center"/>
                </w:tcPr>
                <w:p w14:paraId="1E6DE7FF">
                  <w:pPr>
                    <w:adjustRightInd w:val="0"/>
                    <w:snapToGrid w:val="0"/>
                    <w:jc w:val="center"/>
                    <w:rPr>
                      <w:bCs/>
                      <w:color w:val="auto"/>
                      <w:szCs w:val="21"/>
                    </w:rPr>
                  </w:pPr>
                </w:p>
              </w:tc>
              <w:tc>
                <w:tcPr>
                  <w:tcW w:w="4018" w:type="dxa"/>
                  <w:vAlign w:val="center"/>
                </w:tcPr>
                <w:p w14:paraId="6BEE3A00">
                  <w:pPr>
                    <w:adjustRightInd w:val="0"/>
                    <w:snapToGrid w:val="0"/>
                    <w:jc w:val="center"/>
                    <w:rPr>
                      <w:bCs/>
                      <w:color w:val="auto"/>
                      <w:szCs w:val="21"/>
                    </w:rPr>
                  </w:pPr>
                  <w:r>
                    <w:rPr>
                      <w:rFonts w:hint="eastAsia"/>
                      <w:bCs/>
                      <w:color w:val="auto"/>
                      <w:szCs w:val="21"/>
                    </w:rPr>
                    <w:t>≥2</w:t>
                  </w:r>
                  <w:r>
                    <w:rPr>
                      <w:bCs/>
                      <w:color w:val="auto"/>
                      <w:szCs w:val="21"/>
                    </w:rPr>
                    <w:t>.0</w:t>
                  </w:r>
                </w:p>
              </w:tc>
            </w:tr>
            <w:tr w14:paraId="7C8EC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vAlign w:val="center"/>
                </w:tcPr>
                <w:p w14:paraId="603F08B7">
                  <w:pPr>
                    <w:adjustRightInd w:val="0"/>
                    <w:snapToGrid w:val="0"/>
                    <w:jc w:val="center"/>
                    <w:rPr>
                      <w:bCs/>
                      <w:color w:val="auto"/>
                      <w:szCs w:val="21"/>
                    </w:rPr>
                  </w:pPr>
                  <w:r>
                    <w:rPr>
                      <w:bCs/>
                      <w:color w:val="auto"/>
                      <w:szCs w:val="21"/>
                    </w:rPr>
                    <w:t>总氯</w:t>
                  </w:r>
                </w:p>
              </w:tc>
              <w:tc>
                <w:tcPr>
                  <w:tcW w:w="2708" w:type="dxa"/>
                  <w:vMerge w:val="continue"/>
                  <w:vAlign w:val="center"/>
                </w:tcPr>
                <w:p w14:paraId="5A4039E8">
                  <w:pPr>
                    <w:adjustRightInd w:val="0"/>
                    <w:snapToGrid w:val="0"/>
                    <w:jc w:val="center"/>
                    <w:rPr>
                      <w:bCs/>
                      <w:color w:val="auto"/>
                      <w:szCs w:val="21"/>
                    </w:rPr>
                  </w:pPr>
                </w:p>
              </w:tc>
              <w:tc>
                <w:tcPr>
                  <w:tcW w:w="4018" w:type="dxa"/>
                  <w:vAlign w:val="center"/>
                </w:tcPr>
                <w:p w14:paraId="6EBD25AD">
                  <w:pPr>
                    <w:adjustRightInd w:val="0"/>
                    <w:snapToGrid w:val="0"/>
                    <w:jc w:val="center"/>
                    <w:rPr>
                      <w:bCs/>
                      <w:color w:val="auto"/>
                      <w:szCs w:val="21"/>
                    </w:rPr>
                  </w:pPr>
                  <w:r>
                    <w:rPr>
                      <w:bCs/>
                      <w:color w:val="auto"/>
                      <w:szCs w:val="21"/>
                    </w:rPr>
                    <w:t>接触30min后≥1.0，管网末端≥0.2</w:t>
                  </w:r>
                </w:p>
              </w:tc>
            </w:tr>
            <w:tr w14:paraId="11F04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vAlign w:val="center"/>
                </w:tcPr>
                <w:p w14:paraId="191EA36E">
                  <w:pPr>
                    <w:adjustRightInd w:val="0"/>
                    <w:snapToGrid w:val="0"/>
                    <w:jc w:val="center"/>
                    <w:rPr>
                      <w:bCs/>
                      <w:color w:val="auto"/>
                      <w:szCs w:val="21"/>
                    </w:rPr>
                  </w:pPr>
                  <w:r>
                    <w:rPr>
                      <w:rFonts w:hint="eastAsia"/>
                      <w:bCs/>
                      <w:color w:val="auto"/>
                      <w:szCs w:val="21"/>
                    </w:rPr>
                    <w:t>大肠埃希氏菌</w:t>
                  </w:r>
                </w:p>
              </w:tc>
              <w:tc>
                <w:tcPr>
                  <w:tcW w:w="2708" w:type="dxa"/>
                  <w:vAlign w:val="center"/>
                </w:tcPr>
                <w:p w14:paraId="18645871">
                  <w:pPr>
                    <w:adjustRightInd w:val="0"/>
                    <w:snapToGrid w:val="0"/>
                    <w:jc w:val="center"/>
                    <w:rPr>
                      <w:bCs/>
                      <w:color w:val="auto"/>
                      <w:szCs w:val="21"/>
                    </w:rPr>
                  </w:pPr>
                  <w:r>
                    <w:rPr>
                      <w:rFonts w:hint="eastAsia"/>
                      <w:bCs/>
                      <w:color w:val="auto"/>
                      <w:szCs w:val="21"/>
                    </w:rPr>
                    <w:t>MPN/100mL或CFU/100mL</w:t>
                  </w:r>
                </w:p>
              </w:tc>
              <w:tc>
                <w:tcPr>
                  <w:tcW w:w="4018" w:type="dxa"/>
                  <w:vAlign w:val="center"/>
                </w:tcPr>
                <w:p w14:paraId="605CC580">
                  <w:pPr>
                    <w:adjustRightInd w:val="0"/>
                    <w:snapToGrid w:val="0"/>
                    <w:jc w:val="center"/>
                    <w:rPr>
                      <w:bCs/>
                      <w:color w:val="auto"/>
                      <w:szCs w:val="21"/>
                    </w:rPr>
                  </w:pPr>
                  <w:r>
                    <w:rPr>
                      <w:rFonts w:hint="eastAsia"/>
                      <w:bCs/>
                      <w:color w:val="auto"/>
                      <w:szCs w:val="21"/>
                    </w:rPr>
                    <w:t>无</w:t>
                  </w:r>
                  <w:r>
                    <w:rPr>
                      <w:rFonts w:hint="eastAsia"/>
                      <w:bCs/>
                      <w:color w:val="auto"/>
                      <w:szCs w:val="21"/>
                      <w:vertAlign w:val="superscript"/>
                    </w:rPr>
                    <w:t>c</w:t>
                  </w:r>
                </w:p>
              </w:tc>
            </w:tr>
            <w:tr w14:paraId="7790B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8758" w:type="dxa"/>
                  <w:gridSpan w:val="3"/>
                  <w:vAlign w:val="center"/>
                </w:tcPr>
                <w:p w14:paraId="2A090FAA">
                  <w:pPr>
                    <w:adjustRightInd w:val="0"/>
                    <w:snapToGrid w:val="0"/>
                    <w:jc w:val="center"/>
                    <w:rPr>
                      <w:bCs/>
                      <w:color w:val="auto"/>
                      <w:szCs w:val="21"/>
                    </w:rPr>
                  </w:pPr>
                  <w:r>
                    <w:rPr>
                      <w:rFonts w:hint="eastAsia"/>
                      <w:bCs/>
                      <w:color w:val="auto"/>
                      <w:szCs w:val="21"/>
                    </w:rPr>
                    <w:t>注：</w:t>
                  </w:r>
                  <w:r>
                    <w:rPr>
                      <w:rFonts w:hint="eastAsia"/>
                      <w:bCs/>
                      <w:color w:val="auto"/>
                      <w:szCs w:val="21"/>
                      <w:vertAlign w:val="superscript"/>
                    </w:rPr>
                    <w:t>c</w:t>
                  </w:r>
                  <w:r>
                    <w:rPr>
                      <w:rFonts w:hint="eastAsia"/>
                      <w:bCs/>
                      <w:color w:val="auto"/>
                      <w:szCs w:val="21"/>
                    </w:rPr>
                    <w:t>大肠埃希氏菌不应检出</w:t>
                  </w:r>
                </w:p>
              </w:tc>
            </w:tr>
          </w:tbl>
          <w:p w14:paraId="09275765">
            <w:pPr>
              <w:pStyle w:val="16"/>
              <w:adjustRightInd w:val="0"/>
              <w:snapToGrid w:val="0"/>
              <w:spacing w:after="0" w:line="360" w:lineRule="auto"/>
              <w:ind w:firstLine="0" w:firstLineChars="0"/>
              <w:rPr>
                <w:b/>
                <w:bCs/>
                <w:color w:val="auto"/>
                <w:szCs w:val="28"/>
              </w:rPr>
            </w:pPr>
            <w:r>
              <w:rPr>
                <w:rFonts w:hint="eastAsia"/>
                <w:b/>
                <w:bCs/>
                <w:color w:val="auto"/>
                <w:szCs w:val="28"/>
              </w:rPr>
              <w:t>三、噪声排放标准</w:t>
            </w:r>
          </w:p>
          <w:p w14:paraId="316A455E">
            <w:pPr>
              <w:adjustRightInd w:val="0"/>
              <w:snapToGrid w:val="0"/>
              <w:spacing w:line="360" w:lineRule="auto"/>
              <w:ind w:firstLine="480" w:firstLineChars="200"/>
              <w:jc w:val="left"/>
              <w:rPr>
                <w:color w:val="auto"/>
                <w:sz w:val="24"/>
              </w:rPr>
            </w:pPr>
            <w:r>
              <w:rPr>
                <w:rFonts w:hint="eastAsia"/>
                <w:color w:val="auto"/>
                <w:sz w:val="24"/>
              </w:rPr>
              <w:t>（1）施工期噪声执行《建筑施工场界环境噪声排放标准》（GB12523-2011），标准值见表3-11。</w:t>
            </w:r>
          </w:p>
          <w:p w14:paraId="4C2327A8">
            <w:pPr>
              <w:adjustRightInd w:val="0"/>
              <w:snapToGrid w:val="0"/>
              <w:jc w:val="center"/>
              <w:rPr>
                <w:b/>
                <w:bCs/>
                <w:color w:val="auto"/>
                <w:szCs w:val="21"/>
              </w:rPr>
            </w:pPr>
            <w:r>
              <w:rPr>
                <w:b/>
                <w:bCs/>
                <w:color w:val="auto"/>
                <w:szCs w:val="21"/>
              </w:rPr>
              <w:t>表</w:t>
            </w:r>
            <w:r>
              <w:rPr>
                <w:rFonts w:hint="eastAsia"/>
                <w:b/>
                <w:bCs/>
                <w:color w:val="auto"/>
                <w:szCs w:val="21"/>
              </w:rPr>
              <w:t>3</w:t>
            </w:r>
            <w:r>
              <w:rPr>
                <w:b/>
                <w:bCs/>
                <w:color w:val="auto"/>
                <w:szCs w:val="21"/>
              </w:rPr>
              <w:t>-</w:t>
            </w:r>
            <w:r>
              <w:rPr>
                <w:rFonts w:hint="eastAsia"/>
                <w:b/>
                <w:bCs/>
                <w:color w:val="auto"/>
                <w:szCs w:val="21"/>
              </w:rPr>
              <w:t xml:space="preserve">11 </w:t>
            </w:r>
            <w:r>
              <w:rPr>
                <w:b/>
                <w:bCs/>
                <w:color w:val="auto"/>
                <w:szCs w:val="21"/>
              </w:rPr>
              <w:t xml:space="preserve"> 建筑施工场界环境噪声排放限值dB(A)</w:t>
            </w:r>
          </w:p>
          <w:tbl>
            <w:tblPr>
              <w:tblStyle w:val="30"/>
              <w:tblW w:w="885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210"/>
              <w:gridCol w:w="4648"/>
            </w:tblGrid>
            <w:tr w14:paraId="063DC6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 w:hRule="atLeast"/>
                <w:jc w:val="center"/>
              </w:trPr>
              <w:tc>
                <w:tcPr>
                  <w:tcW w:w="4210" w:type="dxa"/>
                  <w:vAlign w:val="center"/>
                </w:tcPr>
                <w:p w14:paraId="0DD4FDE9">
                  <w:pPr>
                    <w:adjustRightInd w:val="0"/>
                    <w:snapToGrid w:val="0"/>
                    <w:spacing w:line="320" w:lineRule="exact"/>
                    <w:ind w:firstLine="420" w:firstLineChars="200"/>
                    <w:jc w:val="center"/>
                    <w:rPr>
                      <w:color w:val="auto"/>
                    </w:rPr>
                  </w:pPr>
                  <w:r>
                    <w:rPr>
                      <w:color w:val="auto"/>
                    </w:rPr>
                    <w:t>昼间</w:t>
                  </w:r>
                </w:p>
              </w:tc>
              <w:tc>
                <w:tcPr>
                  <w:tcW w:w="4648" w:type="dxa"/>
                  <w:vAlign w:val="center"/>
                </w:tcPr>
                <w:p w14:paraId="7DCA107A">
                  <w:pPr>
                    <w:adjustRightInd w:val="0"/>
                    <w:snapToGrid w:val="0"/>
                    <w:spacing w:line="320" w:lineRule="exact"/>
                    <w:ind w:firstLine="420" w:firstLineChars="200"/>
                    <w:jc w:val="center"/>
                    <w:rPr>
                      <w:color w:val="auto"/>
                    </w:rPr>
                  </w:pPr>
                  <w:r>
                    <w:rPr>
                      <w:color w:val="auto"/>
                    </w:rPr>
                    <w:t>夜间</w:t>
                  </w:r>
                </w:p>
              </w:tc>
            </w:tr>
            <w:tr w14:paraId="20690C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 w:hRule="atLeast"/>
                <w:jc w:val="center"/>
              </w:trPr>
              <w:tc>
                <w:tcPr>
                  <w:tcW w:w="4210" w:type="dxa"/>
                  <w:vAlign w:val="center"/>
                </w:tcPr>
                <w:p w14:paraId="57F9CB98">
                  <w:pPr>
                    <w:adjustRightInd w:val="0"/>
                    <w:snapToGrid w:val="0"/>
                    <w:spacing w:line="320" w:lineRule="exact"/>
                    <w:ind w:firstLine="420" w:firstLineChars="200"/>
                    <w:jc w:val="center"/>
                    <w:rPr>
                      <w:color w:val="auto"/>
                    </w:rPr>
                  </w:pPr>
                  <w:r>
                    <w:rPr>
                      <w:color w:val="auto"/>
                    </w:rPr>
                    <w:t>70</w:t>
                  </w:r>
                </w:p>
              </w:tc>
              <w:tc>
                <w:tcPr>
                  <w:tcW w:w="4648" w:type="dxa"/>
                  <w:vAlign w:val="center"/>
                </w:tcPr>
                <w:p w14:paraId="7D10F38E">
                  <w:pPr>
                    <w:adjustRightInd w:val="0"/>
                    <w:snapToGrid w:val="0"/>
                    <w:spacing w:line="320" w:lineRule="exact"/>
                    <w:ind w:firstLine="420" w:firstLineChars="200"/>
                    <w:jc w:val="center"/>
                    <w:rPr>
                      <w:color w:val="auto"/>
                    </w:rPr>
                  </w:pPr>
                  <w:r>
                    <w:rPr>
                      <w:color w:val="auto"/>
                    </w:rPr>
                    <w:t>55</w:t>
                  </w:r>
                </w:p>
              </w:tc>
            </w:tr>
          </w:tbl>
          <w:p w14:paraId="39578036">
            <w:pPr>
              <w:pStyle w:val="89"/>
              <w:rPr>
                <w:rFonts w:cs="Times New Roman"/>
                <w:color w:val="auto"/>
                <w:szCs w:val="24"/>
              </w:rPr>
            </w:pPr>
            <w:r>
              <w:rPr>
                <w:rFonts w:hint="eastAsia" w:cs="Times New Roman"/>
                <w:color w:val="auto"/>
                <w:szCs w:val="24"/>
              </w:rPr>
              <w:t>（2）项目运营期南、西厂界噪声执行《工业企业厂界环境噪声排放标准》（GB12348-2008）</w:t>
            </w:r>
            <w:r>
              <w:rPr>
                <w:rFonts w:cs="Times New Roman"/>
                <w:color w:val="auto"/>
                <w:szCs w:val="24"/>
              </w:rPr>
              <w:t>4</w:t>
            </w:r>
            <w:r>
              <w:rPr>
                <w:rFonts w:hint="eastAsia" w:cs="Times New Roman"/>
                <w:color w:val="auto"/>
                <w:szCs w:val="24"/>
              </w:rPr>
              <w:t>类标准，其他厂界执行3类标准，噪声限值见表3-12。</w:t>
            </w:r>
          </w:p>
          <w:p w14:paraId="3CBA63A0">
            <w:pPr>
              <w:adjustRightInd w:val="0"/>
              <w:snapToGrid w:val="0"/>
              <w:jc w:val="center"/>
              <w:rPr>
                <w:b/>
                <w:bCs/>
                <w:color w:val="auto"/>
                <w:sz w:val="24"/>
              </w:rPr>
            </w:pPr>
            <w:r>
              <w:rPr>
                <w:b/>
                <w:bCs/>
                <w:color w:val="auto"/>
                <w:sz w:val="24"/>
              </w:rPr>
              <w:t>表</w:t>
            </w:r>
            <w:r>
              <w:rPr>
                <w:rFonts w:hint="eastAsia"/>
                <w:b/>
                <w:bCs/>
                <w:color w:val="auto"/>
                <w:sz w:val="24"/>
              </w:rPr>
              <w:t xml:space="preserve">3-12 </w:t>
            </w:r>
            <w:r>
              <w:rPr>
                <w:b/>
                <w:bCs/>
                <w:color w:val="auto"/>
                <w:sz w:val="24"/>
              </w:rPr>
              <w:t xml:space="preserve"> 工业企业厂界环境噪声排放标准dB(A)</w:t>
            </w:r>
          </w:p>
          <w:tbl>
            <w:tblPr>
              <w:tblStyle w:val="30"/>
              <w:tblW w:w="886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662"/>
              <w:gridCol w:w="3205"/>
              <w:gridCol w:w="2993"/>
            </w:tblGrid>
            <w:tr w14:paraId="149172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7" w:hRule="exact"/>
                <w:jc w:val="center"/>
              </w:trPr>
              <w:tc>
                <w:tcPr>
                  <w:tcW w:w="2662" w:type="dxa"/>
                  <w:vAlign w:val="center"/>
                </w:tcPr>
                <w:p w14:paraId="379330F5">
                  <w:pPr>
                    <w:pStyle w:val="45"/>
                    <w:adjustRightInd w:val="0"/>
                    <w:snapToGrid w:val="0"/>
                    <w:jc w:val="center"/>
                    <w:rPr>
                      <w:b/>
                      <w:bCs/>
                      <w:color w:val="auto"/>
                    </w:rPr>
                  </w:pPr>
                  <w:r>
                    <w:rPr>
                      <w:b/>
                      <w:bCs/>
                      <w:color w:val="auto"/>
                    </w:rPr>
                    <w:t>功能区类别</w:t>
                  </w:r>
                </w:p>
              </w:tc>
              <w:tc>
                <w:tcPr>
                  <w:tcW w:w="3205" w:type="dxa"/>
                  <w:vAlign w:val="center"/>
                </w:tcPr>
                <w:p w14:paraId="20F2B91C">
                  <w:pPr>
                    <w:pStyle w:val="45"/>
                    <w:adjustRightInd w:val="0"/>
                    <w:snapToGrid w:val="0"/>
                    <w:jc w:val="center"/>
                    <w:rPr>
                      <w:b/>
                      <w:bCs/>
                      <w:color w:val="auto"/>
                    </w:rPr>
                  </w:pPr>
                  <w:r>
                    <w:rPr>
                      <w:b/>
                      <w:bCs/>
                      <w:color w:val="auto"/>
                    </w:rPr>
                    <w:t>昼间</w:t>
                  </w:r>
                </w:p>
              </w:tc>
              <w:tc>
                <w:tcPr>
                  <w:tcW w:w="2993" w:type="dxa"/>
                  <w:vAlign w:val="center"/>
                </w:tcPr>
                <w:p w14:paraId="27DA978C">
                  <w:pPr>
                    <w:pStyle w:val="45"/>
                    <w:adjustRightInd w:val="0"/>
                    <w:snapToGrid w:val="0"/>
                    <w:jc w:val="center"/>
                    <w:rPr>
                      <w:b/>
                      <w:bCs/>
                      <w:color w:val="auto"/>
                    </w:rPr>
                  </w:pPr>
                  <w:r>
                    <w:rPr>
                      <w:b/>
                      <w:bCs/>
                      <w:color w:val="auto"/>
                    </w:rPr>
                    <w:t>夜间</w:t>
                  </w:r>
                </w:p>
              </w:tc>
            </w:tr>
            <w:tr w14:paraId="55C942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4" w:hRule="exact"/>
                <w:jc w:val="center"/>
              </w:trPr>
              <w:tc>
                <w:tcPr>
                  <w:tcW w:w="2662" w:type="dxa"/>
                  <w:vAlign w:val="center"/>
                </w:tcPr>
                <w:p w14:paraId="5709B56B">
                  <w:pPr>
                    <w:pStyle w:val="45"/>
                    <w:adjustRightInd w:val="0"/>
                    <w:snapToGrid w:val="0"/>
                    <w:jc w:val="center"/>
                    <w:rPr>
                      <w:color w:val="auto"/>
                    </w:rPr>
                  </w:pPr>
                  <w:r>
                    <w:rPr>
                      <w:color w:val="auto"/>
                    </w:rPr>
                    <w:t>3类</w:t>
                  </w:r>
                </w:p>
              </w:tc>
              <w:tc>
                <w:tcPr>
                  <w:tcW w:w="3205" w:type="dxa"/>
                  <w:vAlign w:val="center"/>
                </w:tcPr>
                <w:p w14:paraId="2B97CAFF">
                  <w:pPr>
                    <w:pStyle w:val="45"/>
                    <w:adjustRightInd w:val="0"/>
                    <w:snapToGrid w:val="0"/>
                    <w:jc w:val="center"/>
                    <w:rPr>
                      <w:color w:val="auto"/>
                    </w:rPr>
                  </w:pPr>
                  <w:r>
                    <w:rPr>
                      <w:color w:val="auto"/>
                    </w:rPr>
                    <w:t>65dB(A)</w:t>
                  </w:r>
                </w:p>
              </w:tc>
              <w:tc>
                <w:tcPr>
                  <w:tcW w:w="2993" w:type="dxa"/>
                  <w:vAlign w:val="center"/>
                </w:tcPr>
                <w:p w14:paraId="102CFF7A">
                  <w:pPr>
                    <w:pStyle w:val="45"/>
                    <w:adjustRightInd w:val="0"/>
                    <w:snapToGrid w:val="0"/>
                    <w:jc w:val="center"/>
                    <w:rPr>
                      <w:color w:val="auto"/>
                    </w:rPr>
                  </w:pPr>
                  <w:r>
                    <w:rPr>
                      <w:color w:val="auto"/>
                    </w:rPr>
                    <w:t>55dB(A)</w:t>
                  </w:r>
                </w:p>
              </w:tc>
            </w:tr>
            <w:tr w14:paraId="58EA1D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4" w:hRule="exact"/>
                <w:jc w:val="center"/>
              </w:trPr>
              <w:tc>
                <w:tcPr>
                  <w:tcW w:w="2662" w:type="dxa"/>
                  <w:vAlign w:val="center"/>
                </w:tcPr>
                <w:p w14:paraId="4A8C28E3">
                  <w:pPr>
                    <w:pStyle w:val="45"/>
                    <w:adjustRightInd w:val="0"/>
                    <w:snapToGrid w:val="0"/>
                    <w:jc w:val="center"/>
                    <w:rPr>
                      <w:color w:val="auto"/>
                    </w:rPr>
                  </w:pPr>
                  <w:r>
                    <w:rPr>
                      <w:rFonts w:hint="eastAsia"/>
                      <w:color w:val="auto"/>
                    </w:rPr>
                    <w:t>4类</w:t>
                  </w:r>
                </w:p>
              </w:tc>
              <w:tc>
                <w:tcPr>
                  <w:tcW w:w="3205" w:type="dxa"/>
                  <w:vAlign w:val="center"/>
                </w:tcPr>
                <w:p w14:paraId="73FA622C">
                  <w:pPr>
                    <w:pStyle w:val="45"/>
                    <w:adjustRightInd w:val="0"/>
                    <w:snapToGrid w:val="0"/>
                    <w:jc w:val="center"/>
                    <w:rPr>
                      <w:color w:val="auto"/>
                    </w:rPr>
                  </w:pPr>
                  <w:r>
                    <w:rPr>
                      <w:rFonts w:hint="eastAsia"/>
                      <w:color w:val="auto"/>
                    </w:rPr>
                    <w:t>7</w:t>
                  </w:r>
                  <w:r>
                    <w:rPr>
                      <w:color w:val="auto"/>
                    </w:rPr>
                    <w:t>0 dB(A)</w:t>
                  </w:r>
                </w:p>
              </w:tc>
              <w:tc>
                <w:tcPr>
                  <w:tcW w:w="2993" w:type="dxa"/>
                  <w:vAlign w:val="center"/>
                </w:tcPr>
                <w:p w14:paraId="1E9EC4D9">
                  <w:pPr>
                    <w:pStyle w:val="45"/>
                    <w:adjustRightInd w:val="0"/>
                    <w:snapToGrid w:val="0"/>
                    <w:jc w:val="center"/>
                    <w:rPr>
                      <w:color w:val="auto"/>
                    </w:rPr>
                  </w:pPr>
                  <w:r>
                    <w:rPr>
                      <w:rFonts w:hint="eastAsia"/>
                      <w:color w:val="auto"/>
                    </w:rPr>
                    <w:t>5</w:t>
                  </w:r>
                  <w:r>
                    <w:rPr>
                      <w:color w:val="auto"/>
                    </w:rPr>
                    <w:t>5 dB(A)</w:t>
                  </w:r>
                </w:p>
              </w:tc>
            </w:tr>
          </w:tbl>
          <w:p w14:paraId="42AE2068">
            <w:pPr>
              <w:pStyle w:val="16"/>
              <w:adjustRightInd w:val="0"/>
              <w:snapToGrid w:val="0"/>
              <w:spacing w:after="0" w:line="360" w:lineRule="auto"/>
              <w:ind w:firstLine="0" w:firstLineChars="0"/>
              <w:rPr>
                <w:b/>
                <w:bCs/>
                <w:color w:val="auto"/>
                <w:szCs w:val="28"/>
              </w:rPr>
            </w:pPr>
            <w:r>
              <w:rPr>
                <w:rFonts w:hint="eastAsia"/>
                <w:b/>
                <w:bCs/>
                <w:color w:val="auto"/>
                <w:szCs w:val="28"/>
              </w:rPr>
              <w:t>四、固体废弃物</w:t>
            </w:r>
          </w:p>
          <w:p w14:paraId="227E6981">
            <w:pPr>
              <w:pStyle w:val="89"/>
              <w:rPr>
                <w:rFonts w:cs="Times New Roman"/>
                <w:color w:val="auto"/>
                <w:szCs w:val="24"/>
              </w:rPr>
            </w:pPr>
            <w:r>
              <w:rPr>
                <w:rFonts w:cs="Times New Roman"/>
                <w:color w:val="auto"/>
                <w:szCs w:val="24"/>
              </w:rPr>
              <w:t>项目所产生的固体废弃物包括危险废物及一般固体废弃物。</w:t>
            </w:r>
          </w:p>
          <w:p w14:paraId="17FCA084">
            <w:pPr>
              <w:pStyle w:val="89"/>
              <w:rPr>
                <w:rFonts w:cs="Times New Roman"/>
                <w:color w:val="auto"/>
                <w:szCs w:val="24"/>
              </w:rPr>
            </w:pPr>
            <w:r>
              <w:rPr>
                <w:rFonts w:cs="Times New Roman"/>
                <w:color w:val="auto"/>
                <w:szCs w:val="24"/>
              </w:rPr>
              <w:t>一般固体废物执行《一般工业固体废物贮存和填埋污染控制标准》（GB18599-2020）。</w:t>
            </w:r>
          </w:p>
          <w:p w14:paraId="1B1F9349">
            <w:pPr>
              <w:spacing w:line="360" w:lineRule="auto"/>
              <w:ind w:firstLine="480" w:firstLineChars="200"/>
              <w:rPr>
                <w:color w:val="auto"/>
              </w:rPr>
            </w:pPr>
            <w:r>
              <w:rPr>
                <w:color w:val="auto"/>
                <w:sz w:val="24"/>
              </w:rPr>
              <w:t>危险废物执行《危险废物贮存污染控制标准》（GB18597-20</w:t>
            </w:r>
            <w:r>
              <w:rPr>
                <w:rFonts w:hint="eastAsia"/>
                <w:color w:val="auto"/>
                <w:sz w:val="24"/>
              </w:rPr>
              <w:t>23</w:t>
            </w:r>
            <w:r>
              <w:rPr>
                <w:color w:val="auto"/>
                <w:sz w:val="24"/>
              </w:rPr>
              <w:t>）、</w:t>
            </w:r>
            <w:r>
              <w:rPr>
                <w:rFonts w:hint="eastAsia"/>
                <w:color w:val="auto"/>
                <w:sz w:val="24"/>
              </w:rPr>
              <w:t>《危险废物识别标志设置技术规范》（HJ1276-2022）、</w:t>
            </w:r>
            <w:r>
              <w:rPr>
                <w:color w:val="auto"/>
                <w:sz w:val="24"/>
              </w:rPr>
              <w:t>《危险废物污染防治技术政策》和《危险废物转移联单管理办法》中的有关规定</w:t>
            </w:r>
            <w:r>
              <w:rPr>
                <w:rFonts w:hint="eastAsia"/>
                <w:color w:val="auto"/>
                <w:sz w:val="24"/>
              </w:rPr>
              <w:t>。</w:t>
            </w:r>
          </w:p>
        </w:tc>
      </w:tr>
      <w:tr w14:paraId="0291A2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26" w:type="dxa"/>
            <w:vAlign w:val="center"/>
          </w:tcPr>
          <w:p w14:paraId="0E8525DB">
            <w:pPr>
              <w:adjustRightInd w:val="0"/>
              <w:snapToGrid w:val="0"/>
              <w:jc w:val="center"/>
              <w:rPr>
                <w:rFonts w:cs="宋体"/>
                <w:color w:val="auto"/>
                <w:kern w:val="0"/>
                <w:szCs w:val="21"/>
              </w:rPr>
            </w:pPr>
            <w:r>
              <w:rPr>
                <w:rFonts w:hint="eastAsia" w:cs="宋体"/>
                <w:color w:val="auto"/>
                <w:kern w:val="0"/>
                <w:szCs w:val="21"/>
              </w:rPr>
              <w:t>总量</w:t>
            </w:r>
          </w:p>
          <w:p w14:paraId="448D90A9">
            <w:pPr>
              <w:adjustRightInd w:val="0"/>
              <w:snapToGrid w:val="0"/>
              <w:jc w:val="center"/>
              <w:rPr>
                <w:rFonts w:cs="宋体"/>
                <w:color w:val="auto"/>
                <w:kern w:val="0"/>
                <w:szCs w:val="21"/>
              </w:rPr>
            </w:pPr>
            <w:r>
              <w:rPr>
                <w:rFonts w:hint="eastAsia" w:cs="宋体"/>
                <w:color w:val="auto"/>
                <w:kern w:val="0"/>
                <w:szCs w:val="21"/>
              </w:rPr>
              <w:t>控制</w:t>
            </w:r>
          </w:p>
          <w:p w14:paraId="6FCD120B">
            <w:pPr>
              <w:adjustRightInd w:val="0"/>
              <w:snapToGrid w:val="0"/>
              <w:jc w:val="center"/>
              <w:rPr>
                <w:rFonts w:cs="宋体"/>
                <w:color w:val="auto"/>
                <w:kern w:val="0"/>
                <w:szCs w:val="21"/>
                <w:highlight w:val="yellow"/>
              </w:rPr>
            </w:pPr>
            <w:r>
              <w:rPr>
                <w:rFonts w:hint="eastAsia" w:cs="宋体"/>
                <w:color w:val="auto"/>
                <w:kern w:val="0"/>
                <w:szCs w:val="21"/>
              </w:rPr>
              <w:t>指标</w:t>
            </w:r>
          </w:p>
        </w:tc>
        <w:tc>
          <w:tcPr>
            <w:tcW w:w="9081" w:type="dxa"/>
            <w:vAlign w:val="center"/>
          </w:tcPr>
          <w:p w14:paraId="5D7A40A0">
            <w:pPr>
              <w:adjustRightInd w:val="0"/>
              <w:snapToGrid w:val="0"/>
              <w:spacing w:line="360" w:lineRule="auto"/>
              <w:ind w:firstLine="480" w:firstLineChars="200"/>
              <w:rPr>
                <w:color w:val="auto"/>
                <w:sz w:val="24"/>
                <w:lang w:val="zh-CN"/>
              </w:rPr>
            </w:pPr>
            <w:r>
              <w:rPr>
                <w:color w:val="auto"/>
                <w:sz w:val="24"/>
              </w:rPr>
              <w:t>根据《云南省“十四五”节能减排综合工作实施方案》，“十四五”期间将主要水污染物化学需氧量、氨氮和主要气污染物氮氧化物、挥发性有机物等4项污染物纳入减排范围，作为约束性指标逐级下达并考核。通过计算，本项目总量控制指标如下：</w:t>
            </w:r>
          </w:p>
          <w:p w14:paraId="4F330AF0">
            <w:pPr>
              <w:adjustRightInd w:val="0"/>
              <w:snapToGrid w:val="0"/>
              <w:spacing w:line="360" w:lineRule="auto"/>
              <w:ind w:firstLine="480" w:firstLineChars="200"/>
              <w:rPr>
                <w:color w:val="auto"/>
                <w:sz w:val="24"/>
              </w:rPr>
            </w:pPr>
            <w:r>
              <w:rPr>
                <w:color w:val="auto"/>
                <w:sz w:val="24"/>
              </w:rPr>
              <w:t>（1）废气</w:t>
            </w:r>
          </w:p>
          <w:p w14:paraId="3FC2E6B4">
            <w:pPr>
              <w:adjustRightInd w:val="0"/>
              <w:snapToGrid w:val="0"/>
              <w:spacing w:line="360" w:lineRule="auto"/>
              <w:ind w:firstLine="480" w:firstLineChars="200"/>
              <w:rPr>
                <w:color w:val="auto"/>
                <w:sz w:val="24"/>
              </w:rPr>
            </w:pPr>
            <w:r>
              <w:rPr>
                <w:rFonts w:hint="eastAsia"/>
                <w:color w:val="auto"/>
                <w:sz w:val="24"/>
              </w:rPr>
              <w:t>有组织废气：</w:t>
            </w:r>
          </w:p>
          <w:p w14:paraId="448348AF">
            <w:pPr>
              <w:adjustRightInd w:val="0"/>
              <w:snapToGrid w:val="0"/>
              <w:spacing w:line="360" w:lineRule="auto"/>
              <w:ind w:firstLine="480" w:firstLineChars="200"/>
              <w:rPr>
                <w:color w:val="auto"/>
                <w:sz w:val="24"/>
              </w:rPr>
            </w:pPr>
            <w:r>
              <w:rPr>
                <w:color w:val="auto"/>
                <w:sz w:val="24"/>
              </w:rPr>
              <w:t>本项目</w:t>
            </w:r>
            <w:r>
              <w:rPr>
                <w:rFonts w:hint="eastAsia"/>
                <w:color w:val="auto"/>
                <w:sz w:val="24"/>
              </w:rPr>
              <w:t>废气总排放量为4877万m</w:t>
            </w:r>
            <w:r>
              <w:rPr>
                <w:rFonts w:hint="eastAsia"/>
                <w:color w:val="auto"/>
                <w:sz w:val="24"/>
                <w:vertAlign w:val="superscript"/>
              </w:rPr>
              <w:t>3</w:t>
            </w:r>
            <w:r>
              <w:rPr>
                <w:rFonts w:hint="eastAsia"/>
                <w:color w:val="auto"/>
                <w:sz w:val="24"/>
              </w:rPr>
              <w:t>/a</w:t>
            </w:r>
            <w:bookmarkStart w:id="8" w:name="_Hlk72278285"/>
            <w:r>
              <w:rPr>
                <w:rFonts w:hint="eastAsia"/>
                <w:color w:val="auto"/>
                <w:sz w:val="24"/>
              </w:rPr>
              <w:t>；VOCs（以非甲烷总烃计）排放量</w:t>
            </w:r>
            <w:r>
              <w:rPr>
                <w:rFonts w:hint="eastAsia"/>
                <w:color w:val="auto"/>
                <w:sz w:val="24"/>
                <w:lang w:val="en-US" w:eastAsia="zh-CN"/>
              </w:rPr>
              <w:t>5.215</w:t>
            </w:r>
            <w:r>
              <w:rPr>
                <w:color w:val="auto"/>
                <w:sz w:val="24"/>
              </w:rPr>
              <w:t>t/a</w:t>
            </w:r>
            <w:bookmarkEnd w:id="8"/>
            <w:r>
              <w:rPr>
                <w:rFonts w:hint="eastAsia"/>
                <w:color w:val="auto"/>
                <w:sz w:val="24"/>
              </w:rPr>
              <w:t>；</w:t>
            </w:r>
            <w:r>
              <w:rPr>
                <w:color w:val="auto"/>
                <w:sz w:val="24"/>
              </w:rPr>
              <w:t>甲醛</w:t>
            </w:r>
            <w:r>
              <w:rPr>
                <w:rFonts w:hint="eastAsia"/>
                <w:color w:val="auto"/>
                <w:sz w:val="24"/>
              </w:rPr>
              <w:t>排放量0.165</w:t>
            </w:r>
            <w:r>
              <w:rPr>
                <w:color w:val="auto"/>
                <w:sz w:val="24"/>
              </w:rPr>
              <w:t>t/a</w:t>
            </w:r>
            <w:r>
              <w:rPr>
                <w:rFonts w:hint="eastAsia"/>
                <w:color w:val="auto"/>
                <w:sz w:val="24"/>
              </w:rPr>
              <w:t>；</w:t>
            </w:r>
            <w:r>
              <w:rPr>
                <w:color w:val="auto"/>
                <w:sz w:val="24"/>
              </w:rPr>
              <w:t>SO</w:t>
            </w:r>
            <w:r>
              <w:rPr>
                <w:color w:val="auto"/>
                <w:sz w:val="24"/>
                <w:vertAlign w:val="subscript"/>
              </w:rPr>
              <w:t>2</w:t>
            </w:r>
            <w:bookmarkStart w:id="9" w:name="_Hlk72278298"/>
            <w:r>
              <w:rPr>
                <w:rFonts w:hint="eastAsia"/>
                <w:color w:val="auto"/>
                <w:sz w:val="24"/>
              </w:rPr>
              <w:t>排放量</w:t>
            </w:r>
            <w:r>
              <w:rPr>
                <w:color w:val="auto"/>
                <w:sz w:val="24"/>
              </w:rPr>
              <w:t>0.0</w:t>
            </w:r>
            <w:r>
              <w:rPr>
                <w:rFonts w:hint="eastAsia"/>
                <w:color w:val="auto"/>
                <w:sz w:val="24"/>
              </w:rPr>
              <w:t>03</w:t>
            </w:r>
            <w:r>
              <w:rPr>
                <w:color w:val="auto"/>
                <w:sz w:val="24"/>
              </w:rPr>
              <w:t>t/a</w:t>
            </w:r>
            <w:bookmarkEnd w:id="9"/>
            <w:r>
              <w:rPr>
                <w:color w:val="auto"/>
                <w:sz w:val="24"/>
              </w:rPr>
              <w:t>，NO</w:t>
            </w:r>
            <w:r>
              <w:rPr>
                <w:color w:val="auto"/>
                <w:sz w:val="24"/>
                <w:vertAlign w:val="subscript"/>
              </w:rPr>
              <w:t>X</w:t>
            </w:r>
            <w:bookmarkStart w:id="10" w:name="_Hlk72278306"/>
            <w:r>
              <w:rPr>
                <w:rFonts w:hint="eastAsia"/>
                <w:color w:val="auto"/>
                <w:sz w:val="24"/>
              </w:rPr>
              <w:t>排放量</w:t>
            </w:r>
            <w:r>
              <w:rPr>
                <w:color w:val="auto"/>
                <w:sz w:val="24"/>
              </w:rPr>
              <w:t>0.</w:t>
            </w:r>
            <w:r>
              <w:rPr>
                <w:rFonts w:hint="eastAsia"/>
                <w:color w:val="auto"/>
                <w:sz w:val="24"/>
              </w:rPr>
              <w:t>1403</w:t>
            </w:r>
            <w:r>
              <w:rPr>
                <w:color w:val="auto"/>
                <w:sz w:val="24"/>
              </w:rPr>
              <w:t>t/a</w:t>
            </w:r>
            <w:bookmarkEnd w:id="10"/>
            <w:r>
              <w:rPr>
                <w:rFonts w:hint="eastAsia"/>
                <w:color w:val="auto"/>
                <w:sz w:val="24"/>
              </w:rPr>
              <w:t>，</w:t>
            </w:r>
            <w:r>
              <w:rPr>
                <w:color w:val="auto"/>
                <w:sz w:val="24"/>
              </w:rPr>
              <w:t>颗粒物排放量为0.</w:t>
            </w:r>
            <w:r>
              <w:rPr>
                <w:rFonts w:hint="eastAsia"/>
                <w:color w:val="auto"/>
                <w:sz w:val="24"/>
              </w:rPr>
              <w:t>0215</w:t>
            </w:r>
            <w:r>
              <w:rPr>
                <w:color w:val="auto"/>
                <w:sz w:val="24"/>
              </w:rPr>
              <w:t>t/a。</w:t>
            </w:r>
          </w:p>
          <w:p w14:paraId="4F61348B">
            <w:pPr>
              <w:adjustRightInd w:val="0"/>
              <w:snapToGrid w:val="0"/>
              <w:spacing w:line="360" w:lineRule="auto"/>
              <w:ind w:firstLine="480" w:firstLineChars="200"/>
              <w:rPr>
                <w:color w:val="auto"/>
                <w:sz w:val="24"/>
              </w:rPr>
            </w:pPr>
            <w:r>
              <w:rPr>
                <w:rFonts w:hint="eastAsia"/>
                <w:color w:val="auto"/>
                <w:sz w:val="24"/>
              </w:rPr>
              <w:t>无组织废气：</w:t>
            </w:r>
          </w:p>
          <w:p w14:paraId="2E2F32B2">
            <w:pPr>
              <w:adjustRightInd w:val="0"/>
              <w:snapToGrid w:val="0"/>
              <w:spacing w:line="360" w:lineRule="auto"/>
              <w:ind w:firstLine="480" w:firstLineChars="200"/>
              <w:rPr>
                <w:color w:val="auto"/>
                <w:sz w:val="24"/>
              </w:rPr>
            </w:pPr>
            <w:r>
              <w:rPr>
                <w:rFonts w:hint="eastAsia"/>
                <w:color w:val="auto"/>
                <w:sz w:val="24"/>
              </w:rPr>
              <w:t>VOCs（以非甲烷总烃计）排放量1.</w:t>
            </w:r>
            <w:r>
              <w:rPr>
                <w:rFonts w:hint="eastAsia"/>
                <w:color w:val="auto"/>
                <w:sz w:val="24"/>
                <w:lang w:val="en-US" w:eastAsia="zh-CN"/>
              </w:rPr>
              <w:t>449</w:t>
            </w:r>
            <w:r>
              <w:rPr>
                <w:color w:val="auto"/>
                <w:sz w:val="24"/>
              </w:rPr>
              <w:t>t/a</w:t>
            </w:r>
            <w:r>
              <w:rPr>
                <w:rFonts w:hint="eastAsia"/>
                <w:color w:val="auto"/>
                <w:sz w:val="24"/>
              </w:rPr>
              <w:t>；</w:t>
            </w:r>
            <w:r>
              <w:rPr>
                <w:color w:val="auto"/>
                <w:sz w:val="24"/>
              </w:rPr>
              <w:t>甲醛</w:t>
            </w:r>
            <w:r>
              <w:rPr>
                <w:rFonts w:hint="eastAsia"/>
                <w:color w:val="auto"/>
                <w:sz w:val="24"/>
              </w:rPr>
              <w:t>排放量0.046</w:t>
            </w:r>
            <w:r>
              <w:rPr>
                <w:color w:val="auto"/>
                <w:sz w:val="24"/>
              </w:rPr>
              <w:t>t/a</w:t>
            </w:r>
            <w:r>
              <w:rPr>
                <w:rFonts w:hint="eastAsia"/>
                <w:color w:val="auto"/>
                <w:sz w:val="24"/>
              </w:rPr>
              <w:t>；</w:t>
            </w:r>
          </w:p>
          <w:p w14:paraId="78127AF3">
            <w:pPr>
              <w:adjustRightInd w:val="0"/>
              <w:snapToGrid w:val="0"/>
              <w:spacing w:line="360" w:lineRule="auto"/>
              <w:ind w:firstLine="480" w:firstLineChars="200"/>
              <w:rPr>
                <w:color w:val="auto"/>
                <w:sz w:val="24"/>
              </w:rPr>
            </w:pPr>
            <w:r>
              <w:rPr>
                <w:color w:val="auto"/>
                <w:sz w:val="24"/>
              </w:rPr>
              <w:t>（2）废水</w:t>
            </w:r>
          </w:p>
          <w:p w14:paraId="5CC4C297">
            <w:pPr>
              <w:pStyle w:val="13"/>
              <w:adjustRightInd w:val="0"/>
              <w:snapToGrid w:val="0"/>
              <w:spacing w:line="348" w:lineRule="auto"/>
              <w:ind w:firstLine="480" w:firstLineChars="200"/>
              <w:rPr>
                <w:rFonts w:ascii="Times New Roman" w:hAnsi="Times New Roman"/>
                <w:color w:val="auto"/>
                <w:sz w:val="24"/>
              </w:rPr>
            </w:pPr>
            <w:r>
              <w:rPr>
                <w:rFonts w:ascii="Times New Roman" w:hAnsi="Times New Roman"/>
                <w:color w:val="auto"/>
                <w:sz w:val="24"/>
              </w:rPr>
              <w:t>本项目生活污水经化粪池</w:t>
            </w:r>
            <w:r>
              <w:rPr>
                <w:rFonts w:hint="eastAsia" w:ascii="Times New Roman" w:hAnsi="Times New Roman"/>
                <w:color w:val="auto"/>
                <w:sz w:val="24"/>
              </w:rPr>
              <w:t>和</w:t>
            </w:r>
            <w:r>
              <w:rPr>
                <w:rFonts w:ascii="Times New Roman" w:hAnsi="Times New Roman"/>
                <w:color w:val="auto"/>
                <w:sz w:val="24"/>
                <w:lang w:val="zh-CN"/>
              </w:rPr>
              <w:t>生活污水处理站处理后回用于绿化及道路场地洒水，不外排</w:t>
            </w:r>
            <w:r>
              <w:rPr>
                <w:rFonts w:ascii="Times New Roman" w:hAnsi="Times New Roman"/>
                <w:color w:val="auto"/>
                <w:sz w:val="24"/>
              </w:rPr>
              <w:t>。因此，不设总量控制指标。</w:t>
            </w:r>
          </w:p>
          <w:p w14:paraId="5E9CAFA5">
            <w:pPr>
              <w:adjustRightInd w:val="0"/>
              <w:snapToGrid w:val="0"/>
              <w:spacing w:line="360" w:lineRule="auto"/>
              <w:ind w:firstLine="480" w:firstLineChars="200"/>
              <w:rPr>
                <w:color w:val="auto"/>
                <w:sz w:val="24"/>
              </w:rPr>
            </w:pPr>
            <w:r>
              <w:rPr>
                <w:color w:val="auto"/>
                <w:sz w:val="24"/>
              </w:rPr>
              <w:t>（3）固体废物</w:t>
            </w:r>
          </w:p>
          <w:p w14:paraId="1EE3C2F9">
            <w:pPr>
              <w:adjustRightInd w:val="0"/>
              <w:snapToGrid w:val="0"/>
              <w:spacing w:line="360" w:lineRule="auto"/>
              <w:ind w:firstLine="480" w:firstLineChars="200"/>
              <w:rPr>
                <w:rFonts w:cs="宋体"/>
                <w:color w:val="auto"/>
                <w:kern w:val="0"/>
                <w:szCs w:val="21"/>
                <w:highlight w:val="yellow"/>
              </w:rPr>
            </w:pPr>
            <w:r>
              <w:rPr>
                <w:rFonts w:hint="eastAsia"/>
                <w:color w:val="auto"/>
                <w:sz w:val="24"/>
              </w:rPr>
              <w:t>本项目固体废物</w:t>
            </w:r>
            <w:r>
              <w:rPr>
                <w:color w:val="auto"/>
                <w:sz w:val="24"/>
              </w:rPr>
              <w:t>处置率100%</w:t>
            </w:r>
            <w:r>
              <w:rPr>
                <w:rFonts w:hint="eastAsia"/>
                <w:color w:val="auto"/>
                <w:sz w:val="24"/>
              </w:rPr>
              <w:t>，不设总量控制指标</w:t>
            </w:r>
            <w:r>
              <w:rPr>
                <w:color w:val="auto"/>
                <w:sz w:val="24"/>
              </w:rPr>
              <w:t>。</w:t>
            </w:r>
          </w:p>
        </w:tc>
      </w:tr>
    </w:tbl>
    <w:p w14:paraId="04EA76D4">
      <w:pPr>
        <w:pStyle w:val="28"/>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bookmarkStart w:id="11" w:name="_Toc13622"/>
      <w:r>
        <w:rPr>
          <w:rFonts w:hint="eastAsia" w:ascii="黑体" w:hAnsi="黑体" w:eastAsia="黑体"/>
          <w:snapToGrid w:val="0"/>
          <w:color w:val="auto"/>
          <w:sz w:val="30"/>
          <w:szCs w:val="30"/>
        </w:rPr>
        <w:t>四、主要环境影响和保护措施</w:t>
      </w:r>
      <w:bookmarkEnd w:id="11"/>
    </w:p>
    <w:tbl>
      <w:tblPr>
        <w:tblStyle w:val="30"/>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3"/>
        <w:gridCol w:w="8788"/>
      </w:tblGrid>
      <w:tr w14:paraId="28F00B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5" w:hRule="atLeast"/>
          <w:jc w:val="center"/>
        </w:trPr>
        <w:tc>
          <w:tcPr>
            <w:tcW w:w="193" w:type="dxa"/>
            <w:tcMar>
              <w:left w:w="28" w:type="dxa"/>
              <w:right w:w="28" w:type="dxa"/>
            </w:tcMar>
            <w:vAlign w:val="center"/>
          </w:tcPr>
          <w:p w14:paraId="53F4B44F">
            <w:pPr>
              <w:pStyle w:val="28"/>
              <w:keepLines/>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施工</w:t>
            </w:r>
          </w:p>
          <w:p w14:paraId="2F204D4B">
            <w:pPr>
              <w:pStyle w:val="28"/>
              <w:keepLines/>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期环</w:t>
            </w:r>
          </w:p>
          <w:p w14:paraId="270DE093">
            <w:pPr>
              <w:pStyle w:val="28"/>
              <w:keepLines/>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境保</w:t>
            </w:r>
          </w:p>
          <w:p w14:paraId="21076320">
            <w:pPr>
              <w:pStyle w:val="28"/>
              <w:keepLines/>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护措</w:t>
            </w:r>
          </w:p>
          <w:p w14:paraId="3178B1E9">
            <w:pPr>
              <w:pStyle w:val="28"/>
              <w:keepLines/>
              <w:adjustRightInd w:val="0"/>
              <w:snapToGrid w:val="0"/>
              <w:spacing w:before="0" w:beforeAutospacing="0" w:after="0" w:afterAutospacing="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施</w:t>
            </w:r>
          </w:p>
        </w:tc>
        <w:tc>
          <w:tcPr>
            <w:tcW w:w="8788" w:type="dxa"/>
            <w:vAlign w:val="center"/>
          </w:tcPr>
          <w:p w14:paraId="634AADD7">
            <w:pPr>
              <w:keepLines/>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项目基本已完成设备安装，待相关手续完善后便投入生产试运营；项目施工期主要建设内容为危废暂存间、一般固废暂存间和事故应急池的建设，周期较短。</w:t>
            </w:r>
          </w:p>
          <w:p w14:paraId="4597A4AA">
            <w:pPr>
              <w:widowControl/>
              <w:adjustRightInd w:val="0"/>
              <w:snapToGrid w:val="0"/>
              <w:spacing w:line="360" w:lineRule="auto"/>
              <w:ind w:firstLine="480"/>
              <w:rPr>
                <w:rFonts w:hint="default" w:ascii="Times New Roman" w:hAnsi="Times New Roman" w:cs="Times New Roman"/>
                <w:b/>
                <w:color w:val="auto"/>
                <w:sz w:val="24"/>
                <w:lang w:bidi="ar"/>
              </w:rPr>
            </w:pPr>
            <w:r>
              <w:rPr>
                <w:rFonts w:hint="default" w:ascii="Times New Roman" w:hAnsi="Times New Roman" w:cs="Times New Roman"/>
                <w:b/>
                <w:color w:val="auto"/>
                <w:sz w:val="24"/>
                <w:lang w:bidi="ar"/>
              </w:rPr>
              <w:t>1、废气</w:t>
            </w:r>
          </w:p>
          <w:p w14:paraId="73153EAB">
            <w:pPr>
              <w:pStyle w:val="16"/>
              <w:adjustRightInd w:val="0"/>
              <w:snapToGrid w:val="0"/>
              <w:spacing w:after="0" w:line="360" w:lineRule="auto"/>
              <w:ind w:left="0" w:leftChars="0" w:firstLine="480"/>
              <w:rPr>
                <w:rFonts w:hint="default" w:ascii="Times New Roman" w:hAnsi="Times New Roman" w:cs="Times New Roman"/>
                <w:color w:val="auto"/>
                <w:szCs w:val="24"/>
                <w:lang w:val="zh-CN"/>
              </w:rPr>
            </w:pPr>
            <w:r>
              <w:rPr>
                <w:rFonts w:hint="default" w:ascii="Times New Roman" w:hAnsi="Times New Roman" w:cs="Times New Roman"/>
                <w:color w:val="auto"/>
                <w:szCs w:val="24"/>
              </w:rPr>
              <w:t>项目施工期产生的废气主要为车辆尾气及机械废气、扬尘、焊接烟尘。项目施工时</w:t>
            </w:r>
            <w:r>
              <w:rPr>
                <w:rFonts w:hint="default" w:ascii="Times New Roman" w:hAnsi="Times New Roman" w:cs="Times New Roman"/>
                <w:color w:val="auto"/>
                <w:szCs w:val="24"/>
                <w:lang w:val="zh-CN"/>
              </w:rPr>
              <w:t>应采取以下</w:t>
            </w:r>
            <w:r>
              <w:rPr>
                <w:rFonts w:hint="default" w:ascii="Times New Roman" w:hAnsi="Times New Roman" w:cs="Times New Roman"/>
                <w:color w:val="auto"/>
                <w:szCs w:val="24"/>
              </w:rPr>
              <w:t>废气污染</w:t>
            </w:r>
            <w:r>
              <w:rPr>
                <w:rFonts w:hint="default" w:ascii="Times New Roman" w:hAnsi="Times New Roman" w:cs="Times New Roman"/>
                <w:color w:val="auto"/>
                <w:szCs w:val="24"/>
                <w:lang w:val="zh-CN"/>
              </w:rPr>
              <w:t>防治措施：</w:t>
            </w:r>
          </w:p>
          <w:p w14:paraId="20260A22">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lang w:val="zh-CN"/>
              </w:rPr>
              <w:t>①建设单位在施工时对运输车辆限速行驶及保持路面的清洁。</w:t>
            </w:r>
          </w:p>
          <w:p w14:paraId="518705C5">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rPr>
              <w:t>②</w:t>
            </w:r>
            <w:r>
              <w:rPr>
                <w:rFonts w:hint="default" w:ascii="Times New Roman" w:hAnsi="Times New Roman" w:cs="Times New Roman"/>
                <w:color w:val="auto"/>
                <w:kern w:val="0"/>
                <w:sz w:val="24"/>
                <w:lang w:val="zh-CN"/>
              </w:rPr>
              <w:t>对施工现场进行科学管理，</w:t>
            </w:r>
            <w:r>
              <w:rPr>
                <w:rFonts w:hint="default" w:ascii="Times New Roman" w:hAnsi="Times New Roman" w:cs="Times New Roman"/>
                <w:color w:val="auto"/>
                <w:kern w:val="0"/>
                <w:sz w:val="24"/>
              </w:rPr>
              <w:t>施工物料</w:t>
            </w:r>
            <w:r>
              <w:rPr>
                <w:rFonts w:hint="default" w:ascii="Times New Roman" w:hAnsi="Times New Roman" w:cs="Times New Roman"/>
                <w:color w:val="auto"/>
                <w:kern w:val="0"/>
                <w:sz w:val="24"/>
                <w:lang w:val="zh-CN"/>
              </w:rPr>
              <w:t>统一堆放，露天堆存时应有防尘措施，如洒水抑尘、遮盖等，</w:t>
            </w:r>
            <w:r>
              <w:rPr>
                <w:rFonts w:hint="default" w:ascii="Times New Roman" w:hAnsi="Times New Roman" w:cs="Times New Roman"/>
                <w:color w:val="auto"/>
                <w:kern w:val="0"/>
                <w:sz w:val="24"/>
              </w:rPr>
              <w:t>散料</w:t>
            </w:r>
            <w:r>
              <w:rPr>
                <w:rFonts w:hint="default" w:ascii="Times New Roman" w:hAnsi="Times New Roman" w:cs="Times New Roman"/>
                <w:color w:val="auto"/>
                <w:kern w:val="0"/>
                <w:sz w:val="24"/>
                <w:lang w:val="zh-CN"/>
              </w:rPr>
              <w:t>设置专门的堆棚堆放，尽量减少搬运环节。</w:t>
            </w:r>
          </w:p>
          <w:p w14:paraId="7817F04C">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rPr>
              <w:t>③</w:t>
            </w:r>
            <w:r>
              <w:rPr>
                <w:rFonts w:hint="default" w:ascii="Times New Roman" w:hAnsi="Times New Roman" w:cs="Times New Roman"/>
                <w:color w:val="auto"/>
                <w:kern w:val="0"/>
                <w:sz w:val="24"/>
                <w:lang w:val="zh-CN"/>
              </w:rPr>
              <w:t>地面开挖时，对作业面适当喷水，使其保持一定的湿度，以减少扬尘产生量，建筑材料和建筑垃圾应及时清运。</w:t>
            </w:r>
          </w:p>
          <w:p w14:paraId="18AD0E44">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rPr>
              <w:t>④</w:t>
            </w:r>
            <w:r>
              <w:rPr>
                <w:rFonts w:hint="default" w:ascii="Times New Roman" w:hAnsi="Times New Roman" w:cs="Times New Roman"/>
                <w:color w:val="auto"/>
                <w:kern w:val="0"/>
                <w:sz w:val="24"/>
                <w:lang w:val="zh-CN"/>
              </w:rPr>
              <w:t>谨防运输车辆装载过满，需采取遮盖、密闭措施，减少其沿途遗撒，及时清扫洒落在路面的泥土和灰尘，定时洒水抑尘，减少运输过程中的扬尘。</w:t>
            </w:r>
          </w:p>
          <w:p w14:paraId="241152BB">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rPr>
              <w:t>⑤</w:t>
            </w:r>
            <w:r>
              <w:rPr>
                <w:rFonts w:hint="default" w:ascii="Times New Roman" w:hAnsi="Times New Roman" w:cs="Times New Roman"/>
                <w:color w:val="auto"/>
                <w:kern w:val="0"/>
                <w:sz w:val="24"/>
                <w:lang w:val="zh-CN"/>
              </w:rPr>
              <w:t>风速大时应停止施工作业，并对堆放的</w:t>
            </w:r>
            <w:r>
              <w:rPr>
                <w:rFonts w:hint="default" w:ascii="Times New Roman" w:hAnsi="Times New Roman" w:cs="Times New Roman"/>
                <w:color w:val="auto"/>
                <w:kern w:val="0"/>
                <w:sz w:val="24"/>
              </w:rPr>
              <w:t>物料</w:t>
            </w:r>
            <w:r>
              <w:rPr>
                <w:rFonts w:hint="default" w:ascii="Times New Roman" w:hAnsi="Times New Roman" w:cs="Times New Roman"/>
                <w:color w:val="auto"/>
                <w:kern w:val="0"/>
                <w:sz w:val="24"/>
                <w:lang w:val="zh-CN"/>
              </w:rPr>
              <w:t>进行遮盖处理。</w:t>
            </w:r>
          </w:p>
          <w:p w14:paraId="4B091353">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⑥通过加强对施工车辆的检修和维护，严禁使用超期服役和尾气超标的车辆。</w:t>
            </w:r>
          </w:p>
          <w:p w14:paraId="10DAFEDD">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⑦尽可能使用耗油低，排气小的施工车辆，选用优质燃油，减少机械和车辆的有害废气排放。</w:t>
            </w:r>
          </w:p>
          <w:p w14:paraId="5284DAB6">
            <w:pPr>
              <w:pStyle w:val="7"/>
              <w:adjustRightInd w:val="0"/>
              <w:snapToGrid w:val="0"/>
              <w:spacing w:line="360" w:lineRule="auto"/>
              <w:ind w:firstLine="480" w:firstLineChars="200"/>
              <w:rPr>
                <w:rFonts w:hint="default" w:ascii="Times New Roman" w:hAnsi="Times New Roman" w:cs="Times New Roman"/>
                <w:bCs/>
                <w:color w:val="auto"/>
                <w:szCs w:val="24"/>
                <w:lang w:val="zh-CN"/>
              </w:rPr>
            </w:pPr>
            <w:r>
              <w:rPr>
                <w:rFonts w:hint="default" w:ascii="Times New Roman" w:hAnsi="Times New Roman" w:cs="Times New Roman"/>
                <w:color w:val="auto"/>
                <w:szCs w:val="24"/>
                <w:lang w:val="zh-CN"/>
              </w:rPr>
              <w:t>在采取上述措施治理后，</w:t>
            </w:r>
            <w:r>
              <w:rPr>
                <w:rFonts w:hint="default" w:ascii="Times New Roman" w:hAnsi="Times New Roman" w:cs="Times New Roman"/>
                <w:color w:val="auto"/>
                <w:szCs w:val="24"/>
              </w:rPr>
              <w:t>施工期废气</w:t>
            </w:r>
            <w:r>
              <w:rPr>
                <w:rFonts w:hint="default" w:ascii="Times New Roman" w:hAnsi="Times New Roman" w:cs="Times New Roman"/>
                <w:color w:val="auto"/>
                <w:szCs w:val="24"/>
                <w:lang w:val="zh-CN"/>
              </w:rPr>
              <w:t>可以得到有效控制。</w:t>
            </w:r>
            <w:r>
              <w:rPr>
                <w:rFonts w:hint="default" w:ascii="Times New Roman" w:hAnsi="Times New Roman" w:cs="Times New Roman"/>
                <w:color w:val="auto"/>
                <w:szCs w:val="24"/>
              </w:rPr>
              <w:t>项目施工期颗粒物</w:t>
            </w:r>
            <w:r>
              <w:rPr>
                <w:rFonts w:hint="default" w:ascii="Times New Roman" w:hAnsi="Times New Roman" w:cs="Times New Roman"/>
                <w:color w:val="auto"/>
              </w:rPr>
              <w:t>排放符合《大气污染物综合排放标准》（GB16297-1996）中的无组织排放监控浓度限值标准，即：颗粒物周界外浓度最高点≤1.0mg/m</w:t>
            </w:r>
            <w:r>
              <w:rPr>
                <w:rFonts w:hint="default" w:ascii="Times New Roman" w:hAnsi="Times New Roman" w:cs="Times New Roman"/>
                <w:color w:val="auto"/>
                <w:vertAlign w:val="superscript"/>
              </w:rPr>
              <w:t>3</w:t>
            </w:r>
            <w:r>
              <w:rPr>
                <w:rFonts w:hint="default" w:ascii="Times New Roman" w:hAnsi="Times New Roman" w:cs="Times New Roman"/>
                <w:color w:val="auto"/>
              </w:rPr>
              <w:t>。另外，项目施工期较短，随着施工期的结束，施工废气影响也将随之消失。</w:t>
            </w:r>
            <w:r>
              <w:rPr>
                <w:rFonts w:hint="default" w:ascii="Times New Roman" w:hAnsi="Times New Roman" w:cs="Times New Roman"/>
                <w:color w:val="auto"/>
                <w:szCs w:val="24"/>
                <w:lang w:val="zh-CN"/>
              </w:rPr>
              <w:t>综上，项目产生的</w:t>
            </w:r>
            <w:r>
              <w:rPr>
                <w:rFonts w:hint="default" w:ascii="Times New Roman" w:hAnsi="Times New Roman" w:cs="Times New Roman"/>
                <w:color w:val="auto"/>
                <w:szCs w:val="24"/>
              </w:rPr>
              <w:t>施工废气</w:t>
            </w:r>
            <w:r>
              <w:rPr>
                <w:rFonts w:hint="default" w:ascii="Times New Roman" w:hAnsi="Times New Roman" w:cs="Times New Roman"/>
                <w:color w:val="auto"/>
                <w:szCs w:val="24"/>
                <w:lang w:val="zh-CN"/>
              </w:rPr>
              <w:t>对周围环境影响较小。</w:t>
            </w:r>
          </w:p>
          <w:p w14:paraId="2CA3063B">
            <w:pPr>
              <w:adjustRightInd w:val="0"/>
              <w:snapToGrid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2、废水</w:t>
            </w:r>
          </w:p>
          <w:p w14:paraId="4E97E70F">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项目施工期废水主要为施工废水及施工人员生活污水。</w:t>
            </w:r>
          </w:p>
          <w:p w14:paraId="03E48FA8">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项目环保工程施工过程使用混凝土为商品砼，混凝土不在项目区内</w:t>
            </w:r>
            <w:r>
              <w:rPr>
                <w:rFonts w:hint="eastAsia" w:cs="Times New Roman"/>
                <w:color w:val="auto"/>
                <w:sz w:val="24"/>
                <w:lang w:eastAsia="zh-CN"/>
              </w:rPr>
              <w:t>拌和</w:t>
            </w:r>
            <w:r>
              <w:rPr>
                <w:rFonts w:hint="default" w:ascii="Times New Roman" w:hAnsi="Times New Roman" w:cs="Times New Roman"/>
                <w:color w:val="auto"/>
                <w:sz w:val="24"/>
              </w:rPr>
              <w:t>，无拌合废水产生。施工废水主要为混凝土养护废水及施工机械清洗废水，废水产生量约0.5m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/d，主要污染物为悬浮物，经沉淀处理后回用于项目内的施工过程或施工现场洒水降尘，不外排，对周边地表水环境影响较小。</w:t>
            </w:r>
          </w:p>
          <w:p w14:paraId="4357FE4B">
            <w:pPr>
              <w:pStyle w:val="16"/>
              <w:adjustRightInd w:val="0"/>
              <w:snapToGrid w:val="0"/>
              <w:spacing w:after="0" w:line="360" w:lineRule="auto"/>
              <w:ind w:left="0" w:leftChars="0" w:firstLine="480"/>
              <w:rPr>
                <w:rFonts w:hint="default" w:ascii="Times New Roman" w:hAnsi="Times New Roman" w:cs="Times New Roman"/>
                <w:color w:val="auto"/>
              </w:rPr>
            </w:pPr>
            <w:r>
              <w:rPr>
                <w:rFonts w:hint="default" w:ascii="Times New Roman" w:hAnsi="Times New Roman" w:cs="Times New Roman"/>
                <w:color w:val="auto"/>
                <w:szCs w:val="24"/>
              </w:rPr>
              <w:t>施工期施工人员不在项目区食宿，如厕依托云南宣茂木业有限公司的卫生间，故生活废水主要为施工人员洗手废水等，主要污染物为SS。施工人员生活污水经沉淀处理后回用于施工场地洒水降尘等，不外排。</w:t>
            </w:r>
          </w:p>
          <w:p w14:paraId="6607A649">
            <w:pPr>
              <w:adjustRightInd w:val="0"/>
              <w:snapToGrid w:val="0"/>
              <w:spacing w:line="360" w:lineRule="auto"/>
              <w:ind w:left="420" w:leftChars="200"/>
              <w:rPr>
                <w:rFonts w:hint="default" w:ascii="Times New Roman" w:hAnsi="Times New Roman" w:cs="Times New Roman"/>
                <w:b/>
                <w:bCs/>
                <w:color w:val="auto"/>
                <w:sz w:val="24"/>
              </w:rPr>
            </w:pPr>
            <w:r>
              <w:rPr>
                <w:rFonts w:hint="default" w:ascii="Times New Roman" w:hAnsi="Times New Roman" w:cs="Times New Roman"/>
                <w:b/>
                <w:bCs/>
                <w:color w:val="auto"/>
                <w:sz w:val="24"/>
              </w:rPr>
              <w:t>3、噪声</w:t>
            </w:r>
          </w:p>
          <w:p w14:paraId="4B3478CB">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为减缓施工噪声的影响，本环评提出如下措施：</w:t>
            </w:r>
          </w:p>
          <w:p w14:paraId="114E4ED0">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1 \* GB3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①</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选择性能良好且低噪声的施工机械，并注意保养，维持其最低噪声水平。</w:t>
            </w:r>
          </w:p>
          <w:p w14:paraId="2DD037A1">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2 \* GB3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②</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合理布局施工现场，尽量将施工机械远离关心点布置。</w:t>
            </w:r>
          </w:p>
          <w:p w14:paraId="255FC2B2">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3 \* GB3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③</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合理安排施工时间，禁止夜间施工</w:t>
            </w:r>
            <w:r>
              <w:rPr>
                <w:rFonts w:hint="default" w:ascii="Times New Roman" w:hAnsi="Times New Roman" w:cs="Times New Roman"/>
                <w:color w:val="auto"/>
                <w:sz w:val="24"/>
                <w:lang w:val="zh-CN"/>
              </w:rPr>
              <w:t>，如</w:t>
            </w:r>
            <w:r>
              <w:rPr>
                <w:rFonts w:hint="eastAsia" w:cs="Times New Roman"/>
                <w:color w:val="auto"/>
                <w:sz w:val="24"/>
                <w:lang w:val="zh-CN"/>
              </w:rPr>
              <w:t>确需</w:t>
            </w:r>
            <w:r>
              <w:rPr>
                <w:rFonts w:hint="default" w:ascii="Times New Roman" w:hAnsi="Times New Roman" w:cs="Times New Roman"/>
                <w:color w:val="auto"/>
                <w:sz w:val="24"/>
                <w:lang w:val="zh-CN"/>
              </w:rPr>
              <w:t>夜间施工的，报请相关管理部门和环境保护部门批准，在夜间施工前将施工时间、天数告知附近村民。</w:t>
            </w:r>
          </w:p>
          <w:p w14:paraId="40B82E9B">
            <w:pPr>
              <w:adjustRightInd w:val="0"/>
              <w:snapToGrid w:val="0"/>
              <w:spacing w:line="360" w:lineRule="auto"/>
              <w:ind w:firstLine="480" w:firstLineChars="200"/>
              <w:rPr>
                <w:rFonts w:hint="default" w:ascii="Times New Roman" w:hAnsi="Times New Roman" w:cs="Times New Roman"/>
                <w:color w:val="auto"/>
                <w:sz w:val="24"/>
                <w:szCs w:val="28"/>
              </w:rPr>
            </w:pPr>
            <w:r>
              <w:rPr>
                <w:rFonts w:hint="default" w:ascii="Times New Roman" w:hAnsi="Times New Roman" w:cs="Times New Roman"/>
                <w:color w:val="auto"/>
                <w:sz w:val="24"/>
              </w:rPr>
              <w:t>通过以上措施的实施，可以最大限度的减小施工期机械噪声对环境的影响。项目施工期较短，施工期噪声的影响符合</w:t>
            </w:r>
            <w:r>
              <w:rPr>
                <w:rFonts w:hint="default" w:ascii="Times New Roman" w:hAnsi="Times New Roman" w:cs="Times New Roman"/>
                <w:color w:val="auto"/>
                <w:sz w:val="24"/>
                <w:lang w:bidi="ar"/>
              </w:rPr>
              <w:t>《建筑施工场界环境噪声排放标准》（GB 12523－2011）要求</w:t>
            </w:r>
            <w:r>
              <w:rPr>
                <w:rFonts w:hint="default" w:ascii="Times New Roman" w:hAnsi="Times New Roman" w:cs="Times New Roman"/>
                <w:color w:val="auto"/>
                <w:sz w:val="24"/>
              </w:rPr>
              <w:t>。</w:t>
            </w:r>
          </w:p>
          <w:p w14:paraId="2A3A6440">
            <w:pPr>
              <w:widowControl/>
              <w:adjustRightInd w:val="0"/>
              <w:snapToGrid w:val="0"/>
              <w:spacing w:line="360" w:lineRule="auto"/>
              <w:ind w:firstLine="480"/>
              <w:rPr>
                <w:rFonts w:hint="default" w:ascii="Times New Roman" w:hAnsi="Times New Roman" w:cs="Times New Roman"/>
                <w:b/>
                <w:color w:val="auto"/>
                <w:sz w:val="24"/>
                <w:lang w:bidi="ar"/>
              </w:rPr>
            </w:pPr>
            <w:r>
              <w:rPr>
                <w:rFonts w:hint="default" w:ascii="Times New Roman" w:hAnsi="Times New Roman" w:cs="Times New Roman"/>
                <w:b/>
                <w:color w:val="auto"/>
                <w:sz w:val="24"/>
                <w:lang w:bidi="ar"/>
              </w:rPr>
              <w:t>4、固体废物</w:t>
            </w:r>
          </w:p>
          <w:p w14:paraId="2B9C22C9">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施工期的固体废物主要有建筑垃圾、土石方及生活垃圾。</w:t>
            </w:r>
          </w:p>
          <w:p w14:paraId="6ECCE1DB">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zh-CN"/>
              </w:rPr>
              <w:t>根据</w:t>
            </w:r>
            <w:r>
              <w:rPr>
                <w:rFonts w:hint="default" w:ascii="Times New Roman" w:hAnsi="Times New Roman" w:cs="Times New Roman"/>
                <w:color w:val="auto"/>
                <w:sz w:val="24"/>
              </w:rPr>
              <w:t>建设单位提供的资料，</w:t>
            </w:r>
            <w:r>
              <w:rPr>
                <w:rFonts w:hint="default" w:ascii="Times New Roman" w:hAnsi="Times New Roman" w:cs="Times New Roman"/>
                <w:color w:val="auto"/>
                <w:sz w:val="24"/>
                <w:lang w:val="zh-CN"/>
              </w:rPr>
              <w:t>项目</w:t>
            </w:r>
            <w:r>
              <w:rPr>
                <w:rFonts w:hint="default" w:ascii="Times New Roman" w:hAnsi="Times New Roman" w:cs="Times New Roman"/>
                <w:color w:val="auto"/>
                <w:sz w:val="24"/>
              </w:rPr>
              <w:t>环保工程涉及的</w:t>
            </w:r>
            <w:r>
              <w:rPr>
                <w:rFonts w:hint="default" w:ascii="Times New Roman" w:hAnsi="Times New Roman" w:cs="Times New Roman"/>
                <w:color w:val="auto"/>
                <w:sz w:val="24"/>
                <w:lang w:val="zh-CN"/>
              </w:rPr>
              <w:t>土石方</w:t>
            </w:r>
            <w:r>
              <w:rPr>
                <w:rFonts w:hint="default" w:ascii="Times New Roman" w:hAnsi="Times New Roman" w:cs="Times New Roman"/>
                <w:color w:val="auto"/>
                <w:sz w:val="24"/>
              </w:rPr>
              <w:t>用于办公楼外地面填筑，</w:t>
            </w:r>
            <w:r>
              <w:rPr>
                <w:rFonts w:hint="default" w:ascii="Times New Roman" w:hAnsi="Times New Roman" w:cs="Times New Roman"/>
                <w:color w:val="auto"/>
                <w:sz w:val="24"/>
                <w:lang w:val="zh-CN"/>
              </w:rPr>
              <w:t>土石方可完全内部平衡，无弃土产生。</w:t>
            </w:r>
            <w:r>
              <w:rPr>
                <w:rFonts w:hint="default" w:ascii="Times New Roman" w:hAnsi="Times New Roman" w:cs="Times New Roman"/>
                <w:color w:val="auto"/>
                <w:sz w:val="24"/>
              </w:rPr>
              <w:t>施工场地内不设弃渣场，需回填利用的土石方即产即填，对周围环境影响较小。施工过程中产生的废钢筋、金属边角料等属于可回收利用部分，统一收集出售给废品回收站回收利用；剩余不可回收利用的废弃砂石、石块等统一收集后按照当地住建部门要求清运处置。</w:t>
            </w:r>
          </w:p>
          <w:p w14:paraId="0E0E5ADB">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项目施工期施工人员10人，施工人员不在项目区食宿，每人每天生活垃圾产生量按0.2kg计，则施工期生活垃圾产生量为2kg/d。施工人员生活垃圾统一集中收集后，委托当地环卫部门定期清运处置。</w:t>
            </w:r>
          </w:p>
          <w:p w14:paraId="4EF8EE22">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综上分析，施工期固体废弃物产生量较少，处置方式合理、可行，去向明确，处置率达到100%，对周围环境影响不大。</w:t>
            </w:r>
          </w:p>
        </w:tc>
      </w:tr>
      <w:tr w14:paraId="00B8A8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47" w:hRule="atLeast"/>
          <w:jc w:val="center"/>
        </w:trPr>
        <w:tc>
          <w:tcPr>
            <w:tcW w:w="193" w:type="dxa"/>
            <w:tcMar>
              <w:left w:w="28" w:type="dxa"/>
              <w:right w:w="28" w:type="dxa"/>
            </w:tcMar>
            <w:vAlign w:val="center"/>
          </w:tcPr>
          <w:p w14:paraId="58ECB7B1">
            <w:pPr>
              <w:keepLines/>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运营</w:t>
            </w:r>
          </w:p>
          <w:p w14:paraId="1699BDA0">
            <w:pPr>
              <w:keepLines/>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期环</w:t>
            </w:r>
          </w:p>
          <w:p w14:paraId="26A58C3F">
            <w:pPr>
              <w:keepLines/>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境影</w:t>
            </w:r>
          </w:p>
          <w:p w14:paraId="066A4B2B">
            <w:pPr>
              <w:keepLines/>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响和</w:t>
            </w:r>
          </w:p>
          <w:p w14:paraId="01A7FEA6">
            <w:pPr>
              <w:keepLines/>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保护</w:t>
            </w:r>
          </w:p>
          <w:p w14:paraId="47D0E0FB">
            <w:pPr>
              <w:keepLines/>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措施</w:t>
            </w:r>
          </w:p>
        </w:tc>
        <w:tc>
          <w:tcPr>
            <w:tcW w:w="8788" w:type="dxa"/>
            <w:vAlign w:val="center"/>
          </w:tcPr>
          <w:p w14:paraId="092AECA0">
            <w:pPr>
              <w:pStyle w:val="16"/>
              <w:keepLines/>
              <w:adjustRightInd w:val="0"/>
              <w:snapToGrid w:val="0"/>
              <w:spacing w:line="360" w:lineRule="auto"/>
              <w:ind w:firstLine="0" w:firstLineChars="0"/>
              <w:rPr>
                <w:rFonts w:hint="default" w:ascii="Times New Roman" w:hAnsi="Times New Roman" w:cs="Times New Roman"/>
                <w:b/>
                <w:bCs/>
                <w:color w:val="auto"/>
                <w:szCs w:val="28"/>
              </w:rPr>
            </w:pPr>
            <w:r>
              <w:rPr>
                <w:rFonts w:hint="default" w:ascii="Times New Roman" w:hAnsi="Times New Roman" w:cs="Times New Roman"/>
                <w:b/>
                <w:bCs/>
                <w:color w:val="auto"/>
                <w:szCs w:val="28"/>
              </w:rPr>
              <w:t>一、环境空气影响分析</w:t>
            </w:r>
          </w:p>
          <w:p w14:paraId="5C9CA34E">
            <w:pPr>
              <w:pStyle w:val="16"/>
              <w:keepLines/>
              <w:adjustRightInd w:val="0"/>
              <w:snapToGrid w:val="0"/>
              <w:spacing w:line="360" w:lineRule="auto"/>
              <w:ind w:firstLine="0" w:firstLineChars="0"/>
              <w:rPr>
                <w:rFonts w:hint="default" w:ascii="Times New Roman" w:hAnsi="Times New Roman" w:cs="Times New Roman"/>
                <w:b/>
                <w:bCs/>
                <w:color w:val="auto"/>
                <w:szCs w:val="28"/>
              </w:rPr>
            </w:pPr>
            <w:r>
              <w:rPr>
                <w:rFonts w:hint="default" w:ascii="Times New Roman" w:hAnsi="Times New Roman" w:cs="Times New Roman"/>
                <w:b/>
                <w:bCs/>
                <w:color w:val="auto"/>
                <w:szCs w:val="28"/>
              </w:rPr>
              <w:t>（1）废气污染源分析</w:t>
            </w:r>
          </w:p>
          <w:p w14:paraId="3968C5B0">
            <w:pPr>
              <w:keepLines/>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项目生产过程中产生的废气主要为调胶、浸渍、烘干废气、天然气燃烧废气。</w:t>
            </w:r>
          </w:p>
          <w:p w14:paraId="2D4074CE">
            <w:pPr>
              <w:keepLines/>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调胶过程中产生的废气主要为甲醛和VOCs（以非甲烷总烃计），外购胶水通过密闭管道注入调胶罐中，调胶过程为全密闭，调配好的三聚氰胺甲醛树脂胶通过密闭管道注入密闭储胶罐中储存，备用于生产；储胶罐中的三聚氰胺甲醛树脂胶通过密闭管道注到卧式浸渍烘干一体化设备进口（浸渍工段）的浸胶槽中，浸胶槽内装有电导热棒，通电对浸胶槽内的胶水进行加热，浸胶工段不属于密闭空间，因此浸胶工段上方设置负压集气罩，收集调胶、浸渍工段产生的甲醛和VOCs（以非甲烷总烃计）；烘干工段位于卧式浸渍烘干一体化设备中段，在全密闭空间内进行，烘干过程产生的废气</w:t>
            </w:r>
            <w:r>
              <w:rPr>
                <w:rFonts w:hint="eastAsia" w:cs="Times New Roman"/>
                <w:color w:val="auto"/>
                <w:sz w:val="24"/>
                <w:lang w:val="en-US" w:eastAsia="zh-CN"/>
              </w:rPr>
              <w:t>通过集气管道</w:t>
            </w:r>
            <w:r>
              <w:rPr>
                <w:rFonts w:hint="default" w:ascii="Times New Roman" w:hAnsi="Times New Roman" w:cs="Times New Roman"/>
                <w:color w:val="auto"/>
                <w:sz w:val="24"/>
              </w:rPr>
              <w:t>与浸胶工段负压集气罩收集的废气一同收集至UV光解+三级活性炭吸附装置处理后通过一根15m高</w:t>
            </w:r>
            <w:r>
              <w:rPr>
                <w:rFonts w:hint="eastAsia" w:cs="Times New Roman"/>
                <w:color w:val="auto"/>
                <w:sz w:val="24"/>
                <w:lang w:eastAsia="zh-CN"/>
              </w:rPr>
              <w:t>排气筒</w:t>
            </w:r>
            <w:r>
              <w:rPr>
                <w:rFonts w:hint="default" w:ascii="Times New Roman" w:hAnsi="Times New Roman" w:cs="Times New Roman"/>
                <w:color w:val="auto"/>
                <w:sz w:val="24"/>
              </w:rPr>
              <w:t>（DA001）排放。</w:t>
            </w:r>
          </w:p>
          <w:p w14:paraId="6CE8C380">
            <w:pPr>
              <w:pStyle w:val="38"/>
              <w:keepLines/>
              <w:numPr>
                <w:ilvl w:val="0"/>
                <w:numId w:val="9"/>
              </w:numPr>
              <w:ind w:left="0" w:right="0" w:firstLineChars="200"/>
              <w:jc w:val="both"/>
              <w:rPr>
                <w:rFonts w:hint="default" w:ascii="Times New Roman" w:hAnsi="Times New Roman" w:cs="Times New Roman"/>
                <w:b/>
                <w:bCs/>
                <w:color w:val="auto"/>
                <w:sz w:val="24"/>
              </w:rPr>
            </w:pPr>
            <w:r>
              <w:rPr>
                <w:rFonts w:hint="default" w:ascii="Times New Roman" w:hAnsi="Times New Roman" w:cs="Times New Roman"/>
                <w:b/>
                <w:bCs/>
                <w:color w:val="auto"/>
                <w:sz w:val="24"/>
              </w:rPr>
              <w:t>调胶、浸渍、干燥废气（DA001）</w:t>
            </w:r>
          </w:p>
          <w:p w14:paraId="7C2F6FCF">
            <w:pPr>
              <w:pStyle w:val="38"/>
              <w:keepLines/>
              <w:ind w:left="0" w:right="0" w:firstLine="422" w:firstLineChars="200"/>
              <w:rPr>
                <w:rFonts w:hint="default" w:ascii="Times New Roman" w:hAnsi="Times New Roman" w:cs="Times New Roman"/>
                <w:color w:val="auto"/>
              </w:rPr>
            </w:pPr>
            <w:r>
              <w:rPr>
                <w:rFonts w:hint="default" w:ascii="Times New Roman" w:hAnsi="Times New Roman" w:cs="Times New Roman"/>
                <w:b/>
                <w:bCs/>
                <w:color w:val="auto"/>
                <w:szCs w:val="21"/>
              </w:rPr>
              <w:t>表4-1 搅拌、浸渍、干燥废气分析表</w:t>
            </w:r>
          </w:p>
          <w:tbl>
            <w:tblPr>
              <w:tblStyle w:val="31"/>
              <w:tblW w:w="8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
              <w:gridCol w:w="1689"/>
              <w:gridCol w:w="1469"/>
              <w:gridCol w:w="126"/>
              <w:gridCol w:w="1344"/>
              <w:gridCol w:w="1722"/>
              <w:gridCol w:w="124"/>
              <w:gridCol w:w="1598"/>
            </w:tblGrid>
            <w:tr w14:paraId="79141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79" w:type="dxa"/>
                  <w:gridSpan w:val="8"/>
                  <w:vAlign w:val="center"/>
                </w:tcPr>
                <w:p w14:paraId="6C9CE073">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
                      <w:bCs/>
                      <w:color w:val="auto"/>
                      <w:szCs w:val="21"/>
                    </w:rPr>
                    <w:t>调胶、浸渍、烘干废气产排排放情况</w:t>
                  </w:r>
                </w:p>
              </w:tc>
            </w:tr>
            <w:tr w14:paraId="25059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96" w:type="dxa"/>
                  <w:gridSpan w:val="2"/>
                  <w:vAlign w:val="center"/>
                </w:tcPr>
                <w:p w14:paraId="34D353C2">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产污排污环节</w:t>
                  </w:r>
                </w:p>
              </w:tc>
              <w:tc>
                <w:tcPr>
                  <w:tcW w:w="6383" w:type="dxa"/>
                  <w:gridSpan w:val="6"/>
                  <w:vAlign w:val="center"/>
                </w:tcPr>
                <w:p w14:paraId="2E40A424">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color w:val="auto"/>
                      <w:szCs w:val="21"/>
                    </w:rPr>
                    <w:t>搅拌、浸渍、干燥废气</w:t>
                  </w:r>
                </w:p>
              </w:tc>
            </w:tr>
            <w:tr w14:paraId="5DC58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gridSpan w:val="2"/>
                  <w:vAlign w:val="center"/>
                </w:tcPr>
                <w:p w14:paraId="74E5D7B0">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污染物种类</w:t>
                  </w:r>
                </w:p>
              </w:tc>
              <w:tc>
                <w:tcPr>
                  <w:tcW w:w="1469" w:type="dxa"/>
                  <w:vAlign w:val="center"/>
                </w:tcPr>
                <w:p w14:paraId="6D107B16">
                  <w:pPr>
                    <w:pStyle w:val="75"/>
                    <w:keepLines/>
                    <w:tabs>
                      <w:tab w:val="left" w:pos="0"/>
                    </w:tabs>
                    <w:spacing w:line="240" w:lineRule="auto"/>
                    <w:rPr>
                      <w:rFonts w:hint="default" w:ascii="Times New Roman" w:hAnsi="Times New Roman" w:cs="Times New Roman"/>
                      <w:bCs/>
                      <w:color w:val="auto"/>
                      <w:spacing w:val="-10"/>
                      <w:w w:val="100"/>
                      <w:kern w:val="2"/>
                      <w:szCs w:val="21"/>
                    </w:rPr>
                  </w:pPr>
                  <w:r>
                    <w:rPr>
                      <w:rFonts w:hint="default" w:ascii="Times New Roman" w:hAnsi="Times New Roman" w:cs="Times New Roman"/>
                      <w:bCs/>
                      <w:color w:val="auto"/>
                      <w:spacing w:val="-10"/>
                      <w:w w:val="100"/>
                      <w:kern w:val="2"/>
                      <w:szCs w:val="21"/>
                    </w:rPr>
                    <w:t>甲醛</w:t>
                  </w:r>
                </w:p>
              </w:tc>
              <w:tc>
                <w:tcPr>
                  <w:tcW w:w="1470" w:type="dxa"/>
                  <w:gridSpan w:val="2"/>
                  <w:vAlign w:val="center"/>
                </w:tcPr>
                <w:p w14:paraId="6657B04C">
                  <w:pPr>
                    <w:pStyle w:val="75"/>
                    <w:keepLines/>
                    <w:tabs>
                      <w:tab w:val="left" w:pos="0"/>
                    </w:tabs>
                    <w:spacing w:line="240" w:lineRule="auto"/>
                    <w:rPr>
                      <w:rFonts w:hint="default" w:ascii="Times New Roman" w:hAnsi="Times New Roman" w:cs="Times New Roman"/>
                      <w:bCs/>
                      <w:color w:val="auto"/>
                      <w:spacing w:val="-10"/>
                      <w:w w:val="100"/>
                      <w:kern w:val="2"/>
                      <w:szCs w:val="21"/>
                    </w:rPr>
                  </w:pPr>
                  <w:r>
                    <w:rPr>
                      <w:rFonts w:hint="default" w:ascii="Times New Roman" w:hAnsi="Times New Roman" w:cs="Times New Roman"/>
                      <w:bCs/>
                      <w:color w:val="auto"/>
                      <w:spacing w:val="-10"/>
                      <w:w w:val="100"/>
                      <w:kern w:val="2"/>
                      <w:szCs w:val="21"/>
                    </w:rPr>
                    <w:t>VOCs（以非甲烷总烃计）</w:t>
                  </w:r>
                </w:p>
              </w:tc>
              <w:tc>
                <w:tcPr>
                  <w:tcW w:w="1722" w:type="dxa"/>
                  <w:vAlign w:val="center"/>
                </w:tcPr>
                <w:p w14:paraId="59168784">
                  <w:pPr>
                    <w:pStyle w:val="75"/>
                    <w:keepLines/>
                    <w:tabs>
                      <w:tab w:val="left" w:pos="0"/>
                    </w:tabs>
                    <w:spacing w:line="240" w:lineRule="auto"/>
                    <w:rPr>
                      <w:rFonts w:hint="default" w:ascii="Times New Roman" w:hAnsi="Times New Roman" w:cs="Times New Roman"/>
                      <w:bCs/>
                      <w:color w:val="auto"/>
                      <w:spacing w:val="-10"/>
                      <w:w w:val="100"/>
                      <w:kern w:val="2"/>
                      <w:szCs w:val="21"/>
                    </w:rPr>
                  </w:pPr>
                  <w:r>
                    <w:rPr>
                      <w:rFonts w:hint="default" w:ascii="Times New Roman" w:hAnsi="Times New Roman" w:cs="Times New Roman"/>
                      <w:bCs/>
                      <w:color w:val="auto"/>
                      <w:spacing w:val="-10"/>
                      <w:w w:val="100"/>
                      <w:kern w:val="2"/>
                      <w:szCs w:val="21"/>
                    </w:rPr>
                    <w:t>甲醛</w:t>
                  </w:r>
                </w:p>
              </w:tc>
              <w:tc>
                <w:tcPr>
                  <w:tcW w:w="1722" w:type="dxa"/>
                  <w:gridSpan w:val="2"/>
                  <w:vAlign w:val="center"/>
                </w:tcPr>
                <w:p w14:paraId="72F433A4">
                  <w:pPr>
                    <w:pStyle w:val="75"/>
                    <w:keepLines/>
                    <w:tabs>
                      <w:tab w:val="left" w:pos="0"/>
                    </w:tabs>
                    <w:spacing w:line="240" w:lineRule="auto"/>
                    <w:rPr>
                      <w:rFonts w:hint="default" w:ascii="Times New Roman" w:hAnsi="Times New Roman" w:cs="Times New Roman"/>
                      <w:bCs/>
                      <w:color w:val="auto"/>
                      <w:spacing w:val="-10"/>
                      <w:w w:val="100"/>
                      <w:kern w:val="2"/>
                      <w:szCs w:val="21"/>
                    </w:rPr>
                  </w:pPr>
                  <w:r>
                    <w:rPr>
                      <w:rFonts w:hint="default" w:ascii="Times New Roman" w:hAnsi="Times New Roman" w:cs="Times New Roman"/>
                      <w:bCs/>
                      <w:color w:val="auto"/>
                      <w:spacing w:val="-10"/>
                      <w:w w:val="100"/>
                      <w:kern w:val="2"/>
                      <w:szCs w:val="21"/>
                    </w:rPr>
                    <w:t>VOCs（以非甲烷总烃计）</w:t>
                  </w:r>
                </w:p>
              </w:tc>
            </w:tr>
            <w:tr w14:paraId="42DE9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gridSpan w:val="2"/>
                  <w:vAlign w:val="center"/>
                </w:tcPr>
                <w:p w14:paraId="00A0A36E">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污染物产生量（t/a）</w:t>
                  </w:r>
                </w:p>
              </w:tc>
              <w:tc>
                <w:tcPr>
                  <w:tcW w:w="1469" w:type="dxa"/>
                  <w:vAlign w:val="center"/>
                </w:tcPr>
                <w:p w14:paraId="544F7FA2">
                  <w:pPr>
                    <w:pStyle w:val="75"/>
                    <w:keepLines/>
                    <w:tabs>
                      <w:tab w:val="left" w:pos="0"/>
                    </w:tabs>
                    <w:spacing w:line="240" w:lineRule="auto"/>
                    <w:rPr>
                      <w:rFonts w:hint="default" w:ascii="Times New Roman" w:hAnsi="Times New Roman" w:cs="Times New Roman"/>
                      <w:color w:val="auto"/>
                      <w:w w:val="100"/>
                      <w:kern w:val="2"/>
                      <w:szCs w:val="21"/>
                    </w:rPr>
                  </w:pPr>
                  <w:r>
                    <w:rPr>
                      <w:rFonts w:hint="default" w:ascii="Times New Roman" w:hAnsi="Times New Roman" w:cs="Times New Roman"/>
                      <w:color w:val="auto"/>
                      <w:w w:val="100"/>
                      <w:kern w:val="2"/>
                      <w:szCs w:val="21"/>
                    </w:rPr>
                    <w:t>0.457</w:t>
                  </w:r>
                </w:p>
              </w:tc>
              <w:tc>
                <w:tcPr>
                  <w:tcW w:w="1470" w:type="dxa"/>
                  <w:gridSpan w:val="2"/>
                  <w:vAlign w:val="center"/>
                </w:tcPr>
                <w:p w14:paraId="77981EB0">
                  <w:pPr>
                    <w:pStyle w:val="75"/>
                    <w:keepLines/>
                    <w:tabs>
                      <w:tab w:val="left" w:pos="0"/>
                    </w:tabs>
                    <w:spacing w:line="240" w:lineRule="auto"/>
                    <w:rPr>
                      <w:rFonts w:hint="default" w:ascii="Times New Roman" w:hAnsi="Times New Roman" w:eastAsia="宋体" w:cs="Times New Roman"/>
                      <w:color w:val="auto"/>
                      <w:w w:val="100"/>
                      <w:kern w:val="2"/>
                      <w:szCs w:val="21"/>
                      <w:lang w:val="en-US" w:eastAsia="zh-CN"/>
                    </w:rPr>
                  </w:pPr>
                  <w:r>
                    <w:rPr>
                      <w:rFonts w:hint="eastAsia" w:ascii="Times New Roman" w:hAnsi="Times New Roman" w:cs="Times New Roman"/>
                      <w:color w:val="auto"/>
                      <w:w w:val="100"/>
                      <w:kern w:val="2"/>
                      <w:szCs w:val="21"/>
                      <w:lang w:val="en-US" w:eastAsia="zh-CN"/>
                    </w:rPr>
                    <w:t>14.486</w:t>
                  </w:r>
                </w:p>
              </w:tc>
              <w:tc>
                <w:tcPr>
                  <w:tcW w:w="1722" w:type="dxa"/>
                  <w:vAlign w:val="center"/>
                </w:tcPr>
                <w:p w14:paraId="3E02D0F2">
                  <w:pPr>
                    <w:pStyle w:val="75"/>
                    <w:keepLines/>
                    <w:tabs>
                      <w:tab w:val="left" w:pos="0"/>
                    </w:tabs>
                    <w:spacing w:line="240" w:lineRule="auto"/>
                    <w:rPr>
                      <w:rFonts w:hint="default" w:ascii="Times New Roman" w:hAnsi="Times New Roman" w:cs="Times New Roman"/>
                      <w:color w:val="auto"/>
                      <w:w w:val="100"/>
                      <w:kern w:val="2"/>
                      <w:szCs w:val="21"/>
                    </w:rPr>
                  </w:pPr>
                  <w:r>
                    <w:rPr>
                      <w:rFonts w:hint="default" w:ascii="Times New Roman" w:hAnsi="Times New Roman" w:cs="Times New Roman"/>
                      <w:color w:val="auto"/>
                      <w:w w:val="100"/>
                      <w:kern w:val="2"/>
                      <w:szCs w:val="21"/>
                    </w:rPr>
                    <w:t>0.046</w:t>
                  </w:r>
                </w:p>
              </w:tc>
              <w:tc>
                <w:tcPr>
                  <w:tcW w:w="1722" w:type="dxa"/>
                  <w:gridSpan w:val="2"/>
                  <w:vAlign w:val="center"/>
                </w:tcPr>
                <w:p w14:paraId="49AB494D">
                  <w:pPr>
                    <w:pStyle w:val="75"/>
                    <w:keepLines/>
                    <w:tabs>
                      <w:tab w:val="left" w:pos="0"/>
                    </w:tabs>
                    <w:spacing w:line="240" w:lineRule="auto"/>
                    <w:rPr>
                      <w:rFonts w:hint="default" w:ascii="Times New Roman" w:hAnsi="Times New Roman" w:eastAsia="宋体" w:cs="Times New Roman"/>
                      <w:color w:val="auto"/>
                      <w:w w:val="100"/>
                      <w:kern w:val="2"/>
                      <w:szCs w:val="21"/>
                      <w:lang w:val="en-US" w:eastAsia="zh-CN"/>
                    </w:rPr>
                  </w:pPr>
                  <w:r>
                    <w:rPr>
                      <w:rFonts w:hint="eastAsia" w:ascii="Times New Roman" w:hAnsi="Times New Roman" w:cs="Times New Roman"/>
                      <w:color w:val="auto"/>
                      <w:w w:val="100"/>
                      <w:kern w:val="2"/>
                      <w:szCs w:val="21"/>
                      <w:lang w:val="en-US" w:eastAsia="zh-CN"/>
                    </w:rPr>
                    <w:t>1.449</w:t>
                  </w:r>
                </w:p>
              </w:tc>
            </w:tr>
            <w:tr w14:paraId="7C86B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gridSpan w:val="2"/>
                  <w:vAlign w:val="center"/>
                </w:tcPr>
                <w:p w14:paraId="2272A730">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污染物产生浓度（mg/m</w:t>
                  </w:r>
                  <w:r>
                    <w:rPr>
                      <w:rFonts w:hint="default" w:ascii="Times New Roman" w:hAnsi="Times New Roman" w:cs="Times New Roman"/>
                      <w:b/>
                      <w:color w:val="auto"/>
                      <w:spacing w:val="-10"/>
                      <w:szCs w:val="21"/>
                      <w:vertAlign w:val="superscript"/>
                    </w:rPr>
                    <w:t>3</w:t>
                  </w:r>
                  <w:r>
                    <w:rPr>
                      <w:rFonts w:hint="default" w:ascii="Times New Roman" w:hAnsi="Times New Roman" w:cs="Times New Roman"/>
                      <w:b/>
                      <w:color w:val="auto"/>
                      <w:spacing w:val="-10"/>
                      <w:szCs w:val="21"/>
                    </w:rPr>
                    <w:t>）</w:t>
                  </w:r>
                </w:p>
              </w:tc>
              <w:tc>
                <w:tcPr>
                  <w:tcW w:w="1469" w:type="dxa"/>
                  <w:vAlign w:val="center"/>
                </w:tcPr>
                <w:p w14:paraId="4EC79814">
                  <w:pPr>
                    <w:pStyle w:val="75"/>
                    <w:keepLines/>
                    <w:tabs>
                      <w:tab w:val="left" w:pos="0"/>
                    </w:tabs>
                    <w:spacing w:line="240" w:lineRule="auto"/>
                    <w:rPr>
                      <w:rFonts w:hint="default" w:ascii="Times New Roman" w:hAnsi="Times New Roman" w:cs="Times New Roman"/>
                      <w:color w:val="auto"/>
                      <w:w w:val="100"/>
                      <w:kern w:val="2"/>
                      <w:szCs w:val="21"/>
                    </w:rPr>
                  </w:pPr>
                  <w:r>
                    <w:rPr>
                      <w:rFonts w:hint="default" w:ascii="Times New Roman" w:hAnsi="Times New Roman" w:cs="Times New Roman"/>
                      <w:color w:val="auto"/>
                      <w:w w:val="100"/>
                      <w:kern w:val="2"/>
                      <w:szCs w:val="21"/>
                    </w:rPr>
                    <w:t>9.350</w:t>
                  </w:r>
                </w:p>
              </w:tc>
              <w:tc>
                <w:tcPr>
                  <w:tcW w:w="1470" w:type="dxa"/>
                  <w:gridSpan w:val="2"/>
                  <w:vAlign w:val="center"/>
                </w:tcPr>
                <w:p w14:paraId="1D2A75A5">
                  <w:pPr>
                    <w:pStyle w:val="75"/>
                    <w:keepLines/>
                    <w:tabs>
                      <w:tab w:val="left" w:pos="0"/>
                    </w:tabs>
                    <w:spacing w:line="240" w:lineRule="auto"/>
                    <w:rPr>
                      <w:rFonts w:hint="default" w:ascii="Times New Roman" w:hAnsi="Times New Roman" w:eastAsia="宋体" w:cs="Times New Roman"/>
                      <w:color w:val="auto"/>
                      <w:w w:val="100"/>
                      <w:kern w:val="2"/>
                      <w:szCs w:val="21"/>
                      <w:lang w:val="en-US" w:eastAsia="zh-CN"/>
                    </w:rPr>
                  </w:pPr>
                  <w:r>
                    <w:rPr>
                      <w:rFonts w:hint="eastAsia" w:ascii="Times New Roman" w:hAnsi="Times New Roman" w:cs="Times New Roman"/>
                      <w:color w:val="auto"/>
                      <w:w w:val="100"/>
                      <w:kern w:val="2"/>
                      <w:szCs w:val="21"/>
                      <w:lang w:val="en-US" w:eastAsia="zh-CN"/>
                    </w:rPr>
                    <w:t>297.047</w:t>
                  </w:r>
                </w:p>
              </w:tc>
              <w:tc>
                <w:tcPr>
                  <w:tcW w:w="3444" w:type="dxa"/>
                  <w:gridSpan w:val="3"/>
                  <w:vAlign w:val="center"/>
                </w:tcPr>
                <w:p w14:paraId="65F7365A">
                  <w:pPr>
                    <w:pStyle w:val="75"/>
                    <w:keepLines/>
                    <w:tabs>
                      <w:tab w:val="left" w:pos="0"/>
                    </w:tabs>
                    <w:spacing w:line="240" w:lineRule="auto"/>
                    <w:rPr>
                      <w:rFonts w:hint="default" w:ascii="Times New Roman" w:hAnsi="Times New Roman" w:cs="Times New Roman"/>
                      <w:color w:val="auto"/>
                      <w:w w:val="100"/>
                      <w:kern w:val="2"/>
                      <w:szCs w:val="21"/>
                    </w:rPr>
                  </w:pPr>
                  <w:r>
                    <w:rPr>
                      <w:rFonts w:hint="default" w:ascii="Times New Roman" w:hAnsi="Times New Roman" w:cs="Times New Roman"/>
                      <w:color w:val="auto"/>
                      <w:w w:val="100"/>
                      <w:kern w:val="2"/>
                      <w:szCs w:val="21"/>
                    </w:rPr>
                    <w:t>/</w:t>
                  </w:r>
                </w:p>
              </w:tc>
            </w:tr>
            <w:tr w14:paraId="6676E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gridSpan w:val="2"/>
                  <w:vAlign w:val="center"/>
                </w:tcPr>
                <w:p w14:paraId="48D4EB05">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排放形式</w:t>
                  </w:r>
                </w:p>
              </w:tc>
              <w:tc>
                <w:tcPr>
                  <w:tcW w:w="2939" w:type="dxa"/>
                  <w:gridSpan w:val="3"/>
                  <w:vAlign w:val="center"/>
                </w:tcPr>
                <w:p w14:paraId="0CF75B51">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有组织</w:t>
                  </w:r>
                </w:p>
              </w:tc>
              <w:tc>
                <w:tcPr>
                  <w:tcW w:w="3444" w:type="dxa"/>
                  <w:gridSpan w:val="3"/>
                  <w:vAlign w:val="center"/>
                </w:tcPr>
                <w:p w14:paraId="361AA49D">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无组织</w:t>
                  </w:r>
                </w:p>
              </w:tc>
            </w:tr>
            <w:tr w14:paraId="3A930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restart"/>
                  <w:vAlign w:val="center"/>
                </w:tcPr>
                <w:p w14:paraId="7C08966B">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治理设施</w:t>
                  </w:r>
                </w:p>
              </w:tc>
              <w:tc>
                <w:tcPr>
                  <w:tcW w:w="1689" w:type="dxa"/>
                  <w:vAlign w:val="center"/>
                </w:tcPr>
                <w:p w14:paraId="72A6AB83">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风机风量</w:t>
                  </w:r>
                </w:p>
              </w:tc>
              <w:tc>
                <w:tcPr>
                  <w:tcW w:w="2939" w:type="dxa"/>
                  <w:gridSpan w:val="3"/>
                  <w:vAlign w:val="center"/>
                </w:tcPr>
                <w:p w14:paraId="598DD2F6">
                  <w:pPr>
                    <w:keepLine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20320m</w:t>
                  </w:r>
                  <w:r>
                    <w:rPr>
                      <w:rFonts w:hint="default" w:ascii="Times New Roman" w:hAnsi="Times New Roman" w:cs="Times New Roman"/>
                      <w:color w:val="auto"/>
                      <w:vertAlign w:val="superscript"/>
                    </w:rPr>
                    <w:t>3</w:t>
                  </w:r>
                  <w:r>
                    <w:rPr>
                      <w:rFonts w:hint="default" w:ascii="Times New Roman" w:hAnsi="Times New Roman" w:cs="Times New Roman"/>
                      <w:color w:val="auto"/>
                    </w:rPr>
                    <w:t>/h</w:t>
                  </w:r>
                </w:p>
              </w:tc>
              <w:tc>
                <w:tcPr>
                  <w:tcW w:w="3444" w:type="dxa"/>
                  <w:gridSpan w:val="3"/>
                  <w:vAlign w:val="center"/>
                </w:tcPr>
                <w:p w14:paraId="0672842B">
                  <w:pPr>
                    <w:keepLine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w:t>
                  </w:r>
                </w:p>
              </w:tc>
            </w:tr>
            <w:tr w14:paraId="4DDF8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continue"/>
                  <w:vAlign w:val="center"/>
                </w:tcPr>
                <w:p w14:paraId="083AC02A">
                  <w:pPr>
                    <w:keepLines/>
                    <w:adjustRightInd w:val="0"/>
                    <w:snapToGrid w:val="0"/>
                    <w:jc w:val="center"/>
                    <w:rPr>
                      <w:rFonts w:hint="default" w:ascii="Times New Roman" w:hAnsi="Times New Roman" w:cs="Times New Roman"/>
                      <w:b/>
                      <w:color w:val="auto"/>
                      <w:spacing w:val="-10"/>
                      <w:szCs w:val="21"/>
                    </w:rPr>
                  </w:pPr>
                </w:p>
              </w:tc>
              <w:tc>
                <w:tcPr>
                  <w:tcW w:w="1689" w:type="dxa"/>
                  <w:vAlign w:val="center"/>
                </w:tcPr>
                <w:p w14:paraId="1ED63E42">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收集效率</w:t>
                  </w:r>
                </w:p>
              </w:tc>
              <w:tc>
                <w:tcPr>
                  <w:tcW w:w="2939" w:type="dxa"/>
                  <w:gridSpan w:val="3"/>
                  <w:vAlign w:val="center"/>
                </w:tcPr>
                <w:p w14:paraId="5CFDDA49">
                  <w:pPr>
                    <w:keepLine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90%</w:t>
                  </w:r>
                </w:p>
              </w:tc>
              <w:tc>
                <w:tcPr>
                  <w:tcW w:w="3444" w:type="dxa"/>
                  <w:gridSpan w:val="3"/>
                  <w:vAlign w:val="center"/>
                </w:tcPr>
                <w:p w14:paraId="2A3658B2">
                  <w:pPr>
                    <w:keepLine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w:t>
                  </w:r>
                </w:p>
              </w:tc>
            </w:tr>
            <w:tr w14:paraId="6B194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continue"/>
                  <w:vAlign w:val="center"/>
                </w:tcPr>
                <w:p w14:paraId="3C66ED98">
                  <w:pPr>
                    <w:keepLines/>
                    <w:adjustRightInd w:val="0"/>
                    <w:snapToGrid w:val="0"/>
                    <w:jc w:val="center"/>
                    <w:rPr>
                      <w:rFonts w:hint="default" w:ascii="Times New Roman" w:hAnsi="Times New Roman" w:cs="Times New Roman"/>
                      <w:b/>
                      <w:color w:val="auto"/>
                      <w:spacing w:val="-10"/>
                      <w:szCs w:val="21"/>
                    </w:rPr>
                  </w:pPr>
                </w:p>
              </w:tc>
              <w:tc>
                <w:tcPr>
                  <w:tcW w:w="1689" w:type="dxa"/>
                  <w:vAlign w:val="center"/>
                </w:tcPr>
                <w:p w14:paraId="422A075D">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治理工艺</w:t>
                  </w:r>
                </w:p>
              </w:tc>
              <w:tc>
                <w:tcPr>
                  <w:tcW w:w="2939" w:type="dxa"/>
                  <w:gridSpan w:val="3"/>
                  <w:vAlign w:val="center"/>
                </w:tcPr>
                <w:p w14:paraId="26387589">
                  <w:pPr>
                    <w:keepLines/>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UV光解+三级活性炭吸附</w:t>
                  </w:r>
                </w:p>
              </w:tc>
              <w:tc>
                <w:tcPr>
                  <w:tcW w:w="3444" w:type="dxa"/>
                  <w:gridSpan w:val="3"/>
                  <w:vAlign w:val="center"/>
                </w:tcPr>
                <w:p w14:paraId="081AE6F7">
                  <w:pPr>
                    <w:keepLines/>
                    <w:adjustRightInd w:val="0"/>
                    <w:snapToGrid w:val="0"/>
                    <w:jc w:val="center"/>
                    <w:rPr>
                      <w:rFonts w:hint="default" w:ascii="Times New Roman" w:hAnsi="Times New Roman" w:cs="Times New Roman"/>
                      <w:bCs/>
                      <w:color w:val="auto"/>
                      <w:kern w:val="0"/>
                    </w:rPr>
                  </w:pPr>
                  <w:r>
                    <w:rPr>
                      <w:rFonts w:hint="default" w:ascii="Times New Roman" w:hAnsi="Times New Roman" w:cs="Times New Roman"/>
                      <w:bCs/>
                      <w:color w:val="auto"/>
                      <w:kern w:val="0"/>
                    </w:rPr>
                    <w:t>/</w:t>
                  </w:r>
                </w:p>
              </w:tc>
            </w:tr>
            <w:tr w14:paraId="77DD8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continue"/>
                  <w:vAlign w:val="center"/>
                </w:tcPr>
                <w:p w14:paraId="42B84C77">
                  <w:pPr>
                    <w:keepLines/>
                    <w:adjustRightInd w:val="0"/>
                    <w:snapToGrid w:val="0"/>
                    <w:jc w:val="center"/>
                    <w:rPr>
                      <w:rFonts w:hint="default" w:ascii="Times New Roman" w:hAnsi="Times New Roman" w:cs="Times New Roman"/>
                      <w:b/>
                      <w:color w:val="auto"/>
                      <w:spacing w:val="-10"/>
                      <w:szCs w:val="21"/>
                    </w:rPr>
                  </w:pPr>
                </w:p>
              </w:tc>
              <w:tc>
                <w:tcPr>
                  <w:tcW w:w="1689" w:type="dxa"/>
                  <w:vAlign w:val="center"/>
                </w:tcPr>
                <w:p w14:paraId="6E5D3FF1">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治理工艺去除率</w:t>
                  </w:r>
                </w:p>
              </w:tc>
              <w:tc>
                <w:tcPr>
                  <w:tcW w:w="2939" w:type="dxa"/>
                  <w:gridSpan w:val="3"/>
                  <w:vAlign w:val="center"/>
                </w:tcPr>
                <w:p w14:paraId="2DC04A0B">
                  <w:pPr>
                    <w:keepLines/>
                    <w:adjustRightInd w:val="0"/>
                    <w:snapToGrid w:val="0"/>
                    <w:jc w:val="center"/>
                    <w:rPr>
                      <w:rFonts w:hint="default" w:ascii="Times New Roman" w:hAnsi="Times New Roman" w:cs="Times New Roman"/>
                      <w:color w:val="auto"/>
                    </w:rPr>
                  </w:pPr>
                  <w:r>
                    <w:rPr>
                      <w:rFonts w:hint="eastAsia" w:cs="Times New Roman"/>
                      <w:color w:val="auto"/>
                      <w:lang w:val="en-US" w:eastAsia="zh-CN"/>
                    </w:rPr>
                    <w:t>60</w:t>
                  </w:r>
                  <w:r>
                    <w:rPr>
                      <w:rFonts w:hint="default" w:ascii="Times New Roman" w:hAnsi="Times New Roman" w:cs="Times New Roman"/>
                      <w:color w:val="auto"/>
                    </w:rPr>
                    <w:t>%</w:t>
                  </w:r>
                </w:p>
              </w:tc>
              <w:tc>
                <w:tcPr>
                  <w:tcW w:w="3444" w:type="dxa"/>
                  <w:gridSpan w:val="3"/>
                  <w:vAlign w:val="center"/>
                </w:tcPr>
                <w:p w14:paraId="19D4A4B3">
                  <w:pPr>
                    <w:keepLine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w:t>
                  </w:r>
                </w:p>
              </w:tc>
            </w:tr>
            <w:tr w14:paraId="5182D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continue"/>
                  <w:vAlign w:val="center"/>
                </w:tcPr>
                <w:p w14:paraId="4ECD3CFC">
                  <w:pPr>
                    <w:keepLines/>
                    <w:adjustRightInd w:val="0"/>
                    <w:snapToGrid w:val="0"/>
                    <w:jc w:val="center"/>
                    <w:rPr>
                      <w:rFonts w:hint="default" w:ascii="Times New Roman" w:hAnsi="Times New Roman" w:cs="Times New Roman"/>
                      <w:b/>
                      <w:color w:val="auto"/>
                      <w:spacing w:val="-10"/>
                      <w:szCs w:val="21"/>
                    </w:rPr>
                  </w:pPr>
                </w:p>
              </w:tc>
              <w:tc>
                <w:tcPr>
                  <w:tcW w:w="1689" w:type="dxa"/>
                  <w:vAlign w:val="center"/>
                </w:tcPr>
                <w:p w14:paraId="2F3F21FF">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是否为可行技术</w:t>
                  </w:r>
                </w:p>
              </w:tc>
              <w:tc>
                <w:tcPr>
                  <w:tcW w:w="2939" w:type="dxa"/>
                  <w:gridSpan w:val="3"/>
                  <w:vAlign w:val="center"/>
                </w:tcPr>
                <w:p w14:paraId="7C17BB23">
                  <w:pPr>
                    <w:keepLine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是</w:t>
                  </w:r>
                </w:p>
              </w:tc>
              <w:tc>
                <w:tcPr>
                  <w:tcW w:w="3444" w:type="dxa"/>
                  <w:gridSpan w:val="3"/>
                  <w:vAlign w:val="center"/>
                </w:tcPr>
                <w:p w14:paraId="0534E029">
                  <w:pPr>
                    <w:keepLine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w:t>
                  </w:r>
                </w:p>
              </w:tc>
            </w:tr>
            <w:tr w14:paraId="74ABA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gridSpan w:val="2"/>
                  <w:vAlign w:val="center"/>
                </w:tcPr>
                <w:p w14:paraId="7D6532E1">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污染物排放浓度（mg/m</w:t>
                  </w:r>
                  <w:r>
                    <w:rPr>
                      <w:rFonts w:hint="default" w:ascii="Times New Roman" w:hAnsi="Times New Roman" w:cs="Times New Roman"/>
                      <w:b/>
                      <w:color w:val="auto"/>
                      <w:spacing w:val="-10"/>
                      <w:szCs w:val="21"/>
                      <w:vertAlign w:val="superscript"/>
                    </w:rPr>
                    <w:t>3</w:t>
                  </w:r>
                  <w:r>
                    <w:rPr>
                      <w:rFonts w:hint="default" w:ascii="Times New Roman" w:hAnsi="Times New Roman" w:cs="Times New Roman"/>
                      <w:b/>
                      <w:color w:val="auto"/>
                      <w:spacing w:val="-10"/>
                      <w:szCs w:val="21"/>
                    </w:rPr>
                    <w:t>）</w:t>
                  </w:r>
                </w:p>
              </w:tc>
              <w:tc>
                <w:tcPr>
                  <w:tcW w:w="1469" w:type="dxa"/>
                  <w:vAlign w:val="center"/>
                </w:tcPr>
                <w:p w14:paraId="758AEBF7">
                  <w:pPr>
                    <w:pStyle w:val="75"/>
                    <w:keepLines/>
                    <w:tabs>
                      <w:tab w:val="left" w:pos="0"/>
                    </w:tabs>
                    <w:spacing w:line="240" w:lineRule="auto"/>
                    <w:rPr>
                      <w:rFonts w:hint="default" w:ascii="Times New Roman" w:hAnsi="Times New Roman" w:cs="Times New Roman"/>
                      <w:color w:val="auto"/>
                      <w:w w:val="100"/>
                      <w:kern w:val="2"/>
                      <w:szCs w:val="21"/>
                    </w:rPr>
                  </w:pPr>
                  <w:r>
                    <w:rPr>
                      <w:rFonts w:hint="default" w:ascii="Times New Roman" w:hAnsi="Times New Roman" w:cs="Times New Roman"/>
                      <w:color w:val="auto"/>
                      <w:w w:val="100"/>
                      <w:kern w:val="2"/>
                      <w:szCs w:val="21"/>
                    </w:rPr>
                    <w:t>3.396</w:t>
                  </w:r>
                </w:p>
              </w:tc>
              <w:tc>
                <w:tcPr>
                  <w:tcW w:w="1470" w:type="dxa"/>
                  <w:gridSpan w:val="2"/>
                  <w:vAlign w:val="center"/>
                </w:tcPr>
                <w:p w14:paraId="5E6820CD">
                  <w:pPr>
                    <w:pStyle w:val="75"/>
                    <w:keepLines/>
                    <w:tabs>
                      <w:tab w:val="left" w:pos="0"/>
                    </w:tabs>
                    <w:spacing w:line="240" w:lineRule="auto"/>
                    <w:rPr>
                      <w:rFonts w:hint="default" w:ascii="Times New Roman" w:hAnsi="Times New Roman" w:eastAsia="宋体" w:cs="Times New Roman"/>
                      <w:color w:val="auto"/>
                      <w:w w:val="100"/>
                      <w:kern w:val="2"/>
                      <w:szCs w:val="21"/>
                      <w:lang w:val="en-US" w:eastAsia="zh-CN"/>
                    </w:rPr>
                  </w:pPr>
                  <w:r>
                    <w:rPr>
                      <w:rFonts w:hint="eastAsia" w:ascii="Times New Roman" w:hAnsi="Times New Roman" w:cs="Times New Roman"/>
                      <w:color w:val="auto"/>
                      <w:w w:val="100"/>
                      <w:kern w:val="2"/>
                      <w:szCs w:val="21"/>
                      <w:lang w:val="en-US" w:eastAsia="zh-CN"/>
                    </w:rPr>
                    <w:t>106.939</w:t>
                  </w:r>
                </w:p>
              </w:tc>
              <w:tc>
                <w:tcPr>
                  <w:tcW w:w="3444" w:type="dxa"/>
                  <w:gridSpan w:val="3"/>
                  <w:vAlign w:val="center"/>
                </w:tcPr>
                <w:p w14:paraId="401C55D3">
                  <w:pPr>
                    <w:pStyle w:val="75"/>
                    <w:keepLines/>
                    <w:tabs>
                      <w:tab w:val="left" w:pos="0"/>
                    </w:tabs>
                    <w:spacing w:line="240" w:lineRule="auto"/>
                    <w:rPr>
                      <w:rFonts w:hint="default" w:ascii="Times New Roman" w:hAnsi="Times New Roman" w:cs="Times New Roman"/>
                      <w:color w:val="auto"/>
                      <w:w w:val="100"/>
                      <w:kern w:val="2"/>
                      <w:szCs w:val="21"/>
                    </w:rPr>
                  </w:pPr>
                  <w:r>
                    <w:rPr>
                      <w:rFonts w:hint="default" w:ascii="Times New Roman" w:hAnsi="Times New Roman" w:cs="Times New Roman"/>
                      <w:color w:val="auto"/>
                      <w:w w:val="100"/>
                      <w:kern w:val="2"/>
                      <w:szCs w:val="21"/>
                    </w:rPr>
                    <w:t>/</w:t>
                  </w:r>
                </w:p>
              </w:tc>
            </w:tr>
            <w:tr w14:paraId="52C40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gridSpan w:val="2"/>
                  <w:vAlign w:val="center"/>
                </w:tcPr>
                <w:p w14:paraId="411E02FD">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污染物排放速率（kg/h）</w:t>
                  </w:r>
                </w:p>
              </w:tc>
              <w:tc>
                <w:tcPr>
                  <w:tcW w:w="1469" w:type="dxa"/>
                  <w:vAlign w:val="center"/>
                </w:tcPr>
                <w:p w14:paraId="231833EB">
                  <w:pPr>
                    <w:pStyle w:val="75"/>
                    <w:keepLines/>
                    <w:tabs>
                      <w:tab w:val="left" w:pos="0"/>
                    </w:tabs>
                    <w:spacing w:line="240" w:lineRule="auto"/>
                    <w:rPr>
                      <w:rFonts w:hint="default" w:ascii="Times New Roman" w:hAnsi="Times New Roman" w:cs="Times New Roman"/>
                      <w:color w:val="auto"/>
                      <w:w w:val="100"/>
                      <w:kern w:val="2"/>
                      <w:szCs w:val="21"/>
                    </w:rPr>
                  </w:pPr>
                  <w:r>
                    <w:rPr>
                      <w:rFonts w:hint="default" w:ascii="Times New Roman" w:hAnsi="Times New Roman" w:cs="Times New Roman"/>
                      <w:color w:val="auto"/>
                      <w:w w:val="100"/>
                      <w:kern w:val="2"/>
                      <w:szCs w:val="21"/>
                    </w:rPr>
                    <w:t>0.069</w:t>
                  </w:r>
                </w:p>
              </w:tc>
              <w:tc>
                <w:tcPr>
                  <w:tcW w:w="1470" w:type="dxa"/>
                  <w:gridSpan w:val="2"/>
                  <w:vAlign w:val="center"/>
                </w:tcPr>
                <w:p w14:paraId="78492672">
                  <w:pPr>
                    <w:pStyle w:val="75"/>
                    <w:keepLines/>
                    <w:tabs>
                      <w:tab w:val="left" w:pos="0"/>
                    </w:tabs>
                    <w:spacing w:line="240" w:lineRule="auto"/>
                    <w:rPr>
                      <w:rFonts w:hint="default" w:ascii="Times New Roman" w:hAnsi="Times New Roman" w:eastAsia="宋体" w:cs="Times New Roman"/>
                      <w:color w:val="auto"/>
                      <w:w w:val="100"/>
                      <w:kern w:val="2"/>
                      <w:szCs w:val="21"/>
                      <w:lang w:val="en-US" w:eastAsia="zh-CN"/>
                    </w:rPr>
                  </w:pPr>
                  <w:r>
                    <w:rPr>
                      <w:rFonts w:hint="eastAsia" w:ascii="Times New Roman" w:hAnsi="Times New Roman" w:cs="Times New Roman"/>
                      <w:color w:val="auto"/>
                      <w:w w:val="100"/>
                      <w:kern w:val="2"/>
                      <w:szCs w:val="21"/>
                      <w:lang w:val="en-US" w:eastAsia="zh-CN"/>
                    </w:rPr>
                    <w:t>2.173</w:t>
                  </w:r>
                </w:p>
              </w:tc>
              <w:tc>
                <w:tcPr>
                  <w:tcW w:w="1722" w:type="dxa"/>
                  <w:vAlign w:val="center"/>
                </w:tcPr>
                <w:p w14:paraId="7C47784C">
                  <w:pPr>
                    <w:pStyle w:val="75"/>
                    <w:keepLines/>
                    <w:tabs>
                      <w:tab w:val="left" w:pos="0"/>
                    </w:tabs>
                    <w:spacing w:line="240" w:lineRule="auto"/>
                    <w:rPr>
                      <w:rFonts w:hint="default" w:ascii="Times New Roman" w:hAnsi="Times New Roman" w:cs="Times New Roman"/>
                      <w:color w:val="auto"/>
                      <w:w w:val="100"/>
                      <w:kern w:val="2"/>
                      <w:szCs w:val="21"/>
                    </w:rPr>
                  </w:pPr>
                  <w:r>
                    <w:rPr>
                      <w:rFonts w:hint="default" w:ascii="Times New Roman" w:hAnsi="Times New Roman" w:cs="Times New Roman"/>
                      <w:color w:val="auto"/>
                      <w:w w:val="100"/>
                      <w:kern w:val="2"/>
                      <w:szCs w:val="21"/>
                    </w:rPr>
                    <w:t>0.019</w:t>
                  </w:r>
                </w:p>
              </w:tc>
              <w:tc>
                <w:tcPr>
                  <w:tcW w:w="1722" w:type="dxa"/>
                  <w:gridSpan w:val="2"/>
                  <w:vAlign w:val="center"/>
                </w:tcPr>
                <w:p w14:paraId="67F9EF8B">
                  <w:pPr>
                    <w:pStyle w:val="75"/>
                    <w:keepLines/>
                    <w:tabs>
                      <w:tab w:val="left" w:pos="0"/>
                    </w:tabs>
                    <w:spacing w:line="240" w:lineRule="auto"/>
                    <w:rPr>
                      <w:rFonts w:hint="default" w:ascii="Times New Roman" w:hAnsi="Times New Roman" w:eastAsia="宋体" w:cs="Times New Roman"/>
                      <w:color w:val="auto"/>
                      <w:w w:val="100"/>
                      <w:kern w:val="2"/>
                      <w:szCs w:val="21"/>
                      <w:lang w:val="en-US" w:eastAsia="zh-CN"/>
                    </w:rPr>
                  </w:pPr>
                  <w:r>
                    <w:rPr>
                      <w:rFonts w:hint="eastAsia" w:ascii="Times New Roman" w:hAnsi="Times New Roman" w:cs="Times New Roman"/>
                      <w:color w:val="auto"/>
                      <w:w w:val="100"/>
                      <w:kern w:val="2"/>
                      <w:szCs w:val="21"/>
                      <w:lang w:val="en-US" w:eastAsia="zh-CN"/>
                    </w:rPr>
                    <w:t>0.604</w:t>
                  </w:r>
                </w:p>
              </w:tc>
            </w:tr>
            <w:tr w14:paraId="6B995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gridSpan w:val="2"/>
                  <w:vAlign w:val="center"/>
                </w:tcPr>
                <w:p w14:paraId="6735B56A">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污染物排放量（t/a）</w:t>
                  </w:r>
                </w:p>
              </w:tc>
              <w:tc>
                <w:tcPr>
                  <w:tcW w:w="1469" w:type="dxa"/>
                  <w:vAlign w:val="center"/>
                </w:tcPr>
                <w:p w14:paraId="61F2C477">
                  <w:pPr>
                    <w:pStyle w:val="75"/>
                    <w:keepLines/>
                    <w:tabs>
                      <w:tab w:val="left" w:pos="0"/>
                    </w:tabs>
                    <w:spacing w:line="240" w:lineRule="auto"/>
                    <w:rPr>
                      <w:rFonts w:hint="default" w:ascii="Times New Roman" w:hAnsi="Times New Roman" w:cs="Times New Roman"/>
                      <w:color w:val="auto"/>
                      <w:w w:val="100"/>
                      <w:kern w:val="2"/>
                      <w:szCs w:val="21"/>
                    </w:rPr>
                  </w:pPr>
                  <w:r>
                    <w:rPr>
                      <w:rFonts w:hint="default" w:ascii="Times New Roman" w:hAnsi="Times New Roman" w:cs="Times New Roman"/>
                      <w:color w:val="auto"/>
                      <w:w w:val="100"/>
                      <w:kern w:val="2"/>
                      <w:szCs w:val="21"/>
                    </w:rPr>
                    <w:t>0.165</w:t>
                  </w:r>
                </w:p>
              </w:tc>
              <w:tc>
                <w:tcPr>
                  <w:tcW w:w="1470" w:type="dxa"/>
                  <w:gridSpan w:val="2"/>
                  <w:vAlign w:val="center"/>
                </w:tcPr>
                <w:p w14:paraId="34478A39">
                  <w:pPr>
                    <w:pStyle w:val="75"/>
                    <w:keepLines/>
                    <w:tabs>
                      <w:tab w:val="left" w:pos="0"/>
                    </w:tabs>
                    <w:spacing w:line="240" w:lineRule="auto"/>
                    <w:rPr>
                      <w:rFonts w:hint="default" w:ascii="Times New Roman" w:hAnsi="Times New Roman" w:eastAsia="宋体" w:cs="Times New Roman"/>
                      <w:color w:val="auto"/>
                      <w:w w:val="100"/>
                      <w:kern w:val="2"/>
                      <w:szCs w:val="21"/>
                      <w:lang w:val="en-US" w:eastAsia="zh-CN"/>
                    </w:rPr>
                  </w:pPr>
                  <w:r>
                    <w:rPr>
                      <w:rFonts w:hint="eastAsia" w:ascii="Times New Roman" w:hAnsi="Times New Roman" w:cs="Times New Roman"/>
                      <w:color w:val="auto"/>
                      <w:w w:val="100"/>
                      <w:kern w:val="2"/>
                      <w:szCs w:val="21"/>
                      <w:lang w:val="en-US" w:eastAsia="zh-CN"/>
                    </w:rPr>
                    <w:t>5.215</w:t>
                  </w:r>
                </w:p>
              </w:tc>
              <w:tc>
                <w:tcPr>
                  <w:tcW w:w="1722" w:type="dxa"/>
                  <w:vAlign w:val="center"/>
                </w:tcPr>
                <w:p w14:paraId="3FD80427">
                  <w:pPr>
                    <w:pStyle w:val="75"/>
                    <w:keepLines/>
                    <w:tabs>
                      <w:tab w:val="left" w:pos="0"/>
                    </w:tabs>
                    <w:spacing w:line="240" w:lineRule="auto"/>
                    <w:rPr>
                      <w:rFonts w:hint="default" w:ascii="Times New Roman" w:hAnsi="Times New Roman" w:cs="Times New Roman"/>
                      <w:color w:val="auto"/>
                      <w:w w:val="100"/>
                      <w:kern w:val="2"/>
                      <w:szCs w:val="21"/>
                    </w:rPr>
                  </w:pPr>
                  <w:r>
                    <w:rPr>
                      <w:rFonts w:hint="default" w:ascii="Times New Roman" w:hAnsi="Times New Roman" w:cs="Times New Roman"/>
                      <w:color w:val="auto"/>
                      <w:w w:val="100"/>
                      <w:kern w:val="2"/>
                      <w:szCs w:val="21"/>
                    </w:rPr>
                    <w:t>0.046</w:t>
                  </w:r>
                </w:p>
              </w:tc>
              <w:tc>
                <w:tcPr>
                  <w:tcW w:w="1722" w:type="dxa"/>
                  <w:gridSpan w:val="2"/>
                  <w:vAlign w:val="center"/>
                </w:tcPr>
                <w:p w14:paraId="37F9B1F7">
                  <w:pPr>
                    <w:pStyle w:val="75"/>
                    <w:keepLines/>
                    <w:tabs>
                      <w:tab w:val="left" w:pos="0"/>
                    </w:tabs>
                    <w:spacing w:line="240" w:lineRule="auto"/>
                    <w:rPr>
                      <w:rFonts w:hint="default" w:ascii="Times New Roman" w:hAnsi="Times New Roman" w:eastAsia="宋体" w:cs="Times New Roman"/>
                      <w:color w:val="auto"/>
                      <w:w w:val="100"/>
                      <w:kern w:val="2"/>
                      <w:szCs w:val="21"/>
                      <w:lang w:val="en-US" w:eastAsia="zh-CN"/>
                    </w:rPr>
                  </w:pPr>
                  <w:r>
                    <w:rPr>
                      <w:rFonts w:hint="eastAsia" w:ascii="Times New Roman" w:hAnsi="Times New Roman" w:cs="Times New Roman"/>
                      <w:color w:val="auto"/>
                      <w:w w:val="100"/>
                      <w:kern w:val="2"/>
                      <w:szCs w:val="21"/>
                      <w:lang w:val="en-US" w:eastAsia="zh-CN"/>
                    </w:rPr>
                    <w:t>1.449</w:t>
                  </w:r>
                </w:p>
              </w:tc>
            </w:tr>
            <w:tr w14:paraId="6404E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9" w:type="dxa"/>
                  <w:gridSpan w:val="8"/>
                  <w:vAlign w:val="center"/>
                </w:tcPr>
                <w:p w14:paraId="7EEB993B">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
                      <w:color w:val="auto"/>
                      <w:spacing w:val="-10"/>
                      <w:szCs w:val="21"/>
                    </w:rPr>
                    <w:t>排放口基本情况</w:t>
                  </w:r>
                </w:p>
              </w:tc>
            </w:tr>
            <w:tr w14:paraId="679F8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gridSpan w:val="2"/>
                  <w:vAlign w:val="center"/>
                </w:tcPr>
                <w:p w14:paraId="327F3D27">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排气筒高度</w:t>
                  </w:r>
                </w:p>
              </w:tc>
              <w:tc>
                <w:tcPr>
                  <w:tcW w:w="2939" w:type="dxa"/>
                  <w:gridSpan w:val="3"/>
                  <w:vAlign w:val="center"/>
                </w:tcPr>
                <w:p w14:paraId="01E79350">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15m</w:t>
                  </w:r>
                </w:p>
              </w:tc>
              <w:tc>
                <w:tcPr>
                  <w:tcW w:w="3444" w:type="dxa"/>
                  <w:gridSpan w:val="3"/>
                  <w:vAlign w:val="center"/>
                </w:tcPr>
                <w:p w14:paraId="3F61F85F">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w:t>
                  </w:r>
                </w:p>
              </w:tc>
            </w:tr>
            <w:tr w14:paraId="089A4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gridSpan w:val="2"/>
                  <w:vAlign w:val="center"/>
                </w:tcPr>
                <w:p w14:paraId="7999AF5C">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排气筒内径</w:t>
                  </w:r>
                </w:p>
              </w:tc>
              <w:tc>
                <w:tcPr>
                  <w:tcW w:w="2939" w:type="dxa"/>
                  <w:gridSpan w:val="3"/>
                  <w:vAlign w:val="center"/>
                </w:tcPr>
                <w:p w14:paraId="2621C595">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0.8m</w:t>
                  </w:r>
                </w:p>
              </w:tc>
              <w:tc>
                <w:tcPr>
                  <w:tcW w:w="3444" w:type="dxa"/>
                  <w:gridSpan w:val="3"/>
                  <w:vAlign w:val="center"/>
                </w:tcPr>
                <w:p w14:paraId="5B7F56C6">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w:t>
                  </w:r>
                </w:p>
              </w:tc>
            </w:tr>
            <w:tr w14:paraId="29D1A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gridSpan w:val="2"/>
                  <w:vAlign w:val="center"/>
                </w:tcPr>
                <w:p w14:paraId="5A96C9FB">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温度℃</w:t>
                  </w:r>
                </w:p>
              </w:tc>
              <w:tc>
                <w:tcPr>
                  <w:tcW w:w="2939" w:type="dxa"/>
                  <w:gridSpan w:val="3"/>
                  <w:vAlign w:val="center"/>
                </w:tcPr>
                <w:p w14:paraId="1CE071AB">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25</w:t>
                  </w:r>
                </w:p>
              </w:tc>
              <w:tc>
                <w:tcPr>
                  <w:tcW w:w="3444" w:type="dxa"/>
                  <w:gridSpan w:val="3"/>
                  <w:vAlign w:val="center"/>
                </w:tcPr>
                <w:p w14:paraId="6400F9A0">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w:t>
                  </w:r>
                </w:p>
              </w:tc>
            </w:tr>
            <w:tr w14:paraId="3CB19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gridSpan w:val="2"/>
                  <w:vAlign w:val="center"/>
                </w:tcPr>
                <w:p w14:paraId="5EBA4FCA">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编号</w:t>
                  </w:r>
                </w:p>
              </w:tc>
              <w:tc>
                <w:tcPr>
                  <w:tcW w:w="2939" w:type="dxa"/>
                  <w:gridSpan w:val="3"/>
                  <w:vAlign w:val="center"/>
                </w:tcPr>
                <w:p w14:paraId="5D783E71">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DA001</w:t>
                  </w:r>
                </w:p>
              </w:tc>
              <w:tc>
                <w:tcPr>
                  <w:tcW w:w="3444" w:type="dxa"/>
                  <w:gridSpan w:val="3"/>
                  <w:vAlign w:val="center"/>
                </w:tcPr>
                <w:p w14:paraId="413365B4">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w:t>
                  </w:r>
                </w:p>
              </w:tc>
            </w:tr>
            <w:tr w14:paraId="08573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gridSpan w:val="2"/>
                  <w:vAlign w:val="center"/>
                </w:tcPr>
                <w:p w14:paraId="29E1180B">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类型</w:t>
                  </w:r>
                </w:p>
              </w:tc>
              <w:tc>
                <w:tcPr>
                  <w:tcW w:w="2939" w:type="dxa"/>
                  <w:gridSpan w:val="3"/>
                  <w:vAlign w:val="center"/>
                </w:tcPr>
                <w:p w14:paraId="67E54310">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一般排放口</w:t>
                  </w:r>
                </w:p>
              </w:tc>
              <w:tc>
                <w:tcPr>
                  <w:tcW w:w="3444" w:type="dxa"/>
                  <w:gridSpan w:val="3"/>
                  <w:vAlign w:val="center"/>
                </w:tcPr>
                <w:p w14:paraId="6AAF2A6C">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w:t>
                  </w:r>
                </w:p>
              </w:tc>
            </w:tr>
            <w:tr w14:paraId="7DC1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gridSpan w:val="2"/>
                  <w:vAlign w:val="center"/>
                </w:tcPr>
                <w:p w14:paraId="3A9AF358">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地理坐标</w:t>
                  </w:r>
                </w:p>
              </w:tc>
              <w:tc>
                <w:tcPr>
                  <w:tcW w:w="2939" w:type="dxa"/>
                  <w:gridSpan w:val="3"/>
                  <w:vAlign w:val="center"/>
                </w:tcPr>
                <w:p w14:paraId="04E2C3E6">
                  <w:pPr>
                    <w:keepLines/>
                    <w:adjustRightInd w:val="0"/>
                    <w:snapToGrid w:val="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DA002：</w:t>
                  </w:r>
                  <w:r>
                    <w:rPr>
                      <w:rFonts w:hint="default" w:ascii="Times New Roman" w:hAnsi="Times New Roman" w:cs="Times New Roman"/>
                      <w:color w:val="auto"/>
                      <w:szCs w:val="21"/>
                    </w:rPr>
                    <w:t>E103°9′12.617″，N25°27′39.331″；</w:t>
                  </w:r>
                </w:p>
              </w:tc>
              <w:tc>
                <w:tcPr>
                  <w:tcW w:w="3444" w:type="dxa"/>
                  <w:gridSpan w:val="3"/>
                  <w:vAlign w:val="center"/>
                </w:tcPr>
                <w:p w14:paraId="46687056">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w:t>
                  </w:r>
                </w:p>
              </w:tc>
            </w:tr>
            <w:tr w14:paraId="04E14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9" w:type="dxa"/>
                  <w:gridSpan w:val="8"/>
                  <w:vAlign w:val="center"/>
                </w:tcPr>
                <w:p w14:paraId="751F89F8">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
                      <w:color w:val="auto"/>
                      <w:spacing w:val="-10"/>
                      <w:szCs w:val="21"/>
                    </w:rPr>
                    <w:t>监测要求</w:t>
                  </w:r>
                </w:p>
              </w:tc>
            </w:tr>
            <w:tr w14:paraId="6A182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gridSpan w:val="2"/>
                  <w:vAlign w:val="center"/>
                </w:tcPr>
                <w:p w14:paraId="0117C53E">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监测点位</w:t>
                  </w:r>
                </w:p>
              </w:tc>
              <w:tc>
                <w:tcPr>
                  <w:tcW w:w="2939" w:type="dxa"/>
                  <w:gridSpan w:val="3"/>
                  <w:vAlign w:val="center"/>
                </w:tcPr>
                <w:p w14:paraId="271087D4">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排气筒出口</w:t>
                  </w:r>
                </w:p>
              </w:tc>
              <w:tc>
                <w:tcPr>
                  <w:tcW w:w="3444" w:type="dxa"/>
                  <w:gridSpan w:val="3"/>
                  <w:vAlign w:val="center"/>
                </w:tcPr>
                <w:p w14:paraId="0CC5E138">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厂界、厂内</w:t>
                  </w:r>
                </w:p>
              </w:tc>
            </w:tr>
            <w:tr w14:paraId="01E06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gridSpan w:val="2"/>
                  <w:vAlign w:val="center"/>
                </w:tcPr>
                <w:p w14:paraId="7B951C36">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监测因子</w:t>
                  </w:r>
                </w:p>
              </w:tc>
              <w:tc>
                <w:tcPr>
                  <w:tcW w:w="1595" w:type="dxa"/>
                  <w:gridSpan w:val="2"/>
                  <w:vAlign w:val="center"/>
                </w:tcPr>
                <w:p w14:paraId="17800563">
                  <w:pPr>
                    <w:pStyle w:val="75"/>
                    <w:keepLines/>
                    <w:tabs>
                      <w:tab w:val="left" w:pos="0"/>
                    </w:tabs>
                    <w:spacing w:line="240" w:lineRule="auto"/>
                    <w:rPr>
                      <w:rFonts w:hint="default" w:ascii="Times New Roman" w:hAnsi="Times New Roman" w:cs="Times New Roman"/>
                      <w:bCs/>
                      <w:color w:val="auto"/>
                      <w:spacing w:val="-10"/>
                      <w:w w:val="100"/>
                      <w:kern w:val="2"/>
                      <w:szCs w:val="21"/>
                    </w:rPr>
                  </w:pPr>
                  <w:r>
                    <w:rPr>
                      <w:rFonts w:hint="default" w:ascii="Times New Roman" w:hAnsi="Times New Roman" w:cs="Times New Roman"/>
                      <w:bCs/>
                      <w:color w:val="auto"/>
                      <w:spacing w:val="-10"/>
                      <w:w w:val="100"/>
                      <w:kern w:val="2"/>
                      <w:szCs w:val="21"/>
                    </w:rPr>
                    <w:t>甲醛</w:t>
                  </w:r>
                </w:p>
              </w:tc>
              <w:tc>
                <w:tcPr>
                  <w:tcW w:w="1344" w:type="dxa"/>
                  <w:vAlign w:val="center"/>
                </w:tcPr>
                <w:p w14:paraId="457A8D04">
                  <w:pPr>
                    <w:pStyle w:val="75"/>
                    <w:keepLines/>
                    <w:tabs>
                      <w:tab w:val="left" w:pos="0"/>
                    </w:tabs>
                    <w:spacing w:line="240" w:lineRule="auto"/>
                    <w:rPr>
                      <w:rFonts w:hint="default" w:ascii="Times New Roman" w:hAnsi="Times New Roman" w:cs="Times New Roman"/>
                      <w:bCs/>
                      <w:color w:val="auto"/>
                      <w:spacing w:val="-10"/>
                      <w:w w:val="100"/>
                      <w:kern w:val="2"/>
                      <w:szCs w:val="21"/>
                    </w:rPr>
                  </w:pPr>
                  <w:r>
                    <w:rPr>
                      <w:rFonts w:hint="default" w:ascii="Times New Roman" w:hAnsi="Times New Roman" w:cs="Times New Roman"/>
                      <w:bCs/>
                      <w:color w:val="auto"/>
                      <w:spacing w:val="-10"/>
                      <w:w w:val="100"/>
                      <w:kern w:val="2"/>
                      <w:szCs w:val="21"/>
                    </w:rPr>
                    <w:t>非甲烷总烃</w:t>
                  </w:r>
                </w:p>
              </w:tc>
              <w:tc>
                <w:tcPr>
                  <w:tcW w:w="1846" w:type="dxa"/>
                  <w:gridSpan w:val="2"/>
                  <w:vAlign w:val="center"/>
                </w:tcPr>
                <w:p w14:paraId="2137583C">
                  <w:pPr>
                    <w:pStyle w:val="75"/>
                    <w:keepLines/>
                    <w:tabs>
                      <w:tab w:val="left" w:pos="0"/>
                    </w:tabs>
                    <w:spacing w:line="240" w:lineRule="auto"/>
                    <w:rPr>
                      <w:rFonts w:hint="default" w:ascii="Times New Roman" w:hAnsi="Times New Roman" w:cs="Times New Roman"/>
                      <w:bCs/>
                      <w:color w:val="auto"/>
                      <w:spacing w:val="-10"/>
                      <w:w w:val="100"/>
                      <w:kern w:val="2"/>
                      <w:szCs w:val="21"/>
                    </w:rPr>
                  </w:pPr>
                  <w:r>
                    <w:rPr>
                      <w:rFonts w:hint="default" w:ascii="Times New Roman" w:hAnsi="Times New Roman" w:cs="Times New Roman"/>
                      <w:bCs/>
                      <w:color w:val="auto"/>
                      <w:spacing w:val="-10"/>
                      <w:w w:val="100"/>
                      <w:kern w:val="2"/>
                      <w:szCs w:val="21"/>
                    </w:rPr>
                    <w:t>甲醛</w:t>
                  </w:r>
                </w:p>
              </w:tc>
              <w:tc>
                <w:tcPr>
                  <w:tcW w:w="1598" w:type="dxa"/>
                  <w:vAlign w:val="center"/>
                </w:tcPr>
                <w:p w14:paraId="11B8638E">
                  <w:pPr>
                    <w:pStyle w:val="75"/>
                    <w:keepLines/>
                    <w:tabs>
                      <w:tab w:val="left" w:pos="0"/>
                    </w:tabs>
                    <w:spacing w:line="240" w:lineRule="auto"/>
                    <w:rPr>
                      <w:rFonts w:hint="default" w:ascii="Times New Roman" w:hAnsi="Times New Roman" w:cs="Times New Roman"/>
                      <w:bCs/>
                      <w:color w:val="auto"/>
                      <w:spacing w:val="-10"/>
                      <w:w w:val="100"/>
                      <w:kern w:val="2"/>
                      <w:szCs w:val="21"/>
                    </w:rPr>
                  </w:pPr>
                  <w:r>
                    <w:rPr>
                      <w:rFonts w:hint="default" w:ascii="Times New Roman" w:hAnsi="Times New Roman" w:cs="Times New Roman"/>
                      <w:bCs/>
                      <w:color w:val="auto"/>
                      <w:spacing w:val="-10"/>
                      <w:w w:val="100"/>
                      <w:kern w:val="2"/>
                      <w:szCs w:val="21"/>
                    </w:rPr>
                    <w:t>非甲烷总烃</w:t>
                  </w:r>
                </w:p>
              </w:tc>
            </w:tr>
            <w:tr w14:paraId="1FBC0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gridSpan w:val="2"/>
                  <w:vAlign w:val="center"/>
                </w:tcPr>
                <w:p w14:paraId="62E84BAE">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监测频次</w:t>
                  </w:r>
                </w:p>
              </w:tc>
              <w:tc>
                <w:tcPr>
                  <w:tcW w:w="1595" w:type="dxa"/>
                  <w:gridSpan w:val="2"/>
                  <w:vAlign w:val="center"/>
                </w:tcPr>
                <w:p w14:paraId="3AB1A680">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1次/</w:t>
                  </w:r>
                  <w:r>
                    <w:rPr>
                      <w:rFonts w:hint="eastAsia" w:cs="Times New Roman"/>
                      <w:bCs/>
                      <w:color w:val="auto"/>
                      <w:spacing w:val="-10"/>
                      <w:szCs w:val="21"/>
                      <w:lang w:val="en-US" w:eastAsia="zh-CN"/>
                    </w:rPr>
                    <w:t>年</w:t>
                  </w:r>
                </w:p>
              </w:tc>
              <w:tc>
                <w:tcPr>
                  <w:tcW w:w="1344" w:type="dxa"/>
                  <w:vAlign w:val="center"/>
                </w:tcPr>
                <w:p w14:paraId="03D9E87A">
                  <w:pPr>
                    <w:keepLines/>
                    <w:adjustRightInd w:val="0"/>
                    <w:snapToGrid w:val="0"/>
                    <w:jc w:val="center"/>
                    <w:rPr>
                      <w:rFonts w:hint="eastAsia" w:ascii="Times New Roman" w:hAnsi="Times New Roman" w:eastAsia="宋体" w:cs="Times New Roman"/>
                      <w:bCs/>
                      <w:color w:val="auto"/>
                      <w:spacing w:val="-10"/>
                      <w:szCs w:val="21"/>
                      <w:lang w:eastAsia="zh-CN"/>
                    </w:rPr>
                  </w:pPr>
                  <w:r>
                    <w:rPr>
                      <w:rFonts w:hint="default" w:ascii="Times New Roman" w:hAnsi="Times New Roman" w:cs="Times New Roman"/>
                      <w:bCs/>
                      <w:color w:val="auto"/>
                      <w:spacing w:val="-10"/>
                      <w:szCs w:val="21"/>
                    </w:rPr>
                    <w:t>1次/</w:t>
                  </w:r>
                  <w:r>
                    <w:rPr>
                      <w:rFonts w:hint="eastAsia" w:cs="Times New Roman"/>
                      <w:bCs/>
                      <w:color w:val="auto"/>
                      <w:spacing w:val="-10"/>
                      <w:szCs w:val="21"/>
                      <w:lang w:val="en-US" w:eastAsia="zh-CN"/>
                    </w:rPr>
                    <w:t>半年</w:t>
                  </w:r>
                </w:p>
              </w:tc>
              <w:tc>
                <w:tcPr>
                  <w:tcW w:w="1846" w:type="dxa"/>
                  <w:gridSpan w:val="2"/>
                  <w:vAlign w:val="center"/>
                </w:tcPr>
                <w:p w14:paraId="065AEAA1">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1次/</w:t>
                  </w:r>
                  <w:r>
                    <w:rPr>
                      <w:rFonts w:hint="eastAsia" w:cs="Times New Roman"/>
                      <w:bCs/>
                      <w:color w:val="auto"/>
                      <w:spacing w:val="-10"/>
                      <w:szCs w:val="21"/>
                      <w:lang w:val="en-US" w:eastAsia="zh-CN"/>
                    </w:rPr>
                    <w:t>年</w:t>
                  </w:r>
                </w:p>
              </w:tc>
              <w:tc>
                <w:tcPr>
                  <w:tcW w:w="1598" w:type="dxa"/>
                  <w:vAlign w:val="center"/>
                </w:tcPr>
                <w:p w14:paraId="59DA4758">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1次/</w:t>
                  </w:r>
                  <w:r>
                    <w:rPr>
                      <w:rFonts w:hint="eastAsia" w:cs="Times New Roman"/>
                      <w:bCs/>
                      <w:color w:val="auto"/>
                      <w:spacing w:val="-10"/>
                      <w:szCs w:val="21"/>
                      <w:lang w:val="en-US" w:eastAsia="zh-CN"/>
                    </w:rPr>
                    <w:t>年</w:t>
                  </w:r>
                </w:p>
              </w:tc>
            </w:tr>
            <w:tr w14:paraId="39B8F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gridSpan w:val="2"/>
                  <w:vAlign w:val="center"/>
                </w:tcPr>
                <w:p w14:paraId="0773E634">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执行标准</w:t>
                  </w:r>
                </w:p>
              </w:tc>
              <w:tc>
                <w:tcPr>
                  <w:tcW w:w="6383" w:type="dxa"/>
                  <w:gridSpan w:val="6"/>
                  <w:vAlign w:val="center"/>
                </w:tcPr>
                <w:p w14:paraId="744C2414">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color w:val="auto"/>
                      <w:szCs w:val="21"/>
                      <w:lang w:val="zh-CN"/>
                    </w:rPr>
                    <w:t>《大气污染物综合排放标准》（GB16297-1996）表2中二级标准</w:t>
                  </w:r>
                  <w:r>
                    <w:rPr>
                      <w:rFonts w:hint="default" w:ascii="Times New Roman" w:hAnsi="Times New Roman" w:cs="Times New Roman"/>
                      <w:bCs/>
                      <w:color w:val="auto"/>
                      <w:spacing w:val="-10"/>
                      <w:szCs w:val="21"/>
                    </w:rPr>
                    <w:t>和厂内无组织总挥发性有机物排放浓度限值执行《挥发性有机物无组织排放控制标准》（GB37822-2019）中的要求</w:t>
                  </w:r>
                </w:p>
              </w:tc>
            </w:tr>
          </w:tbl>
          <w:p w14:paraId="1AF46DCB">
            <w:pPr>
              <w:pStyle w:val="38"/>
              <w:keepLines/>
              <w:snapToGrid w:val="0"/>
              <w:ind w:left="0" w:firstLine="480" w:firstLineChars="200"/>
              <w:jc w:val="both"/>
              <w:rPr>
                <w:rFonts w:hint="default" w:ascii="Times New Roman" w:hAnsi="Times New Roman" w:cs="Times New Roman"/>
                <w:color w:val="auto"/>
                <w:kern w:val="2"/>
                <w:sz w:val="24"/>
              </w:rPr>
            </w:pPr>
            <w:r>
              <w:rPr>
                <w:rFonts w:hint="default" w:ascii="Times New Roman" w:hAnsi="Times New Roman" w:cs="Times New Roman"/>
                <w:color w:val="auto"/>
                <w:sz w:val="24"/>
              </w:rPr>
              <w:t>据建设单位提供资料，本项目年工作300d，每天工作时间8h，搅拌、浸渍、干燥工序集气风机风量为20320m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/h；</w:t>
            </w:r>
            <w:r>
              <w:rPr>
                <w:rFonts w:hint="default" w:ascii="Times New Roman" w:hAnsi="Times New Roman" w:cs="Times New Roman"/>
                <w:color w:val="auto"/>
                <w:kern w:val="2"/>
                <w:sz w:val="24"/>
              </w:rPr>
              <w:t>污染因子为甲醛、VOCs（以非甲烷总烃计）。</w:t>
            </w:r>
          </w:p>
          <w:p w14:paraId="0FB0A93D">
            <w:pPr>
              <w:pStyle w:val="38"/>
              <w:keepLines/>
              <w:snapToGrid w:val="0"/>
              <w:ind w:left="0" w:firstLine="480" w:firstLineChars="200"/>
              <w:jc w:val="both"/>
              <w:rPr>
                <w:rFonts w:hint="default" w:ascii="Times New Roman" w:hAnsi="Times New Roman" w:cs="Times New Roman"/>
                <w:color w:val="auto"/>
                <w:kern w:val="2"/>
                <w:sz w:val="24"/>
              </w:rPr>
            </w:pPr>
            <w:r>
              <w:rPr>
                <w:rFonts w:hint="default" w:ascii="Times New Roman" w:hAnsi="Times New Roman" w:cs="Times New Roman"/>
                <w:color w:val="auto"/>
                <w:kern w:val="2"/>
                <w:sz w:val="24"/>
              </w:rPr>
              <w:t>①甲醛</w:t>
            </w:r>
          </w:p>
          <w:p w14:paraId="62CDC00C">
            <w:pPr>
              <w:pStyle w:val="38"/>
              <w:keepLines/>
              <w:snapToGrid w:val="0"/>
              <w:ind w:left="0" w:firstLine="480" w:firstLineChars="200"/>
              <w:jc w:val="both"/>
              <w:rPr>
                <w:rFonts w:hint="default" w:ascii="Times New Roman" w:hAnsi="Times New Roman" w:cs="Times New Roman"/>
                <w:color w:val="auto"/>
                <w:kern w:val="2"/>
                <w:sz w:val="24"/>
              </w:rPr>
            </w:pPr>
            <w:r>
              <w:rPr>
                <w:rFonts w:hint="default" w:ascii="Times New Roman" w:hAnsi="Times New Roman" w:cs="Times New Roman"/>
                <w:color w:val="auto"/>
                <w:kern w:val="2"/>
                <w:sz w:val="24"/>
              </w:rPr>
              <w:t>在调胶、浸渍、烘干工序中，胶水会挥发出少量甲醛，根据《木材工业胶粘剂用脲醛、酚醛、三聚氰胺甲醛树脂》（GB/T 14732-2017），浸渍用三聚氰胺甲醛树脂要求甲醛含量小于等于0.3%。本项目按最不利情况，即三聚氰胺甲醛树脂中游离甲醛含量取0.3%。根据建设单位提供数据，项目实际年用胶量为190.6t，项目生产过程中约有80%的甲醛挥发，则甲醛产生量为0.457t/a。</w:t>
            </w:r>
          </w:p>
          <w:p w14:paraId="2986CA1F">
            <w:pPr>
              <w:pStyle w:val="38"/>
              <w:keepLines/>
              <w:snapToGrid w:val="0"/>
              <w:ind w:left="0" w:firstLine="480" w:firstLineChars="200"/>
              <w:jc w:val="both"/>
              <w:rPr>
                <w:rFonts w:hint="default" w:ascii="Times New Roman" w:hAnsi="Times New Roman" w:cs="Times New Roman"/>
                <w:color w:val="auto"/>
                <w:kern w:val="2"/>
                <w:sz w:val="24"/>
              </w:rPr>
            </w:pPr>
            <w:r>
              <w:rPr>
                <w:rFonts w:hint="default" w:ascii="Times New Roman" w:hAnsi="Times New Roman" w:cs="Times New Roman"/>
                <w:color w:val="auto"/>
                <w:kern w:val="2"/>
                <w:sz w:val="24"/>
              </w:rPr>
              <w:t>②挥发性有机物</w:t>
            </w:r>
          </w:p>
          <w:p w14:paraId="0AB97861">
            <w:pPr>
              <w:pStyle w:val="38"/>
              <w:keepLines/>
              <w:snapToGrid w:val="0"/>
              <w:ind w:left="0" w:firstLine="480" w:firstLineChars="200"/>
              <w:jc w:val="both"/>
              <w:rPr>
                <w:rFonts w:hint="default" w:ascii="Times New Roman" w:hAnsi="Times New Roman" w:cs="Times New Roman"/>
                <w:color w:val="auto"/>
                <w:kern w:val="2"/>
                <w:sz w:val="24"/>
              </w:rPr>
            </w:pPr>
            <w:r>
              <w:rPr>
                <w:rFonts w:hint="default" w:ascii="Times New Roman" w:hAnsi="Times New Roman" w:cs="Times New Roman"/>
                <w:color w:val="auto"/>
                <w:kern w:val="2"/>
                <w:sz w:val="24"/>
              </w:rPr>
              <w:t>浸胶纸中有机废气在调胶、浸渍、干燥工序中散发，根据《人造板饰面专用纸》（GB/T28995-2012）表8胶膜纸理化性能指标中装饰胶膜纸</w:t>
            </w:r>
            <w:r>
              <w:rPr>
                <w:rFonts w:hint="eastAsia" w:hAnsi="Times New Roman" w:cs="Times New Roman"/>
                <w:color w:val="auto"/>
                <w:kern w:val="2"/>
                <w:sz w:val="24"/>
                <w:lang w:eastAsia="zh-CN"/>
              </w:rPr>
              <w:t>挥发分含量</w:t>
            </w:r>
            <w:r>
              <w:rPr>
                <w:rFonts w:hint="default" w:ascii="Times New Roman" w:hAnsi="Times New Roman" w:cs="Times New Roman"/>
                <w:color w:val="auto"/>
                <w:kern w:val="2"/>
                <w:sz w:val="24"/>
              </w:rPr>
              <w:t>为5.5%-9.5%，本项目按最不利因素考虑，项目生产过程中约有</w:t>
            </w:r>
            <w:r>
              <w:rPr>
                <w:rFonts w:hint="eastAsia" w:hAnsi="Times New Roman" w:cs="Times New Roman"/>
                <w:color w:val="auto"/>
                <w:kern w:val="2"/>
                <w:sz w:val="24"/>
                <w:lang w:val="en-US" w:eastAsia="zh-CN"/>
              </w:rPr>
              <w:t>8</w:t>
            </w:r>
            <w:r>
              <w:rPr>
                <w:rFonts w:hint="default" w:ascii="Times New Roman" w:hAnsi="Times New Roman" w:cs="Times New Roman"/>
                <w:color w:val="auto"/>
                <w:kern w:val="2"/>
                <w:sz w:val="24"/>
              </w:rPr>
              <w:t>0%的</w:t>
            </w:r>
            <w:r>
              <w:rPr>
                <w:rFonts w:hint="eastAsia" w:hAnsi="Times New Roman" w:cs="Times New Roman"/>
                <w:color w:val="auto"/>
                <w:kern w:val="2"/>
                <w:sz w:val="24"/>
                <w:lang w:val="en-US" w:eastAsia="zh-CN"/>
              </w:rPr>
              <w:t>VOCs（以非甲烷总烃计）</w:t>
            </w:r>
            <w:r>
              <w:rPr>
                <w:rFonts w:hint="default" w:ascii="Times New Roman" w:hAnsi="Times New Roman" w:cs="Times New Roman"/>
                <w:color w:val="auto"/>
                <w:kern w:val="2"/>
                <w:sz w:val="24"/>
              </w:rPr>
              <w:t>挥发，项目胶水年使用量为190.6t，则VOCs（以非甲烷总烃计）产生量为</w:t>
            </w:r>
            <w:r>
              <w:rPr>
                <w:rFonts w:hint="eastAsia" w:hAnsi="Times New Roman" w:cs="Times New Roman"/>
                <w:color w:val="auto"/>
                <w:kern w:val="2"/>
                <w:sz w:val="24"/>
                <w:lang w:val="en-US" w:eastAsia="zh-CN"/>
              </w:rPr>
              <w:t>14.486</w:t>
            </w:r>
            <w:r>
              <w:rPr>
                <w:rFonts w:hint="default" w:ascii="Times New Roman" w:hAnsi="Times New Roman" w:cs="Times New Roman"/>
                <w:color w:val="auto"/>
                <w:kern w:val="2"/>
                <w:sz w:val="24"/>
              </w:rPr>
              <w:t>t/a。</w:t>
            </w:r>
          </w:p>
          <w:p w14:paraId="5D78D0BA">
            <w:pPr>
              <w:pStyle w:val="41"/>
              <w:rPr>
                <w:rFonts w:hint="default" w:ascii="Times New Roman" w:hAnsi="Times New Roman" w:cs="Times New Roman"/>
                <w:b/>
                <w:bCs/>
                <w:color w:val="auto"/>
              </w:rPr>
            </w:pPr>
            <w:r>
              <w:rPr>
                <w:rFonts w:hint="default" w:ascii="Times New Roman" w:hAnsi="Times New Roman" w:cs="Times New Roman"/>
                <w:color w:val="auto"/>
              </w:rPr>
              <w:t>项目在三条生产线中的卧式浸渍烘干一体化设备中设置负压集气罩，收集后经一套UV光解+三级活性炭吸附装置处理后通过一根15m高</w:t>
            </w:r>
            <w:r>
              <w:rPr>
                <w:rFonts w:hint="eastAsia" w:ascii="Times New Roman" w:hAnsi="Times New Roman" w:cs="Times New Roman"/>
                <w:color w:val="auto"/>
                <w:lang w:eastAsia="zh-CN"/>
              </w:rPr>
              <w:t>排气筒</w:t>
            </w:r>
            <w:r>
              <w:rPr>
                <w:rFonts w:hint="default" w:ascii="Times New Roman" w:hAnsi="Times New Roman" w:cs="Times New Roman"/>
                <w:color w:val="auto"/>
              </w:rPr>
              <w:t>（DA001）排放，未被收集的甲醛、VOCs（以非甲烷总烃计）为无组织排放。负压集气罩收集效率为90%，类比《203 木质制品制造行业系数手册》，项目</w:t>
            </w:r>
            <w:r>
              <w:rPr>
                <w:rFonts w:hint="default" w:ascii="Times New Roman" w:hAnsi="Times New Roman" w:cs="Times New Roman"/>
                <w:color w:val="auto"/>
                <w:lang w:val="zh-CN"/>
              </w:rPr>
              <w:t>UV光解+三级活性炭吸附装置</w:t>
            </w:r>
            <w:r>
              <w:rPr>
                <w:rFonts w:hint="default" w:ascii="Times New Roman" w:hAnsi="Times New Roman" w:cs="Times New Roman"/>
                <w:color w:val="auto"/>
              </w:rPr>
              <w:t>综合处理效率可达60%。据此计算出甲醛有组织排放量为0.165t/a，未能收集的甲醛无组织排放量为0.046t/a；VOCs（以非甲烷总烃计）有组织排放量为</w:t>
            </w:r>
            <w:r>
              <w:rPr>
                <w:rFonts w:hint="eastAsia" w:ascii="Times New Roman" w:hAnsi="Times New Roman" w:cs="Times New Roman"/>
                <w:color w:val="auto"/>
                <w:lang w:val="en-US" w:eastAsia="zh-CN"/>
              </w:rPr>
              <w:t>5.215</w:t>
            </w:r>
            <w:r>
              <w:rPr>
                <w:rFonts w:hint="default" w:ascii="Times New Roman" w:hAnsi="Times New Roman" w:cs="Times New Roman"/>
                <w:color w:val="auto"/>
              </w:rPr>
              <w:t>t/a，未能收集的VOCs（以非甲烷总烃计）无组织排放量为1.4</w:t>
            </w:r>
            <w:r>
              <w:rPr>
                <w:rFonts w:hint="eastAsia" w:ascii="Times New Roman" w:hAnsi="Times New Roman" w:cs="Times New Roman"/>
                <w:color w:val="auto"/>
                <w:lang w:val="en-US" w:eastAsia="zh-CN"/>
              </w:rPr>
              <w:t>49</w:t>
            </w:r>
            <w:r>
              <w:rPr>
                <w:rFonts w:hint="default" w:ascii="Times New Roman" w:hAnsi="Times New Roman" w:cs="Times New Roman"/>
                <w:color w:val="auto"/>
              </w:rPr>
              <w:t>t/a。废</w:t>
            </w:r>
            <w:r>
              <w:rPr>
                <w:rFonts w:hint="eastAsia" w:ascii="Times New Roman" w:hAnsi="Times New Roman" w:cs="Times New Roman"/>
                <w:color w:val="auto"/>
                <w:lang w:eastAsia="zh-CN"/>
              </w:rPr>
              <w:t>气生</w:t>
            </w:r>
            <w:r>
              <w:rPr>
                <w:rFonts w:hint="default" w:ascii="Times New Roman" w:hAnsi="Times New Roman" w:cs="Times New Roman"/>
                <w:color w:val="auto"/>
              </w:rPr>
              <w:t>产排放情况见表4-2。</w:t>
            </w:r>
          </w:p>
          <w:p w14:paraId="316F7E31">
            <w:pPr>
              <w:pStyle w:val="95"/>
              <w:keepLines/>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表4-2  项目运营期废气产排情况</w:t>
            </w:r>
          </w:p>
          <w:tbl>
            <w:tblPr>
              <w:tblStyle w:val="30"/>
              <w:tblW w:w="85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588"/>
              <w:gridCol w:w="1641"/>
              <w:gridCol w:w="759"/>
              <w:gridCol w:w="724"/>
              <w:gridCol w:w="796"/>
              <w:gridCol w:w="1150"/>
              <w:gridCol w:w="1056"/>
              <w:gridCol w:w="642"/>
            </w:tblGrid>
            <w:tr w14:paraId="15075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4" w:type="dxa"/>
                  <w:gridSpan w:val="2"/>
                  <w:noWrap/>
                  <w:vAlign w:val="center"/>
                </w:tcPr>
                <w:p w14:paraId="67DECD13">
                  <w:pPr>
                    <w:keepLines/>
                    <w:snapToGrid w:val="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产污工序</w:t>
                  </w:r>
                </w:p>
              </w:tc>
              <w:tc>
                <w:tcPr>
                  <w:tcW w:w="1641" w:type="dxa"/>
                  <w:noWrap/>
                  <w:vAlign w:val="center"/>
                </w:tcPr>
                <w:p w14:paraId="19003219">
                  <w:pPr>
                    <w:keepLines/>
                    <w:snapToGrid w:val="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污染物名称</w:t>
                  </w:r>
                </w:p>
              </w:tc>
              <w:tc>
                <w:tcPr>
                  <w:tcW w:w="759" w:type="dxa"/>
                  <w:noWrap/>
                  <w:vAlign w:val="center"/>
                </w:tcPr>
                <w:p w14:paraId="7E2FF619">
                  <w:pPr>
                    <w:keepLines/>
                    <w:snapToGrid w:val="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风机</w:t>
                  </w:r>
                </w:p>
                <w:p w14:paraId="331E91C6">
                  <w:pPr>
                    <w:keepLines/>
                    <w:snapToGrid w:val="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风量</w:t>
                  </w:r>
                </w:p>
              </w:tc>
              <w:tc>
                <w:tcPr>
                  <w:tcW w:w="724" w:type="dxa"/>
                  <w:noWrap/>
                  <w:vAlign w:val="center"/>
                </w:tcPr>
                <w:p w14:paraId="41E53FF8">
                  <w:pPr>
                    <w:keepLines/>
                    <w:snapToGrid w:val="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产生量(t/a)</w:t>
                  </w:r>
                </w:p>
              </w:tc>
              <w:tc>
                <w:tcPr>
                  <w:tcW w:w="796" w:type="dxa"/>
                  <w:noWrap/>
                  <w:vAlign w:val="center"/>
                </w:tcPr>
                <w:p w14:paraId="5BAD51D0">
                  <w:pPr>
                    <w:keepLines/>
                    <w:snapToGrid w:val="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排放量（t/a)</w:t>
                  </w:r>
                </w:p>
              </w:tc>
              <w:tc>
                <w:tcPr>
                  <w:tcW w:w="1150" w:type="dxa"/>
                  <w:noWrap/>
                  <w:vAlign w:val="center"/>
                </w:tcPr>
                <w:p w14:paraId="335FD264">
                  <w:pPr>
                    <w:pStyle w:val="16"/>
                    <w:keepLines/>
                    <w:ind w:left="0" w:leftChars="0"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bCs/>
                      <w:color w:val="auto"/>
                      <w:sz w:val="18"/>
                      <w:szCs w:val="18"/>
                    </w:rPr>
                    <w:t>排放浓度（mg/m</w:t>
                  </w:r>
                  <w:r>
                    <w:rPr>
                      <w:rFonts w:hint="default" w:ascii="Times New Roman" w:hAnsi="Times New Roman" w:cs="Times New Roman"/>
                      <w:b/>
                      <w:bCs/>
                      <w:color w:val="auto"/>
                      <w:sz w:val="18"/>
                      <w:szCs w:val="18"/>
                      <w:vertAlign w:val="superscript"/>
                    </w:rPr>
                    <w:t>3</w:t>
                  </w:r>
                  <w:r>
                    <w:rPr>
                      <w:rFonts w:hint="default" w:ascii="Times New Roman" w:hAnsi="Times New Roman" w:cs="Times New Roman"/>
                      <w:b/>
                      <w:bCs/>
                      <w:color w:val="auto"/>
                      <w:sz w:val="18"/>
                      <w:szCs w:val="18"/>
                    </w:rPr>
                    <w:t>）</w:t>
                  </w:r>
                </w:p>
              </w:tc>
              <w:tc>
                <w:tcPr>
                  <w:tcW w:w="1056" w:type="dxa"/>
                  <w:noWrap/>
                  <w:vAlign w:val="center"/>
                </w:tcPr>
                <w:p w14:paraId="623451AA">
                  <w:pPr>
                    <w:pStyle w:val="16"/>
                    <w:keepLines/>
                    <w:ind w:left="0" w:leftChars="0"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bCs/>
                      <w:color w:val="auto"/>
                      <w:sz w:val="18"/>
                      <w:szCs w:val="18"/>
                    </w:rPr>
                    <w:t>排放速率（kg/h）</w:t>
                  </w:r>
                </w:p>
              </w:tc>
              <w:tc>
                <w:tcPr>
                  <w:tcW w:w="642" w:type="dxa"/>
                  <w:noWrap/>
                  <w:vAlign w:val="center"/>
                </w:tcPr>
                <w:p w14:paraId="7D6F72D6">
                  <w:pPr>
                    <w:keepLines/>
                    <w:snapToGrid w:val="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达标情况</w:t>
                  </w:r>
                </w:p>
              </w:tc>
            </w:tr>
            <w:tr w14:paraId="5432F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6" w:type="dxa"/>
                  <w:vMerge w:val="restart"/>
                  <w:noWrap/>
                  <w:vAlign w:val="center"/>
                </w:tcPr>
                <w:p w14:paraId="1EBE8252">
                  <w:pPr>
                    <w:keepLines/>
                    <w:snapToGrid w:val="0"/>
                    <w:rPr>
                      <w:rFonts w:hint="default" w:ascii="Times New Roman" w:hAnsi="Times New Roman" w:cs="Times New Roman"/>
                      <w:color w:val="auto"/>
                      <w:szCs w:val="21"/>
                    </w:rPr>
                  </w:pPr>
                  <w:r>
                    <w:rPr>
                      <w:rFonts w:hint="default" w:ascii="Times New Roman" w:hAnsi="Times New Roman" w:cs="Times New Roman"/>
                      <w:color w:val="auto"/>
                      <w:szCs w:val="21"/>
                    </w:rPr>
                    <w:t>调胶、浸渍、烘干</w:t>
                  </w:r>
                </w:p>
              </w:tc>
              <w:tc>
                <w:tcPr>
                  <w:tcW w:w="588" w:type="dxa"/>
                  <w:noWrap/>
                  <w:vAlign w:val="center"/>
                </w:tcPr>
                <w:p w14:paraId="33EB034E">
                  <w:pPr>
                    <w:keepLines/>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有组织</w:t>
                  </w:r>
                </w:p>
              </w:tc>
              <w:tc>
                <w:tcPr>
                  <w:tcW w:w="1641" w:type="dxa"/>
                  <w:noWrap/>
                  <w:vAlign w:val="center"/>
                </w:tcPr>
                <w:p w14:paraId="49D6B5D6">
                  <w:pPr>
                    <w:keepLines/>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甲醛</w:t>
                  </w:r>
                </w:p>
              </w:tc>
              <w:tc>
                <w:tcPr>
                  <w:tcW w:w="759" w:type="dxa"/>
                  <w:noWrap/>
                  <w:vAlign w:val="center"/>
                </w:tcPr>
                <w:p w14:paraId="77A8F84C">
                  <w:pPr>
                    <w:keepLines/>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20320m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p>
              </w:tc>
              <w:tc>
                <w:tcPr>
                  <w:tcW w:w="724" w:type="dxa"/>
                  <w:noWrap/>
                  <w:vAlign w:val="center"/>
                </w:tcPr>
                <w:p w14:paraId="3D46D7B8">
                  <w:pPr>
                    <w:keepLines/>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0.457</w:t>
                  </w:r>
                </w:p>
              </w:tc>
              <w:tc>
                <w:tcPr>
                  <w:tcW w:w="796" w:type="dxa"/>
                  <w:noWrap/>
                  <w:vAlign w:val="center"/>
                </w:tcPr>
                <w:p w14:paraId="61870D54">
                  <w:pPr>
                    <w:keepLines/>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0.165</w:t>
                  </w:r>
                </w:p>
              </w:tc>
              <w:tc>
                <w:tcPr>
                  <w:tcW w:w="1150" w:type="dxa"/>
                  <w:noWrap/>
                  <w:vAlign w:val="center"/>
                </w:tcPr>
                <w:p w14:paraId="5FC77E8B">
                  <w:pPr>
                    <w:keepLines/>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3.396</w:t>
                  </w:r>
                </w:p>
              </w:tc>
              <w:tc>
                <w:tcPr>
                  <w:tcW w:w="1056" w:type="dxa"/>
                  <w:noWrap/>
                  <w:vAlign w:val="center"/>
                </w:tcPr>
                <w:p w14:paraId="38D2F865">
                  <w:pPr>
                    <w:keepLines/>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0.069</w:t>
                  </w:r>
                </w:p>
              </w:tc>
              <w:tc>
                <w:tcPr>
                  <w:tcW w:w="642" w:type="dxa"/>
                  <w:noWrap/>
                  <w:vAlign w:val="center"/>
                </w:tcPr>
                <w:p w14:paraId="78E68425">
                  <w:pPr>
                    <w:keepLines/>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达标</w:t>
                  </w:r>
                </w:p>
              </w:tc>
            </w:tr>
            <w:tr w14:paraId="0E5C8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206" w:type="dxa"/>
                  <w:vMerge w:val="continue"/>
                  <w:noWrap/>
                  <w:vAlign w:val="center"/>
                </w:tcPr>
                <w:p w14:paraId="5DB19C6B">
                  <w:pPr>
                    <w:keepLines/>
                    <w:snapToGrid w:val="0"/>
                    <w:jc w:val="center"/>
                    <w:rPr>
                      <w:rFonts w:hint="default" w:ascii="Times New Roman" w:hAnsi="Times New Roman" w:cs="Times New Roman"/>
                      <w:color w:val="auto"/>
                      <w:szCs w:val="21"/>
                    </w:rPr>
                  </w:pPr>
                </w:p>
              </w:tc>
              <w:tc>
                <w:tcPr>
                  <w:tcW w:w="588" w:type="dxa"/>
                  <w:noWrap/>
                  <w:vAlign w:val="center"/>
                </w:tcPr>
                <w:p w14:paraId="24F0E134">
                  <w:pPr>
                    <w:keepLines/>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无组织</w:t>
                  </w:r>
                </w:p>
              </w:tc>
              <w:tc>
                <w:tcPr>
                  <w:tcW w:w="1641" w:type="dxa"/>
                  <w:noWrap/>
                  <w:vAlign w:val="center"/>
                </w:tcPr>
                <w:p w14:paraId="0324DDB1">
                  <w:pPr>
                    <w:keepLines/>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甲醛</w:t>
                  </w:r>
                </w:p>
              </w:tc>
              <w:tc>
                <w:tcPr>
                  <w:tcW w:w="759" w:type="dxa"/>
                  <w:noWrap/>
                  <w:vAlign w:val="center"/>
                </w:tcPr>
                <w:p w14:paraId="5C3A813C">
                  <w:pPr>
                    <w:keepLines/>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24" w:type="dxa"/>
                  <w:noWrap/>
                  <w:vAlign w:val="center"/>
                </w:tcPr>
                <w:p w14:paraId="5602B53B">
                  <w:pPr>
                    <w:keepLines/>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0.046</w:t>
                  </w:r>
                </w:p>
              </w:tc>
              <w:tc>
                <w:tcPr>
                  <w:tcW w:w="796" w:type="dxa"/>
                  <w:noWrap/>
                  <w:vAlign w:val="center"/>
                </w:tcPr>
                <w:p w14:paraId="7BB20170">
                  <w:pPr>
                    <w:keepLines/>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0.046</w:t>
                  </w:r>
                </w:p>
              </w:tc>
              <w:tc>
                <w:tcPr>
                  <w:tcW w:w="1150" w:type="dxa"/>
                  <w:noWrap/>
                  <w:vAlign w:val="center"/>
                </w:tcPr>
                <w:p w14:paraId="177BB17A">
                  <w:pPr>
                    <w:keepLines/>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56" w:type="dxa"/>
                  <w:noWrap/>
                  <w:vAlign w:val="center"/>
                </w:tcPr>
                <w:p w14:paraId="4CB1AC0A">
                  <w:pPr>
                    <w:keepLines/>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0.019</w:t>
                  </w:r>
                </w:p>
              </w:tc>
              <w:tc>
                <w:tcPr>
                  <w:tcW w:w="642" w:type="dxa"/>
                  <w:noWrap/>
                  <w:vAlign w:val="center"/>
                </w:tcPr>
                <w:p w14:paraId="2AF9797E">
                  <w:pPr>
                    <w:keepLines/>
                    <w:snapToGrid w:val="0"/>
                    <w:jc w:val="center"/>
                    <w:rPr>
                      <w:rFonts w:hint="default" w:ascii="Times New Roman" w:hAnsi="Times New Roman" w:cs="Times New Roman"/>
                      <w:bCs/>
                      <w:color w:val="auto"/>
                      <w:szCs w:val="21"/>
                    </w:rPr>
                  </w:pPr>
                  <w:r>
                    <w:rPr>
                      <w:rFonts w:hint="default" w:ascii="Times New Roman" w:hAnsi="Times New Roman" w:cs="Times New Roman"/>
                      <w:color w:val="auto"/>
                      <w:szCs w:val="21"/>
                    </w:rPr>
                    <w:t>/</w:t>
                  </w:r>
                </w:p>
              </w:tc>
            </w:tr>
            <w:tr w14:paraId="3275F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206" w:type="dxa"/>
                  <w:vMerge w:val="continue"/>
                  <w:noWrap/>
                  <w:vAlign w:val="center"/>
                </w:tcPr>
                <w:p w14:paraId="7AB87805">
                  <w:pPr>
                    <w:keepLines/>
                    <w:snapToGrid w:val="0"/>
                    <w:jc w:val="center"/>
                    <w:rPr>
                      <w:rFonts w:hint="default" w:ascii="Times New Roman" w:hAnsi="Times New Roman" w:cs="Times New Roman"/>
                      <w:color w:val="auto"/>
                      <w:szCs w:val="21"/>
                    </w:rPr>
                  </w:pPr>
                </w:p>
              </w:tc>
              <w:tc>
                <w:tcPr>
                  <w:tcW w:w="588" w:type="dxa"/>
                  <w:noWrap/>
                  <w:vAlign w:val="center"/>
                </w:tcPr>
                <w:p w14:paraId="466BBC4E">
                  <w:pPr>
                    <w:keepLines/>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有组织</w:t>
                  </w:r>
                </w:p>
              </w:tc>
              <w:tc>
                <w:tcPr>
                  <w:tcW w:w="1641" w:type="dxa"/>
                  <w:noWrap/>
                  <w:vAlign w:val="center"/>
                </w:tcPr>
                <w:p w14:paraId="44A932D2">
                  <w:pPr>
                    <w:keepLines/>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VOCs（以非甲烷总烃计）</w:t>
                  </w:r>
                </w:p>
              </w:tc>
              <w:tc>
                <w:tcPr>
                  <w:tcW w:w="759" w:type="dxa"/>
                  <w:noWrap/>
                  <w:vAlign w:val="center"/>
                </w:tcPr>
                <w:p w14:paraId="30FB455C">
                  <w:pPr>
                    <w:keepLines/>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20320m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p>
              </w:tc>
              <w:tc>
                <w:tcPr>
                  <w:tcW w:w="724" w:type="dxa"/>
                  <w:noWrap/>
                  <w:vAlign w:val="center"/>
                </w:tcPr>
                <w:p w14:paraId="12AB902C">
                  <w:pPr>
                    <w:keepLines/>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14.486</w:t>
                  </w:r>
                </w:p>
              </w:tc>
              <w:tc>
                <w:tcPr>
                  <w:tcW w:w="796" w:type="dxa"/>
                  <w:noWrap/>
                  <w:vAlign w:val="center"/>
                </w:tcPr>
                <w:p w14:paraId="46E8FD80">
                  <w:pPr>
                    <w:keepLines/>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5.215</w:t>
                  </w:r>
                </w:p>
              </w:tc>
              <w:tc>
                <w:tcPr>
                  <w:tcW w:w="1150" w:type="dxa"/>
                  <w:noWrap/>
                  <w:vAlign w:val="center"/>
                </w:tcPr>
                <w:p w14:paraId="3276323A">
                  <w:pPr>
                    <w:keepLines/>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106.939</w:t>
                  </w:r>
                </w:p>
              </w:tc>
              <w:tc>
                <w:tcPr>
                  <w:tcW w:w="1056" w:type="dxa"/>
                  <w:noWrap/>
                  <w:vAlign w:val="center"/>
                </w:tcPr>
                <w:p w14:paraId="75865B3E">
                  <w:pPr>
                    <w:keepLines/>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2.173</w:t>
                  </w:r>
                </w:p>
              </w:tc>
              <w:tc>
                <w:tcPr>
                  <w:tcW w:w="642" w:type="dxa"/>
                  <w:noWrap/>
                  <w:vAlign w:val="center"/>
                </w:tcPr>
                <w:p w14:paraId="67EB7FAC">
                  <w:pPr>
                    <w:keepLines/>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达标</w:t>
                  </w:r>
                </w:p>
              </w:tc>
            </w:tr>
            <w:tr w14:paraId="0DE51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206" w:type="dxa"/>
                  <w:vMerge w:val="continue"/>
                  <w:noWrap/>
                  <w:vAlign w:val="center"/>
                </w:tcPr>
                <w:p w14:paraId="5A332D4D">
                  <w:pPr>
                    <w:keepLines/>
                    <w:snapToGrid w:val="0"/>
                    <w:jc w:val="center"/>
                    <w:rPr>
                      <w:rFonts w:hint="default" w:ascii="Times New Roman" w:hAnsi="Times New Roman" w:cs="Times New Roman"/>
                      <w:color w:val="auto"/>
                    </w:rPr>
                  </w:pPr>
                </w:p>
              </w:tc>
              <w:tc>
                <w:tcPr>
                  <w:tcW w:w="588" w:type="dxa"/>
                  <w:noWrap/>
                  <w:vAlign w:val="center"/>
                </w:tcPr>
                <w:p w14:paraId="29DAA559">
                  <w:pPr>
                    <w:keepLines/>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无组织</w:t>
                  </w:r>
                </w:p>
              </w:tc>
              <w:tc>
                <w:tcPr>
                  <w:tcW w:w="1641" w:type="dxa"/>
                  <w:noWrap/>
                  <w:vAlign w:val="center"/>
                </w:tcPr>
                <w:p w14:paraId="32E46877">
                  <w:pPr>
                    <w:keepLines/>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VOCs（以非甲烷总烃计）</w:t>
                  </w:r>
                </w:p>
              </w:tc>
              <w:tc>
                <w:tcPr>
                  <w:tcW w:w="759" w:type="dxa"/>
                  <w:noWrap/>
                  <w:vAlign w:val="center"/>
                </w:tcPr>
                <w:p w14:paraId="7FFFDA2F">
                  <w:pPr>
                    <w:keepLines/>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24" w:type="dxa"/>
                  <w:noWrap/>
                  <w:vAlign w:val="center"/>
                </w:tcPr>
                <w:p w14:paraId="5E51CD2C">
                  <w:pPr>
                    <w:keepLines/>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1.449</w:t>
                  </w:r>
                </w:p>
              </w:tc>
              <w:tc>
                <w:tcPr>
                  <w:tcW w:w="796" w:type="dxa"/>
                  <w:noWrap/>
                  <w:vAlign w:val="center"/>
                </w:tcPr>
                <w:p w14:paraId="5793E1F3">
                  <w:pPr>
                    <w:keepLines/>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1.449</w:t>
                  </w:r>
                </w:p>
              </w:tc>
              <w:tc>
                <w:tcPr>
                  <w:tcW w:w="1150" w:type="dxa"/>
                  <w:noWrap/>
                  <w:vAlign w:val="center"/>
                </w:tcPr>
                <w:p w14:paraId="0B62B274">
                  <w:pPr>
                    <w:keepLines/>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56" w:type="dxa"/>
                  <w:noWrap/>
                  <w:vAlign w:val="center"/>
                </w:tcPr>
                <w:p w14:paraId="6A76704E">
                  <w:pPr>
                    <w:keepLines/>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0.604</w:t>
                  </w:r>
                </w:p>
              </w:tc>
              <w:tc>
                <w:tcPr>
                  <w:tcW w:w="642" w:type="dxa"/>
                  <w:noWrap/>
                  <w:vAlign w:val="center"/>
                </w:tcPr>
                <w:p w14:paraId="083C380A">
                  <w:pPr>
                    <w:keepLines/>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14:paraId="6D4EB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8562" w:type="dxa"/>
                  <w:gridSpan w:val="9"/>
                  <w:noWrap/>
                  <w:vAlign w:val="center"/>
                </w:tcPr>
                <w:p w14:paraId="6AE16DA2">
                  <w:pPr>
                    <w:keepLines/>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注：每年工作300d，每天8h。</w:t>
                  </w:r>
                </w:p>
              </w:tc>
            </w:tr>
          </w:tbl>
          <w:p w14:paraId="7F50AA96">
            <w:pPr>
              <w:keepLines/>
              <w:adjustRightInd w:val="0"/>
              <w:snapToGrid w:val="0"/>
              <w:spacing w:line="360" w:lineRule="auto"/>
              <w:ind w:firstLine="480" w:firstLineChars="200"/>
              <w:rPr>
                <w:rFonts w:hint="default" w:ascii="Times New Roman" w:hAnsi="Times New Roman" w:cs="Times New Roman"/>
                <w:b/>
                <w:color w:val="auto"/>
                <w:sz w:val="24"/>
              </w:rPr>
            </w:pPr>
            <w:r>
              <w:rPr>
                <w:rFonts w:hint="default" w:ascii="Times New Roman" w:hAnsi="Times New Roman" w:cs="Times New Roman"/>
                <w:color w:val="auto"/>
                <w:sz w:val="24"/>
                <w:lang w:val="zh-CN"/>
              </w:rPr>
              <w:t>由上表分析可知，</w:t>
            </w:r>
            <w:r>
              <w:rPr>
                <w:rFonts w:hint="default" w:ascii="Times New Roman" w:hAnsi="Times New Roman" w:cs="Times New Roman"/>
                <w:color w:val="auto"/>
                <w:sz w:val="24"/>
              </w:rPr>
              <w:t>项目排放的甲醛、VOCs（以非甲烷总烃计）排放浓度和排放速率均满足</w:t>
            </w:r>
            <w:r>
              <w:rPr>
                <w:rFonts w:hint="default" w:ascii="Times New Roman" w:hAnsi="Times New Roman" w:cs="Times New Roman"/>
                <w:color w:val="auto"/>
                <w:sz w:val="24"/>
                <w:lang w:val="zh-CN"/>
              </w:rPr>
              <w:t>《大气污染物综合排放标准》（GB16297-1996）表2中二级排放标准限值。</w:t>
            </w:r>
          </w:p>
          <w:p w14:paraId="06434D66">
            <w:pPr>
              <w:keepLines/>
              <w:adjustRightInd w:val="0"/>
              <w:snapToGrid w:val="0"/>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2）天然气燃烧废气（DA002）</w:t>
            </w:r>
          </w:p>
          <w:p w14:paraId="1179A92D">
            <w:pPr>
              <w:keepLines/>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表4-3 天然气燃烧废气排放分析表</w:t>
            </w:r>
          </w:p>
          <w:tbl>
            <w:tblPr>
              <w:tblStyle w:val="31"/>
              <w:tblW w:w="85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
              <w:gridCol w:w="1707"/>
              <w:gridCol w:w="1887"/>
              <w:gridCol w:w="1962"/>
              <w:gridCol w:w="2597"/>
            </w:tblGrid>
            <w:tr w14:paraId="08959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62" w:type="dxa"/>
                  <w:gridSpan w:val="5"/>
                  <w:vAlign w:val="center"/>
                </w:tcPr>
                <w:p w14:paraId="43459E42">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
                      <w:bCs/>
                      <w:color w:val="auto"/>
                      <w:szCs w:val="21"/>
                    </w:rPr>
                    <w:t>天然气燃烧废气产</w:t>
                  </w:r>
                  <w:r>
                    <w:rPr>
                      <w:rFonts w:hint="eastAsia" w:cs="Times New Roman"/>
                      <w:b/>
                      <w:bCs/>
                      <w:color w:val="auto"/>
                      <w:szCs w:val="21"/>
                      <w:lang w:eastAsia="zh-CN"/>
                    </w:rPr>
                    <w:t>排</w:t>
                  </w:r>
                  <w:r>
                    <w:rPr>
                      <w:rFonts w:hint="default" w:ascii="Times New Roman" w:hAnsi="Times New Roman" w:cs="Times New Roman"/>
                      <w:b/>
                      <w:bCs/>
                      <w:color w:val="auto"/>
                      <w:szCs w:val="21"/>
                    </w:rPr>
                    <w:t>放情况</w:t>
                  </w:r>
                </w:p>
              </w:tc>
            </w:tr>
            <w:tr w14:paraId="45090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16" w:type="dxa"/>
                  <w:gridSpan w:val="2"/>
                  <w:vAlign w:val="center"/>
                </w:tcPr>
                <w:p w14:paraId="73FE3567">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产污排污环节</w:t>
                  </w:r>
                </w:p>
              </w:tc>
              <w:tc>
                <w:tcPr>
                  <w:tcW w:w="6446" w:type="dxa"/>
                  <w:gridSpan w:val="3"/>
                  <w:vAlign w:val="center"/>
                </w:tcPr>
                <w:p w14:paraId="6A82BF32">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color w:val="auto"/>
                      <w:szCs w:val="21"/>
                    </w:rPr>
                    <w:t>天然气燃烧废气</w:t>
                  </w:r>
                </w:p>
              </w:tc>
            </w:tr>
            <w:tr w14:paraId="08C2F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gridSpan w:val="2"/>
                  <w:vAlign w:val="center"/>
                </w:tcPr>
                <w:p w14:paraId="47F31499">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污染物种类</w:t>
                  </w:r>
                </w:p>
              </w:tc>
              <w:tc>
                <w:tcPr>
                  <w:tcW w:w="1887" w:type="dxa"/>
                  <w:vAlign w:val="center"/>
                </w:tcPr>
                <w:p w14:paraId="3D12A37D">
                  <w:pPr>
                    <w:pStyle w:val="75"/>
                    <w:keepLines/>
                    <w:tabs>
                      <w:tab w:val="left" w:pos="0"/>
                    </w:tabs>
                    <w:spacing w:line="240" w:lineRule="auto"/>
                    <w:rPr>
                      <w:rFonts w:hint="default" w:ascii="Times New Roman" w:hAnsi="Times New Roman" w:cs="Times New Roman"/>
                      <w:bCs/>
                      <w:color w:val="auto"/>
                      <w:spacing w:val="-10"/>
                      <w:w w:val="100"/>
                      <w:kern w:val="2"/>
                      <w:szCs w:val="21"/>
                    </w:rPr>
                  </w:pPr>
                  <w:r>
                    <w:rPr>
                      <w:rFonts w:hint="default" w:ascii="Times New Roman" w:hAnsi="Times New Roman" w:cs="Times New Roman"/>
                      <w:bCs/>
                      <w:color w:val="auto"/>
                      <w:spacing w:val="-10"/>
                      <w:w w:val="100"/>
                      <w:kern w:val="2"/>
                      <w:szCs w:val="21"/>
                    </w:rPr>
                    <w:t>颗粒物</w:t>
                  </w:r>
                </w:p>
              </w:tc>
              <w:tc>
                <w:tcPr>
                  <w:tcW w:w="1962" w:type="dxa"/>
                  <w:vAlign w:val="center"/>
                </w:tcPr>
                <w:p w14:paraId="020E523D">
                  <w:pPr>
                    <w:pStyle w:val="75"/>
                    <w:keepLines/>
                    <w:tabs>
                      <w:tab w:val="left" w:pos="0"/>
                    </w:tabs>
                    <w:spacing w:line="240" w:lineRule="auto"/>
                    <w:rPr>
                      <w:rFonts w:hint="default" w:ascii="Times New Roman" w:hAnsi="Times New Roman" w:cs="Times New Roman"/>
                      <w:bCs/>
                      <w:color w:val="auto"/>
                      <w:spacing w:val="-10"/>
                      <w:w w:val="100"/>
                      <w:kern w:val="2"/>
                      <w:szCs w:val="21"/>
                    </w:rPr>
                  </w:pPr>
                  <w:r>
                    <w:rPr>
                      <w:rFonts w:hint="default" w:ascii="Times New Roman" w:hAnsi="Times New Roman" w:cs="Times New Roman"/>
                      <w:color w:val="auto"/>
                      <w:szCs w:val="21"/>
                    </w:rPr>
                    <w:t>SO</w:t>
                  </w:r>
                  <w:r>
                    <w:rPr>
                      <w:rFonts w:hint="default" w:ascii="Times New Roman" w:hAnsi="Times New Roman" w:cs="Times New Roman"/>
                      <w:color w:val="auto"/>
                      <w:szCs w:val="21"/>
                      <w:vertAlign w:val="subscript"/>
                    </w:rPr>
                    <w:t>2</w:t>
                  </w:r>
                </w:p>
              </w:tc>
              <w:tc>
                <w:tcPr>
                  <w:tcW w:w="2597" w:type="dxa"/>
                  <w:vAlign w:val="center"/>
                </w:tcPr>
                <w:p w14:paraId="4A58696E">
                  <w:pPr>
                    <w:pStyle w:val="75"/>
                    <w:keepLines/>
                    <w:tabs>
                      <w:tab w:val="left" w:pos="0"/>
                    </w:tabs>
                    <w:spacing w:line="240" w:lineRule="auto"/>
                    <w:rPr>
                      <w:rFonts w:hint="default" w:ascii="Times New Roman" w:hAnsi="Times New Roman" w:cs="Times New Roman"/>
                      <w:bCs/>
                      <w:color w:val="auto"/>
                      <w:spacing w:val="-10"/>
                      <w:w w:val="100"/>
                      <w:kern w:val="2"/>
                      <w:szCs w:val="21"/>
                    </w:rPr>
                  </w:pPr>
                  <w:r>
                    <w:rPr>
                      <w:rFonts w:hint="default" w:ascii="Times New Roman" w:hAnsi="Times New Roman" w:cs="Times New Roman"/>
                      <w:color w:val="auto"/>
                      <w:szCs w:val="21"/>
                    </w:rPr>
                    <w:t>NOx</w:t>
                  </w:r>
                </w:p>
              </w:tc>
            </w:tr>
            <w:tr w14:paraId="213EF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gridSpan w:val="2"/>
                  <w:vAlign w:val="center"/>
                </w:tcPr>
                <w:p w14:paraId="126A5207">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污染物产生量（t/a）</w:t>
                  </w:r>
                </w:p>
              </w:tc>
              <w:tc>
                <w:tcPr>
                  <w:tcW w:w="1887" w:type="dxa"/>
                  <w:vAlign w:val="center"/>
                </w:tcPr>
                <w:p w14:paraId="28BE487F">
                  <w:pPr>
                    <w:pStyle w:val="75"/>
                    <w:keepLines/>
                    <w:tabs>
                      <w:tab w:val="left" w:pos="0"/>
                    </w:tabs>
                    <w:spacing w:line="240" w:lineRule="auto"/>
                    <w:rPr>
                      <w:rFonts w:hint="default" w:ascii="Times New Roman" w:hAnsi="Times New Roman" w:cs="Times New Roman"/>
                      <w:bCs/>
                      <w:color w:val="auto"/>
                      <w:spacing w:val="-10"/>
                      <w:szCs w:val="21"/>
                    </w:rPr>
                  </w:pPr>
                  <w:r>
                    <w:rPr>
                      <w:rFonts w:hint="default" w:ascii="Times New Roman" w:hAnsi="Times New Roman" w:cs="Times New Roman"/>
                      <w:color w:val="auto"/>
                      <w:w w:val="100"/>
                      <w:kern w:val="2"/>
                      <w:szCs w:val="21"/>
                    </w:rPr>
                    <w:t>0.0215</w:t>
                  </w:r>
                </w:p>
              </w:tc>
              <w:tc>
                <w:tcPr>
                  <w:tcW w:w="1962" w:type="dxa"/>
                  <w:vAlign w:val="center"/>
                </w:tcPr>
                <w:p w14:paraId="3CF28E2B">
                  <w:pPr>
                    <w:pStyle w:val="75"/>
                    <w:keepLines/>
                    <w:tabs>
                      <w:tab w:val="left" w:pos="0"/>
                    </w:tabs>
                    <w:spacing w:line="240" w:lineRule="auto"/>
                    <w:rPr>
                      <w:rFonts w:hint="default" w:ascii="Times New Roman" w:hAnsi="Times New Roman" w:cs="Times New Roman"/>
                      <w:color w:val="auto"/>
                      <w:w w:val="100"/>
                      <w:kern w:val="2"/>
                      <w:szCs w:val="21"/>
                    </w:rPr>
                  </w:pPr>
                  <w:r>
                    <w:rPr>
                      <w:rFonts w:hint="default" w:ascii="Times New Roman" w:hAnsi="Times New Roman" w:cs="Times New Roman"/>
                      <w:color w:val="auto"/>
                      <w:w w:val="100"/>
                      <w:kern w:val="2"/>
                      <w:szCs w:val="21"/>
                    </w:rPr>
                    <w:t>0.003</w:t>
                  </w:r>
                </w:p>
              </w:tc>
              <w:tc>
                <w:tcPr>
                  <w:tcW w:w="2597" w:type="dxa"/>
                  <w:vAlign w:val="center"/>
                </w:tcPr>
                <w:p w14:paraId="3FD06F9F">
                  <w:pPr>
                    <w:pStyle w:val="75"/>
                    <w:keepLines/>
                    <w:tabs>
                      <w:tab w:val="left" w:pos="0"/>
                    </w:tabs>
                    <w:spacing w:line="240" w:lineRule="auto"/>
                    <w:rPr>
                      <w:rFonts w:hint="default" w:ascii="Times New Roman" w:hAnsi="Times New Roman" w:cs="Times New Roman"/>
                      <w:color w:val="auto"/>
                      <w:w w:val="100"/>
                      <w:kern w:val="2"/>
                      <w:szCs w:val="21"/>
                    </w:rPr>
                  </w:pPr>
                  <w:r>
                    <w:rPr>
                      <w:rFonts w:hint="default" w:ascii="Times New Roman" w:hAnsi="Times New Roman" w:cs="Times New Roman"/>
                      <w:color w:val="auto"/>
                      <w:w w:val="100"/>
                      <w:kern w:val="2"/>
                      <w:szCs w:val="21"/>
                    </w:rPr>
                    <w:t>0.1403</w:t>
                  </w:r>
                </w:p>
              </w:tc>
            </w:tr>
            <w:tr w14:paraId="00F2B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gridSpan w:val="2"/>
                  <w:vAlign w:val="center"/>
                </w:tcPr>
                <w:p w14:paraId="55E51D6D">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污染物产生浓度（mg/m</w:t>
                  </w:r>
                  <w:r>
                    <w:rPr>
                      <w:rFonts w:hint="default" w:ascii="Times New Roman" w:hAnsi="Times New Roman" w:cs="Times New Roman"/>
                      <w:b/>
                      <w:color w:val="auto"/>
                      <w:spacing w:val="-10"/>
                      <w:szCs w:val="21"/>
                      <w:vertAlign w:val="superscript"/>
                    </w:rPr>
                    <w:t>3</w:t>
                  </w:r>
                  <w:r>
                    <w:rPr>
                      <w:rFonts w:hint="default" w:ascii="Times New Roman" w:hAnsi="Times New Roman" w:cs="Times New Roman"/>
                      <w:b/>
                      <w:color w:val="auto"/>
                      <w:spacing w:val="-10"/>
                      <w:szCs w:val="21"/>
                    </w:rPr>
                    <w:t>）</w:t>
                  </w:r>
                </w:p>
              </w:tc>
              <w:tc>
                <w:tcPr>
                  <w:tcW w:w="1887" w:type="dxa"/>
                  <w:vAlign w:val="center"/>
                </w:tcPr>
                <w:p w14:paraId="5DEA6EB5">
                  <w:pPr>
                    <w:pStyle w:val="75"/>
                    <w:keepLines/>
                    <w:tabs>
                      <w:tab w:val="left" w:pos="0"/>
                    </w:tabs>
                    <w:spacing w:line="240" w:lineRule="auto"/>
                    <w:rPr>
                      <w:rFonts w:hint="default" w:ascii="Times New Roman" w:hAnsi="Times New Roman" w:cs="Times New Roman"/>
                      <w:bCs/>
                      <w:color w:val="auto"/>
                      <w:spacing w:val="-10"/>
                      <w:kern w:val="2"/>
                      <w:szCs w:val="21"/>
                    </w:rPr>
                  </w:pPr>
                  <w:r>
                    <w:rPr>
                      <w:rFonts w:hint="default" w:ascii="Times New Roman" w:hAnsi="Times New Roman" w:cs="Times New Roman"/>
                      <w:color w:val="auto"/>
                      <w:w w:val="100"/>
                      <w:kern w:val="2"/>
                      <w:szCs w:val="21"/>
                    </w:rPr>
                    <w:t>21.8</w:t>
                  </w:r>
                </w:p>
              </w:tc>
              <w:tc>
                <w:tcPr>
                  <w:tcW w:w="1962" w:type="dxa"/>
                  <w:vAlign w:val="center"/>
                </w:tcPr>
                <w:p w14:paraId="61062F48">
                  <w:pPr>
                    <w:pStyle w:val="75"/>
                    <w:keepLines/>
                    <w:tabs>
                      <w:tab w:val="left" w:pos="0"/>
                    </w:tabs>
                    <w:spacing w:line="240" w:lineRule="auto"/>
                    <w:rPr>
                      <w:rFonts w:hint="default" w:ascii="Times New Roman" w:hAnsi="Times New Roman" w:cs="Times New Roman"/>
                      <w:color w:val="auto"/>
                      <w:w w:val="100"/>
                      <w:kern w:val="2"/>
                      <w:szCs w:val="21"/>
                    </w:rPr>
                  </w:pPr>
                  <w:r>
                    <w:rPr>
                      <w:rFonts w:hint="default" w:ascii="Times New Roman" w:hAnsi="Times New Roman" w:cs="Times New Roman"/>
                      <w:color w:val="auto"/>
                      <w:w w:val="100"/>
                      <w:kern w:val="2"/>
                      <w:szCs w:val="21"/>
                    </w:rPr>
                    <w:t>0.0013</w:t>
                  </w:r>
                </w:p>
              </w:tc>
              <w:tc>
                <w:tcPr>
                  <w:tcW w:w="2597" w:type="dxa"/>
                  <w:vAlign w:val="center"/>
                </w:tcPr>
                <w:p w14:paraId="50B96AF8">
                  <w:pPr>
                    <w:pStyle w:val="75"/>
                    <w:keepLines/>
                    <w:tabs>
                      <w:tab w:val="left" w:pos="0"/>
                    </w:tabs>
                    <w:spacing w:line="240" w:lineRule="auto"/>
                    <w:rPr>
                      <w:rFonts w:hint="default" w:ascii="Times New Roman" w:hAnsi="Times New Roman" w:cs="Times New Roman"/>
                      <w:color w:val="auto"/>
                      <w:w w:val="100"/>
                      <w:kern w:val="2"/>
                      <w:szCs w:val="21"/>
                    </w:rPr>
                  </w:pPr>
                  <w:r>
                    <w:rPr>
                      <w:rFonts w:hint="default" w:ascii="Times New Roman" w:hAnsi="Times New Roman" w:cs="Times New Roman"/>
                      <w:color w:val="auto"/>
                      <w:w w:val="100"/>
                      <w:kern w:val="2"/>
                      <w:szCs w:val="21"/>
                    </w:rPr>
                    <w:t>0.0585</w:t>
                  </w:r>
                </w:p>
              </w:tc>
            </w:tr>
            <w:tr w14:paraId="32694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gridSpan w:val="2"/>
                  <w:vAlign w:val="center"/>
                </w:tcPr>
                <w:p w14:paraId="58E3386C">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排放形式</w:t>
                  </w:r>
                </w:p>
              </w:tc>
              <w:tc>
                <w:tcPr>
                  <w:tcW w:w="6446" w:type="dxa"/>
                  <w:gridSpan w:val="3"/>
                  <w:vAlign w:val="center"/>
                </w:tcPr>
                <w:p w14:paraId="7885B9C9">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有组织</w:t>
                  </w:r>
                </w:p>
              </w:tc>
            </w:tr>
            <w:tr w14:paraId="5097C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vMerge w:val="restart"/>
                  <w:vAlign w:val="center"/>
                </w:tcPr>
                <w:p w14:paraId="50FCA461">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治理设施</w:t>
                  </w:r>
                </w:p>
              </w:tc>
              <w:tc>
                <w:tcPr>
                  <w:tcW w:w="1707" w:type="dxa"/>
                  <w:vAlign w:val="center"/>
                </w:tcPr>
                <w:p w14:paraId="1683EF40">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处理能力</w:t>
                  </w:r>
                </w:p>
              </w:tc>
              <w:tc>
                <w:tcPr>
                  <w:tcW w:w="6446" w:type="dxa"/>
                  <w:gridSpan w:val="3"/>
                  <w:vAlign w:val="center"/>
                </w:tcPr>
                <w:p w14:paraId="3E509EFD">
                  <w:pPr>
                    <w:keepLines/>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425m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p>
              </w:tc>
            </w:tr>
            <w:tr w14:paraId="6DF20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vMerge w:val="continue"/>
                  <w:vAlign w:val="center"/>
                </w:tcPr>
                <w:p w14:paraId="727C2FF2">
                  <w:pPr>
                    <w:keepLines/>
                    <w:adjustRightInd w:val="0"/>
                    <w:snapToGrid w:val="0"/>
                    <w:jc w:val="center"/>
                    <w:rPr>
                      <w:rFonts w:hint="default" w:ascii="Times New Roman" w:hAnsi="Times New Roman" w:cs="Times New Roman"/>
                      <w:b/>
                      <w:color w:val="auto"/>
                      <w:spacing w:val="-10"/>
                      <w:szCs w:val="21"/>
                    </w:rPr>
                  </w:pPr>
                </w:p>
              </w:tc>
              <w:tc>
                <w:tcPr>
                  <w:tcW w:w="1707" w:type="dxa"/>
                  <w:vAlign w:val="center"/>
                </w:tcPr>
                <w:p w14:paraId="7496C5CC">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收集效率</w:t>
                  </w:r>
                </w:p>
              </w:tc>
              <w:tc>
                <w:tcPr>
                  <w:tcW w:w="1887" w:type="dxa"/>
                  <w:vAlign w:val="center"/>
                </w:tcPr>
                <w:p w14:paraId="7C0B3A32">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color w:val="auto"/>
                      <w:szCs w:val="21"/>
                    </w:rPr>
                    <w:t>100%</w:t>
                  </w:r>
                </w:p>
              </w:tc>
              <w:tc>
                <w:tcPr>
                  <w:tcW w:w="1962" w:type="dxa"/>
                  <w:vAlign w:val="center"/>
                </w:tcPr>
                <w:p w14:paraId="39E4EAE9">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color w:val="auto"/>
                      <w:szCs w:val="21"/>
                    </w:rPr>
                    <w:t>100%</w:t>
                  </w:r>
                </w:p>
              </w:tc>
              <w:tc>
                <w:tcPr>
                  <w:tcW w:w="2597" w:type="dxa"/>
                  <w:vAlign w:val="center"/>
                </w:tcPr>
                <w:p w14:paraId="63E607C7">
                  <w:pPr>
                    <w:keepLines/>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100%</w:t>
                  </w:r>
                </w:p>
              </w:tc>
            </w:tr>
            <w:tr w14:paraId="334CD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vMerge w:val="continue"/>
                  <w:vAlign w:val="center"/>
                </w:tcPr>
                <w:p w14:paraId="5694741E">
                  <w:pPr>
                    <w:keepLines/>
                    <w:adjustRightInd w:val="0"/>
                    <w:snapToGrid w:val="0"/>
                    <w:jc w:val="center"/>
                    <w:rPr>
                      <w:rFonts w:hint="default" w:ascii="Times New Roman" w:hAnsi="Times New Roman" w:cs="Times New Roman"/>
                      <w:b/>
                      <w:color w:val="auto"/>
                      <w:spacing w:val="-10"/>
                      <w:szCs w:val="21"/>
                    </w:rPr>
                  </w:pPr>
                </w:p>
              </w:tc>
              <w:tc>
                <w:tcPr>
                  <w:tcW w:w="1707" w:type="dxa"/>
                  <w:vAlign w:val="center"/>
                </w:tcPr>
                <w:p w14:paraId="4A70FC4B">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治理工艺</w:t>
                  </w:r>
                </w:p>
              </w:tc>
              <w:tc>
                <w:tcPr>
                  <w:tcW w:w="1887" w:type="dxa"/>
                  <w:vAlign w:val="center"/>
                </w:tcPr>
                <w:p w14:paraId="079EF49D">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直排</w:t>
                  </w:r>
                </w:p>
              </w:tc>
              <w:tc>
                <w:tcPr>
                  <w:tcW w:w="1962" w:type="dxa"/>
                  <w:vAlign w:val="center"/>
                </w:tcPr>
                <w:p w14:paraId="5285AACF">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直排</w:t>
                  </w:r>
                </w:p>
              </w:tc>
              <w:tc>
                <w:tcPr>
                  <w:tcW w:w="2597" w:type="dxa"/>
                  <w:vAlign w:val="center"/>
                </w:tcPr>
                <w:p w14:paraId="00B11A49">
                  <w:pPr>
                    <w:keepLines/>
                    <w:adjustRightInd w:val="0"/>
                    <w:snapToGrid w:val="0"/>
                    <w:jc w:val="center"/>
                    <w:rPr>
                      <w:rFonts w:hint="default" w:ascii="Times New Roman" w:hAnsi="Times New Roman" w:cs="Times New Roman"/>
                      <w:bCs/>
                      <w:color w:val="auto"/>
                      <w:kern w:val="0"/>
                      <w:szCs w:val="21"/>
                    </w:rPr>
                  </w:pPr>
                  <w:r>
                    <w:rPr>
                      <w:rFonts w:hint="default" w:ascii="Times New Roman" w:hAnsi="Times New Roman" w:cs="Times New Roman"/>
                      <w:bCs/>
                      <w:color w:val="auto"/>
                      <w:spacing w:val="-10"/>
                      <w:szCs w:val="21"/>
                    </w:rPr>
                    <w:t>直排</w:t>
                  </w:r>
                </w:p>
              </w:tc>
            </w:tr>
            <w:tr w14:paraId="567FB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vMerge w:val="continue"/>
                  <w:vAlign w:val="center"/>
                </w:tcPr>
                <w:p w14:paraId="28A59005">
                  <w:pPr>
                    <w:keepLines/>
                    <w:adjustRightInd w:val="0"/>
                    <w:snapToGrid w:val="0"/>
                    <w:jc w:val="center"/>
                    <w:rPr>
                      <w:rFonts w:hint="default" w:ascii="Times New Roman" w:hAnsi="Times New Roman" w:cs="Times New Roman"/>
                      <w:b/>
                      <w:color w:val="auto"/>
                      <w:spacing w:val="-10"/>
                      <w:szCs w:val="21"/>
                    </w:rPr>
                  </w:pPr>
                </w:p>
              </w:tc>
              <w:tc>
                <w:tcPr>
                  <w:tcW w:w="1707" w:type="dxa"/>
                  <w:vAlign w:val="center"/>
                </w:tcPr>
                <w:p w14:paraId="390788B7">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治理工艺去除率</w:t>
                  </w:r>
                </w:p>
              </w:tc>
              <w:tc>
                <w:tcPr>
                  <w:tcW w:w="1887" w:type="dxa"/>
                  <w:vAlign w:val="center"/>
                </w:tcPr>
                <w:p w14:paraId="114B4A1E">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w:t>
                  </w:r>
                </w:p>
              </w:tc>
              <w:tc>
                <w:tcPr>
                  <w:tcW w:w="1962" w:type="dxa"/>
                  <w:vAlign w:val="center"/>
                </w:tcPr>
                <w:p w14:paraId="741F3518">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color w:val="auto"/>
                      <w:szCs w:val="21"/>
                    </w:rPr>
                    <w:t>/</w:t>
                  </w:r>
                </w:p>
              </w:tc>
              <w:tc>
                <w:tcPr>
                  <w:tcW w:w="2597" w:type="dxa"/>
                  <w:vAlign w:val="center"/>
                </w:tcPr>
                <w:p w14:paraId="128EAB0F">
                  <w:pPr>
                    <w:keepLines/>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14:paraId="1F294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vMerge w:val="continue"/>
                  <w:vAlign w:val="center"/>
                </w:tcPr>
                <w:p w14:paraId="24E54554">
                  <w:pPr>
                    <w:keepLines/>
                    <w:adjustRightInd w:val="0"/>
                    <w:snapToGrid w:val="0"/>
                    <w:jc w:val="center"/>
                    <w:rPr>
                      <w:rFonts w:hint="default" w:ascii="Times New Roman" w:hAnsi="Times New Roman" w:cs="Times New Roman"/>
                      <w:b/>
                      <w:color w:val="auto"/>
                      <w:spacing w:val="-10"/>
                      <w:szCs w:val="21"/>
                    </w:rPr>
                  </w:pPr>
                </w:p>
              </w:tc>
              <w:tc>
                <w:tcPr>
                  <w:tcW w:w="1707" w:type="dxa"/>
                  <w:vAlign w:val="center"/>
                </w:tcPr>
                <w:p w14:paraId="28FCD9D8">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是否为可行技术</w:t>
                  </w:r>
                </w:p>
              </w:tc>
              <w:tc>
                <w:tcPr>
                  <w:tcW w:w="1887" w:type="dxa"/>
                  <w:vAlign w:val="center"/>
                </w:tcPr>
                <w:p w14:paraId="20CA7A3A">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w:t>
                  </w:r>
                </w:p>
              </w:tc>
              <w:tc>
                <w:tcPr>
                  <w:tcW w:w="1962" w:type="dxa"/>
                  <w:vAlign w:val="center"/>
                </w:tcPr>
                <w:p w14:paraId="2EA78FB7">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color w:val="auto"/>
                      <w:szCs w:val="21"/>
                    </w:rPr>
                    <w:t>/</w:t>
                  </w:r>
                </w:p>
              </w:tc>
              <w:tc>
                <w:tcPr>
                  <w:tcW w:w="2597" w:type="dxa"/>
                  <w:vAlign w:val="center"/>
                </w:tcPr>
                <w:p w14:paraId="360F418F">
                  <w:pPr>
                    <w:keepLines/>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14:paraId="4CB37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gridSpan w:val="2"/>
                  <w:vAlign w:val="center"/>
                </w:tcPr>
                <w:p w14:paraId="05628A75">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污染物排放浓度（mg/m</w:t>
                  </w:r>
                  <w:r>
                    <w:rPr>
                      <w:rFonts w:hint="default" w:ascii="Times New Roman" w:hAnsi="Times New Roman" w:cs="Times New Roman"/>
                      <w:b/>
                      <w:color w:val="auto"/>
                      <w:spacing w:val="-10"/>
                      <w:szCs w:val="21"/>
                      <w:vertAlign w:val="superscript"/>
                    </w:rPr>
                    <w:t>3</w:t>
                  </w:r>
                  <w:r>
                    <w:rPr>
                      <w:rFonts w:hint="default" w:ascii="Times New Roman" w:hAnsi="Times New Roman" w:cs="Times New Roman"/>
                      <w:b/>
                      <w:color w:val="auto"/>
                      <w:spacing w:val="-10"/>
                      <w:szCs w:val="21"/>
                    </w:rPr>
                    <w:t>）</w:t>
                  </w:r>
                </w:p>
              </w:tc>
              <w:tc>
                <w:tcPr>
                  <w:tcW w:w="1887" w:type="dxa"/>
                  <w:vAlign w:val="center"/>
                </w:tcPr>
                <w:p w14:paraId="537EBB50">
                  <w:pPr>
                    <w:pStyle w:val="75"/>
                    <w:keepLines/>
                    <w:tabs>
                      <w:tab w:val="left" w:pos="0"/>
                    </w:tabs>
                    <w:spacing w:line="240" w:lineRule="auto"/>
                    <w:rPr>
                      <w:rFonts w:hint="default" w:ascii="Times New Roman" w:hAnsi="Times New Roman" w:cs="Times New Roman"/>
                      <w:color w:val="auto"/>
                      <w:w w:val="100"/>
                      <w:kern w:val="2"/>
                      <w:szCs w:val="21"/>
                    </w:rPr>
                  </w:pPr>
                  <w:r>
                    <w:rPr>
                      <w:rFonts w:hint="default" w:ascii="Times New Roman" w:hAnsi="Times New Roman" w:cs="Times New Roman"/>
                      <w:color w:val="auto"/>
                      <w:w w:val="100"/>
                      <w:kern w:val="2"/>
                      <w:szCs w:val="21"/>
                    </w:rPr>
                    <w:t>21.18</w:t>
                  </w:r>
                </w:p>
              </w:tc>
              <w:tc>
                <w:tcPr>
                  <w:tcW w:w="1962" w:type="dxa"/>
                  <w:vAlign w:val="center"/>
                </w:tcPr>
                <w:p w14:paraId="6C6D9CC6">
                  <w:pPr>
                    <w:pStyle w:val="75"/>
                    <w:keepLines/>
                    <w:tabs>
                      <w:tab w:val="left" w:pos="0"/>
                    </w:tabs>
                    <w:spacing w:line="240" w:lineRule="auto"/>
                    <w:rPr>
                      <w:rFonts w:hint="default" w:ascii="Times New Roman" w:hAnsi="Times New Roman" w:cs="Times New Roman"/>
                      <w:color w:val="auto"/>
                      <w:w w:val="100"/>
                      <w:kern w:val="2"/>
                      <w:szCs w:val="21"/>
                    </w:rPr>
                  </w:pPr>
                  <w:r>
                    <w:rPr>
                      <w:rFonts w:hint="default" w:ascii="Times New Roman" w:hAnsi="Times New Roman" w:cs="Times New Roman"/>
                      <w:color w:val="auto"/>
                      <w:w w:val="100"/>
                      <w:kern w:val="2"/>
                      <w:szCs w:val="21"/>
                    </w:rPr>
                    <w:t>3.059</w:t>
                  </w:r>
                </w:p>
              </w:tc>
              <w:tc>
                <w:tcPr>
                  <w:tcW w:w="2597" w:type="dxa"/>
                  <w:vAlign w:val="center"/>
                </w:tcPr>
                <w:p w14:paraId="5A88DEFF">
                  <w:pPr>
                    <w:pStyle w:val="75"/>
                    <w:keepLines/>
                    <w:tabs>
                      <w:tab w:val="left" w:pos="0"/>
                    </w:tabs>
                    <w:spacing w:line="240" w:lineRule="auto"/>
                    <w:rPr>
                      <w:rFonts w:hint="default" w:ascii="Times New Roman" w:hAnsi="Times New Roman" w:cs="Times New Roman"/>
                      <w:color w:val="auto"/>
                      <w:w w:val="100"/>
                      <w:kern w:val="2"/>
                      <w:szCs w:val="21"/>
                    </w:rPr>
                  </w:pPr>
                  <w:r>
                    <w:rPr>
                      <w:rFonts w:hint="default" w:ascii="Times New Roman" w:hAnsi="Times New Roman" w:cs="Times New Roman"/>
                      <w:color w:val="auto"/>
                      <w:w w:val="100"/>
                      <w:kern w:val="2"/>
                      <w:szCs w:val="21"/>
                    </w:rPr>
                    <w:t>137.65</w:t>
                  </w:r>
                </w:p>
              </w:tc>
            </w:tr>
            <w:tr w14:paraId="77A38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gridSpan w:val="2"/>
                  <w:vAlign w:val="center"/>
                </w:tcPr>
                <w:p w14:paraId="3C2CC55B">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污染物排放速率（kg/h）</w:t>
                  </w:r>
                </w:p>
              </w:tc>
              <w:tc>
                <w:tcPr>
                  <w:tcW w:w="1887" w:type="dxa"/>
                  <w:vAlign w:val="center"/>
                </w:tcPr>
                <w:p w14:paraId="0D342705">
                  <w:pPr>
                    <w:pStyle w:val="75"/>
                    <w:keepLines/>
                    <w:tabs>
                      <w:tab w:val="left" w:pos="0"/>
                    </w:tabs>
                    <w:spacing w:line="240" w:lineRule="auto"/>
                    <w:rPr>
                      <w:rFonts w:hint="default" w:ascii="Times New Roman" w:hAnsi="Times New Roman" w:cs="Times New Roman"/>
                      <w:color w:val="auto"/>
                      <w:w w:val="100"/>
                      <w:kern w:val="2"/>
                      <w:szCs w:val="21"/>
                    </w:rPr>
                  </w:pPr>
                  <w:r>
                    <w:rPr>
                      <w:rFonts w:hint="default" w:ascii="Times New Roman" w:hAnsi="Times New Roman" w:cs="Times New Roman"/>
                      <w:color w:val="auto"/>
                      <w:w w:val="100"/>
                      <w:kern w:val="2"/>
                      <w:szCs w:val="21"/>
                    </w:rPr>
                    <w:t>0.0090</w:t>
                  </w:r>
                </w:p>
              </w:tc>
              <w:tc>
                <w:tcPr>
                  <w:tcW w:w="1962" w:type="dxa"/>
                  <w:vAlign w:val="center"/>
                </w:tcPr>
                <w:p w14:paraId="03BAA49E">
                  <w:pPr>
                    <w:pStyle w:val="75"/>
                    <w:keepLines/>
                    <w:tabs>
                      <w:tab w:val="left" w:pos="0"/>
                    </w:tabs>
                    <w:spacing w:line="240" w:lineRule="auto"/>
                    <w:rPr>
                      <w:rFonts w:hint="default" w:ascii="Times New Roman" w:hAnsi="Times New Roman" w:cs="Times New Roman"/>
                      <w:color w:val="auto"/>
                      <w:w w:val="100"/>
                      <w:kern w:val="2"/>
                      <w:szCs w:val="21"/>
                    </w:rPr>
                  </w:pPr>
                  <w:r>
                    <w:rPr>
                      <w:rFonts w:hint="default" w:ascii="Times New Roman" w:hAnsi="Times New Roman" w:cs="Times New Roman"/>
                      <w:color w:val="auto"/>
                      <w:w w:val="100"/>
                      <w:kern w:val="2"/>
                      <w:szCs w:val="21"/>
                    </w:rPr>
                    <w:t>0.0013</w:t>
                  </w:r>
                </w:p>
              </w:tc>
              <w:tc>
                <w:tcPr>
                  <w:tcW w:w="2597" w:type="dxa"/>
                  <w:vAlign w:val="center"/>
                </w:tcPr>
                <w:p w14:paraId="0120161A">
                  <w:pPr>
                    <w:pStyle w:val="75"/>
                    <w:keepLines/>
                    <w:tabs>
                      <w:tab w:val="left" w:pos="0"/>
                    </w:tabs>
                    <w:spacing w:line="240" w:lineRule="auto"/>
                    <w:rPr>
                      <w:rFonts w:hint="default" w:ascii="Times New Roman" w:hAnsi="Times New Roman" w:cs="Times New Roman"/>
                      <w:color w:val="auto"/>
                      <w:w w:val="100"/>
                      <w:kern w:val="2"/>
                      <w:szCs w:val="21"/>
                    </w:rPr>
                  </w:pPr>
                  <w:r>
                    <w:rPr>
                      <w:rFonts w:hint="default" w:ascii="Times New Roman" w:hAnsi="Times New Roman" w:cs="Times New Roman"/>
                      <w:color w:val="auto"/>
                      <w:w w:val="100"/>
                      <w:kern w:val="2"/>
                      <w:szCs w:val="21"/>
                    </w:rPr>
                    <w:t>0.0585</w:t>
                  </w:r>
                </w:p>
              </w:tc>
            </w:tr>
            <w:tr w14:paraId="0A8AE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gridSpan w:val="2"/>
                  <w:vAlign w:val="center"/>
                </w:tcPr>
                <w:p w14:paraId="7CD0EA92">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污染物排放量（t/a）</w:t>
                  </w:r>
                </w:p>
              </w:tc>
              <w:tc>
                <w:tcPr>
                  <w:tcW w:w="1887" w:type="dxa"/>
                  <w:vAlign w:val="center"/>
                </w:tcPr>
                <w:p w14:paraId="24602738">
                  <w:pPr>
                    <w:pStyle w:val="75"/>
                    <w:keepLines/>
                    <w:tabs>
                      <w:tab w:val="left" w:pos="0"/>
                    </w:tabs>
                    <w:spacing w:line="240" w:lineRule="auto"/>
                    <w:rPr>
                      <w:rFonts w:hint="default" w:ascii="Times New Roman" w:hAnsi="Times New Roman" w:cs="Times New Roman"/>
                      <w:color w:val="auto"/>
                      <w:w w:val="100"/>
                      <w:kern w:val="2"/>
                      <w:szCs w:val="21"/>
                    </w:rPr>
                  </w:pPr>
                  <w:r>
                    <w:rPr>
                      <w:rFonts w:hint="default" w:ascii="Times New Roman" w:hAnsi="Times New Roman" w:cs="Times New Roman"/>
                      <w:color w:val="auto"/>
                      <w:w w:val="100"/>
                      <w:kern w:val="2"/>
                      <w:szCs w:val="21"/>
                    </w:rPr>
                    <w:t>0.0215</w:t>
                  </w:r>
                </w:p>
              </w:tc>
              <w:tc>
                <w:tcPr>
                  <w:tcW w:w="1962" w:type="dxa"/>
                  <w:vAlign w:val="center"/>
                </w:tcPr>
                <w:p w14:paraId="48EAF33B">
                  <w:pPr>
                    <w:pStyle w:val="75"/>
                    <w:keepLines/>
                    <w:tabs>
                      <w:tab w:val="left" w:pos="0"/>
                    </w:tabs>
                    <w:spacing w:line="240" w:lineRule="auto"/>
                    <w:rPr>
                      <w:rFonts w:hint="default" w:ascii="Times New Roman" w:hAnsi="Times New Roman" w:cs="Times New Roman"/>
                      <w:color w:val="auto"/>
                      <w:w w:val="100"/>
                      <w:kern w:val="2"/>
                      <w:szCs w:val="21"/>
                    </w:rPr>
                  </w:pPr>
                  <w:r>
                    <w:rPr>
                      <w:rFonts w:hint="default" w:ascii="Times New Roman" w:hAnsi="Times New Roman" w:cs="Times New Roman"/>
                      <w:color w:val="auto"/>
                      <w:w w:val="100"/>
                      <w:kern w:val="2"/>
                      <w:szCs w:val="21"/>
                    </w:rPr>
                    <w:t>0.003</w:t>
                  </w:r>
                </w:p>
              </w:tc>
              <w:tc>
                <w:tcPr>
                  <w:tcW w:w="2597" w:type="dxa"/>
                  <w:vAlign w:val="center"/>
                </w:tcPr>
                <w:p w14:paraId="0A466EF0">
                  <w:pPr>
                    <w:pStyle w:val="75"/>
                    <w:keepLines/>
                    <w:tabs>
                      <w:tab w:val="left" w:pos="0"/>
                    </w:tabs>
                    <w:spacing w:line="240" w:lineRule="auto"/>
                    <w:rPr>
                      <w:rFonts w:hint="default" w:ascii="Times New Roman" w:hAnsi="Times New Roman" w:cs="Times New Roman"/>
                      <w:color w:val="auto"/>
                      <w:w w:val="100"/>
                      <w:kern w:val="2"/>
                      <w:szCs w:val="21"/>
                    </w:rPr>
                  </w:pPr>
                  <w:r>
                    <w:rPr>
                      <w:rFonts w:hint="default" w:ascii="Times New Roman" w:hAnsi="Times New Roman" w:cs="Times New Roman"/>
                      <w:color w:val="auto"/>
                      <w:w w:val="100"/>
                      <w:kern w:val="2"/>
                      <w:szCs w:val="21"/>
                    </w:rPr>
                    <w:t>0.1403</w:t>
                  </w:r>
                </w:p>
              </w:tc>
            </w:tr>
            <w:tr w14:paraId="62016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2" w:type="dxa"/>
                  <w:gridSpan w:val="5"/>
                  <w:vAlign w:val="center"/>
                </w:tcPr>
                <w:p w14:paraId="5DC711C4">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
                      <w:color w:val="auto"/>
                      <w:spacing w:val="-10"/>
                      <w:szCs w:val="21"/>
                    </w:rPr>
                    <w:t>排放口基本情况</w:t>
                  </w:r>
                </w:p>
              </w:tc>
            </w:tr>
            <w:tr w14:paraId="6EAAB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gridSpan w:val="2"/>
                  <w:vAlign w:val="center"/>
                </w:tcPr>
                <w:p w14:paraId="6BEE9A58">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排气筒高度</w:t>
                  </w:r>
                </w:p>
              </w:tc>
              <w:tc>
                <w:tcPr>
                  <w:tcW w:w="6446" w:type="dxa"/>
                  <w:gridSpan w:val="3"/>
                  <w:vAlign w:val="center"/>
                </w:tcPr>
                <w:p w14:paraId="43C7C60D">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15m</w:t>
                  </w:r>
                </w:p>
              </w:tc>
            </w:tr>
            <w:tr w14:paraId="04C20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116" w:type="dxa"/>
                  <w:gridSpan w:val="2"/>
                  <w:vAlign w:val="center"/>
                </w:tcPr>
                <w:p w14:paraId="4B0C1AF4">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排气筒内径</w:t>
                  </w:r>
                </w:p>
              </w:tc>
              <w:tc>
                <w:tcPr>
                  <w:tcW w:w="6446" w:type="dxa"/>
                  <w:gridSpan w:val="3"/>
                  <w:vAlign w:val="center"/>
                </w:tcPr>
                <w:p w14:paraId="25377CC8">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0.3m</w:t>
                  </w:r>
                </w:p>
              </w:tc>
            </w:tr>
            <w:tr w14:paraId="4623F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gridSpan w:val="2"/>
                  <w:vAlign w:val="center"/>
                </w:tcPr>
                <w:p w14:paraId="3975856F">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温度℃</w:t>
                  </w:r>
                </w:p>
              </w:tc>
              <w:tc>
                <w:tcPr>
                  <w:tcW w:w="6446" w:type="dxa"/>
                  <w:gridSpan w:val="3"/>
                  <w:vAlign w:val="center"/>
                </w:tcPr>
                <w:p w14:paraId="33C5F313">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50-60</w:t>
                  </w:r>
                </w:p>
              </w:tc>
            </w:tr>
            <w:tr w14:paraId="398E8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gridSpan w:val="2"/>
                  <w:vAlign w:val="center"/>
                </w:tcPr>
                <w:p w14:paraId="581C878C">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编号</w:t>
                  </w:r>
                </w:p>
              </w:tc>
              <w:tc>
                <w:tcPr>
                  <w:tcW w:w="6446" w:type="dxa"/>
                  <w:gridSpan w:val="3"/>
                  <w:vAlign w:val="center"/>
                </w:tcPr>
                <w:p w14:paraId="4A7DF1C4">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DA002</w:t>
                  </w:r>
                </w:p>
              </w:tc>
            </w:tr>
            <w:tr w14:paraId="0D85E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gridSpan w:val="2"/>
                  <w:vAlign w:val="center"/>
                </w:tcPr>
                <w:p w14:paraId="31C2F022">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类型</w:t>
                  </w:r>
                </w:p>
              </w:tc>
              <w:tc>
                <w:tcPr>
                  <w:tcW w:w="6446" w:type="dxa"/>
                  <w:gridSpan w:val="3"/>
                  <w:vAlign w:val="center"/>
                </w:tcPr>
                <w:p w14:paraId="5495F658">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一般排放口</w:t>
                  </w:r>
                </w:p>
              </w:tc>
            </w:tr>
            <w:tr w14:paraId="4D15A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gridSpan w:val="2"/>
                  <w:vAlign w:val="center"/>
                </w:tcPr>
                <w:p w14:paraId="2963E0E2">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地理坐标</w:t>
                  </w:r>
                </w:p>
              </w:tc>
              <w:tc>
                <w:tcPr>
                  <w:tcW w:w="6446" w:type="dxa"/>
                  <w:gridSpan w:val="3"/>
                  <w:vAlign w:val="center"/>
                </w:tcPr>
                <w:p w14:paraId="2FE2FA8C">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103°9′0.601″，25°27′45.713″</w:t>
                  </w:r>
                </w:p>
              </w:tc>
            </w:tr>
            <w:tr w14:paraId="02F2E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2" w:type="dxa"/>
                  <w:gridSpan w:val="5"/>
                  <w:vAlign w:val="center"/>
                </w:tcPr>
                <w:p w14:paraId="4B4B8D00">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
                      <w:color w:val="auto"/>
                      <w:spacing w:val="-10"/>
                      <w:szCs w:val="21"/>
                    </w:rPr>
                    <w:t>监测要求</w:t>
                  </w:r>
                </w:p>
              </w:tc>
            </w:tr>
            <w:tr w14:paraId="20626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gridSpan w:val="2"/>
                  <w:vAlign w:val="center"/>
                </w:tcPr>
                <w:p w14:paraId="526EAA21">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监测点位</w:t>
                  </w:r>
                </w:p>
              </w:tc>
              <w:tc>
                <w:tcPr>
                  <w:tcW w:w="6446" w:type="dxa"/>
                  <w:gridSpan w:val="3"/>
                  <w:vAlign w:val="center"/>
                </w:tcPr>
                <w:p w14:paraId="7E0A389B">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排气筒出口</w:t>
                  </w:r>
                </w:p>
              </w:tc>
            </w:tr>
            <w:tr w14:paraId="2F851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gridSpan w:val="2"/>
                  <w:vAlign w:val="center"/>
                </w:tcPr>
                <w:p w14:paraId="6934FDCC">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监测因子</w:t>
                  </w:r>
                </w:p>
              </w:tc>
              <w:tc>
                <w:tcPr>
                  <w:tcW w:w="1887" w:type="dxa"/>
                  <w:vAlign w:val="center"/>
                </w:tcPr>
                <w:p w14:paraId="23DC21DD">
                  <w:pPr>
                    <w:pStyle w:val="75"/>
                    <w:keepLines/>
                    <w:tabs>
                      <w:tab w:val="left" w:pos="0"/>
                    </w:tabs>
                    <w:spacing w:line="240" w:lineRule="auto"/>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w w:val="100"/>
                      <w:kern w:val="2"/>
                      <w:szCs w:val="21"/>
                    </w:rPr>
                    <w:t>颗粒物</w:t>
                  </w:r>
                </w:p>
              </w:tc>
              <w:tc>
                <w:tcPr>
                  <w:tcW w:w="1962" w:type="dxa"/>
                  <w:vAlign w:val="center"/>
                </w:tcPr>
                <w:p w14:paraId="7DA7CA83">
                  <w:pPr>
                    <w:pStyle w:val="75"/>
                    <w:keepLines/>
                    <w:tabs>
                      <w:tab w:val="left" w:pos="0"/>
                    </w:tabs>
                    <w:spacing w:line="240" w:lineRule="auto"/>
                    <w:rPr>
                      <w:rFonts w:hint="default" w:ascii="Times New Roman" w:hAnsi="Times New Roman" w:cs="Times New Roman"/>
                      <w:bCs/>
                      <w:color w:val="auto"/>
                      <w:spacing w:val="-10"/>
                      <w:w w:val="100"/>
                      <w:kern w:val="2"/>
                      <w:szCs w:val="21"/>
                    </w:rPr>
                  </w:pPr>
                  <w:r>
                    <w:rPr>
                      <w:rFonts w:hint="default" w:ascii="Times New Roman" w:hAnsi="Times New Roman" w:cs="Times New Roman"/>
                      <w:color w:val="auto"/>
                      <w:szCs w:val="21"/>
                    </w:rPr>
                    <w:t>SO</w:t>
                  </w:r>
                  <w:r>
                    <w:rPr>
                      <w:rFonts w:hint="default" w:ascii="Times New Roman" w:hAnsi="Times New Roman" w:cs="Times New Roman"/>
                      <w:color w:val="auto"/>
                      <w:szCs w:val="21"/>
                      <w:vertAlign w:val="subscript"/>
                    </w:rPr>
                    <w:t>2</w:t>
                  </w:r>
                </w:p>
              </w:tc>
              <w:tc>
                <w:tcPr>
                  <w:tcW w:w="2597" w:type="dxa"/>
                  <w:vAlign w:val="center"/>
                </w:tcPr>
                <w:p w14:paraId="110D4C58">
                  <w:pPr>
                    <w:pStyle w:val="75"/>
                    <w:keepLines/>
                    <w:tabs>
                      <w:tab w:val="left" w:pos="0"/>
                    </w:tabs>
                    <w:spacing w:line="240" w:lineRule="auto"/>
                    <w:rPr>
                      <w:rFonts w:hint="default" w:ascii="Times New Roman" w:hAnsi="Times New Roman" w:cs="Times New Roman"/>
                      <w:bCs/>
                      <w:color w:val="auto"/>
                      <w:spacing w:val="-10"/>
                      <w:w w:val="100"/>
                      <w:kern w:val="2"/>
                      <w:szCs w:val="21"/>
                    </w:rPr>
                  </w:pPr>
                  <w:r>
                    <w:rPr>
                      <w:rFonts w:hint="default" w:ascii="Times New Roman" w:hAnsi="Times New Roman" w:cs="Times New Roman"/>
                      <w:color w:val="auto"/>
                      <w:szCs w:val="21"/>
                    </w:rPr>
                    <w:t>NOx</w:t>
                  </w:r>
                </w:p>
              </w:tc>
            </w:tr>
            <w:tr w14:paraId="64A1B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gridSpan w:val="2"/>
                  <w:vAlign w:val="center"/>
                </w:tcPr>
                <w:p w14:paraId="5B7A9450">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监测频次</w:t>
                  </w:r>
                </w:p>
              </w:tc>
              <w:tc>
                <w:tcPr>
                  <w:tcW w:w="1887" w:type="dxa"/>
                  <w:vAlign w:val="center"/>
                </w:tcPr>
                <w:p w14:paraId="7C472F20">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1次/年</w:t>
                  </w:r>
                </w:p>
              </w:tc>
              <w:tc>
                <w:tcPr>
                  <w:tcW w:w="1962" w:type="dxa"/>
                  <w:vAlign w:val="center"/>
                </w:tcPr>
                <w:p w14:paraId="6B86D974">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1次/年</w:t>
                  </w:r>
                </w:p>
              </w:tc>
              <w:tc>
                <w:tcPr>
                  <w:tcW w:w="2597" w:type="dxa"/>
                  <w:vAlign w:val="center"/>
                </w:tcPr>
                <w:p w14:paraId="7E357018">
                  <w:pPr>
                    <w:keepLines/>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1次/月</w:t>
                  </w:r>
                </w:p>
              </w:tc>
            </w:tr>
            <w:tr w14:paraId="46DF1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gridSpan w:val="2"/>
                  <w:vAlign w:val="center"/>
                </w:tcPr>
                <w:p w14:paraId="24DB7527">
                  <w:pPr>
                    <w:keepLines/>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执行标准</w:t>
                  </w:r>
                </w:p>
              </w:tc>
              <w:tc>
                <w:tcPr>
                  <w:tcW w:w="6446" w:type="dxa"/>
                  <w:gridSpan w:val="3"/>
                  <w:vAlign w:val="center"/>
                </w:tcPr>
                <w:p w14:paraId="0A2A3B30">
                  <w:pPr>
                    <w:keepLines/>
                    <w:adjustRightInd w:val="0"/>
                    <w:snapToGrid w:val="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天然气燃烧废气执行《锅炉大气污染物排放标准》（GB13271-2014）排放标准限值要求。</w:t>
                  </w:r>
                </w:p>
              </w:tc>
            </w:tr>
          </w:tbl>
          <w:p w14:paraId="579ABA14">
            <w:pPr>
              <w:keepLines/>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本项目浸胶纸烘干采用天然气为燃料提供热源，属于清洁能源，天然气的主要成分为甲烷，燃烧过程中</w:t>
            </w:r>
            <w:r>
              <w:rPr>
                <w:rFonts w:hint="eastAsia" w:cs="Times New Roman"/>
                <w:color w:val="auto"/>
                <w:sz w:val="24"/>
                <w:lang w:eastAsia="zh-CN"/>
              </w:rPr>
              <w:t>产生</w:t>
            </w:r>
            <w:r>
              <w:rPr>
                <w:rFonts w:hint="default" w:ascii="Times New Roman" w:hAnsi="Times New Roman" w:cs="Times New Roman"/>
                <w:color w:val="auto"/>
                <w:sz w:val="24"/>
              </w:rPr>
              <w:t>一定量的燃烧废气，污染物主要为SO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、NOx、颗粒物。SO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、NOx、颗粒物产生系数</w:t>
            </w:r>
            <w:r>
              <w:rPr>
                <w:rFonts w:hint="eastAsia" w:cs="Times New Roman"/>
                <w:color w:val="auto"/>
                <w:sz w:val="24"/>
                <w:lang w:eastAsia="zh-CN"/>
              </w:rPr>
              <w:t>参考</w:t>
            </w:r>
            <w:r>
              <w:rPr>
                <w:rFonts w:hint="default" w:ascii="Times New Roman" w:hAnsi="Times New Roman" w:cs="Times New Roman"/>
                <w:color w:val="auto"/>
                <w:sz w:val="24"/>
              </w:rPr>
              <w:t>《排污许可证申请与核发技术规范锅炉》（HJ953—2018）表F.3 燃气工业炉天然气的产排污系数。具体系数详见下表4-4。</w:t>
            </w:r>
          </w:p>
          <w:p w14:paraId="13140BF9">
            <w:pPr>
              <w:keepLines/>
              <w:jc w:val="center"/>
              <w:rPr>
                <w:rFonts w:hint="default" w:ascii="Times New Roman" w:hAnsi="Times New Roman" w:cs="Times New Roman"/>
                <w:b/>
                <w:bCs/>
                <w:color w:val="auto"/>
              </w:rPr>
            </w:pPr>
            <w:r>
              <w:rPr>
                <w:rFonts w:hint="default" w:ascii="Times New Roman" w:hAnsi="Times New Roman" w:cs="Times New Roman"/>
                <w:b/>
                <w:bCs/>
                <w:color w:val="auto"/>
              </w:rPr>
              <w:t>表4-4  燃气废气产生系数</w:t>
            </w:r>
          </w:p>
          <w:tbl>
            <w:tblPr>
              <w:tblStyle w:val="31"/>
              <w:tblW w:w="84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3"/>
              <w:gridCol w:w="918"/>
              <w:gridCol w:w="1303"/>
              <w:gridCol w:w="1206"/>
              <w:gridCol w:w="1063"/>
              <w:gridCol w:w="1122"/>
              <w:gridCol w:w="1896"/>
            </w:tblGrid>
            <w:tr w14:paraId="4E3A0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3" w:type="dxa"/>
                  <w:tcBorders>
                    <w:tl2br w:val="nil"/>
                    <w:tr2bl w:val="nil"/>
                  </w:tcBorders>
                  <w:vAlign w:val="center"/>
                </w:tcPr>
                <w:p w14:paraId="388A2C71">
                  <w:pPr>
                    <w:pStyle w:val="13"/>
                    <w:keepLines/>
                    <w:adjustRightInd w:val="0"/>
                    <w:snapToGrid w:val="0"/>
                    <w:jc w:val="center"/>
                    <w:outlineLvl w:val="0"/>
                    <w:rPr>
                      <w:rFonts w:hint="default" w:ascii="Times New Roman" w:hAnsi="Times New Roman" w:cs="Times New Roman" w:eastAsiaTheme="minorEastAsia"/>
                      <w:b/>
                      <w:bCs/>
                      <w:color w:val="auto"/>
                    </w:rPr>
                  </w:pPr>
                  <w:bookmarkStart w:id="12" w:name="_Toc853"/>
                  <w:r>
                    <w:rPr>
                      <w:rFonts w:hint="default" w:ascii="Times New Roman" w:hAnsi="Times New Roman" w:cs="Times New Roman" w:eastAsiaTheme="minorEastAsia"/>
                      <w:b/>
                      <w:bCs/>
                      <w:color w:val="auto"/>
                    </w:rPr>
                    <w:t>污染物指标</w:t>
                  </w:r>
                  <w:bookmarkEnd w:id="12"/>
                </w:p>
              </w:tc>
              <w:tc>
                <w:tcPr>
                  <w:tcW w:w="918" w:type="dxa"/>
                  <w:tcBorders>
                    <w:tl2br w:val="nil"/>
                    <w:tr2bl w:val="nil"/>
                  </w:tcBorders>
                  <w:vAlign w:val="center"/>
                </w:tcPr>
                <w:p w14:paraId="756A0339">
                  <w:pPr>
                    <w:pStyle w:val="13"/>
                    <w:keepLines/>
                    <w:adjustRightInd w:val="0"/>
                    <w:snapToGrid w:val="0"/>
                    <w:jc w:val="center"/>
                    <w:outlineLvl w:val="0"/>
                    <w:rPr>
                      <w:rFonts w:hint="default" w:ascii="Times New Roman" w:hAnsi="Times New Roman" w:cs="Times New Roman" w:eastAsiaTheme="minorEastAsia"/>
                      <w:b/>
                      <w:bCs/>
                      <w:color w:val="auto"/>
                    </w:rPr>
                  </w:pPr>
                  <w:bookmarkStart w:id="13" w:name="_Toc21156"/>
                  <w:r>
                    <w:rPr>
                      <w:rFonts w:hint="default" w:ascii="Times New Roman" w:hAnsi="Times New Roman" w:cs="Times New Roman" w:eastAsiaTheme="minorEastAsia"/>
                      <w:b/>
                      <w:bCs/>
                      <w:color w:val="auto"/>
                    </w:rPr>
                    <w:t>原料名称</w:t>
                  </w:r>
                  <w:bookmarkEnd w:id="13"/>
                </w:p>
              </w:tc>
              <w:tc>
                <w:tcPr>
                  <w:tcW w:w="1303" w:type="dxa"/>
                  <w:tcBorders>
                    <w:tl2br w:val="nil"/>
                    <w:tr2bl w:val="nil"/>
                  </w:tcBorders>
                  <w:vAlign w:val="center"/>
                </w:tcPr>
                <w:p w14:paraId="71937DE9">
                  <w:pPr>
                    <w:pStyle w:val="13"/>
                    <w:keepLines/>
                    <w:adjustRightInd w:val="0"/>
                    <w:snapToGrid w:val="0"/>
                    <w:jc w:val="center"/>
                    <w:outlineLvl w:val="0"/>
                    <w:rPr>
                      <w:rFonts w:hint="default" w:ascii="Times New Roman" w:hAnsi="Times New Roman" w:cs="Times New Roman" w:eastAsiaTheme="minorEastAsia"/>
                      <w:b/>
                      <w:bCs/>
                      <w:color w:val="auto"/>
                    </w:rPr>
                  </w:pPr>
                  <w:bookmarkStart w:id="14" w:name="_Toc6385"/>
                  <w:r>
                    <w:rPr>
                      <w:rFonts w:hint="default" w:ascii="Times New Roman" w:hAnsi="Times New Roman" w:cs="Times New Roman" w:eastAsiaTheme="minorEastAsia"/>
                      <w:b/>
                      <w:bCs/>
                      <w:color w:val="auto"/>
                    </w:rPr>
                    <w:t>单位</w:t>
                  </w:r>
                  <w:bookmarkEnd w:id="14"/>
                </w:p>
              </w:tc>
              <w:tc>
                <w:tcPr>
                  <w:tcW w:w="1206" w:type="dxa"/>
                  <w:tcBorders>
                    <w:tl2br w:val="nil"/>
                    <w:tr2bl w:val="nil"/>
                  </w:tcBorders>
                  <w:vAlign w:val="center"/>
                </w:tcPr>
                <w:p w14:paraId="6DD590F1">
                  <w:pPr>
                    <w:pStyle w:val="13"/>
                    <w:keepLines/>
                    <w:adjustRightInd w:val="0"/>
                    <w:snapToGrid w:val="0"/>
                    <w:jc w:val="center"/>
                    <w:outlineLvl w:val="0"/>
                    <w:rPr>
                      <w:rFonts w:hint="default" w:ascii="Times New Roman" w:hAnsi="Times New Roman" w:cs="Times New Roman" w:eastAsiaTheme="minorEastAsia"/>
                      <w:b/>
                      <w:bCs/>
                      <w:color w:val="auto"/>
                    </w:rPr>
                  </w:pPr>
                  <w:bookmarkStart w:id="15" w:name="_Toc29839"/>
                  <w:r>
                    <w:rPr>
                      <w:rFonts w:hint="default" w:ascii="Times New Roman" w:hAnsi="Times New Roman" w:cs="Times New Roman" w:eastAsiaTheme="minorEastAsia"/>
                      <w:b/>
                      <w:bCs/>
                      <w:color w:val="auto"/>
                    </w:rPr>
                    <w:t>产污系数</w:t>
                  </w:r>
                  <w:bookmarkEnd w:id="15"/>
                </w:p>
              </w:tc>
              <w:tc>
                <w:tcPr>
                  <w:tcW w:w="1063" w:type="dxa"/>
                  <w:tcBorders>
                    <w:tl2br w:val="nil"/>
                    <w:tr2bl w:val="nil"/>
                  </w:tcBorders>
                  <w:vAlign w:val="center"/>
                </w:tcPr>
                <w:p w14:paraId="5A013EBF">
                  <w:pPr>
                    <w:pStyle w:val="13"/>
                    <w:keepLines/>
                    <w:adjustRightInd w:val="0"/>
                    <w:snapToGrid w:val="0"/>
                    <w:jc w:val="center"/>
                    <w:outlineLvl w:val="0"/>
                    <w:rPr>
                      <w:rFonts w:hint="default" w:ascii="Times New Roman" w:hAnsi="Times New Roman" w:cs="Times New Roman" w:eastAsiaTheme="minorEastAsia"/>
                      <w:b/>
                      <w:bCs/>
                      <w:color w:val="auto"/>
                    </w:rPr>
                  </w:pPr>
                  <w:bookmarkStart w:id="16" w:name="_Toc13461"/>
                  <w:r>
                    <w:rPr>
                      <w:rFonts w:hint="default" w:ascii="Times New Roman" w:hAnsi="Times New Roman" w:cs="Times New Roman" w:eastAsiaTheme="minorEastAsia"/>
                      <w:b/>
                      <w:bCs/>
                      <w:color w:val="auto"/>
                    </w:rPr>
                    <w:t>末端治理技术名称</w:t>
                  </w:r>
                  <w:bookmarkEnd w:id="16"/>
                </w:p>
              </w:tc>
              <w:tc>
                <w:tcPr>
                  <w:tcW w:w="1122" w:type="dxa"/>
                  <w:tcBorders>
                    <w:tl2br w:val="nil"/>
                    <w:tr2bl w:val="nil"/>
                  </w:tcBorders>
                  <w:vAlign w:val="center"/>
                </w:tcPr>
                <w:p w14:paraId="2EFC04E9">
                  <w:pPr>
                    <w:pStyle w:val="13"/>
                    <w:keepLines/>
                    <w:adjustRightInd w:val="0"/>
                    <w:snapToGrid w:val="0"/>
                    <w:jc w:val="center"/>
                    <w:outlineLvl w:val="0"/>
                    <w:rPr>
                      <w:rFonts w:hint="default" w:ascii="Times New Roman" w:hAnsi="Times New Roman" w:cs="Times New Roman" w:eastAsiaTheme="minorEastAsia"/>
                      <w:b/>
                      <w:bCs/>
                      <w:color w:val="auto"/>
                    </w:rPr>
                  </w:pPr>
                  <w:bookmarkStart w:id="17" w:name="_Toc8336"/>
                  <w:r>
                    <w:rPr>
                      <w:rFonts w:hint="default" w:ascii="Times New Roman" w:hAnsi="Times New Roman" w:cs="Times New Roman" w:eastAsiaTheme="minorEastAsia"/>
                      <w:b/>
                      <w:bCs/>
                      <w:color w:val="auto"/>
                    </w:rPr>
                    <w:t>排污系数</w:t>
                  </w:r>
                  <w:bookmarkEnd w:id="17"/>
                </w:p>
              </w:tc>
              <w:tc>
                <w:tcPr>
                  <w:tcW w:w="1896" w:type="dxa"/>
                  <w:tcBorders>
                    <w:tl2br w:val="nil"/>
                    <w:tr2bl w:val="nil"/>
                  </w:tcBorders>
                  <w:vAlign w:val="center"/>
                </w:tcPr>
                <w:p w14:paraId="1B52754E">
                  <w:pPr>
                    <w:pStyle w:val="13"/>
                    <w:keepLines/>
                    <w:adjustRightInd w:val="0"/>
                    <w:snapToGrid w:val="0"/>
                    <w:jc w:val="center"/>
                    <w:outlineLvl w:val="0"/>
                    <w:rPr>
                      <w:rFonts w:hint="default" w:ascii="Times New Roman" w:hAnsi="Times New Roman" w:cs="Times New Roman" w:eastAsiaTheme="minorEastAsia"/>
                      <w:b/>
                      <w:bCs/>
                      <w:color w:val="auto"/>
                    </w:rPr>
                  </w:pPr>
                  <w:bookmarkStart w:id="18" w:name="_Toc10861"/>
                  <w:r>
                    <w:rPr>
                      <w:rFonts w:hint="default" w:ascii="Times New Roman" w:hAnsi="Times New Roman" w:cs="Times New Roman" w:eastAsiaTheme="minorEastAsia"/>
                      <w:b/>
                      <w:bCs/>
                      <w:color w:val="auto"/>
                    </w:rPr>
                    <w:t>依据来源</w:t>
                  </w:r>
                  <w:bookmarkEnd w:id="18"/>
                </w:p>
              </w:tc>
            </w:tr>
            <w:tr w14:paraId="03846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3" w:type="dxa"/>
                  <w:tcBorders>
                    <w:tl2br w:val="nil"/>
                    <w:tr2bl w:val="nil"/>
                  </w:tcBorders>
                  <w:vAlign w:val="center"/>
                </w:tcPr>
                <w:p w14:paraId="1CD77012">
                  <w:pPr>
                    <w:pStyle w:val="13"/>
                    <w:keepLines/>
                    <w:adjustRightInd w:val="0"/>
                    <w:snapToGrid w:val="0"/>
                    <w:jc w:val="center"/>
                    <w:outlineLvl w:val="0"/>
                    <w:rPr>
                      <w:rFonts w:hint="default" w:ascii="Times New Roman" w:hAnsi="Times New Roman" w:cs="Times New Roman" w:eastAsiaTheme="minorEastAsia"/>
                      <w:color w:val="auto"/>
                    </w:rPr>
                  </w:pPr>
                  <w:bookmarkStart w:id="19" w:name="_Toc28063"/>
                  <w:r>
                    <w:rPr>
                      <w:rFonts w:hint="default" w:ascii="Times New Roman" w:hAnsi="Times New Roman" w:cs="Times New Roman" w:eastAsiaTheme="minorEastAsia"/>
                      <w:color w:val="auto"/>
                    </w:rPr>
                    <w:t>废气量</w:t>
                  </w:r>
                  <w:bookmarkEnd w:id="19"/>
                </w:p>
              </w:tc>
              <w:tc>
                <w:tcPr>
                  <w:tcW w:w="918" w:type="dxa"/>
                  <w:vMerge w:val="restart"/>
                  <w:tcBorders>
                    <w:tl2br w:val="nil"/>
                    <w:tr2bl w:val="nil"/>
                  </w:tcBorders>
                  <w:vAlign w:val="center"/>
                </w:tcPr>
                <w:p w14:paraId="7AEBD472">
                  <w:pPr>
                    <w:pStyle w:val="13"/>
                    <w:keepLines/>
                    <w:adjustRightInd w:val="0"/>
                    <w:snapToGrid w:val="0"/>
                    <w:jc w:val="center"/>
                    <w:outlineLvl w:val="0"/>
                    <w:rPr>
                      <w:rFonts w:hint="default" w:ascii="Times New Roman" w:hAnsi="Times New Roman" w:cs="Times New Roman" w:eastAsiaTheme="minorEastAsia"/>
                      <w:color w:val="auto"/>
                    </w:rPr>
                  </w:pPr>
                  <w:bookmarkStart w:id="20" w:name="_Toc25371"/>
                  <w:r>
                    <w:rPr>
                      <w:rFonts w:hint="default" w:ascii="Times New Roman" w:hAnsi="Times New Roman" w:cs="Times New Roman" w:eastAsiaTheme="minorEastAsia"/>
                      <w:color w:val="auto"/>
                    </w:rPr>
                    <w:t>天然气</w:t>
                  </w:r>
                  <w:bookmarkEnd w:id="20"/>
                </w:p>
              </w:tc>
              <w:tc>
                <w:tcPr>
                  <w:tcW w:w="1303" w:type="dxa"/>
                  <w:tcBorders>
                    <w:tl2br w:val="nil"/>
                    <w:tr2bl w:val="nil"/>
                  </w:tcBorders>
                  <w:vAlign w:val="center"/>
                </w:tcPr>
                <w:p w14:paraId="3D84DAD9">
                  <w:pPr>
                    <w:keepLines/>
                    <w:adjustRightInd w:val="0"/>
                    <w:snapToGrid w:val="0"/>
                    <w:jc w:val="center"/>
                    <w:outlineLvl w:val="0"/>
                    <w:rPr>
                      <w:rFonts w:hint="default" w:ascii="Times New Roman" w:hAnsi="Times New Roman" w:cs="Times New Roman" w:eastAsiaTheme="minorEastAsia"/>
                      <w:color w:val="auto"/>
                      <w:szCs w:val="21"/>
                    </w:rPr>
                  </w:pPr>
                  <w:bookmarkStart w:id="21" w:name="_Toc24862"/>
                  <w:r>
                    <w:rPr>
                      <w:rFonts w:hint="default" w:ascii="Times New Roman" w:hAnsi="Times New Roman" w:cs="Times New Roman" w:eastAsiaTheme="minorEastAsia"/>
                      <w:color w:val="auto"/>
                      <w:szCs w:val="21"/>
                    </w:rPr>
                    <w:t>m</w:t>
                  </w:r>
                  <w:r>
                    <w:rPr>
                      <w:rFonts w:hint="default" w:ascii="Times New Roman" w:hAnsi="Times New Roman" w:cs="Times New Roman" w:eastAsiaTheme="minorEastAsia"/>
                      <w:color w:val="auto"/>
                      <w:szCs w:val="21"/>
                      <w:vertAlign w:val="superscript"/>
                    </w:rPr>
                    <w:t>3</w:t>
                  </w:r>
                  <w:r>
                    <w:rPr>
                      <w:rFonts w:hint="default" w:ascii="Times New Roman" w:hAnsi="Times New Roman" w:cs="Times New Roman" w:eastAsiaTheme="minorEastAsia"/>
                      <w:color w:val="auto"/>
                      <w:szCs w:val="21"/>
                    </w:rPr>
                    <w:t>/立方米-燃料</w:t>
                  </w:r>
                  <w:bookmarkEnd w:id="21"/>
                </w:p>
              </w:tc>
              <w:tc>
                <w:tcPr>
                  <w:tcW w:w="1206" w:type="dxa"/>
                  <w:tcBorders>
                    <w:tl2br w:val="nil"/>
                    <w:tr2bl w:val="nil"/>
                  </w:tcBorders>
                  <w:vAlign w:val="center"/>
                </w:tcPr>
                <w:p w14:paraId="3E2EC23C">
                  <w:pPr>
                    <w:pStyle w:val="13"/>
                    <w:keepLines/>
                    <w:adjustRightInd w:val="0"/>
                    <w:snapToGrid w:val="0"/>
                    <w:jc w:val="center"/>
                    <w:outlineLvl w:val="0"/>
                    <w:rPr>
                      <w:rFonts w:hint="default" w:ascii="Times New Roman" w:hAnsi="Times New Roman" w:cs="Times New Roman" w:eastAsiaTheme="minorEastAsia"/>
                      <w:color w:val="auto"/>
                    </w:rPr>
                  </w:pPr>
                  <w:bookmarkStart w:id="22" w:name="_Toc14497"/>
                  <w:r>
                    <w:rPr>
                      <w:rFonts w:hint="default" w:ascii="Times New Roman" w:hAnsi="Times New Roman" w:cs="Times New Roman" w:eastAsiaTheme="minorEastAsia"/>
                      <w:color w:val="auto"/>
                    </w:rPr>
                    <w:t>13.6</w:t>
                  </w:r>
                  <w:bookmarkEnd w:id="22"/>
                </w:p>
              </w:tc>
              <w:tc>
                <w:tcPr>
                  <w:tcW w:w="1063" w:type="dxa"/>
                  <w:tcBorders>
                    <w:tl2br w:val="nil"/>
                    <w:tr2bl w:val="nil"/>
                  </w:tcBorders>
                  <w:vAlign w:val="center"/>
                </w:tcPr>
                <w:p w14:paraId="260BA1BA">
                  <w:pPr>
                    <w:pStyle w:val="13"/>
                    <w:keepLines/>
                    <w:adjustRightInd w:val="0"/>
                    <w:snapToGrid w:val="0"/>
                    <w:jc w:val="center"/>
                    <w:outlineLvl w:val="0"/>
                    <w:rPr>
                      <w:rFonts w:hint="default" w:ascii="Times New Roman" w:hAnsi="Times New Roman" w:cs="Times New Roman" w:eastAsiaTheme="minorEastAsia"/>
                      <w:color w:val="auto"/>
                    </w:rPr>
                  </w:pPr>
                  <w:bookmarkStart w:id="23" w:name="_Toc13985"/>
                  <w:r>
                    <w:rPr>
                      <w:rFonts w:hint="default" w:ascii="Times New Roman" w:hAnsi="Times New Roman" w:cs="Times New Roman" w:eastAsiaTheme="minorEastAsia"/>
                      <w:color w:val="auto"/>
                    </w:rPr>
                    <w:t>/</w:t>
                  </w:r>
                  <w:bookmarkEnd w:id="23"/>
                </w:p>
              </w:tc>
              <w:tc>
                <w:tcPr>
                  <w:tcW w:w="1122" w:type="dxa"/>
                  <w:tcBorders>
                    <w:tl2br w:val="nil"/>
                    <w:tr2bl w:val="nil"/>
                  </w:tcBorders>
                  <w:vAlign w:val="center"/>
                </w:tcPr>
                <w:p w14:paraId="11F61DD4">
                  <w:pPr>
                    <w:pStyle w:val="13"/>
                    <w:keepLines/>
                    <w:adjustRightInd w:val="0"/>
                    <w:snapToGrid w:val="0"/>
                    <w:jc w:val="center"/>
                    <w:outlineLvl w:val="0"/>
                    <w:rPr>
                      <w:rFonts w:hint="default" w:ascii="Times New Roman" w:hAnsi="Times New Roman" w:cs="Times New Roman" w:eastAsiaTheme="minorEastAsia"/>
                      <w:color w:val="auto"/>
                    </w:rPr>
                  </w:pPr>
                  <w:bookmarkStart w:id="24" w:name="_Toc883"/>
                  <w:r>
                    <w:rPr>
                      <w:rFonts w:hint="default" w:ascii="Times New Roman" w:hAnsi="Times New Roman" w:cs="Times New Roman" w:eastAsiaTheme="minorEastAsia"/>
                      <w:color w:val="auto"/>
                    </w:rPr>
                    <w:t>/</w:t>
                  </w:r>
                  <w:bookmarkEnd w:id="24"/>
                </w:p>
              </w:tc>
              <w:tc>
                <w:tcPr>
                  <w:tcW w:w="1896" w:type="dxa"/>
                  <w:vMerge w:val="restart"/>
                  <w:tcBorders>
                    <w:tl2br w:val="nil"/>
                    <w:tr2bl w:val="nil"/>
                  </w:tcBorders>
                  <w:vAlign w:val="center"/>
                </w:tcPr>
                <w:p w14:paraId="6193634D">
                  <w:pPr>
                    <w:pStyle w:val="13"/>
                    <w:keepLines/>
                    <w:adjustRightInd w:val="0"/>
                    <w:snapToGrid w:val="0"/>
                    <w:jc w:val="center"/>
                    <w:outlineLvl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2"/>
                    </w:rPr>
                    <w:t>《排污许可证申请与核发技术规范锅炉》（HJ953—2018）表F.3</w:t>
                  </w:r>
                  <w:r>
                    <w:rPr>
                      <w:rFonts w:hint="default" w:ascii="Times New Roman" w:hAnsi="Times New Roman" w:cs="Times New Roman"/>
                      <w:color w:val="auto"/>
                      <w:sz w:val="24"/>
                      <w:szCs w:val="24"/>
                    </w:rPr>
                    <w:t xml:space="preserve"> </w:t>
                  </w:r>
                </w:p>
              </w:tc>
            </w:tr>
            <w:tr w14:paraId="47778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973" w:type="dxa"/>
                  <w:tcBorders>
                    <w:tl2br w:val="nil"/>
                    <w:tr2bl w:val="nil"/>
                  </w:tcBorders>
                  <w:vAlign w:val="center"/>
                </w:tcPr>
                <w:p w14:paraId="70826B7E">
                  <w:pPr>
                    <w:pStyle w:val="13"/>
                    <w:keepLines/>
                    <w:adjustRightInd w:val="0"/>
                    <w:snapToGrid w:val="0"/>
                    <w:jc w:val="center"/>
                    <w:outlineLvl w:val="0"/>
                    <w:rPr>
                      <w:rFonts w:hint="default" w:ascii="Times New Roman" w:hAnsi="Times New Roman" w:cs="Times New Roman" w:eastAsiaTheme="minorEastAsia"/>
                      <w:color w:val="auto"/>
                    </w:rPr>
                  </w:pPr>
                  <w:bookmarkStart w:id="25" w:name="_Toc8474"/>
                  <w:r>
                    <w:rPr>
                      <w:rFonts w:hint="default" w:ascii="Times New Roman" w:hAnsi="Times New Roman" w:cs="Times New Roman" w:eastAsiaTheme="minorEastAsia"/>
                      <w:color w:val="auto"/>
                    </w:rPr>
                    <w:t>SO</w:t>
                  </w:r>
                  <w:r>
                    <w:rPr>
                      <w:rFonts w:hint="default" w:ascii="Times New Roman" w:hAnsi="Times New Roman" w:cs="Times New Roman" w:eastAsiaTheme="minorEastAsia"/>
                      <w:color w:val="auto"/>
                      <w:vertAlign w:val="subscript"/>
                    </w:rPr>
                    <w:t>2</w:t>
                  </w:r>
                  <w:bookmarkEnd w:id="25"/>
                </w:p>
              </w:tc>
              <w:tc>
                <w:tcPr>
                  <w:tcW w:w="918" w:type="dxa"/>
                  <w:vMerge w:val="continue"/>
                  <w:tcBorders>
                    <w:tl2br w:val="nil"/>
                    <w:tr2bl w:val="nil"/>
                  </w:tcBorders>
                  <w:vAlign w:val="center"/>
                </w:tcPr>
                <w:p w14:paraId="01900948">
                  <w:pPr>
                    <w:pStyle w:val="13"/>
                    <w:keepLines/>
                    <w:adjustRightInd w:val="0"/>
                    <w:snapToGrid w:val="0"/>
                    <w:jc w:val="center"/>
                    <w:outlineLvl w:val="0"/>
                    <w:rPr>
                      <w:rFonts w:hint="default" w:ascii="Times New Roman" w:hAnsi="Times New Roman" w:cs="Times New Roman" w:eastAsiaTheme="minorEastAsia"/>
                      <w:color w:val="auto"/>
                    </w:rPr>
                  </w:pPr>
                </w:p>
              </w:tc>
              <w:tc>
                <w:tcPr>
                  <w:tcW w:w="1303" w:type="dxa"/>
                  <w:tcBorders>
                    <w:tl2br w:val="nil"/>
                    <w:tr2bl w:val="nil"/>
                  </w:tcBorders>
                  <w:vAlign w:val="center"/>
                </w:tcPr>
                <w:p w14:paraId="280487C5">
                  <w:pPr>
                    <w:keepLines/>
                    <w:jc w:val="center"/>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Kg/万m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-原料</w:t>
                  </w:r>
                </w:p>
              </w:tc>
              <w:tc>
                <w:tcPr>
                  <w:tcW w:w="1206" w:type="dxa"/>
                  <w:tcBorders>
                    <w:tl2br w:val="nil"/>
                    <w:tr2bl w:val="nil"/>
                  </w:tcBorders>
                  <w:vAlign w:val="center"/>
                </w:tcPr>
                <w:p w14:paraId="3298A37E">
                  <w:pPr>
                    <w:pStyle w:val="13"/>
                    <w:keepLines/>
                    <w:adjustRightInd w:val="0"/>
                    <w:snapToGrid w:val="0"/>
                    <w:jc w:val="center"/>
                    <w:outlineLvl w:val="0"/>
                    <w:rPr>
                      <w:rFonts w:hint="default" w:ascii="Times New Roman" w:hAnsi="Times New Roman" w:cs="Times New Roman" w:eastAsiaTheme="minorEastAsia"/>
                      <w:color w:val="auto"/>
                    </w:rPr>
                  </w:pPr>
                  <w:bookmarkStart w:id="26" w:name="_Toc18720"/>
                  <w:r>
                    <w:rPr>
                      <w:rFonts w:hint="default" w:ascii="Times New Roman" w:hAnsi="Times New Roman" w:cs="Times New Roman" w:eastAsiaTheme="minorEastAsia"/>
                      <w:color w:val="auto"/>
                    </w:rPr>
                    <w:t>0.02S</w:t>
                  </w:r>
                  <w:bookmarkEnd w:id="26"/>
                </w:p>
              </w:tc>
              <w:tc>
                <w:tcPr>
                  <w:tcW w:w="1063" w:type="dxa"/>
                  <w:tcBorders>
                    <w:tl2br w:val="nil"/>
                    <w:tr2bl w:val="nil"/>
                  </w:tcBorders>
                  <w:vAlign w:val="center"/>
                </w:tcPr>
                <w:p w14:paraId="6B33BA39">
                  <w:pPr>
                    <w:pStyle w:val="13"/>
                    <w:keepLines/>
                    <w:adjustRightInd w:val="0"/>
                    <w:snapToGrid w:val="0"/>
                    <w:jc w:val="center"/>
                    <w:outlineLvl w:val="0"/>
                    <w:rPr>
                      <w:rFonts w:hint="default" w:ascii="Times New Roman" w:hAnsi="Times New Roman" w:cs="Times New Roman" w:eastAsiaTheme="minorEastAsia"/>
                      <w:color w:val="auto"/>
                    </w:rPr>
                  </w:pPr>
                  <w:bookmarkStart w:id="27" w:name="_Toc17902"/>
                  <w:r>
                    <w:rPr>
                      <w:rFonts w:hint="default" w:ascii="Times New Roman" w:hAnsi="Times New Roman" w:cs="Times New Roman" w:eastAsiaTheme="minorEastAsia"/>
                      <w:color w:val="auto"/>
                    </w:rPr>
                    <w:t>直排</w:t>
                  </w:r>
                  <w:bookmarkEnd w:id="27"/>
                </w:p>
              </w:tc>
              <w:tc>
                <w:tcPr>
                  <w:tcW w:w="1122" w:type="dxa"/>
                  <w:tcBorders>
                    <w:tl2br w:val="nil"/>
                    <w:tr2bl w:val="nil"/>
                  </w:tcBorders>
                  <w:vAlign w:val="center"/>
                </w:tcPr>
                <w:p w14:paraId="066C0B13">
                  <w:pPr>
                    <w:pStyle w:val="13"/>
                    <w:keepLines/>
                    <w:adjustRightInd w:val="0"/>
                    <w:snapToGrid w:val="0"/>
                    <w:jc w:val="center"/>
                    <w:outlineLvl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0.02S</w:t>
                  </w:r>
                </w:p>
              </w:tc>
              <w:tc>
                <w:tcPr>
                  <w:tcW w:w="1896" w:type="dxa"/>
                  <w:vMerge w:val="continue"/>
                  <w:tcBorders>
                    <w:tl2br w:val="nil"/>
                    <w:tr2bl w:val="nil"/>
                  </w:tcBorders>
                  <w:vAlign w:val="center"/>
                </w:tcPr>
                <w:p w14:paraId="4AB95C64">
                  <w:pPr>
                    <w:pStyle w:val="13"/>
                    <w:keepLines/>
                    <w:adjustRightInd w:val="0"/>
                    <w:snapToGrid w:val="0"/>
                    <w:jc w:val="center"/>
                    <w:outlineLvl w:val="0"/>
                    <w:rPr>
                      <w:rFonts w:hint="default" w:ascii="Times New Roman" w:hAnsi="Times New Roman" w:cs="Times New Roman" w:eastAsiaTheme="minorEastAsia"/>
                      <w:color w:val="auto"/>
                    </w:rPr>
                  </w:pPr>
                </w:p>
              </w:tc>
            </w:tr>
            <w:tr w14:paraId="5EF55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73" w:type="dxa"/>
                  <w:tcBorders>
                    <w:tl2br w:val="nil"/>
                    <w:tr2bl w:val="nil"/>
                  </w:tcBorders>
                  <w:vAlign w:val="center"/>
                </w:tcPr>
                <w:p w14:paraId="6299250B">
                  <w:pPr>
                    <w:pStyle w:val="13"/>
                    <w:keepLines/>
                    <w:adjustRightInd w:val="0"/>
                    <w:snapToGrid w:val="0"/>
                    <w:jc w:val="center"/>
                    <w:outlineLvl w:val="0"/>
                    <w:rPr>
                      <w:rFonts w:hint="default" w:ascii="Times New Roman" w:hAnsi="Times New Roman" w:cs="Times New Roman" w:eastAsiaTheme="minorEastAsia"/>
                      <w:color w:val="auto"/>
                    </w:rPr>
                  </w:pPr>
                  <w:bookmarkStart w:id="28" w:name="_Toc5413"/>
                  <w:r>
                    <w:rPr>
                      <w:rFonts w:hint="default" w:ascii="Times New Roman" w:hAnsi="Times New Roman" w:cs="Times New Roman" w:eastAsiaTheme="minorEastAsia"/>
                      <w:color w:val="auto"/>
                    </w:rPr>
                    <w:t>NO</w:t>
                  </w:r>
                  <w:r>
                    <w:rPr>
                      <w:rFonts w:hint="default" w:ascii="Times New Roman" w:hAnsi="Times New Roman" w:cs="Times New Roman" w:eastAsiaTheme="minorEastAsia"/>
                      <w:color w:val="auto"/>
                      <w:vertAlign w:val="subscript"/>
                    </w:rPr>
                    <w:t>x</w:t>
                  </w:r>
                  <w:bookmarkEnd w:id="28"/>
                </w:p>
              </w:tc>
              <w:tc>
                <w:tcPr>
                  <w:tcW w:w="918" w:type="dxa"/>
                  <w:vMerge w:val="continue"/>
                  <w:tcBorders>
                    <w:tl2br w:val="nil"/>
                    <w:tr2bl w:val="nil"/>
                  </w:tcBorders>
                  <w:vAlign w:val="center"/>
                </w:tcPr>
                <w:p w14:paraId="2E53334E">
                  <w:pPr>
                    <w:pStyle w:val="13"/>
                    <w:keepLines/>
                    <w:adjustRightInd w:val="0"/>
                    <w:snapToGrid w:val="0"/>
                    <w:jc w:val="center"/>
                    <w:outlineLvl w:val="0"/>
                    <w:rPr>
                      <w:rFonts w:hint="default" w:ascii="Times New Roman" w:hAnsi="Times New Roman" w:cs="Times New Roman" w:eastAsiaTheme="minorEastAsia"/>
                      <w:color w:val="auto"/>
                    </w:rPr>
                  </w:pPr>
                </w:p>
              </w:tc>
              <w:tc>
                <w:tcPr>
                  <w:tcW w:w="1303" w:type="dxa"/>
                  <w:tcBorders>
                    <w:tl2br w:val="nil"/>
                    <w:tr2bl w:val="nil"/>
                  </w:tcBorders>
                  <w:vAlign w:val="center"/>
                </w:tcPr>
                <w:p w14:paraId="42F21572">
                  <w:pPr>
                    <w:keepLines/>
                    <w:jc w:val="center"/>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Kg/万m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-原料</w:t>
                  </w:r>
                </w:p>
              </w:tc>
              <w:tc>
                <w:tcPr>
                  <w:tcW w:w="1206" w:type="dxa"/>
                  <w:tcBorders>
                    <w:tl2br w:val="nil"/>
                    <w:tr2bl w:val="nil"/>
                  </w:tcBorders>
                  <w:vAlign w:val="center"/>
                </w:tcPr>
                <w:p w14:paraId="005BBF61">
                  <w:pPr>
                    <w:pStyle w:val="13"/>
                    <w:keepLines/>
                    <w:adjustRightInd w:val="0"/>
                    <w:snapToGrid w:val="0"/>
                    <w:jc w:val="center"/>
                    <w:outlineLvl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18.71</w:t>
                  </w:r>
                </w:p>
              </w:tc>
              <w:tc>
                <w:tcPr>
                  <w:tcW w:w="1063" w:type="dxa"/>
                  <w:tcBorders>
                    <w:tl2br w:val="nil"/>
                    <w:tr2bl w:val="nil"/>
                  </w:tcBorders>
                  <w:vAlign w:val="center"/>
                </w:tcPr>
                <w:p w14:paraId="14028CCE">
                  <w:pPr>
                    <w:pStyle w:val="13"/>
                    <w:keepLines/>
                    <w:adjustRightInd w:val="0"/>
                    <w:snapToGrid w:val="0"/>
                    <w:jc w:val="center"/>
                    <w:outlineLvl w:val="0"/>
                    <w:rPr>
                      <w:rFonts w:hint="default" w:ascii="Times New Roman" w:hAnsi="Times New Roman" w:cs="Times New Roman" w:eastAsiaTheme="minorEastAsia"/>
                      <w:color w:val="auto"/>
                    </w:rPr>
                  </w:pPr>
                  <w:bookmarkStart w:id="29" w:name="_Toc7646"/>
                  <w:r>
                    <w:rPr>
                      <w:rFonts w:hint="default" w:ascii="Times New Roman" w:hAnsi="Times New Roman" w:cs="Times New Roman" w:eastAsiaTheme="minorEastAsia"/>
                      <w:color w:val="auto"/>
                    </w:rPr>
                    <w:t>直排</w:t>
                  </w:r>
                  <w:bookmarkEnd w:id="29"/>
                </w:p>
              </w:tc>
              <w:tc>
                <w:tcPr>
                  <w:tcW w:w="1122" w:type="dxa"/>
                  <w:tcBorders>
                    <w:tl2br w:val="nil"/>
                    <w:tr2bl w:val="nil"/>
                  </w:tcBorders>
                  <w:vAlign w:val="center"/>
                </w:tcPr>
                <w:p w14:paraId="6AC8E4FF">
                  <w:pPr>
                    <w:pStyle w:val="13"/>
                    <w:keepLines/>
                    <w:adjustRightInd w:val="0"/>
                    <w:snapToGrid w:val="0"/>
                    <w:jc w:val="center"/>
                    <w:outlineLvl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18.71</w:t>
                  </w:r>
                </w:p>
              </w:tc>
              <w:tc>
                <w:tcPr>
                  <w:tcW w:w="1896" w:type="dxa"/>
                  <w:vMerge w:val="continue"/>
                  <w:tcBorders>
                    <w:tl2br w:val="nil"/>
                    <w:tr2bl w:val="nil"/>
                  </w:tcBorders>
                  <w:vAlign w:val="center"/>
                </w:tcPr>
                <w:p w14:paraId="318F849C">
                  <w:pPr>
                    <w:pStyle w:val="13"/>
                    <w:keepLines/>
                    <w:adjustRightInd w:val="0"/>
                    <w:snapToGrid w:val="0"/>
                    <w:jc w:val="center"/>
                    <w:outlineLvl w:val="0"/>
                    <w:rPr>
                      <w:rFonts w:hint="default" w:ascii="Times New Roman" w:hAnsi="Times New Roman" w:cs="Times New Roman" w:eastAsiaTheme="minorEastAsia"/>
                      <w:color w:val="auto"/>
                    </w:rPr>
                  </w:pPr>
                </w:p>
              </w:tc>
            </w:tr>
            <w:tr w14:paraId="0F6C7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3" w:type="dxa"/>
                  <w:tcBorders>
                    <w:tl2br w:val="nil"/>
                    <w:tr2bl w:val="nil"/>
                  </w:tcBorders>
                  <w:vAlign w:val="center"/>
                </w:tcPr>
                <w:p w14:paraId="25B74F45">
                  <w:pPr>
                    <w:pStyle w:val="13"/>
                    <w:keepLines/>
                    <w:adjustRightInd w:val="0"/>
                    <w:snapToGrid w:val="0"/>
                    <w:jc w:val="center"/>
                    <w:outlineLvl w:val="0"/>
                    <w:rPr>
                      <w:rFonts w:hint="default" w:ascii="Times New Roman" w:hAnsi="Times New Roman" w:cs="Times New Roman" w:eastAsiaTheme="minorEastAsia"/>
                      <w:color w:val="auto"/>
                    </w:rPr>
                  </w:pPr>
                  <w:bookmarkStart w:id="30" w:name="_Toc6706"/>
                  <w:r>
                    <w:rPr>
                      <w:rFonts w:hint="default" w:ascii="Times New Roman" w:hAnsi="Times New Roman" w:cs="Times New Roman" w:eastAsiaTheme="minorEastAsia"/>
                      <w:color w:val="auto"/>
                    </w:rPr>
                    <w:t>颗粒物</w:t>
                  </w:r>
                  <w:bookmarkEnd w:id="30"/>
                </w:p>
              </w:tc>
              <w:tc>
                <w:tcPr>
                  <w:tcW w:w="918" w:type="dxa"/>
                  <w:vMerge w:val="continue"/>
                  <w:tcBorders>
                    <w:tl2br w:val="nil"/>
                    <w:tr2bl w:val="nil"/>
                  </w:tcBorders>
                  <w:vAlign w:val="center"/>
                </w:tcPr>
                <w:p w14:paraId="3DD59DC0">
                  <w:pPr>
                    <w:pStyle w:val="13"/>
                    <w:keepLines/>
                    <w:adjustRightInd w:val="0"/>
                    <w:snapToGrid w:val="0"/>
                    <w:jc w:val="center"/>
                    <w:outlineLvl w:val="0"/>
                    <w:rPr>
                      <w:rFonts w:hint="default" w:ascii="Times New Roman" w:hAnsi="Times New Roman" w:cs="Times New Roman" w:eastAsiaTheme="minorEastAsia"/>
                      <w:color w:val="auto"/>
                    </w:rPr>
                  </w:pPr>
                </w:p>
              </w:tc>
              <w:tc>
                <w:tcPr>
                  <w:tcW w:w="1303" w:type="dxa"/>
                  <w:tcBorders>
                    <w:tl2br w:val="nil"/>
                    <w:tr2bl w:val="nil"/>
                  </w:tcBorders>
                  <w:vAlign w:val="center"/>
                </w:tcPr>
                <w:p w14:paraId="6A923955">
                  <w:pPr>
                    <w:keepLines/>
                    <w:jc w:val="center"/>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Kg/万m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-原料</w:t>
                  </w:r>
                </w:p>
              </w:tc>
              <w:tc>
                <w:tcPr>
                  <w:tcW w:w="1206" w:type="dxa"/>
                  <w:tcBorders>
                    <w:tl2br w:val="nil"/>
                    <w:tr2bl w:val="nil"/>
                  </w:tcBorders>
                  <w:vAlign w:val="center"/>
                </w:tcPr>
                <w:p w14:paraId="488A5792">
                  <w:pPr>
                    <w:pStyle w:val="13"/>
                    <w:keepLines/>
                    <w:adjustRightInd w:val="0"/>
                    <w:snapToGrid w:val="0"/>
                    <w:jc w:val="center"/>
                    <w:outlineLvl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2.86</w:t>
                  </w:r>
                </w:p>
              </w:tc>
              <w:tc>
                <w:tcPr>
                  <w:tcW w:w="1063" w:type="dxa"/>
                  <w:tcBorders>
                    <w:tl2br w:val="nil"/>
                    <w:tr2bl w:val="nil"/>
                  </w:tcBorders>
                  <w:vAlign w:val="center"/>
                </w:tcPr>
                <w:p w14:paraId="0F980D82">
                  <w:pPr>
                    <w:pStyle w:val="13"/>
                    <w:keepLines/>
                    <w:adjustRightInd w:val="0"/>
                    <w:snapToGrid w:val="0"/>
                    <w:jc w:val="center"/>
                    <w:outlineLvl w:val="0"/>
                    <w:rPr>
                      <w:rFonts w:hint="default" w:ascii="Times New Roman" w:hAnsi="Times New Roman" w:cs="Times New Roman" w:eastAsiaTheme="minorEastAsia"/>
                      <w:color w:val="auto"/>
                    </w:rPr>
                  </w:pPr>
                  <w:bookmarkStart w:id="31" w:name="_Toc23516"/>
                  <w:r>
                    <w:rPr>
                      <w:rFonts w:hint="default" w:ascii="Times New Roman" w:hAnsi="Times New Roman" w:cs="Times New Roman" w:eastAsiaTheme="minorEastAsia"/>
                      <w:color w:val="auto"/>
                    </w:rPr>
                    <w:t>直排</w:t>
                  </w:r>
                  <w:bookmarkEnd w:id="31"/>
                </w:p>
              </w:tc>
              <w:tc>
                <w:tcPr>
                  <w:tcW w:w="1122" w:type="dxa"/>
                  <w:tcBorders>
                    <w:tl2br w:val="nil"/>
                    <w:tr2bl w:val="nil"/>
                  </w:tcBorders>
                  <w:vAlign w:val="center"/>
                </w:tcPr>
                <w:p w14:paraId="49DDCF58">
                  <w:pPr>
                    <w:pStyle w:val="13"/>
                    <w:keepLines/>
                    <w:adjustRightInd w:val="0"/>
                    <w:snapToGrid w:val="0"/>
                    <w:jc w:val="center"/>
                    <w:outlineLvl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2.86</w:t>
                  </w:r>
                </w:p>
              </w:tc>
              <w:tc>
                <w:tcPr>
                  <w:tcW w:w="1896" w:type="dxa"/>
                  <w:vMerge w:val="continue"/>
                  <w:tcBorders>
                    <w:tl2br w:val="nil"/>
                    <w:tr2bl w:val="nil"/>
                  </w:tcBorders>
                  <w:vAlign w:val="center"/>
                </w:tcPr>
                <w:p w14:paraId="5B049F66">
                  <w:pPr>
                    <w:pStyle w:val="13"/>
                    <w:keepLines/>
                    <w:adjustRightInd w:val="0"/>
                    <w:snapToGrid w:val="0"/>
                    <w:jc w:val="center"/>
                    <w:outlineLvl w:val="0"/>
                    <w:rPr>
                      <w:rFonts w:hint="default" w:ascii="Times New Roman" w:hAnsi="Times New Roman" w:cs="Times New Roman" w:eastAsiaTheme="minorEastAsia"/>
                      <w:color w:val="auto"/>
                    </w:rPr>
                  </w:pPr>
                </w:p>
              </w:tc>
            </w:tr>
          </w:tbl>
          <w:p w14:paraId="4977DBE3">
            <w:pPr>
              <w:pStyle w:val="13"/>
              <w:keepLines/>
              <w:spacing w:after="120" w:afterLines="50"/>
              <w:outlineLvl w:val="0"/>
              <w:rPr>
                <w:rFonts w:hint="default" w:ascii="Times New Roman" w:hAnsi="Times New Roman" w:cs="Times New Roman" w:eastAsiaTheme="minorEastAsia"/>
                <w:color w:val="auto"/>
                <w:sz w:val="18"/>
                <w:szCs w:val="18"/>
              </w:rPr>
            </w:pPr>
            <w:bookmarkStart w:id="32" w:name="_Toc26456"/>
            <w:r>
              <w:rPr>
                <w:rFonts w:hint="default" w:ascii="Times New Roman" w:hAnsi="Times New Roman" w:cs="Times New Roman" w:eastAsiaTheme="minorEastAsia"/>
                <w:color w:val="auto"/>
                <w:sz w:val="18"/>
                <w:szCs w:val="18"/>
              </w:rPr>
              <w:t>注：产污系数中二氧化硫产污系数是以含硫量（S）的形式表示的，其中含硫量（S）是指燃气收到基硫分含量，单位为毫克/立方米。例如燃料中含硫量（S）为200毫克/立方米，则S=200。</w:t>
            </w:r>
            <w:bookmarkEnd w:id="32"/>
          </w:p>
          <w:p w14:paraId="4347F943">
            <w:pPr>
              <w:keepLines/>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根据表2-5项目使用天然气主要成分及理化性质表可知，项目天然气含硫量≤20mg/m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，则项目S取20。根据建设单位提供的数据，本项目一天使用天然气约250m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，则年用量总约为75000m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，全年工作2400h，则主要污染物产生量分别为颗粒物：0.0215t/a，SO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：0.003t/a，NOx：0.1403t/a，废气量为102万m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/a。废气由烟气管道收集后经1根15m高（DA002）排气筒排放。</w:t>
            </w:r>
          </w:p>
          <w:p w14:paraId="30CF1D21">
            <w:pPr>
              <w:keepLines/>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综上，可计算出天然气燃烧后各污染物的源强见表4-5。</w:t>
            </w:r>
          </w:p>
          <w:p w14:paraId="06FEDFE9">
            <w:pPr>
              <w:pStyle w:val="16"/>
              <w:keepLines/>
              <w:spacing w:after="0"/>
              <w:ind w:firstLine="482"/>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表4-5燃烧废气中污染物的排放系数及排放量</w:t>
            </w:r>
          </w:p>
          <w:tbl>
            <w:tblPr>
              <w:tblStyle w:val="30"/>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9"/>
              <w:gridCol w:w="1234"/>
              <w:gridCol w:w="1335"/>
              <w:gridCol w:w="1742"/>
            </w:tblGrid>
            <w:tr w14:paraId="7629F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4209" w:type="dxa"/>
                  <w:tcBorders>
                    <w:tl2br w:val="single" w:color="auto" w:sz="4" w:space="0"/>
                  </w:tcBorders>
                  <w:vAlign w:val="center"/>
                </w:tcPr>
                <w:p w14:paraId="3CE8648D">
                  <w:pPr>
                    <w:pStyle w:val="13"/>
                    <w:keepLines/>
                    <w:ind w:firstLine="1265" w:firstLineChars="600"/>
                    <w:jc w:val="center"/>
                    <w:rPr>
                      <w:rFonts w:hint="default" w:ascii="Times New Roman" w:hAnsi="Times New Roman" w:cs="Times New Roman"/>
                      <w:b/>
                      <w:color w:val="auto"/>
                    </w:rPr>
                  </w:pPr>
                  <w:r>
                    <w:rPr>
                      <w:rFonts w:hint="default" w:ascii="Times New Roman" w:hAnsi="Times New Roman" w:cs="Times New Roman"/>
                      <w:b/>
                      <w:color w:val="auto"/>
                    </w:rPr>
                    <w:t>污染源</w:t>
                  </w:r>
                </w:p>
                <w:p w14:paraId="2E3CC3F1">
                  <w:pPr>
                    <w:pStyle w:val="13"/>
                    <w:keepLines/>
                    <w:jc w:val="center"/>
                    <w:rPr>
                      <w:rFonts w:hint="default" w:ascii="Times New Roman" w:hAnsi="Times New Roman" w:cs="Times New Roman"/>
                      <w:b/>
                      <w:color w:val="auto"/>
                    </w:rPr>
                  </w:pPr>
                  <w:r>
                    <w:rPr>
                      <w:rFonts w:hint="default" w:ascii="Times New Roman" w:hAnsi="Times New Roman" w:cs="Times New Roman"/>
                      <w:b/>
                      <w:color w:val="auto"/>
                    </w:rPr>
                    <w:t>项目</w:t>
                  </w:r>
                </w:p>
              </w:tc>
              <w:tc>
                <w:tcPr>
                  <w:tcW w:w="4311" w:type="dxa"/>
                  <w:gridSpan w:val="3"/>
                  <w:vAlign w:val="center"/>
                </w:tcPr>
                <w:p w14:paraId="7E01EE88">
                  <w:pPr>
                    <w:pStyle w:val="13"/>
                    <w:keepLines/>
                    <w:jc w:val="center"/>
                    <w:rPr>
                      <w:rFonts w:hint="default" w:ascii="Times New Roman" w:hAnsi="Times New Roman" w:cs="Times New Roman"/>
                      <w:b/>
                      <w:color w:val="auto"/>
                    </w:rPr>
                  </w:pPr>
                  <w:r>
                    <w:rPr>
                      <w:rFonts w:hint="default" w:ascii="Times New Roman" w:hAnsi="Times New Roman" w:cs="Times New Roman"/>
                      <w:b/>
                      <w:color w:val="auto"/>
                    </w:rPr>
                    <w:t>天然气燃烧机</w:t>
                  </w:r>
                </w:p>
              </w:tc>
            </w:tr>
            <w:tr w14:paraId="150A8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09" w:type="dxa"/>
                  <w:vAlign w:val="center"/>
                </w:tcPr>
                <w:p w14:paraId="083D7BDB">
                  <w:pPr>
                    <w:pStyle w:val="13"/>
                    <w:keepLines/>
                    <w:jc w:val="center"/>
                    <w:rPr>
                      <w:rFonts w:hint="default" w:ascii="Times New Roman" w:hAnsi="Times New Roman" w:cs="Times New Roman"/>
                      <w:bCs/>
                      <w:color w:val="auto"/>
                    </w:rPr>
                  </w:pPr>
                  <w:r>
                    <w:rPr>
                      <w:rFonts w:hint="default" w:ascii="Times New Roman" w:hAnsi="Times New Roman" w:cs="Times New Roman"/>
                      <w:bCs/>
                      <w:color w:val="auto"/>
                    </w:rPr>
                    <w:t>烟气量</w:t>
                  </w:r>
                </w:p>
              </w:tc>
              <w:tc>
                <w:tcPr>
                  <w:tcW w:w="4311" w:type="dxa"/>
                  <w:gridSpan w:val="3"/>
                  <w:vAlign w:val="center"/>
                </w:tcPr>
                <w:p w14:paraId="5CDDA396">
                  <w:pPr>
                    <w:pStyle w:val="13"/>
                    <w:keepLines/>
                    <w:jc w:val="center"/>
                    <w:rPr>
                      <w:rFonts w:hint="default" w:ascii="Times New Roman" w:hAnsi="Times New Roman" w:cs="Times New Roman"/>
                      <w:bCs/>
                      <w:color w:val="auto"/>
                    </w:rPr>
                  </w:pPr>
                  <w:r>
                    <w:rPr>
                      <w:rFonts w:hint="default" w:ascii="Times New Roman" w:hAnsi="Times New Roman" w:cs="Times New Roman"/>
                      <w:color w:val="auto"/>
                    </w:rPr>
                    <w:t>102万</w:t>
                  </w:r>
                  <w:r>
                    <w:rPr>
                      <w:rFonts w:hint="default" w:ascii="Times New Roman" w:hAnsi="Times New Roman" w:cs="Times New Roman"/>
                      <w:bCs/>
                      <w:color w:val="auto"/>
                    </w:rPr>
                    <w:t>m</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/a，425m</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/h</w:t>
                  </w:r>
                </w:p>
              </w:tc>
            </w:tr>
            <w:tr w14:paraId="7E878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09" w:type="dxa"/>
                  <w:vAlign w:val="center"/>
                </w:tcPr>
                <w:p w14:paraId="47E4854D">
                  <w:pPr>
                    <w:pStyle w:val="13"/>
                    <w:keepLines/>
                    <w:jc w:val="center"/>
                    <w:rPr>
                      <w:rFonts w:hint="default" w:ascii="Times New Roman" w:hAnsi="Times New Roman" w:cs="Times New Roman"/>
                      <w:bCs/>
                      <w:color w:val="auto"/>
                    </w:rPr>
                  </w:pPr>
                  <w:r>
                    <w:rPr>
                      <w:rFonts w:hint="default" w:ascii="Times New Roman" w:hAnsi="Times New Roman" w:cs="Times New Roman"/>
                      <w:bCs/>
                      <w:color w:val="auto"/>
                    </w:rPr>
                    <w:t>污染物</w:t>
                  </w:r>
                </w:p>
              </w:tc>
              <w:tc>
                <w:tcPr>
                  <w:tcW w:w="1234" w:type="dxa"/>
                  <w:vAlign w:val="center"/>
                </w:tcPr>
                <w:p w14:paraId="17E2E2D4">
                  <w:pPr>
                    <w:pStyle w:val="13"/>
                    <w:keepLines/>
                    <w:jc w:val="center"/>
                    <w:rPr>
                      <w:rFonts w:hint="default" w:ascii="Times New Roman" w:hAnsi="Times New Roman" w:cs="Times New Roman"/>
                      <w:bCs/>
                      <w:color w:val="auto"/>
                    </w:rPr>
                  </w:pPr>
                  <w:r>
                    <w:rPr>
                      <w:rFonts w:hint="default" w:ascii="Times New Roman" w:hAnsi="Times New Roman" w:cs="Times New Roman"/>
                      <w:bCs/>
                      <w:color w:val="auto"/>
                    </w:rPr>
                    <w:t>颗粒物</w:t>
                  </w:r>
                </w:p>
              </w:tc>
              <w:tc>
                <w:tcPr>
                  <w:tcW w:w="1335" w:type="dxa"/>
                  <w:vAlign w:val="center"/>
                </w:tcPr>
                <w:p w14:paraId="1D7BA2E1">
                  <w:pPr>
                    <w:pStyle w:val="13"/>
                    <w:keepLines/>
                    <w:jc w:val="center"/>
                    <w:rPr>
                      <w:rFonts w:hint="default" w:ascii="Times New Roman" w:hAnsi="Times New Roman" w:cs="Times New Roman"/>
                      <w:bCs/>
                      <w:color w:val="auto"/>
                    </w:rPr>
                  </w:pPr>
                  <w:r>
                    <w:rPr>
                      <w:rFonts w:hint="default" w:ascii="Times New Roman" w:hAnsi="Times New Roman" w:cs="Times New Roman"/>
                      <w:bCs/>
                      <w:color w:val="auto"/>
                    </w:rPr>
                    <w:t>SO</w:t>
                  </w:r>
                  <w:r>
                    <w:rPr>
                      <w:rFonts w:hint="default" w:ascii="Times New Roman" w:hAnsi="Times New Roman" w:cs="Times New Roman"/>
                      <w:bCs/>
                      <w:color w:val="auto"/>
                      <w:vertAlign w:val="subscript"/>
                    </w:rPr>
                    <w:t>2</w:t>
                  </w:r>
                </w:p>
              </w:tc>
              <w:tc>
                <w:tcPr>
                  <w:tcW w:w="1742" w:type="dxa"/>
                  <w:vAlign w:val="center"/>
                </w:tcPr>
                <w:p w14:paraId="7A4EDCD7">
                  <w:pPr>
                    <w:pStyle w:val="13"/>
                    <w:keepLines/>
                    <w:jc w:val="center"/>
                    <w:rPr>
                      <w:rFonts w:hint="default" w:ascii="Times New Roman" w:hAnsi="Times New Roman" w:cs="Times New Roman"/>
                      <w:bCs/>
                      <w:color w:val="auto"/>
                    </w:rPr>
                  </w:pPr>
                  <w:r>
                    <w:rPr>
                      <w:rFonts w:hint="default" w:ascii="Times New Roman" w:hAnsi="Times New Roman" w:cs="Times New Roman"/>
                      <w:bCs/>
                      <w:color w:val="auto"/>
                    </w:rPr>
                    <w:t>NO</w:t>
                  </w:r>
                  <w:r>
                    <w:rPr>
                      <w:rFonts w:hint="default" w:ascii="Times New Roman" w:hAnsi="Times New Roman" w:cs="Times New Roman"/>
                      <w:bCs/>
                      <w:color w:val="auto"/>
                      <w:vertAlign w:val="subscript"/>
                    </w:rPr>
                    <w:t>x</w:t>
                  </w:r>
                </w:p>
              </w:tc>
            </w:tr>
            <w:tr w14:paraId="59CA7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09" w:type="dxa"/>
                  <w:vAlign w:val="center"/>
                </w:tcPr>
                <w:p w14:paraId="3A99C32E">
                  <w:pPr>
                    <w:pStyle w:val="13"/>
                    <w:keepLines/>
                    <w:jc w:val="center"/>
                    <w:rPr>
                      <w:rFonts w:hint="default" w:ascii="Times New Roman" w:hAnsi="Times New Roman" w:cs="Times New Roman"/>
                      <w:bCs/>
                      <w:color w:val="auto"/>
                    </w:rPr>
                  </w:pPr>
                  <w:r>
                    <w:rPr>
                      <w:rFonts w:hint="default" w:ascii="Times New Roman" w:hAnsi="Times New Roman" w:cs="Times New Roman"/>
                      <w:bCs/>
                      <w:color w:val="auto"/>
                    </w:rPr>
                    <w:t>排放量(</w:t>
                  </w:r>
                  <w:r>
                    <w:rPr>
                      <w:rFonts w:hint="default" w:ascii="Times New Roman" w:hAnsi="Times New Roman" w:cs="Times New Roman"/>
                      <w:color w:val="auto"/>
                    </w:rPr>
                    <w:t>t</w:t>
                  </w:r>
                  <w:r>
                    <w:rPr>
                      <w:rFonts w:hint="default" w:ascii="Times New Roman" w:hAnsi="Times New Roman" w:cs="Times New Roman"/>
                      <w:bCs/>
                      <w:color w:val="auto"/>
                    </w:rPr>
                    <w:t>/a)</w:t>
                  </w:r>
                </w:p>
              </w:tc>
              <w:tc>
                <w:tcPr>
                  <w:tcW w:w="1234" w:type="dxa"/>
                  <w:vAlign w:val="center"/>
                </w:tcPr>
                <w:p w14:paraId="74C4FEBF">
                  <w:pPr>
                    <w:pStyle w:val="13"/>
                    <w:keepLines/>
                    <w:jc w:val="center"/>
                    <w:rPr>
                      <w:rFonts w:hint="default" w:ascii="Times New Roman" w:hAnsi="Times New Roman" w:cs="Times New Roman"/>
                      <w:bCs/>
                      <w:color w:val="auto"/>
                    </w:rPr>
                  </w:pPr>
                  <w:r>
                    <w:rPr>
                      <w:rFonts w:hint="default" w:ascii="Times New Roman" w:hAnsi="Times New Roman" w:cs="Times New Roman"/>
                      <w:bCs/>
                      <w:color w:val="auto"/>
                    </w:rPr>
                    <w:t>0.0215</w:t>
                  </w:r>
                </w:p>
              </w:tc>
              <w:tc>
                <w:tcPr>
                  <w:tcW w:w="1335" w:type="dxa"/>
                  <w:vAlign w:val="center"/>
                </w:tcPr>
                <w:p w14:paraId="15A4BC9B">
                  <w:pPr>
                    <w:pStyle w:val="13"/>
                    <w:keepLines/>
                    <w:jc w:val="center"/>
                    <w:rPr>
                      <w:rFonts w:hint="default" w:ascii="Times New Roman" w:hAnsi="Times New Roman" w:cs="Times New Roman"/>
                      <w:bCs/>
                      <w:color w:val="auto"/>
                    </w:rPr>
                  </w:pPr>
                  <w:r>
                    <w:rPr>
                      <w:rFonts w:hint="default" w:ascii="Times New Roman" w:hAnsi="Times New Roman" w:cs="Times New Roman"/>
                      <w:bCs/>
                      <w:color w:val="auto"/>
                    </w:rPr>
                    <w:t>0.003</w:t>
                  </w:r>
                </w:p>
              </w:tc>
              <w:tc>
                <w:tcPr>
                  <w:tcW w:w="1742" w:type="dxa"/>
                  <w:vAlign w:val="center"/>
                </w:tcPr>
                <w:p w14:paraId="7F7FED08">
                  <w:pPr>
                    <w:pStyle w:val="13"/>
                    <w:keepLines/>
                    <w:jc w:val="center"/>
                    <w:rPr>
                      <w:rFonts w:hint="default" w:ascii="Times New Roman" w:hAnsi="Times New Roman" w:cs="Times New Roman"/>
                      <w:bCs/>
                      <w:color w:val="auto"/>
                    </w:rPr>
                  </w:pPr>
                  <w:r>
                    <w:rPr>
                      <w:rFonts w:hint="default" w:ascii="Times New Roman" w:hAnsi="Times New Roman" w:cs="Times New Roman"/>
                      <w:bCs/>
                      <w:color w:val="auto"/>
                    </w:rPr>
                    <w:t>0.1403</w:t>
                  </w:r>
                </w:p>
              </w:tc>
            </w:tr>
            <w:tr w14:paraId="47D66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09" w:type="dxa"/>
                  <w:vAlign w:val="center"/>
                </w:tcPr>
                <w:p w14:paraId="5D998276">
                  <w:pPr>
                    <w:pStyle w:val="13"/>
                    <w:keepLines/>
                    <w:jc w:val="center"/>
                    <w:rPr>
                      <w:rFonts w:hint="default" w:ascii="Times New Roman" w:hAnsi="Times New Roman" w:cs="Times New Roman"/>
                      <w:bCs/>
                      <w:color w:val="auto"/>
                    </w:rPr>
                  </w:pPr>
                  <w:r>
                    <w:rPr>
                      <w:rFonts w:hint="default" w:ascii="Times New Roman" w:hAnsi="Times New Roman" w:cs="Times New Roman"/>
                      <w:bCs/>
                      <w:color w:val="auto"/>
                    </w:rPr>
                    <w:t>排放速率（kg/h）</w:t>
                  </w:r>
                </w:p>
              </w:tc>
              <w:tc>
                <w:tcPr>
                  <w:tcW w:w="1234" w:type="dxa"/>
                  <w:vAlign w:val="center"/>
                </w:tcPr>
                <w:p w14:paraId="4BAF2C69">
                  <w:pPr>
                    <w:keepLines/>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0.0090</w:t>
                  </w:r>
                </w:p>
              </w:tc>
              <w:tc>
                <w:tcPr>
                  <w:tcW w:w="1335" w:type="dxa"/>
                  <w:vAlign w:val="center"/>
                </w:tcPr>
                <w:p w14:paraId="09008D90">
                  <w:pPr>
                    <w:keepLines/>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0.0013</w:t>
                  </w:r>
                </w:p>
              </w:tc>
              <w:tc>
                <w:tcPr>
                  <w:tcW w:w="1742" w:type="dxa"/>
                  <w:vAlign w:val="center"/>
                </w:tcPr>
                <w:p w14:paraId="79743645">
                  <w:pPr>
                    <w:keepLines/>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0.0585</w:t>
                  </w:r>
                </w:p>
              </w:tc>
            </w:tr>
            <w:tr w14:paraId="7A885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09" w:type="dxa"/>
                  <w:vAlign w:val="center"/>
                </w:tcPr>
                <w:p w14:paraId="4524E463">
                  <w:pPr>
                    <w:pStyle w:val="13"/>
                    <w:keepLines/>
                    <w:jc w:val="center"/>
                    <w:rPr>
                      <w:rFonts w:hint="default" w:ascii="Times New Roman" w:hAnsi="Times New Roman" w:cs="Times New Roman"/>
                      <w:bCs/>
                      <w:color w:val="auto"/>
                    </w:rPr>
                  </w:pPr>
                  <w:r>
                    <w:rPr>
                      <w:rFonts w:hint="default" w:ascii="Times New Roman" w:hAnsi="Times New Roman" w:cs="Times New Roman"/>
                      <w:bCs/>
                      <w:color w:val="auto"/>
                    </w:rPr>
                    <w:t>排放浓度（mg/m</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w:t>
                  </w:r>
                </w:p>
              </w:tc>
              <w:tc>
                <w:tcPr>
                  <w:tcW w:w="1234" w:type="dxa"/>
                  <w:vAlign w:val="center"/>
                </w:tcPr>
                <w:p w14:paraId="769FE77E">
                  <w:pPr>
                    <w:keepLines/>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rPr>
                    <w:t>21.18</w:t>
                  </w:r>
                </w:p>
              </w:tc>
              <w:tc>
                <w:tcPr>
                  <w:tcW w:w="1335" w:type="dxa"/>
                  <w:vAlign w:val="center"/>
                </w:tcPr>
                <w:p w14:paraId="7CC9CDFD">
                  <w:pPr>
                    <w:keepLines/>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rPr>
                    <w:t>3.059</w:t>
                  </w:r>
                </w:p>
              </w:tc>
              <w:tc>
                <w:tcPr>
                  <w:tcW w:w="1742" w:type="dxa"/>
                  <w:vAlign w:val="center"/>
                </w:tcPr>
                <w:p w14:paraId="4DB2972D">
                  <w:pPr>
                    <w:keepLines/>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rPr>
                    <w:t>137.65</w:t>
                  </w:r>
                </w:p>
              </w:tc>
            </w:tr>
            <w:tr w14:paraId="03A6E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09" w:type="dxa"/>
                  <w:vAlign w:val="center"/>
                </w:tcPr>
                <w:p w14:paraId="1D691F30">
                  <w:pPr>
                    <w:pStyle w:val="13"/>
                    <w:keepLines/>
                    <w:jc w:val="center"/>
                    <w:rPr>
                      <w:rFonts w:hint="default" w:ascii="Times New Roman" w:hAnsi="Times New Roman" w:cs="Times New Roman"/>
                      <w:bCs/>
                      <w:color w:val="auto"/>
                    </w:rPr>
                  </w:pPr>
                  <w:r>
                    <w:rPr>
                      <w:rFonts w:hint="default" w:ascii="Times New Roman" w:hAnsi="Times New Roman" w:cs="Times New Roman"/>
                      <w:bCs/>
                      <w:color w:val="auto"/>
                    </w:rPr>
                    <w:t>烟囱高度(m)</w:t>
                  </w:r>
                </w:p>
              </w:tc>
              <w:tc>
                <w:tcPr>
                  <w:tcW w:w="4311" w:type="dxa"/>
                  <w:gridSpan w:val="3"/>
                  <w:vAlign w:val="center"/>
                </w:tcPr>
                <w:p w14:paraId="0EAD7F05">
                  <w:pPr>
                    <w:pStyle w:val="13"/>
                    <w:keepLines/>
                    <w:jc w:val="center"/>
                    <w:rPr>
                      <w:rFonts w:hint="default" w:ascii="Times New Roman" w:hAnsi="Times New Roman" w:cs="Times New Roman"/>
                      <w:bCs/>
                      <w:color w:val="auto"/>
                    </w:rPr>
                  </w:pPr>
                  <w:r>
                    <w:rPr>
                      <w:rFonts w:hint="default" w:ascii="Times New Roman" w:hAnsi="Times New Roman" w:cs="Times New Roman"/>
                      <w:bCs/>
                      <w:color w:val="auto"/>
                    </w:rPr>
                    <w:t>15</w:t>
                  </w:r>
                </w:p>
              </w:tc>
            </w:tr>
          </w:tbl>
          <w:p w14:paraId="3D3E3B18">
            <w:pPr>
              <w:keepLines/>
              <w:adjustRightInd w:val="0"/>
              <w:snapToGrid w:val="0"/>
              <w:spacing w:line="360" w:lineRule="auto"/>
              <w:ind w:firstLine="480" w:firstLineChars="200"/>
              <w:rPr>
                <w:rFonts w:hint="default" w:ascii="Times New Roman" w:hAnsi="Times New Roman" w:cs="Times New Roman"/>
                <w:b/>
                <w:bCs/>
                <w:color w:val="auto"/>
                <w:sz w:val="24"/>
              </w:rPr>
            </w:pPr>
            <w:r>
              <w:rPr>
                <w:rFonts w:hint="default" w:ascii="Times New Roman" w:hAnsi="Times New Roman" w:cs="Times New Roman"/>
                <w:color w:val="auto"/>
                <w:sz w:val="24"/>
                <w:lang w:val="zh-CN"/>
              </w:rPr>
              <w:t>由上表分析可知，项目天然气燃烧废气</w:t>
            </w:r>
            <w:r>
              <w:rPr>
                <w:rFonts w:hint="default" w:ascii="Times New Roman" w:hAnsi="Times New Roman" w:cs="Times New Roman"/>
                <w:color w:val="auto"/>
                <w:sz w:val="24"/>
              </w:rPr>
              <w:t>满足《锅炉大气污染物排放标准》（GB13271-2014）中的排放限值要求。</w:t>
            </w:r>
          </w:p>
          <w:p w14:paraId="459EAA98">
            <w:pPr>
              <w:pStyle w:val="16"/>
              <w:keepLines/>
              <w:adjustRightInd w:val="0"/>
              <w:snapToGrid w:val="0"/>
              <w:spacing w:line="360" w:lineRule="auto"/>
              <w:ind w:firstLine="0" w:firstLineChars="0"/>
              <w:rPr>
                <w:rFonts w:hint="default" w:ascii="Times New Roman" w:hAnsi="Times New Roman" w:cs="Times New Roman"/>
                <w:b/>
                <w:bCs/>
                <w:color w:val="auto"/>
                <w:szCs w:val="28"/>
              </w:rPr>
            </w:pPr>
            <w:r>
              <w:rPr>
                <w:rFonts w:hint="default" w:ascii="Times New Roman" w:hAnsi="Times New Roman" w:cs="Times New Roman"/>
                <w:b/>
                <w:bCs/>
                <w:color w:val="auto"/>
                <w:szCs w:val="28"/>
              </w:rPr>
              <w:t>（2）有组织废气达标排放分析</w:t>
            </w:r>
          </w:p>
          <w:p w14:paraId="6B2470E0">
            <w:pPr>
              <w:pStyle w:val="13"/>
              <w:keepLines/>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项目天然气燃烧</w:t>
            </w:r>
            <w:r>
              <w:rPr>
                <w:rFonts w:hint="eastAsia" w:ascii="Times New Roman" w:hAnsi="Times New Roman" w:cs="Times New Roman"/>
                <w:color w:val="auto"/>
                <w:sz w:val="24"/>
                <w:lang w:eastAsia="zh-CN"/>
              </w:rPr>
              <w:t>废气</w:t>
            </w:r>
            <w:r>
              <w:rPr>
                <w:rFonts w:hint="default" w:ascii="Times New Roman" w:hAnsi="Times New Roman" w:cs="Times New Roman"/>
                <w:color w:val="auto"/>
                <w:sz w:val="24"/>
              </w:rPr>
              <w:t>直接经1根15m高的排气筒（DA002）排放，颗粒物、SO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、NOx排放浓度均满足</w:t>
            </w:r>
            <w:r>
              <w:rPr>
                <w:rFonts w:hint="default" w:ascii="Times New Roman" w:hAnsi="Times New Roman" w:cs="Times New Roman"/>
                <w:color w:val="auto"/>
                <w:kern w:val="2"/>
                <w:sz w:val="24"/>
                <w:szCs w:val="24"/>
              </w:rPr>
              <w:t>《锅炉大气污染物排放标准》（GB13271-2014）中的排放限值要求</w:t>
            </w:r>
            <w:r>
              <w:rPr>
                <w:rFonts w:hint="default" w:ascii="Times New Roman" w:hAnsi="Times New Roman" w:cs="Times New Roman"/>
                <w:color w:val="auto"/>
                <w:sz w:val="24"/>
                <w:szCs w:val="24"/>
              </w:rPr>
              <w:t>。</w:t>
            </w:r>
          </w:p>
          <w:p w14:paraId="41975B4B">
            <w:pPr>
              <w:keepLines/>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搅拌、浸渍、干燥产生的甲醛、VOCs（以非甲烷总烃计）废气经</w:t>
            </w:r>
            <w:r>
              <w:rPr>
                <w:rFonts w:hint="eastAsia" w:cs="Times New Roman"/>
                <w:color w:val="auto"/>
                <w:sz w:val="24"/>
                <w:lang w:eastAsia="zh-CN"/>
              </w:rPr>
              <w:t>负压</w:t>
            </w:r>
            <w:r>
              <w:rPr>
                <w:rFonts w:hint="default" w:ascii="Times New Roman" w:hAnsi="Times New Roman" w:cs="Times New Roman"/>
                <w:color w:val="auto"/>
                <w:sz w:val="24"/>
              </w:rPr>
              <w:t>集气罩（风量20320m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/h）收集后通过</w:t>
            </w:r>
            <w:r>
              <w:rPr>
                <w:rFonts w:hint="default" w:ascii="Times New Roman" w:hAnsi="Times New Roman" w:cs="Times New Roman"/>
                <w:color w:val="auto"/>
                <w:sz w:val="24"/>
                <w:lang w:val="zh-CN"/>
              </w:rPr>
              <w:t>UV光解+三级活性炭吸附装置处理后由</w:t>
            </w:r>
            <w:r>
              <w:rPr>
                <w:rFonts w:hint="default" w:ascii="Times New Roman" w:hAnsi="Times New Roman" w:cs="Times New Roman"/>
                <w:color w:val="auto"/>
                <w:sz w:val="24"/>
              </w:rPr>
              <w:t>1根15m高排气筒（DA001）</w:t>
            </w:r>
            <w:r>
              <w:rPr>
                <w:rFonts w:hint="default" w:ascii="Times New Roman" w:hAnsi="Times New Roman" w:cs="Times New Roman"/>
                <w:color w:val="auto"/>
                <w:sz w:val="24"/>
                <w:lang w:val="zh-CN"/>
              </w:rPr>
              <w:t>排放，排气筒排放的</w:t>
            </w:r>
            <w:r>
              <w:rPr>
                <w:rFonts w:hint="default" w:ascii="Times New Roman" w:hAnsi="Times New Roman" w:cs="Times New Roman"/>
                <w:color w:val="auto"/>
                <w:sz w:val="24"/>
              </w:rPr>
              <w:t>甲醛、VOCs（以非甲烷总烃计）</w:t>
            </w:r>
            <w:r>
              <w:rPr>
                <w:rFonts w:hint="default" w:ascii="Times New Roman" w:hAnsi="Times New Roman" w:cs="Times New Roman"/>
                <w:color w:val="auto"/>
                <w:sz w:val="24"/>
                <w:lang w:val="zh-CN"/>
              </w:rPr>
              <w:t>排放浓度均满足</w:t>
            </w:r>
            <w:r>
              <w:rPr>
                <w:rFonts w:hint="default" w:ascii="Times New Roman" w:hAnsi="Times New Roman" w:cs="Times New Roman"/>
                <w:color w:val="auto"/>
                <w:sz w:val="24"/>
              </w:rPr>
              <w:t>《大气污染物综合排放标准》（GB16297-1996）表2中有组织排放标准限值要求，即：</w:t>
            </w:r>
            <w:r>
              <w:rPr>
                <w:rFonts w:hint="default" w:ascii="Times New Roman" w:hAnsi="Times New Roman" w:cs="Times New Roman"/>
                <w:color w:val="auto"/>
                <w:sz w:val="24"/>
                <w:lang w:val="zh-CN"/>
              </w:rPr>
              <w:t>非甲烷总烃≤120mg/m</w:t>
            </w:r>
            <w:r>
              <w:rPr>
                <w:rFonts w:hint="default" w:ascii="Times New Roman" w:hAnsi="Times New Roman" w:cs="Times New Roman"/>
                <w:color w:val="auto"/>
                <w:sz w:val="24"/>
                <w:vertAlign w:val="superscript"/>
                <w:lang w:val="zh-CN"/>
              </w:rPr>
              <w:t>3</w:t>
            </w:r>
            <w:r>
              <w:rPr>
                <w:rFonts w:hint="default" w:ascii="Times New Roman" w:hAnsi="Times New Roman" w:cs="Times New Roman"/>
                <w:color w:val="auto"/>
                <w:sz w:val="24"/>
              </w:rPr>
              <w:t>；甲醛</w:t>
            </w:r>
            <w:r>
              <w:rPr>
                <w:rFonts w:hint="default" w:ascii="Times New Roman" w:hAnsi="Times New Roman" w:cs="Times New Roman"/>
                <w:color w:val="auto"/>
                <w:sz w:val="24"/>
                <w:lang w:val="zh-CN"/>
              </w:rPr>
              <w:t>≤</w:t>
            </w:r>
            <w:r>
              <w:rPr>
                <w:rFonts w:hint="default" w:ascii="Times New Roman" w:hAnsi="Times New Roman" w:cs="Times New Roman"/>
                <w:color w:val="auto"/>
                <w:sz w:val="24"/>
              </w:rPr>
              <w:t>25</w:t>
            </w:r>
            <w:r>
              <w:rPr>
                <w:rFonts w:hint="default" w:ascii="Times New Roman" w:hAnsi="Times New Roman" w:cs="Times New Roman"/>
                <w:color w:val="auto"/>
                <w:sz w:val="24"/>
                <w:lang w:val="zh-CN"/>
              </w:rPr>
              <w:t>mg/m</w:t>
            </w:r>
            <w:r>
              <w:rPr>
                <w:rFonts w:hint="default" w:ascii="Times New Roman" w:hAnsi="Times New Roman" w:cs="Times New Roman"/>
                <w:color w:val="auto"/>
                <w:sz w:val="24"/>
                <w:vertAlign w:val="superscript"/>
                <w:lang w:val="zh-CN"/>
              </w:rPr>
              <w:t>3</w:t>
            </w:r>
            <w:r>
              <w:rPr>
                <w:rFonts w:hint="default" w:ascii="Times New Roman" w:hAnsi="Times New Roman" w:cs="Times New Roman"/>
                <w:color w:val="auto"/>
                <w:sz w:val="24"/>
              </w:rPr>
              <w:t>；排放速率满足</w:t>
            </w:r>
            <w:r>
              <w:rPr>
                <w:rFonts w:hint="default" w:ascii="Times New Roman" w:hAnsi="Times New Roman" w:cs="Times New Roman"/>
                <w:color w:val="auto"/>
                <w:sz w:val="24"/>
                <w:lang w:val="zh-CN"/>
              </w:rPr>
              <w:t>《大气污染物综合排放标准》（GB16297-1996）表2中二级标准</w:t>
            </w:r>
            <w:r>
              <w:rPr>
                <w:rFonts w:hint="default" w:ascii="Times New Roman" w:hAnsi="Times New Roman" w:cs="Times New Roman"/>
                <w:color w:val="auto"/>
                <w:sz w:val="24"/>
              </w:rPr>
              <w:t>50%要求。</w:t>
            </w:r>
          </w:p>
          <w:p w14:paraId="3F139ADA">
            <w:pPr>
              <w:keepLines/>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综上所述，项目有组织废气均能达标排放，对周边环境影响较小。</w:t>
            </w:r>
          </w:p>
          <w:p w14:paraId="3D91CDC0">
            <w:pPr>
              <w:pStyle w:val="16"/>
              <w:keepLines/>
              <w:adjustRightInd w:val="0"/>
              <w:snapToGrid w:val="0"/>
              <w:spacing w:line="360" w:lineRule="auto"/>
              <w:ind w:firstLine="0" w:firstLineChars="0"/>
              <w:rPr>
                <w:rFonts w:hint="default" w:ascii="Times New Roman" w:hAnsi="Times New Roman" w:cs="Times New Roman"/>
                <w:b/>
                <w:bCs/>
                <w:color w:val="auto"/>
                <w:szCs w:val="28"/>
              </w:rPr>
            </w:pPr>
            <w:r>
              <w:rPr>
                <w:rFonts w:hint="default" w:ascii="Times New Roman" w:hAnsi="Times New Roman" w:cs="Times New Roman"/>
                <w:b/>
                <w:bCs/>
                <w:color w:val="auto"/>
                <w:szCs w:val="28"/>
              </w:rPr>
              <w:t>（3）无组织废气达标排放分析</w:t>
            </w:r>
          </w:p>
          <w:p w14:paraId="1D87034C">
            <w:pPr>
              <w:keepLine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zh-CN"/>
              </w:rPr>
              <w:t>UV光解+三级活性炭吸附装置处理对</w:t>
            </w:r>
            <w:r>
              <w:rPr>
                <w:rFonts w:hint="default" w:ascii="Times New Roman" w:hAnsi="Times New Roman" w:cs="Times New Roman"/>
                <w:color w:val="auto"/>
                <w:sz w:val="24"/>
              </w:rPr>
              <w:t>挥发性有机化合物</w:t>
            </w:r>
            <w:r>
              <w:rPr>
                <w:rFonts w:hint="default" w:ascii="Times New Roman" w:hAnsi="Times New Roman" w:cs="Times New Roman"/>
                <w:color w:val="auto"/>
                <w:sz w:val="24"/>
                <w:lang w:val="zh-CN"/>
              </w:rPr>
              <w:t>的</w:t>
            </w:r>
            <w:r>
              <w:rPr>
                <w:rFonts w:hint="default" w:ascii="Times New Roman" w:hAnsi="Times New Roman" w:cs="Times New Roman"/>
                <w:color w:val="auto"/>
                <w:sz w:val="24"/>
              </w:rPr>
              <w:t>收集</w:t>
            </w:r>
            <w:r>
              <w:rPr>
                <w:rFonts w:hint="default" w:ascii="Times New Roman" w:hAnsi="Times New Roman" w:cs="Times New Roman"/>
                <w:color w:val="auto"/>
                <w:sz w:val="24"/>
                <w:lang w:val="zh-CN"/>
              </w:rPr>
              <w:t>效率为</w:t>
            </w:r>
            <w:r>
              <w:rPr>
                <w:rFonts w:hint="default" w:ascii="Times New Roman" w:hAnsi="Times New Roman" w:cs="Times New Roman"/>
                <w:color w:val="auto"/>
                <w:sz w:val="24"/>
              </w:rPr>
              <w:t>90%，则仅有10%的甲醛、VOCs（以非甲烷总烃计）在厂区内</w:t>
            </w:r>
            <w:r>
              <w:rPr>
                <w:rFonts w:hint="default" w:ascii="Times New Roman" w:hAnsi="Times New Roman" w:cs="Times New Roman"/>
                <w:color w:val="auto"/>
                <w:sz w:val="24"/>
                <w:lang w:val="zh-CN"/>
              </w:rPr>
              <w:t>无组织排放，</w:t>
            </w:r>
            <w:r>
              <w:rPr>
                <w:rFonts w:hint="default" w:ascii="Times New Roman" w:hAnsi="Times New Roman" w:cs="Times New Roman"/>
                <w:color w:val="auto"/>
                <w:sz w:val="24"/>
              </w:rPr>
              <w:t>有机废气无组织排放量为甲醛：0.046t/a；VOCs（以非甲烷总烃计）：1.</w:t>
            </w:r>
            <w:r>
              <w:rPr>
                <w:rFonts w:hint="eastAsia" w:cs="Times New Roman"/>
                <w:color w:val="auto"/>
                <w:sz w:val="24"/>
                <w:lang w:val="en-US" w:eastAsia="zh-CN"/>
              </w:rPr>
              <w:t>449</w:t>
            </w:r>
            <w:r>
              <w:rPr>
                <w:rFonts w:hint="default" w:ascii="Times New Roman" w:hAnsi="Times New Roman" w:cs="Times New Roman"/>
                <w:color w:val="auto"/>
                <w:sz w:val="24"/>
              </w:rPr>
              <w:t>t/a。根据《环境影响评价技术导则 大气环境》（HJ 2.2-2018），本次环评利用估算模式AERSCREEN对无组织排放进行估算，厂界下风向最大落地浓度为甲醛：6.168× 10</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；VOCs（以非甲烷总烃计）：0.16</w:t>
            </w:r>
            <w:r>
              <w:rPr>
                <w:rFonts w:hint="eastAsia" w:cs="Times New Roman"/>
                <w:color w:val="auto"/>
                <w:sz w:val="24"/>
                <w:lang w:val="en-US" w:eastAsia="zh-CN"/>
              </w:rPr>
              <w:t>5</w:t>
            </w:r>
            <w:r>
              <w:rPr>
                <w:rFonts w:hint="default" w:ascii="Times New Roman" w:hAnsi="Times New Roman" w:cs="Times New Roman"/>
                <w:color w:val="auto"/>
                <w:sz w:val="24"/>
              </w:rPr>
              <w:t>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。项目厂界无组织排放的甲醛、VOCs（以非甲烷总烃计）满足《大气污染物综合排放标准》 (GB16297-1996)表2新污染源大气污染物二级无组织排放监控浓度限值，即：甲醛≤0.2mg/m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、非甲烷总烃≤4.0mg/m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；厂区内无组织VOCs（以非甲烷总烃计）排放浓度满足《挥发性有机物无组织排放控制标准》（GB37822-2019）的限值要求。</w:t>
            </w:r>
          </w:p>
          <w:p w14:paraId="4CDF3E34">
            <w:pPr>
              <w:keepLines/>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综上，本项目废气对周边大气环境影响较小。</w:t>
            </w:r>
          </w:p>
          <w:p w14:paraId="0F659529">
            <w:pPr>
              <w:pStyle w:val="17"/>
              <w:keepLines/>
              <w:ind w:firstLine="482" w:firstLineChars="200"/>
              <w:rPr>
                <w:rFonts w:hint="default" w:ascii="Times New Roman" w:hAnsi="Times New Roman" w:cs="Times New Roman"/>
                <w:b/>
                <w:bCs/>
                <w:color w:val="auto"/>
              </w:rPr>
            </w:pPr>
            <w:r>
              <w:rPr>
                <w:rFonts w:hint="default" w:ascii="Times New Roman" w:hAnsi="Times New Roman" w:cs="Times New Roman"/>
                <w:b/>
                <w:bCs/>
                <w:color w:val="auto"/>
              </w:rPr>
              <w:t>（4）环保设施处理可行性分析</w:t>
            </w:r>
          </w:p>
          <w:p w14:paraId="5ACF71AB">
            <w:pPr>
              <w:keepLines/>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UV光氧+</w:t>
            </w:r>
            <w:r>
              <w:rPr>
                <w:rFonts w:hint="default" w:ascii="Times New Roman" w:hAnsi="Times New Roman" w:eastAsia="Times New Roman" w:cs="Times New Roman"/>
                <w:color w:val="auto"/>
                <w:sz w:val="24"/>
                <w:lang w:val="zh-CN"/>
              </w:rPr>
              <w:t>活性炭吸附</w:t>
            </w:r>
            <w:r>
              <w:rPr>
                <w:rFonts w:hint="default" w:ascii="Times New Roman" w:hAnsi="Times New Roman" w:cs="Times New Roman"/>
                <w:color w:val="auto"/>
                <w:sz w:val="24"/>
              </w:rPr>
              <w:t>装置</w:t>
            </w:r>
          </w:p>
          <w:p w14:paraId="22916237">
            <w:pPr>
              <w:keepLines/>
              <w:spacing w:line="360" w:lineRule="auto"/>
              <w:ind w:firstLine="480"/>
              <w:rPr>
                <w:rFonts w:hint="default" w:ascii="Times New Roman" w:hAnsi="Times New Roman" w:eastAsia="Times New Roman" w:cs="Times New Roman"/>
                <w:color w:val="auto"/>
                <w:sz w:val="24"/>
                <w:lang w:val="zh-CN"/>
              </w:rPr>
            </w:pPr>
            <w:r>
              <w:rPr>
                <w:rFonts w:hint="default" w:ascii="Times New Roman" w:hAnsi="Times New Roman" w:cs="Times New Roman"/>
                <w:bCs/>
                <w:color w:val="auto"/>
                <w:sz w:val="24"/>
              </w:rPr>
              <w:t>项目为纸制品制造业，产生的废气主要为VOCs（以非甲烷总烃计），该行业无相应的行业《</w:t>
            </w:r>
            <w:r>
              <w:rPr>
                <w:rFonts w:hint="default" w:ascii="Times New Roman" w:hAnsi="Times New Roman" w:cs="Times New Roman"/>
                <w:color w:val="auto"/>
                <w:sz w:val="24"/>
              </w:rPr>
              <w:t>排污许可证申请与核发技术规范》，则该项目参照</w:t>
            </w:r>
            <w:r>
              <w:rPr>
                <w:rFonts w:hint="default" w:ascii="Times New Roman" w:hAnsi="Times New Roman" w:cs="Times New Roman"/>
                <w:bCs/>
                <w:color w:val="auto"/>
                <w:sz w:val="24"/>
              </w:rPr>
              <w:t>《排污许可证申请与核发技术规范 总则》（HJ 942-2018）以及“挥发性有机物（VOCs（以非甲烷总烃计））污染防治技术政策”（公告 2013年第31号2013-05-24实施）中末端治理与综合利用的要求，</w:t>
            </w:r>
            <w:r>
              <w:rPr>
                <w:rFonts w:hint="default" w:ascii="Times New Roman" w:hAnsi="Times New Roman" w:cs="Times New Roman"/>
                <w:color w:val="auto"/>
                <w:sz w:val="24"/>
              </w:rPr>
              <w:t>UV光氧+</w:t>
            </w:r>
            <w:r>
              <w:rPr>
                <w:rFonts w:hint="default" w:ascii="Times New Roman" w:hAnsi="Times New Roman" w:cs="Times New Roman"/>
                <w:bCs/>
                <w:color w:val="auto"/>
                <w:sz w:val="24"/>
              </w:rPr>
              <w:t>活性炭吸附属于</w:t>
            </w:r>
            <w:r>
              <w:rPr>
                <w:rFonts w:hint="default" w:ascii="Times New Roman" w:hAnsi="Times New Roman" w:cs="Times New Roman"/>
                <w:color w:val="auto"/>
                <w:sz w:val="24"/>
              </w:rPr>
              <w:t>可行技术。</w:t>
            </w:r>
          </w:p>
          <w:p w14:paraId="2873C69A">
            <w:pPr>
              <w:keepLines/>
              <w:spacing w:line="360" w:lineRule="auto"/>
              <w:ind w:firstLine="480"/>
              <w:rPr>
                <w:rFonts w:hint="default" w:ascii="Times New Roman" w:hAnsi="Times New Roman" w:cs="Times New Roman"/>
                <w:color w:val="auto"/>
              </w:rPr>
            </w:pPr>
            <w:r>
              <w:rPr>
                <w:rFonts w:hint="default" w:ascii="Times New Roman" w:hAnsi="Times New Roman" w:eastAsia="Times New Roman" w:cs="Times New Roman"/>
                <w:color w:val="auto"/>
                <w:sz w:val="24"/>
                <w:lang w:val="zh-CN"/>
              </w:rPr>
              <w:t>UV光氧技术利用特制的高能高臭氧UV紫外线光束照射废气，使有机或无机高分子恶臭化合物分子链降解转变成低分子化合物，如CO</w:t>
            </w:r>
            <w:r>
              <w:rPr>
                <w:rFonts w:hint="default" w:ascii="Times New Roman" w:hAnsi="Times New Roman" w:eastAsia="Times New Roman" w:cs="Times New Roman"/>
                <w:color w:val="auto"/>
                <w:sz w:val="24"/>
                <w:vertAlign w:val="subscript"/>
                <w:lang w:val="zh-CN"/>
              </w:rPr>
              <w:t>2</w:t>
            </w:r>
            <w:r>
              <w:rPr>
                <w:rFonts w:hint="default" w:ascii="Times New Roman" w:hAnsi="Times New Roman" w:eastAsia="Times New Roman" w:cs="Times New Roman"/>
                <w:color w:val="auto"/>
                <w:sz w:val="24"/>
                <w:lang w:val="zh-CN"/>
              </w:rPr>
              <w:t>、H</w:t>
            </w:r>
            <w:r>
              <w:rPr>
                <w:rFonts w:hint="default" w:ascii="Times New Roman" w:hAnsi="Times New Roman" w:eastAsia="Times New Roman" w:cs="Times New Roman"/>
                <w:color w:val="auto"/>
                <w:sz w:val="24"/>
                <w:vertAlign w:val="subscript"/>
                <w:lang w:val="zh-CN"/>
              </w:rPr>
              <w:t>2</w:t>
            </w:r>
            <w:r>
              <w:rPr>
                <w:rFonts w:hint="default" w:ascii="Times New Roman" w:hAnsi="Times New Roman" w:cs="Times New Roman"/>
                <w:color w:val="auto"/>
                <w:sz w:val="24"/>
              </w:rPr>
              <w:t>O</w:t>
            </w:r>
            <w:r>
              <w:rPr>
                <w:rFonts w:hint="default" w:ascii="Times New Roman" w:hAnsi="Times New Roman" w:eastAsia="Times New Roman" w:cs="Times New Roman"/>
                <w:color w:val="auto"/>
                <w:sz w:val="24"/>
                <w:lang w:val="zh-CN"/>
              </w:rPr>
              <w:t>等。同时高能高臭氧UV紫外线光束分解空气中的氧分子产生游离氧，即活性氧，因游离氧所携正负电子不平衡所以需与氧分子结合，进而产生臭氧。臭氧对有机物具有极强的氧化作用，对工业废气及其它刺激性异味有立竿见影的清除效果。UV光解技术能有效去除TVOC、无机物、硫化氢、氨气、硫醇类等主要污染物，以及各种恶臭味，净化、脱臭效率可达50%以上。无需添加任何物质，可适应高浓度，大气量，不同工业废气物质的净化处理，可每天24小时连续工作，运行稳定可靠。本设备无任何机械动作，无噪音，需专人管理和日常维护。工业废气无需进行特殊的预处理，如加温、加湿等，设备工作环境温度在摄氏-30℃~95℃之间，湿度在30%~98%、PH在3~11之间均可正常工作。</w:t>
            </w:r>
          </w:p>
          <w:p w14:paraId="6E4598E1">
            <w:pPr>
              <w:keepLines/>
              <w:spacing w:line="360" w:lineRule="auto"/>
              <w:ind w:firstLine="480"/>
              <w:rPr>
                <w:rFonts w:hint="default" w:ascii="Times New Roman" w:hAnsi="Times New Roman" w:eastAsia="Times New Roman" w:cs="Times New Roman"/>
                <w:color w:val="auto"/>
                <w:sz w:val="24"/>
                <w:lang w:val="zh-CN"/>
              </w:rPr>
            </w:pPr>
            <w:r>
              <w:rPr>
                <w:rFonts w:hint="default" w:ascii="Times New Roman" w:hAnsi="Times New Roman" w:eastAsia="Times New Roman" w:cs="Times New Roman"/>
                <w:color w:val="auto"/>
                <w:sz w:val="24"/>
                <w:lang w:val="zh-CN"/>
              </w:rPr>
              <w:t>活性炭吸附装置是利用活性炭作为吸附介质，其作用原理为利用微孔活性物质对溶剂分子或分子团的吸附力，当废气通过吸附介质时，其中的有机废气污染物即被阻留下来，从而使得有机废气得到净化处理后排入大气。</w:t>
            </w:r>
          </w:p>
          <w:p w14:paraId="2B970B6A">
            <w:pPr>
              <w:keepLines/>
              <w:spacing w:line="360" w:lineRule="auto"/>
              <w:ind w:firstLine="480"/>
              <w:rPr>
                <w:rFonts w:hint="default" w:ascii="Times New Roman" w:hAnsi="Times New Roman" w:eastAsia="Times New Roman" w:cs="Times New Roman"/>
                <w:color w:val="auto"/>
                <w:sz w:val="24"/>
                <w:lang w:val="zh-CN"/>
              </w:rPr>
            </w:pPr>
            <w:r>
              <w:rPr>
                <w:rFonts w:hint="default" w:ascii="Times New Roman" w:hAnsi="Times New Roman" w:eastAsia="Times New Roman" w:cs="Times New Roman"/>
                <w:color w:val="auto"/>
                <w:sz w:val="24"/>
                <w:lang w:val="zh-CN"/>
              </w:rPr>
              <w:t>活性炭吸附法一直被认为是比较成熟可靠的技术，活性炭是一种由含碳材料制成的外观呈黑色，内部孔隙结构发达，比表面积大，吸附能力强的一类微晶质碳素材料。有机废气净化采用活性炭吸附处理，是国内最为有效的方法。吸附作用是一种界面现象。所谓吸附，是当两相存在时，在相与相的界面附近的浓度与相内部不一样的现象，吸附的物质称作吸附剂或吸附载体。活性炭的吸附是用活性炭作为吸附载体的吸附。吸附的作用力是吸附载体与吸附质（有机废气）之间在能量方面的相互作用，承担这种相互作用的是电子。吸附载体表面上的原子与吸附质（有机废气）分子互相接近时，即使是无极性，也会瞬时性地</w:t>
            </w:r>
            <w:r>
              <w:rPr>
                <w:rFonts w:hint="eastAsia" w:eastAsia="Times New Roman" w:cs="Times New Roman"/>
                <w:color w:val="auto"/>
                <w:sz w:val="24"/>
                <w:lang w:val="zh-CN"/>
              </w:rPr>
              <w:t>造成</w:t>
            </w:r>
            <w:r>
              <w:rPr>
                <w:rFonts w:hint="default" w:ascii="Times New Roman" w:hAnsi="Times New Roman" w:eastAsia="Times New Roman" w:cs="Times New Roman"/>
                <w:color w:val="auto"/>
                <w:sz w:val="24"/>
                <w:lang w:val="zh-CN"/>
              </w:rPr>
              <w:t>电子分布的不对称而形成电极，并诱导与其相对应的原子或分子产生分电极。在这两个分电极之间，便产生微弱的静电相互作用力。活性炭也能通过使用氧化剂，还原剂进行处理，让表面官能团发生变化，此时，比表面积及孔径也将发生变化。由于活性炭是比较非极性的物质，对有机废气具有很强的亲和性；即使有</w:t>
            </w:r>
            <w:r>
              <w:rPr>
                <w:rFonts w:hint="eastAsia" w:eastAsia="Times New Roman" w:cs="Times New Roman"/>
                <w:color w:val="auto"/>
                <w:sz w:val="24"/>
                <w:lang w:val="zh-CN"/>
              </w:rPr>
              <w:t>水分</w:t>
            </w:r>
            <w:r>
              <w:rPr>
                <w:rFonts w:hint="default" w:ascii="Times New Roman" w:hAnsi="Times New Roman" w:eastAsia="Times New Roman" w:cs="Times New Roman"/>
                <w:color w:val="auto"/>
                <w:sz w:val="24"/>
                <w:lang w:val="zh-CN"/>
              </w:rPr>
              <w:t>存在，吸附性能下降也不大。活性炭的吸附性能由空隙大小与比表面积决定，空隙的大小决定对吸附质的选择性，而比表面积的大小则决定了吸附容量。活性炭的特点是比表面积及比孔容积大，单位重量的吸附量也大。</w:t>
            </w:r>
          </w:p>
          <w:p w14:paraId="36818998">
            <w:pPr>
              <w:keepLines/>
              <w:spacing w:line="360" w:lineRule="auto"/>
              <w:ind w:firstLine="480"/>
              <w:rPr>
                <w:rFonts w:hint="default" w:ascii="Times New Roman" w:hAnsi="Times New Roman" w:eastAsia="Times New Roman" w:cs="Times New Roman"/>
                <w:color w:val="auto"/>
                <w:sz w:val="24"/>
                <w:lang w:val="zh-CN"/>
              </w:rPr>
            </w:pPr>
            <w:r>
              <w:rPr>
                <w:rFonts w:hint="default" w:ascii="Times New Roman" w:hAnsi="Times New Roman" w:eastAsia="Times New Roman" w:cs="Times New Roman"/>
                <w:color w:val="auto"/>
                <w:sz w:val="24"/>
                <w:lang w:val="zh-CN"/>
              </w:rPr>
              <w:t>本项目产生的</w:t>
            </w:r>
            <w:r>
              <w:rPr>
                <w:rFonts w:hint="default" w:ascii="Times New Roman" w:hAnsi="Times New Roman" w:cs="Times New Roman"/>
                <w:color w:val="auto"/>
                <w:sz w:val="24"/>
              </w:rPr>
              <w:t>甲醛和VOCs（以非甲烷总烃计）</w:t>
            </w:r>
            <w:r>
              <w:rPr>
                <w:rFonts w:hint="default" w:ascii="Times New Roman" w:hAnsi="Times New Roman" w:eastAsia="Times New Roman" w:cs="Times New Roman"/>
                <w:color w:val="auto"/>
                <w:sz w:val="24"/>
                <w:lang w:val="zh-CN"/>
              </w:rPr>
              <w:t>经收集</w:t>
            </w:r>
            <w:r>
              <w:rPr>
                <w:rFonts w:hint="default" w:ascii="Times New Roman" w:hAnsi="Times New Roman" w:cs="Times New Roman"/>
                <w:color w:val="auto"/>
                <w:sz w:val="24"/>
              </w:rPr>
              <w:t>至</w:t>
            </w:r>
            <w:r>
              <w:rPr>
                <w:rFonts w:hint="default" w:ascii="Times New Roman" w:hAnsi="Times New Roman" w:eastAsia="Times New Roman" w:cs="Times New Roman"/>
                <w:color w:val="auto"/>
                <w:sz w:val="24"/>
                <w:lang w:val="zh-CN"/>
              </w:rPr>
              <w:t>UV</w:t>
            </w:r>
            <w:r>
              <w:rPr>
                <w:rFonts w:hint="default" w:ascii="Times New Roman" w:hAnsi="Times New Roman" w:eastAsia="Times New Roman" w:cs="Times New Roman"/>
                <w:color w:val="auto"/>
                <w:sz w:val="24"/>
              </w:rPr>
              <w:t>光氧催化装置+</w:t>
            </w:r>
            <w:r>
              <w:rPr>
                <w:rFonts w:hint="default" w:ascii="Times New Roman" w:hAnsi="Times New Roman" w:cs="Times New Roman"/>
                <w:color w:val="auto"/>
                <w:sz w:val="24"/>
              </w:rPr>
              <w:t>三级</w:t>
            </w:r>
            <w:r>
              <w:rPr>
                <w:rFonts w:hint="default" w:ascii="Times New Roman" w:hAnsi="Times New Roman" w:eastAsia="Times New Roman" w:cs="Times New Roman"/>
                <w:color w:val="auto"/>
                <w:sz w:val="24"/>
                <w:lang w:val="zh-CN"/>
              </w:rPr>
              <w:t>活性炭吸附</w:t>
            </w:r>
            <w:r>
              <w:rPr>
                <w:rFonts w:hint="default" w:ascii="Times New Roman" w:hAnsi="Times New Roman" w:eastAsia="Times New Roman" w:cs="Times New Roman"/>
                <w:color w:val="auto"/>
                <w:sz w:val="24"/>
              </w:rPr>
              <w:t>装置</w:t>
            </w:r>
            <w:r>
              <w:rPr>
                <w:rFonts w:hint="default" w:ascii="Times New Roman" w:hAnsi="Times New Roman" w:eastAsia="Times New Roman" w:cs="Times New Roman"/>
                <w:color w:val="auto"/>
                <w:sz w:val="24"/>
                <w:lang w:val="zh-CN"/>
              </w:rPr>
              <w:t>处理，经</w:t>
            </w:r>
            <w:r>
              <w:rPr>
                <w:rFonts w:hint="default" w:ascii="Times New Roman" w:hAnsi="Times New Roman" w:eastAsia="Times New Roman" w:cs="Times New Roman"/>
                <w:color w:val="auto"/>
                <w:sz w:val="24"/>
              </w:rPr>
              <w:t>1根15米高的</w:t>
            </w:r>
            <w:r>
              <w:rPr>
                <w:rFonts w:hint="default" w:ascii="Times New Roman" w:hAnsi="Times New Roman" w:eastAsia="Times New Roman" w:cs="Times New Roman"/>
                <w:color w:val="auto"/>
                <w:sz w:val="24"/>
                <w:lang w:val="zh-CN"/>
              </w:rPr>
              <w:t>排气筒排放。根据参考目前国内现行的处理有机废气有效的方法，本项目先通过UV光解，然后进入活性炭吸附装置处理后排气筒排放。“UV光解”处理工艺作为“活性炭吸附”处理工艺的预处理装置，起到对有机废气进行初步预处理的作用，其</w:t>
            </w:r>
            <w:r>
              <w:rPr>
                <w:rFonts w:hint="default" w:ascii="Times New Roman" w:hAnsi="Times New Roman" w:eastAsia="Times New Roman" w:cs="Times New Roman"/>
                <w:color w:val="auto"/>
                <w:sz w:val="24"/>
              </w:rPr>
              <w:t>不仅</w:t>
            </w:r>
            <w:r>
              <w:rPr>
                <w:rFonts w:hint="default" w:ascii="Times New Roman" w:hAnsi="Times New Roman" w:eastAsia="Times New Roman" w:cs="Times New Roman"/>
                <w:color w:val="auto"/>
                <w:sz w:val="24"/>
                <w:lang w:val="zh-CN"/>
              </w:rPr>
              <w:t>能够</w:t>
            </w:r>
            <w:r>
              <w:rPr>
                <w:rFonts w:hint="default" w:ascii="Times New Roman" w:hAnsi="Times New Roman" w:eastAsia="Times New Roman" w:cs="Times New Roman"/>
                <w:color w:val="auto"/>
                <w:sz w:val="24"/>
              </w:rPr>
              <w:t>提高整体的有机废气去除效率，而且还能</w:t>
            </w:r>
            <w:r>
              <w:rPr>
                <w:rFonts w:hint="default" w:ascii="Times New Roman" w:hAnsi="Times New Roman" w:eastAsia="Times New Roman" w:cs="Times New Roman"/>
                <w:color w:val="auto"/>
                <w:sz w:val="24"/>
                <w:lang w:val="zh-CN"/>
              </w:rPr>
              <w:t>大大降低了</w:t>
            </w:r>
            <w:r>
              <w:rPr>
                <w:rFonts w:hint="eastAsia" w:eastAsia="Times New Roman" w:cs="Times New Roman"/>
                <w:color w:val="auto"/>
                <w:sz w:val="24"/>
                <w:lang w:val="zh-CN"/>
              </w:rPr>
              <w:t>后续</w:t>
            </w:r>
            <w:r>
              <w:rPr>
                <w:rFonts w:hint="default" w:ascii="Times New Roman" w:hAnsi="Times New Roman" w:eastAsia="Times New Roman" w:cs="Times New Roman"/>
                <w:color w:val="auto"/>
                <w:sz w:val="24"/>
                <w:lang w:val="zh-CN"/>
              </w:rPr>
              <w:t>的“活性炭吸附处理装置”的活性炭消耗量，降低运行成本。</w:t>
            </w:r>
          </w:p>
          <w:p w14:paraId="2D6268D9">
            <w:pPr>
              <w:keepLines/>
              <w:spacing w:line="360" w:lineRule="auto"/>
              <w:ind w:firstLine="480"/>
              <w:rPr>
                <w:rFonts w:hint="default" w:ascii="Times New Roman" w:hAnsi="Times New Roman" w:cs="Times New Roman"/>
                <w:color w:val="auto"/>
                <w:lang w:val="zh-CN"/>
              </w:rPr>
            </w:pPr>
            <w:r>
              <w:rPr>
                <w:rFonts w:hint="default" w:ascii="Times New Roman" w:hAnsi="Times New Roman" w:eastAsia="Times New Roman" w:cs="Times New Roman"/>
                <w:color w:val="auto"/>
                <w:sz w:val="24"/>
              </w:rPr>
              <w:t>综上所述，项目采用“UV光氧+</w:t>
            </w:r>
            <w:r>
              <w:rPr>
                <w:rFonts w:hint="default" w:ascii="Times New Roman" w:hAnsi="Times New Roman" w:cs="Times New Roman"/>
                <w:color w:val="auto"/>
                <w:sz w:val="24"/>
              </w:rPr>
              <w:t>三级</w:t>
            </w:r>
            <w:r>
              <w:rPr>
                <w:rFonts w:hint="default" w:ascii="Times New Roman" w:hAnsi="Times New Roman" w:eastAsia="Times New Roman" w:cs="Times New Roman"/>
                <w:color w:val="auto"/>
                <w:sz w:val="24"/>
              </w:rPr>
              <w:t>活性炭吸附装置”去除甲醛、</w:t>
            </w:r>
            <w:r>
              <w:rPr>
                <w:rFonts w:hint="default" w:ascii="Times New Roman" w:hAnsi="Times New Roman" w:cs="Times New Roman"/>
                <w:color w:val="auto"/>
                <w:sz w:val="24"/>
              </w:rPr>
              <w:t>VOCs（以非甲烷总烃计）</w:t>
            </w:r>
            <w:r>
              <w:rPr>
                <w:rFonts w:hint="default" w:ascii="Times New Roman" w:hAnsi="Times New Roman" w:eastAsia="Times New Roman" w:cs="Times New Roman"/>
                <w:color w:val="auto"/>
                <w:sz w:val="24"/>
              </w:rPr>
              <w:t>废气是合理、可行的。</w:t>
            </w:r>
          </w:p>
          <w:p w14:paraId="31DB1CE7">
            <w:pPr>
              <w:keepLines/>
              <w:adjustRightInd w:val="0"/>
              <w:snapToGrid w:val="0"/>
              <w:spacing w:line="360" w:lineRule="auto"/>
              <w:ind w:firstLine="482" w:firstLineChars="200"/>
              <w:rPr>
                <w:rFonts w:hint="default" w:ascii="Times New Roman" w:hAnsi="Times New Roman" w:cs="Times New Roman"/>
                <w:b/>
                <w:bCs/>
                <w:color w:val="auto"/>
                <w:sz w:val="24"/>
                <w:lang w:val="zh-CN"/>
              </w:rPr>
            </w:pPr>
            <w:r>
              <w:rPr>
                <w:rFonts w:hint="default" w:ascii="Times New Roman" w:hAnsi="Times New Roman" w:cs="Times New Roman"/>
                <w:b/>
                <w:bCs/>
                <w:color w:val="auto"/>
                <w:sz w:val="24"/>
              </w:rPr>
              <w:t>（4）</w:t>
            </w:r>
            <w:r>
              <w:rPr>
                <w:rFonts w:hint="default" w:ascii="Times New Roman" w:hAnsi="Times New Roman" w:cs="Times New Roman"/>
                <w:b/>
                <w:bCs/>
                <w:color w:val="auto"/>
                <w:sz w:val="24"/>
                <w:lang w:val="zh-CN"/>
              </w:rPr>
              <w:t>废气非正常排放</w:t>
            </w:r>
            <w:r>
              <w:rPr>
                <w:rFonts w:hint="default" w:ascii="Times New Roman" w:hAnsi="Times New Roman" w:cs="Times New Roman"/>
                <w:b/>
                <w:bCs/>
                <w:color w:val="auto"/>
                <w:sz w:val="24"/>
              </w:rPr>
              <w:t>影响分析</w:t>
            </w:r>
          </w:p>
          <w:p w14:paraId="6526ACE8">
            <w:pPr>
              <w:pStyle w:val="16"/>
              <w:keepLines/>
              <w:adjustRightInd w:val="0"/>
              <w:snapToGrid w:val="0"/>
              <w:spacing w:after="0" w:line="360" w:lineRule="auto"/>
              <w:ind w:left="0" w:leftChars="0" w:firstLine="480"/>
              <w:rPr>
                <w:rFonts w:hint="default" w:ascii="Times New Roman" w:hAnsi="Times New Roman" w:cs="Times New Roman"/>
                <w:color w:val="auto"/>
                <w:kern w:val="2"/>
                <w:szCs w:val="30"/>
              </w:rPr>
            </w:pPr>
            <w:r>
              <w:rPr>
                <w:rFonts w:hint="default" w:ascii="Times New Roman" w:hAnsi="Times New Roman" w:cs="Times New Roman"/>
                <w:color w:val="auto"/>
              </w:rPr>
              <w:t>项目</w:t>
            </w:r>
            <w:r>
              <w:rPr>
                <w:rFonts w:hint="default" w:ascii="Times New Roman" w:hAnsi="Times New Roman" w:cs="Times New Roman"/>
                <w:color w:val="auto"/>
                <w:lang w:val="zh-CN"/>
              </w:rPr>
              <w:t>非正常情况考虑</w:t>
            </w:r>
            <w:r>
              <w:rPr>
                <w:rFonts w:hint="default" w:ascii="Times New Roman" w:hAnsi="Times New Roman" w:eastAsia="Times New Roman" w:cs="Times New Roman"/>
                <w:color w:val="auto"/>
                <w:lang w:val="zh-CN"/>
              </w:rPr>
              <w:t>UV光解装置故障或检修、活性炭吸附装置</w:t>
            </w:r>
            <w:r>
              <w:rPr>
                <w:rFonts w:hint="default" w:ascii="Times New Roman" w:hAnsi="Times New Roman" w:cs="Times New Roman"/>
                <w:color w:val="auto"/>
                <w:lang w:val="zh-CN"/>
              </w:rPr>
              <w:t>饱和。当</w:t>
            </w:r>
            <w:r>
              <w:rPr>
                <w:rFonts w:hint="default" w:ascii="Times New Roman" w:hAnsi="Times New Roman" w:eastAsia="Times New Roman" w:cs="Times New Roman"/>
                <w:color w:val="auto"/>
                <w:lang w:val="zh-CN"/>
              </w:rPr>
              <w:t>UV光解装置故障或检修、活性炭吸附装置</w:t>
            </w:r>
            <w:r>
              <w:rPr>
                <w:rFonts w:hint="default" w:ascii="Times New Roman" w:hAnsi="Times New Roman" w:cs="Times New Roman"/>
                <w:color w:val="auto"/>
                <w:lang w:val="zh-CN"/>
              </w:rPr>
              <w:t>饱和时，</w:t>
            </w:r>
            <w:r>
              <w:rPr>
                <w:rFonts w:hint="default" w:ascii="Times New Roman" w:hAnsi="Times New Roman" w:cs="Times New Roman"/>
                <w:color w:val="auto"/>
              </w:rPr>
              <w:t>甲醛、VOCs（以非甲烷总烃计）</w:t>
            </w:r>
            <w:r>
              <w:rPr>
                <w:rFonts w:hint="default" w:ascii="Times New Roman" w:hAnsi="Times New Roman" w:cs="Times New Roman"/>
                <w:color w:val="auto"/>
                <w:lang w:val="zh-CN"/>
              </w:rPr>
              <w:t>去除效率由</w:t>
            </w:r>
            <w:r>
              <w:rPr>
                <w:rFonts w:hint="eastAsia" w:cs="Times New Roman"/>
                <w:color w:val="auto"/>
                <w:lang w:val="en-US" w:eastAsia="zh-CN"/>
              </w:rPr>
              <w:t>60</w:t>
            </w:r>
            <w:r>
              <w:rPr>
                <w:rFonts w:hint="default" w:ascii="Times New Roman" w:hAnsi="Times New Roman" w:cs="Times New Roman"/>
                <w:color w:val="auto"/>
                <w:lang w:val="zh-CN"/>
              </w:rPr>
              <w:t>%下降至0%。一年发生次数约1-2次，持续时间约1~2h，</w:t>
            </w:r>
            <w:r>
              <w:rPr>
                <w:rFonts w:hint="default" w:ascii="Times New Roman" w:hAnsi="Times New Roman" w:cs="Times New Roman"/>
                <w:color w:val="auto"/>
              </w:rPr>
              <w:t>甲醛、</w:t>
            </w:r>
            <w:r>
              <w:rPr>
                <w:rFonts w:hint="default" w:ascii="Times New Roman" w:hAnsi="Times New Roman" w:cs="Times New Roman"/>
                <w:color w:val="auto"/>
                <w:kern w:val="2"/>
                <w:szCs w:val="24"/>
              </w:rPr>
              <w:t>VOCs（以非甲烷总烃计）</w:t>
            </w:r>
            <w:r>
              <w:rPr>
                <w:rFonts w:hint="default" w:ascii="Times New Roman" w:hAnsi="Times New Roman" w:cs="Times New Roman"/>
                <w:color w:val="auto"/>
                <w:lang w:val="zh-CN"/>
              </w:rPr>
              <w:t>排放浓度</w:t>
            </w:r>
            <w:r>
              <w:rPr>
                <w:rFonts w:hint="default" w:ascii="Times New Roman" w:hAnsi="Times New Roman" w:cs="Times New Roman"/>
                <w:color w:val="auto"/>
              </w:rPr>
              <w:t>分别</w:t>
            </w:r>
            <w:r>
              <w:rPr>
                <w:rFonts w:hint="default" w:ascii="Times New Roman" w:hAnsi="Times New Roman" w:cs="Times New Roman"/>
                <w:color w:val="auto"/>
                <w:lang w:val="zh-CN"/>
              </w:rPr>
              <w:t>由</w:t>
            </w:r>
            <w:r>
              <w:rPr>
                <w:rFonts w:hint="default" w:ascii="Times New Roman" w:hAnsi="Times New Roman" w:cs="Times New Roman"/>
                <w:color w:val="auto"/>
              </w:rPr>
              <w:t>3.396</w:t>
            </w:r>
            <w:r>
              <w:rPr>
                <w:rFonts w:hint="default" w:ascii="Times New Roman" w:hAnsi="Times New Roman" w:cs="Times New Roman"/>
                <w:color w:val="auto"/>
                <w:lang w:val="zh-CN"/>
              </w:rPr>
              <w:t>mg/m</w:t>
            </w:r>
            <w:r>
              <w:rPr>
                <w:rFonts w:hint="default" w:ascii="Times New Roman" w:hAnsi="Times New Roman" w:cs="Times New Roman"/>
                <w:color w:val="auto"/>
                <w:vertAlign w:val="superscript"/>
                <w:lang w:val="zh-CN"/>
              </w:rPr>
              <w:t>3</w:t>
            </w:r>
            <w:r>
              <w:rPr>
                <w:rFonts w:hint="default" w:ascii="Times New Roman" w:hAnsi="Times New Roman" w:cs="Times New Roman"/>
                <w:color w:val="auto"/>
                <w:lang w:val="zh-CN"/>
              </w:rPr>
              <w:t>上升至</w:t>
            </w:r>
            <w:r>
              <w:rPr>
                <w:rFonts w:hint="eastAsia" w:cs="Times New Roman"/>
                <w:color w:val="auto"/>
                <w:lang w:val="en-US" w:eastAsia="zh-CN"/>
              </w:rPr>
              <w:t>8.415</w:t>
            </w:r>
            <w:r>
              <w:rPr>
                <w:rFonts w:hint="default" w:ascii="Times New Roman" w:hAnsi="Times New Roman" w:cs="Times New Roman"/>
                <w:color w:val="auto"/>
                <w:lang w:val="zh-CN"/>
              </w:rPr>
              <w:t>mg/m</w:t>
            </w:r>
            <w:r>
              <w:rPr>
                <w:rFonts w:hint="default" w:ascii="Times New Roman" w:hAnsi="Times New Roman" w:cs="Times New Roman"/>
                <w:color w:val="auto"/>
                <w:vertAlign w:val="superscript"/>
                <w:lang w:val="zh-CN"/>
              </w:rPr>
              <w:t>3</w:t>
            </w:r>
            <w:r>
              <w:rPr>
                <w:rFonts w:hint="default" w:ascii="Times New Roman" w:hAnsi="Times New Roman" w:cs="Times New Roman"/>
                <w:color w:val="auto"/>
                <w:lang w:val="zh-CN"/>
              </w:rPr>
              <w:t>；</w:t>
            </w:r>
            <w:r>
              <w:rPr>
                <w:rFonts w:hint="eastAsia" w:cs="Times New Roman"/>
                <w:color w:val="auto"/>
                <w:lang w:val="en-US" w:eastAsia="zh-CN"/>
              </w:rPr>
              <w:t>106.939</w:t>
            </w:r>
            <w:r>
              <w:rPr>
                <w:rFonts w:hint="default" w:ascii="Times New Roman" w:hAnsi="Times New Roman" w:cs="Times New Roman"/>
                <w:color w:val="auto"/>
                <w:lang w:val="zh-CN"/>
              </w:rPr>
              <w:t>mg/m</w:t>
            </w:r>
            <w:r>
              <w:rPr>
                <w:rFonts w:hint="default" w:ascii="Times New Roman" w:hAnsi="Times New Roman" w:cs="Times New Roman"/>
                <w:color w:val="auto"/>
                <w:vertAlign w:val="superscript"/>
                <w:lang w:val="zh-CN"/>
              </w:rPr>
              <w:t>3</w:t>
            </w:r>
            <w:r>
              <w:rPr>
                <w:rFonts w:hint="default" w:ascii="Times New Roman" w:hAnsi="Times New Roman" w:cs="Times New Roman"/>
                <w:color w:val="auto"/>
                <w:lang w:val="zh-CN"/>
              </w:rPr>
              <w:t>上升至</w:t>
            </w:r>
            <w:r>
              <w:rPr>
                <w:rFonts w:hint="default" w:ascii="Times New Roman" w:hAnsi="Times New Roman" w:cs="Times New Roman"/>
                <w:color w:val="auto"/>
              </w:rPr>
              <w:t>2</w:t>
            </w:r>
            <w:r>
              <w:rPr>
                <w:rFonts w:hint="eastAsia" w:cs="Times New Roman"/>
                <w:color w:val="auto"/>
                <w:lang w:val="en-US" w:eastAsia="zh-CN"/>
              </w:rPr>
              <w:t>67.323</w:t>
            </w:r>
            <w:r>
              <w:rPr>
                <w:rFonts w:hint="default" w:ascii="Times New Roman" w:hAnsi="Times New Roman" w:cs="Times New Roman"/>
                <w:color w:val="auto"/>
                <w:lang w:val="zh-CN"/>
              </w:rPr>
              <w:t>mg/m</w:t>
            </w:r>
            <w:r>
              <w:rPr>
                <w:rFonts w:hint="default" w:ascii="Times New Roman" w:hAnsi="Times New Roman" w:cs="Times New Roman"/>
                <w:color w:val="auto"/>
                <w:vertAlign w:val="superscript"/>
                <w:lang w:val="zh-CN"/>
              </w:rPr>
              <w:t>3</w:t>
            </w:r>
            <w:r>
              <w:rPr>
                <w:rFonts w:hint="default" w:ascii="Times New Roman" w:hAnsi="Times New Roman" w:cs="Times New Roman"/>
                <w:color w:val="auto"/>
                <w:lang w:val="zh-CN"/>
              </w:rPr>
              <w:t>；排气筒</w:t>
            </w:r>
            <w:r>
              <w:rPr>
                <w:rFonts w:hint="default" w:ascii="Times New Roman" w:hAnsi="Times New Roman" w:cs="Times New Roman"/>
                <w:color w:val="auto"/>
              </w:rPr>
              <w:t>甲醛非正常排放速率约为0.1</w:t>
            </w:r>
            <w:r>
              <w:rPr>
                <w:rFonts w:hint="eastAsia" w:cs="Times New Roman"/>
                <w:color w:val="auto"/>
                <w:lang w:val="en-US" w:eastAsia="zh-CN"/>
              </w:rPr>
              <w:t>71</w:t>
            </w:r>
            <w:r>
              <w:rPr>
                <w:rFonts w:hint="default" w:ascii="Times New Roman" w:hAnsi="Times New Roman" w:cs="Times New Roman"/>
                <w:color w:val="auto"/>
                <w:lang w:val="zh-CN"/>
              </w:rPr>
              <w:t>kg/2h</w:t>
            </w:r>
            <w:r>
              <w:rPr>
                <w:rFonts w:hint="default" w:ascii="Times New Roman" w:hAnsi="Times New Roman" w:cs="Times New Roman"/>
                <w:color w:val="auto"/>
              </w:rPr>
              <w:t>、</w:t>
            </w:r>
            <w:r>
              <w:rPr>
                <w:rFonts w:hint="default" w:ascii="Times New Roman" w:hAnsi="Times New Roman" w:cs="Times New Roman"/>
                <w:color w:val="auto"/>
                <w:kern w:val="2"/>
                <w:szCs w:val="24"/>
              </w:rPr>
              <w:t>VOCs（以非甲烷总烃计）</w:t>
            </w:r>
            <w:r>
              <w:rPr>
                <w:rFonts w:hint="default" w:ascii="Times New Roman" w:hAnsi="Times New Roman" w:cs="Times New Roman"/>
                <w:color w:val="auto"/>
                <w:lang w:val="zh-CN"/>
              </w:rPr>
              <w:t>的非正常排放</w:t>
            </w:r>
            <w:r>
              <w:rPr>
                <w:rFonts w:hint="default" w:ascii="Times New Roman" w:hAnsi="Times New Roman" w:cs="Times New Roman"/>
                <w:color w:val="auto"/>
              </w:rPr>
              <w:t>速率</w:t>
            </w:r>
            <w:r>
              <w:rPr>
                <w:rFonts w:hint="default" w:ascii="Times New Roman" w:hAnsi="Times New Roman" w:cs="Times New Roman"/>
                <w:color w:val="auto"/>
                <w:lang w:val="zh-CN"/>
              </w:rPr>
              <w:t>约为</w:t>
            </w:r>
            <w:r>
              <w:rPr>
                <w:rFonts w:hint="default" w:ascii="Times New Roman" w:hAnsi="Times New Roman" w:cs="Times New Roman"/>
                <w:color w:val="auto"/>
              </w:rPr>
              <w:t>5.</w:t>
            </w:r>
            <w:r>
              <w:rPr>
                <w:rFonts w:hint="eastAsia" w:cs="Times New Roman"/>
                <w:color w:val="auto"/>
                <w:lang w:val="en-US" w:eastAsia="zh-CN"/>
              </w:rPr>
              <w:t>432</w:t>
            </w:r>
            <w:r>
              <w:rPr>
                <w:rFonts w:hint="default" w:ascii="Times New Roman" w:hAnsi="Times New Roman" w:cs="Times New Roman"/>
                <w:color w:val="auto"/>
                <w:lang w:val="zh-CN"/>
              </w:rPr>
              <w:t>kg/2h。当发生非正常排放</w:t>
            </w:r>
            <w:r>
              <w:rPr>
                <w:rFonts w:hint="default" w:ascii="Times New Roman" w:hAnsi="Times New Roman" w:cs="Times New Roman"/>
                <w:color w:val="auto"/>
              </w:rPr>
              <w:t>时</w:t>
            </w:r>
            <w:r>
              <w:rPr>
                <w:rFonts w:hint="default" w:ascii="Times New Roman" w:hAnsi="Times New Roman" w:cs="Times New Roman"/>
                <w:color w:val="auto"/>
                <w:lang w:val="zh-CN"/>
              </w:rPr>
              <w:t>，</w:t>
            </w:r>
            <w:r>
              <w:rPr>
                <w:rFonts w:hint="default" w:ascii="Times New Roman" w:hAnsi="Times New Roman" w:cs="Times New Roman"/>
                <w:color w:val="auto"/>
              </w:rPr>
              <w:t>甲醛、</w:t>
            </w:r>
            <w:r>
              <w:rPr>
                <w:rFonts w:hint="default" w:ascii="Times New Roman" w:hAnsi="Times New Roman" w:cs="Times New Roman"/>
                <w:color w:val="auto"/>
                <w:kern w:val="2"/>
                <w:szCs w:val="24"/>
              </w:rPr>
              <w:t>VOCs（以非甲烷总烃计）的</w:t>
            </w:r>
            <w:r>
              <w:rPr>
                <w:rFonts w:hint="default" w:ascii="Times New Roman" w:hAnsi="Times New Roman" w:cs="Times New Roman"/>
                <w:color w:val="auto"/>
                <w:lang w:val="zh-CN"/>
              </w:rPr>
              <w:t>排放</w:t>
            </w:r>
            <w:r>
              <w:rPr>
                <w:rFonts w:hint="default" w:ascii="Times New Roman" w:hAnsi="Times New Roman" w:cs="Times New Roman"/>
                <w:color w:val="auto"/>
              </w:rPr>
              <w:t>速率均</w:t>
            </w:r>
            <w:r>
              <w:rPr>
                <w:rFonts w:hint="default" w:ascii="Times New Roman" w:hAnsi="Times New Roman" w:cs="Times New Roman"/>
                <w:color w:val="auto"/>
                <w:lang w:val="zh-CN"/>
              </w:rPr>
              <w:t>不</w:t>
            </w:r>
            <w:r>
              <w:rPr>
                <w:rFonts w:hint="default" w:ascii="Times New Roman" w:hAnsi="Times New Roman" w:cs="Times New Roman"/>
                <w:color w:val="auto"/>
              </w:rPr>
              <w:t>能</w:t>
            </w:r>
            <w:r>
              <w:rPr>
                <w:rFonts w:hint="default" w:ascii="Times New Roman" w:hAnsi="Times New Roman" w:cs="Times New Roman"/>
                <w:color w:val="auto"/>
                <w:lang w:val="zh-CN"/>
              </w:rPr>
              <w:t>满足《大气污染物综合排放标准》（GB16297-1996）表2中二级标准</w:t>
            </w:r>
            <w:r>
              <w:rPr>
                <w:rFonts w:hint="default" w:ascii="Times New Roman" w:hAnsi="Times New Roman" w:cs="Times New Roman"/>
                <w:color w:val="auto"/>
              </w:rPr>
              <w:t>，故</w:t>
            </w:r>
            <w:r>
              <w:rPr>
                <w:rFonts w:hint="default" w:ascii="Times New Roman" w:hAnsi="Times New Roman" w:cs="Times New Roman"/>
                <w:color w:val="auto"/>
                <w:lang w:val="zh-CN"/>
              </w:rPr>
              <w:t>应及时停止</w:t>
            </w:r>
            <w:r>
              <w:rPr>
                <w:rFonts w:hint="default" w:ascii="Times New Roman" w:hAnsi="Times New Roman" w:cs="Times New Roman"/>
                <w:color w:val="auto"/>
              </w:rPr>
              <w:t>搅拌、浸胶、烘干等生产过程</w:t>
            </w:r>
            <w:r>
              <w:rPr>
                <w:rFonts w:hint="default" w:ascii="Times New Roman" w:hAnsi="Times New Roman" w:cs="Times New Roman"/>
                <w:color w:val="auto"/>
                <w:lang w:val="zh-CN"/>
              </w:rPr>
              <w:t>的运行，并更换UV光解+三级活性炭吸附装置，确保净化处理设施的去除效率</w:t>
            </w:r>
            <w:r>
              <w:rPr>
                <w:rFonts w:hint="default" w:ascii="Times New Roman" w:hAnsi="Times New Roman" w:cs="Times New Roman"/>
                <w:color w:val="auto"/>
              </w:rPr>
              <w:t>后方可正常投入生产。</w:t>
            </w:r>
          </w:p>
          <w:p w14:paraId="3C817710">
            <w:pPr>
              <w:pStyle w:val="16"/>
              <w:keepLines/>
              <w:adjustRightInd w:val="0"/>
              <w:snapToGrid w:val="0"/>
              <w:spacing w:after="0" w:line="360" w:lineRule="auto"/>
              <w:ind w:firstLine="0" w:firstLineChars="0"/>
              <w:rPr>
                <w:rFonts w:hint="default" w:ascii="Times New Roman" w:hAnsi="Times New Roman" w:cs="Times New Roman"/>
                <w:b/>
                <w:bCs/>
                <w:color w:val="auto"/>
                <w:szCs w:val="28"/>
              </w:rPr>
            </w:pPr>
            <w:r>
              <w:rPr>
                <w:rFonts w:hint="default" w:ascii="Times New Roman" w:hAnsi="Times New Roman" w:cs="Times New Roman"/>
                <w:b/>
                <w:bCs/>
                <w:color w:val="auto"/>
                <w:szCs w:val="28"/>
              </w:rPr>
              <w:t>二、废水</w:t>
            </w:r>
          </w:p>
          <w:p w14:paraId="5D258F0D">
            <w:pPr>
              <w:keepLines/>
              <w:adjustRightInd w:val="0"/>
              <w:snapToGrid w:val="0"/>
              <w:spacing w:line="360" w:lineRule="auto"/>
              <w:ind w:firstLine="480" w:firstLineChars="20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（1）废水污染物核算</w:t>
            </w:r>
          </w:p>
          <w:p w14:paraId="138CB1FE">
            <w:pPr>
              <w:keepLines/>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rPr>
              <w:t>项目运营期用水包括员工生活用水、调胶用水。</w:t>
            </w:r>
          </w:p>
          <w:p w14:paraId="0B1233AD">
            <w:pPr>
              <w:keepLines/>
              <w:adjustRightInd w:val="0"/>
              <w:snapToGrid w:val="0"/>
              <w:spacing w:line="360" w:lineRule="auto"/>
              <w:ind w:firstLine="480" w:firstLineChars="20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项目</w:t>
            </w:r>
            <w:r>
              <w:rPr>
                <w:rFonts w:hint="default" w:ascii="Times New Roman" w:hAnsi="Times New Roman" w:cs="Times New Roman"/>
                <w:color w:val="auto"/>
                <w:sz w:val="24"/>
              </w:rPr>
              <w:t>污水产生量为1.024m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/d，307.2m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/a；调胶用水量为0.567m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/d，170.1m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r>
              <w:rPr>
                <w:rFonts w:hint="default" w:ascii="Times New Roman" w:hAnsi="Times New Roman" w:cs="Times New Roman"/>
                <w:color w:val="auto"/>
                <w:sz w:val="24"/>
                <w:lang w:bidi="ar"/>
              </w:rPr>
              <w:t>，</w:t>
            </w:r>
            <w:r>
              <w:rPr>
                <w:rFonts w:hint="default" w:ascii="Times New Roman" w:hAnsi="Times New Roman" w:cs="Times New Roman"/>
                <w:color w:val="auto"/>
                <w:sz w:val="24"/>
              </w:rPr>
              <w:t>此环节不产生废水</w:t>
            </w:r>
            <w:r>
              <w:rPr>
                <w:rFonts w:hint="default" w:ascii="Times New Roman" w:hAnsi="Times New Roman" w:cs="Times New Roman"/>
                <w:color w:val="auto"/>
                <w:sz w:val="24"/>
                <w:lang w:val="zh-CN"/>
              </w:rPr>
              <w:t>。项目</w:t>
            </w:r>
            <w:r>
              <w:rPr>
                <w:rFonts w:hint="default" w:ascii="Times New Roman" w:hAnsi="Times New Roman" w:cs="Times New Roman"/>
                <w:color w:val="auto"/>
                <w:sz w:val="24"/>
              </w:rPr>
              <w:t>生活污水中主要污染物及其浓度类比《云南豪悦轩家居制品生产线建设项目竣工环境保护验收监测报告表》中生活污水相关数据。</w:t>
            </w:r>
            <w:r>
              <w:rPr>
                <w:rFonts w:hint="default" w:ascii="Times New Roman" w:hAnsi="Times New Roman" w:cs="Times New Roman"/>
                <w:bCs/>
                <w:color w:val="auto"/>
                <w:sz w:val="24"/>
              </w:rPr>
              <w:t>项目拟采取的生活污水处理工艺与</w:t>
            </w:r>
            <w:r>
              <w:rPr>
                <w:rFonts w:hint="default" w:ascii="Times New Roman" w:hAnsi="Times New Roman" w:cs="Times New Roman"/>
                <w:color w:val="auto"/>
                <w:sz w:val="24"/>
              </w:rPr>
              <w:t>云南豪悦轩家居制品生产线建设项目相同，均为调节池+SBR生物膜处理工艺，故项目</w:t>
            </w:r>
            <w:r>
              <w:rPr>
                <w:rFonts w:hint="default" w:ascii="Times New Roman" w:hAnsi="Times New Roman" w:cs="Times New Roman"/>
                <w:color w:val="auto"/>
                <w:sz w:val="24"/>
                <w:lang w:bidi="ar"/>
              </w:rPr>
              <w:t>一体化</w:t>
            </w:r>
            <w:r>
              <w:rPr>
                <w:rFonts w:hint="default" w:ascii="Times New Roman" w:hAnsi="Times New Roman" w:cs="Times New Roman"/>
                <w:bCs/>
                <w:color w:val="auto"/>
                <w:sz w:val="24"/>
              </w:rPr>
              <w:t>污水处理站出水水质类比</w:t>
            </w:r>
            <w:r>
              <w:rPr>
                <w:rFonts w:hint="default" w:ascii="Times New Roman" w:hAnsi="Times New Roman" w:cs="Times New Roman"/>
                <w:color w:val="auto"/>
                <w:sz w:val="24"/>
              </w:rPr>
              <w:t>《云南豪悦轩家居制品生产线建设项目竣工环境保护验收监测报告表》中生活污水处理站出水水质数据。</w:t>
            </w:r>
            <w:r>
              <w:rPr>
                <w:rFonts w:hint="default" w:ascii="Times New Roman" w:hAnsi="Times New Roman" w:cs="Times New Roman"/>
                <w:snapToGrid w:val="0"/>
                <w:color w:val="auto"/>
                <w:kern w:val="0"/>
                <w:sz w:val="24"/>
              </w:rPr>
              <w:t>项目生活污水产排情况见表4-6。</w:t>
            </w:r>
          </w:p>
          <w:p w14:paraId="7EC3E58B">
            <w:pPr>
              <w:keepLines/>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表4-6  项目废水产排情况一览表</w:t>
            </w:r>
          </w:p>
          <w:tbl>
            <w:tblPr>
              <w:tblStyle w:val="30"/>
              <w:tblW w:w="8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191"/>
              <w:gridCol w:w="968"/>
              <w:gridCol w:w="828"/>
              <w:gridCol w:w="797"/>
              <w:gridCol w:w="828"/>
              <w:gridCol w:w="1156"/>
              <w:gridCol w:w="859"/>
              <w:gridCol w:w="753"/>
              <w:gridCol w:w="748"/>
            </w:tblGrid>
            <w:tr w14:paraId="26432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14:paraId="024B1769">
                  <w:pPr>
                    <w:keepLines/>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污染源</w:t>
                  </w:r>
                </w:p>
              </w:tc>
              <w:tc>
                <w:tcPr>
                  <w:tcW w:w="1191" w:type="dxa"/>
                  <w:vAlign w:val="center"/>
                </w:tcPr>
                <w:p w14:paraId="441A5692">
                  <w:pPr>
                    <w:keepLines/>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w:t>
                  </w:r>
                </w:p>
              </w:tc>
              <w:tc>
                <w:tcPr>
                  <w:tcW w:w="968" w:type="dxa"/>
                  <w:vAlign w:val="center"/>
                </w:tcPr>
                <w:p w14:paraId="5E2324FE">
                  <w:pPr>
                    <w:keepLines/>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产生浓度mg/L</w:t>
                  </w:r>
                </w:p>
              </w:tc>
              <w:tc>
                <w:tcPr>
                  <w:tcW w:w="828" w:type="dxa"/>
                  <w:vAlign w:val="center"/>
                </w:tcPr>
                <w:p w14:paraId="294DCE27">
                  <w:pPr>
                    <w:keepLines/>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产生量</w:t>
                  </w:r>
                </w:p>
                <w:p w14:paraId="6AB55478">
                  <w:pPr>
                    <w:keepLines/>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t/a</w:t>
                  </w:r>
                </w:p>
              </w:tc>
              <w:tc>
                <w:tcPr>
                  <w:tcW w:w="797" w:type="dxa"/>
                  <w:vAlign w:val="center"/>
                </w:tcPr>
                <w:p w14:paraId="68933421">
                  <w:pPr>
                    <w:keepLines/>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处理方式</w:t>
                  </w:r>
                </w:p>
              </w:tc>
              <w:tc>
                <w:tcPr>
                  <w:tcW w:w="828" w:type="dxa"/>
                  <w:vAlign w:val="center"/>
                </w:tcPr>
                <w:p w14:paraId="5B465A2A">
                  <w:pPr>
                    <w:keepLines/>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去除效率%</w:t>
                  </w:r>
                </w:p>
              </w:tc>
              <w:tc>
                <w:tcPr>
                  <w:tcW w:w="1156" w:type="dxa"/>
                  <w:vAlign w:val="center"/>
                </w:tcPr>
                <w:p w14:paraId="5F4A0F13">
                  <w:pPr>
                    <w:keepLines/>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处理设施出口浓度mg/L</w:t>
                  </w:r>
                </w:p>
              </w:tc>
              <w:tc>
                <w:tcPr>
                  <w:tcW w:w="859" w:type="dxa"/>
                  <w:vAlign w:val="center"/>
                </w:tcPr>
                <w:p w14:paraId="5DF2D549">
                  <w:pPr>
                    <w:keepLines/>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去除量</w:t>
                  </w:r>
                </w:p>
                <w:p w14:paraId="7408079D">
                  <w:pPr>
                    <w:keepLines/>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t/a</w:t>
                  </w:r>
                </w:p>
              </w:tc>
              <w:tc>
                <w:tcPr>
                  <w:tcW w:w="753" w:type="dxa"/>
                  <w:vAlign w:val="center"/>
                </w:tcPr>
                <w:p w14:paraId="01D916D3">
                  <w:pPr>
                    <w:pStyle w:val="13"/>
                    <w:keepLines/>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rPr>
                    <w:t>回用量t/a</w:t>
                  </w:r>
                </w:p>
              </w:tc>
              <w:tc>
                <w:tcPr>
                  <w:tcW w:w="748" w:type="dxa"/>
                  <w:vAlign w:val="center"/>
                </w:tcPr>
                <w:p w14:paraId="1781A5EA">
                  <w:pPr>
                    <w:keepLines/>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排放量t/a</w:t>
                  </w:r>
                </w:p>
              </w:tc>
            </w:tr>
            <w:tr w14:paraId="5D577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27" w:type="dxa"/>
                  <w:vMerge w:val="restart"/>
                  <w:vAlign w:val="center"/>
                </w:tcPr>
                <w:p w14:paraId="19565930">
                  <w:pPr>
                    <w:keepLines/>
                    <w:rPr>
                      <w:rFonts w:hint="default" w:ascii="Times New Roman" w:hAnsi="Times New Roman" w:cs="Times New Roman"/>
                      <w:color w:val="auto"/>
                      <w:szCs w:val="21"/>
                    </w:rPr>
                  </w:pPr>
                  <w:r>
                    <w:rPr>
                      <w:rFonts w:hint="default" w:ascii="Times New Roman" w:hAnsi="Times New Roman" w:cs="Times New Roman"/>
                      <w:color w:val="auto"/>
                      <w:szCs w:val="21"/>
                    </w:rPr>
                    <w:t>生活污水</w:t>
                  </w:r>
                </w:p>
              </w:tc>
              <w:tc>
                <w:tcPr>
                  <w:tcW w:w="1191" w:type="dxa"/>
                  <w:vAlign w:val="center"/>
                </w:tcPr>
                <w:p w14:paraId="52902AF6">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废水</w:t>
                  </w:r>
                </w:p>
              </w:tc>
              <w:tc>
                <w:tcPr>
                  <w:tcW w:w="968" w:type="dxa"/>
                  <w:vAlign w:val="center"/>
                </w:tcPr>
                <w:p w14:paraId="615EF69A">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828" w:type="dxa"/>
                  <w:vAlign w:val="center"/>
                </w:tcPr>
                <w:p w14:paraId="4AE5E717">
                  <w:pPr>
                    <w:keepLines/>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307.2</w:t>
                  </w:r>
                </w:p>
              </w:tc>
              <w:tc>
                <w:tcPr>
                  <w:tcW w:w="797" w:type="dxa"/>
                  <w:vMerge w:val="restart"/>
                  <w:vAlign w:val="center"/>
                </w:tcPr>
                <w:p w14:paraId="14478FC8">
                  <w:pPr>
                    <w:keepLines/>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szCs w:val="21"/>
                    </w:rPr>
                    <w:t>化粪池+调节池+SBR生物膜</w:t>
                  </w:r>
                </w:p>
              </w:tc>
              <w:tc>
                <w:tcPr>
                  <w:tcW w:w="828" w:type="dxa"/>
                  <w:vAlign w:val="center"/>
                </w:tcPr>
                <w:p w14:paraId="1706C584">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56" w:type="dxa"/>
                  <w:vAlign w:val="center"/>
                </w:tcPr>
                <w:p w14:paraId="2926F05C">
                  <w:pPr>
                    <w:keepLines/>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w:t>
                  </w:r>
                </w:p>
              </w:tc>
              <w:tc>
                <w:tcPr>
                  <w:tcW w:w="859" w:type="dxa"/>
                  <w:vAlign w:val="center"/>
                </w:tcPr>
                <w:p w14:paraId="1EDCCE76">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753" w:type="dxa"/>
                  <w:vAlign w:val="center"/>
                </w:tcPr>
                <w:p w14:paraId="71B0FD5D">
                  <w:pPr>
                    <w:pStyle w:val="13"/>
                    <w:keepLines/>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rPr>
                    <w:t>307.2</w:t>
                  </w:r>
                </w:p>
              </w:tc>
              <w:tc>
                <w:tcPr>
                  <w:tcW w:w="748" w:type="dxa"/>
                  <w:vAlign w:val="center"/>
                </w:tcPr>
                <w:p w14:paraId="692C45CE">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14:paraId="19625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27" w:type="dxa"/>
                  <w:vMerge w:val="continue"/>
                  <w:vAlign w:val="center"/>
                </w:tcPr>
                <w:p w14:paraId="2CE955A3">
                  <w:pPr>
                    <w:keepLines/>
                    <w:jc w:val="center"/>
                    <w:rPr>
                      <w:rFonts w:hint="default" w:ascii="Times New Roman" w:hAnsi="Times New Roman" w:cs="Times New Roman"/>
                      <w:color w:val="auto"/>
                      <w:szCs w:val="21"/>
                    </w:rPr>
                  </w:pPr>
                </w:p>
              </w:tc>
              <w:tc>
                <w:tcPr>
                  <w:tcW w:w="1191" w:type="dxa"/>
                  <w:vAlign w:val="center"/>
                </w:tcPr>
                <w:p w14:paraId="70C8AE6D">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COD</w:t>
                  </w:r>
                </w:p>
              </w:tc>
              <w:tc>
                <w:tcPr>
                  <w:tcW w:w="968" w:type="dxa"/>
                  <w:vAlign w:val="bottom"/>
                </w:tcPr>
                <w:p w14:paraId="6B526D7B">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828" w:type="dxa"/>
                  <w:vAlign w:val="center"/>
                </w:tcPr>
                <w:p w14:paraId="3A7294F2">
                  <w:pPr>
                    <w:keepLines/>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 xml:space="preserve">0.1229 </w:t>
                  </w:r>
                </w:p>
              </w:tc>
              <w:tc>
                <w:tcPr>
                  <w:tcW w:w="797" w:type="dxa"/>
                  <w:vMerge w:val="continue"/>
                  <w:vAlign w:val="center"/>
                </w:tcPr>
                <w:p w14:paraId="0F738B3A">
                  <w:pPr>
                    <w:keepLines/>
                    <w:widowControl/>
                    <w:jc w:val="center"/>
                    <w:textAlignment w:val="center"/>
                    <w:rPr>
                      <w:rFonts w:hint="default" w:ascii="Times New Roman" w:hAnsi="Times New Roman" w:cs="Times New Roman"/>
                      <w:color w:val="auto"/>
                      <w:kern w:val="0"/>
                      <w:szCs w:val="21"/>
                      <w:lang w:bidi="ar"/>
                    </w:rPr>
                  </w:pPr>
                </w:p>
              </w:tc>
              <w:tc>
                <w:tcPr>
                  <w:tcW w:w="828" w:type="dxa"/>
                  <w:vAlign w:val="center"/>
                </w:tcPr>
                <w:p w14:paraId="19C57974">
                  <w:pPr>
                    <w:keepLines/>
                    <w:jc w:val="center"/>
                    <w:rPr>
                      <w:rFonts w:hint="default" w:ascii="Times New Roman" w:hAnsi="Times New Roman" w:cs="Times New Roman"/>
                      <w:color w:val="auto"/>
                      <w:szCs w:val="21"/>
                    </w:rPr>
                  </w:pPr>
                  <w:r>
                    <w:rPr>
                      <w:rFonts w:hint="eastAsia" w:cs="Times New Roman"/>
                      <w:color w:val="auto"/>
                      <w:szCs w:val="21"/>
                      <w:lang w:val="en-US" w:eastAsia="zh-CN"/>
                    </w:rPr>
                    <w:t>91.5</w:t>
                  </w:r>
                  <w:r>
                    <w:rPr>
                      <w:rFonts w:hint="default" w:ascii="Times New Roman" w:hAnsi="Times New Roman" w:cs="Times New Roman"/>
                      <w:color w:val="auto"/>
                      <w:szCs w:val="21"/>
                    </w:rPr>
                    <w:t xml:space="preserve"> </w:t>
                  </w:r>
                </w:p>
              </w:tc>
              <w:tc>
                <w:tcPr>
                  <w:tcW w:w="1156" w:type="dxa"/>
                  <w:vAlign w:val="center"/>
                </w:tcPr>
                <w:p w14:paraId="67073FE7">
                  <w:pPr>
                    <w:keepLines/>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34</w:t>
                  </w:r>
                </w:p>
              </w:tc>
              <w:tc>
                <w:tcPr>
                  <w:tcW w:w="859" w:type="dxa"/>
                  <w:vAlign w:val="center"/>
                </w:tcPr>
                <w:p w14:paraId="1D5B5F56">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0.1125 </w:t>
                  </w:r>
                </w:p>
              </w:tc>
              <w:tc>
                <w:tcPr>
                  <w:tcW w:w="753" w:type="dxa"/>
                  <w:vAlign w:val="center"/>
                </w:tcPr>
                <w:p w14:paraId="36E7E266">
                  <w:pPr>
                    <w:keepLines/>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748" w:type="dxa"/>
                  <w:vAlign w:val="center"/>
                </w:tcPr>
                <w:p w14:paraId="5FCF5ABA">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14:paraId="057B7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dxa"/>
                  <w:vMerge w:val="continue"/>
                  <w:vAlign w:val="center"/>
                </w:tcPr>
                <w:p w14:paraId="1E1C8FE1">
                  <w:pPr>
                    <w:keepLines/>
                    <w:jc w:val="center"/>
                    <w:rPr>
                      <w:rFonts w:hint="default" w:ascii="Times New Roman" w:hAnsi="Times New Roman" w:cs="Times New Roman"/>
                      <w:color w:val="auto"/>
                      <w:szCs w:val="21"/>
                    </w:rPr>
                  </w:pPr>
                </w:p>
              </w:tc>
              <w:tc>
                <w:tcPr>
                  <w:tcW w:w="1191" w:type="dxa"/>
                  <w:vAlign w:val="center"/>
                </w:tcPr>
                <w:p w14:paraId="1335C7E2">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968" w:type="dxa"/>
                  <w:vAlign w:val="bottom"/>
                </w:tcPr>
                <w:p w14:paraId="69205477">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110</w:t>
                  </w:r>
                </w:p>
              </w:tc>
              <w:tc>
                <w:tcPr>
                  <w:tcW w:w="828" w:type="dxa"/>
                  <w:vAlign w:val="center"/>
                </w:tcPr>
                <w:p w14:paraId="010E1299">
                  <w:pPr>
                    <w:keepLines/>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 xml:space="preserve">0.0338 </w:t>
                  </w:r>
                </w:p>
              </w:tc>
              <w:tc>
                <w:tcPr>
                  <w:tcW w:w="797" w:type="dxa"/>
                  <w:vMerge w:val="continue"/>
                  <w:vAlign w:val="center"/>
                </w:tcPr>
                <w:p w14:paraId="74662ABF">
                  <w:pPr>
                    <w:keepLines/>
                    <w:widowControl/>
                    <w:jc w:val="center"/>
                    <w:textAlignment w:val="center"/>
                    <w:rPr>
                      <w:rFonts w:hint="default" w:ascii="Times New Roman" w:hAnsi="Times New Roman" w:cs="Times New Roman"/>
                      <w:color w:val="auto"/>
                      <w:kern w:val="0"/>
                      <w:szCs w:val="21"/>
                      <w:lang w:bidi="ar"/>
                    </w:rPr>
                  </w:pPr>
                </w:p>
              </w:tc>
              <w:tc>
                <w:tcPr>
                  <w:tcW w:w="828" w:type="dxa"/>
                  <w:vAlign w:val="center"/>
                </w:tcPr>
                <w:p w14:paraId="7A098ADE">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91</w:t>
                  </w:r>
                  <w:r>
                    <w:rPr>
                      <w:rFonts w:hint="eastAsia" w:cs="Times New Roman"/>
                      <w:color w:val="auto"/>
                      <w:szCs w:val="21"/>
                      <w:lang w:val="en-US" w:eastAsia="zh-CN"/>
                    </w:rPr>
                    <w:t>.5</w:t>
                  </w:r>
                  <w:r>
                    <w:rPr>
                      <w:rFonts w:hint="default" w:ascii="Times New Roman" w:hAnsi="Times New Roman" w:cs="Times New Roman"/>
                      <w:color w:val="auto"/>
                      <w:szCs w:val="21"/>
                    </w:rPr>
                    <w:t xml:space="preserve"> </w:t>
                  </w:r>
                </w:p>
              </w:tc>
              <w:tc>
                <w:tcPr>
                  <w:tcW w:w="1156" w:type="dxa"/>
                  <w:vAlign w:val="center"/>
                </w:tcPr>
                <w:p w14:paraId="1EAC94B1">
                  <w:pPr>
                    <w:keepLines/>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9.4</w:t>
                  </w:r>
                </w:p>
              </w:tc>
              <w:tc>
                <w:tcPr>
                  <w:tcW w:w="859" w:type="dxa"/>
                  <w:vAlign w:val="center"/>
                </w:tcPr>
                <w:p w14:paraId="289A5317">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0.0309 </w:t>
                  </w:r>
                </w:p>
              </w:tc>
              <w:tc>
                <w:tcPr>
                  <w:tcW w:w="753" w:type="dxa"/>
                  <w:vAlign w:val="center"/>
                </w:tcPr>
                <w:p w14:paraId="20D26597">
                  <w:pPr>
                    <w:keepLines/>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748" w:type="dxa"/>
                  <w:vAlign w:val="center"/>
                </w:tcPr>
                <w:p w14:paraId="444EE2C7">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14:paraId="2A3D7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dxa"/>
                  <w:vMerge w:val="continue"/>
                  <w:vAlign w:val="center"/>
                </w:tcPr>
                <w:p w14:paraId="6781179D">
                  <w:pPr>
                    <w:keepLines/>
                    <w:jc w:val="center"/>
                    <w:rPr>
                      <w:rFonts w:hint="default" w:ascii="Times New Roman" w:hAnsi="Times New Roman" w:cs="Times New Roman"/>
                      <w:color w:val="auto"/>
                      <w:szCs w:val="21"/>
                    </w:rPr>
                  </w:pPr>
                </w:p>
              </w:tc>
              <w:tc>
                <w:tcPr>
                  <w:tcW w:w="1191" w:type="dxa"/>
                  <w:vAlign w:val="center"/>
                </w:tcPr>
                <w:p w14:paraId="03988DB1">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SS</w:t>
                  </w:r>
                </w:p>
              </w:tc>
              <w:tc>
                <w:tcPr>
                  <w:tcW w:w="968" w:type="dxa"/>
                  <w:vAlign w:val="center"/>
                </w:tcPr>
                <w:p w14:paraId="7BEE95DE">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150</w:t>
                  </w:r>
                </w:p>
              </w:tc>
              <w:tc>
                <w:tcPr>
                  <w:tcW w:w="828" w:type="dxa"/>
                  <w:vAlign w:val="center"/>
                </w:tcPr>
                <w:p w14:paraId="073F0C6F">
                  <w:pPr>
                    <w:keepLines/>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 xml:space="preserve">0.0461 </w:t>
                  </w:r>
                </w:p>
              </w:tc>
              <w:tc>
                <w:tcPr>
                  <w:tcW w:w="797" w:type="dxa"/>
                  <w:vMerge w:val="continue"/>
                  <w:vAlign w:val="center"/>
                </w:tcPr>
                <w:p w14:paraId="21F40AA1">
                  <w:pPr>
                    <w:keepLines/>
                    <w:widowControl/>
                    <w:jc w:val="center"/>
                    <w:textAlignment w:val="center"/>
                    <w:rPr>
                      <w:rFonts w:hint="default" w:ascii="Times New Roman" w:hAnsi="Times New Roman" w:cs="Times New Roman"/>
                      <w:color w:val="auto"/>
                      <w:kern w:val="0"/>
                      <w:szCs w:val="21"/>
                      <w:lang w:bidi="ar"/>
                    </w:rPr>
                  </w:pPr>
                </w:p>
              </w:tc>
              <w:tc>
                <w:tcPr>
                  <w:tcW w:w="828" w:type="dxa"/>
                  <w:vAlign w:val="center"/>
                </w:tcPr>
                <w:p w14:paraId="71789F9A">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88</w:t>
                  </w:r>
                  <w:r>
                    <w:rPr>
                      <w:rFonts w:hint="eastAsia" w:cs="Times New Roman"/>
                      <w:color w:val="auto"/>
                      <w:szCs w:val="21"/>
                      <w:lang w:val="en-US" w:eastAsia="zh-CN"/>
                    </w:rPr>
                    <w:t>.0</w:t>
                  </w:r>
                  <w:r>
                    <w:rPr>
                      <w:rFonts w:hint="default" w:ascii="Times New Roman" w:hAnsi="Times New Roman" w:cs="Times New Roman"/>
                      <w:color w:val="auto"/>
                      <w:szCs w:val="21"/>
                    </w:rPr>
                    <w:t xml:space="preserve"> </w:t>
                  </w:r>
                </w:p>
              </w:tc>
              <w:tc>
                <w:tcPr>
                  <w:tcW w:w="1156" w:type="dxa"/>
                  <w:vAlign w:val="center"/>
                </w:tcPr>
                <w:p w14:paraId="45C193FF">
                  <w:pPr>
                    <w:keepLines/>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18</w:t>
                  </w:r>
                </w:p>
              </w:tc>
              <w:tc>
                <w:tcPr>
                  <w:tcW w:w="859" w:type="dxa"/>
                  <w:vAlign w:val="center"/>
                </w:tcPr>
                <w:p w14:paraId="46C95426">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0.0406 </w:t>
                  </w:r>
                </w:p>
              </w:tc>
              <w:tc>
                <w:tcPr>
                  <w:tcW w:w="753" w:type="dxa"/>
                  <w:vAlign w:val="center"/>
                </w:tcPr>
                <w:p w14:paraId="489AD0A9">
                  <w:pPr>
                    <w:keepLines/>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748" w:type="dxa"/>
                  <w:vAlign w:val="center"/>
                </w:tcPr>
                <w:p w14:paraId="5CFACA16">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14:paraId="43B7D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dxa"/>
                  <w:vMerge w:val="continue"/>
                  <w:vAlign w:val="center"/>
                </w:tcPr>
                <w:p w14:paraId="15B82FE6">
                  <w:pPr>
                    <w:keepLines/>
                    <w:jc w:val="center"/>
                    <w:rPr>
                      <w:rFonts w:hint="default" w:ascii="Times New Roman" w:hAnsi="Times New Roman" w:cs="Times New Roman"/>
                      <w:color w:val="auto"/>
                      <w:szCs w:val="21"/>
                    </w:rPr>
                  </w:pPr>
                </w:p>
              </w:tc>
              <w:tc>
                <w:tcPr>
                  <w:tcW w:w="1191" w:type="dxa"/>
                  <w:vAlign w:val="center"/>
                </w:tcPr>
                <w:p w14:paraId="318EBAE8">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氨氮</w:t>
                  </w:r>
                </w:p>
              </w:tc>
              <w:tc>
                <w:tcPr>
                  <w:tcW w:w="968" w:type="dxa"/>
                  <w:vAlign w:val="center"/>
                </w:tcPr>
                <w:p w14:paraId="7B8B0F62">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23</w:t>
                  </w:r>
                </w:p>
              </w:tc>
              <w:tc>
                <w:tcPr>
                  <w:tcW w:w="828" w:type="dxa"/>
                  <w:vAlign w:val="center"/>
                </w:tcPr>
                <w:p w14:paraId="79F083B4">
                  <w:pPr>
                    <w:keepLines/>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 xml:space="preserve">0.0071 </w:t>
                  </w:r>
                </w:p>
              </w:tc>
              <w:tc>
                <w:tcPr>
                  <w:tcW w:w="797" w:type="dxa"/>
                  <w:vMerge w:val="continue"/>
                  <w:vAlign w:val="center"/>
                </w:tcPr>
                <w:p w14:paraId="4F1B93FF">
                  <w:pPr>
                    <w:keepLines/>
                    <w:widowControl/>
                    <w:jc w:val="center"/>
                    <w:textAlignment w:val="center"/>
                    <w:rPr>
                      <w:rFonts w:hint="default" w:ascii="Times New Roman" w:hAnsi="Times New Roman" w:cs="Times New Roman"/>
                      <w:color w:val="auto"/>
                      <w:kern w:val="0"/>
                      <w:szCs w:val="21"/>
                      <w:lang w:bidi="ar"/>
                    </w:rPr>
                  </w:pPr>
                </w:p>
              </w:tc>
              <w:tc>
                <w:tcPr>
                  <w:tcW w:w="828" w:type="dxa"/>
                  <w:vAlign w:val="center"/>
                </w:tcPr>
                <w:p w14:paraId="0F75E768">
                  <w:pPr>
                    <w:keepLines/>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6</w:t>
                  </w:r>
                  <w:r>
                    <w:rPr>
                      <w:rFonts w:hint="eastAsia" w:cs="Times New Roman"/>
                      <w:color w:val="auto"/>
                      <w:szCs w:val="21"/>
                      <w:lang w:val="en-US" w:eastAsia="zh-CN"/>
                    </w:rPr>
                    <w:t>6.5</w:t>
                  </w:r>
                </w:p>
              </w:tc>
              <w:tc>
                <w:tcPr>
                  <w:tcW w:w="1156" w:type="dxa"/>
                  <w:vAlign w:val="center"/>
                </w:tcPr>
                <w:p w14:paraId="43760177">
                  <w:pPr>
                    <w:keepLines/>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7.7</w:t>
                  </w:r>
                </w:p>
              </w:tc>
              <w:tc>
                <w:tcPr>
                  <w:tcW w:w="859" w:type="dxa"/>
                  <w:vAlign w:val="center"/>
                </w:tcPr>
                <w:p w14:paraId="134F4649">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0.0047 </w:t>
                  </w:r>
                </w:p>
              </w:tc>
              <w:tc>
                <w:tcPr>
                  <w:tcW w:w="753" w:type="dxa"/>
                  <w:vAlign w:val="center"/>
                </w:tcPr>
                <w:p w14:paraId="465B39BD">
                  <w:pPr>
                    <w:keepLines/>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748" w:type="dxa"/>
                  <w:vAlign w:val="center"/>
                </w:tcPr>
                <w:p w14:paraId="034CE8F5">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14:paraId="7AAFD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27" w:type="dxa"/>
                  <w:vMerge w:val="continue"/>
                  <w:vAlign w:val="center"/>
                </w:tcPr>
                <w:p w14:paraId="5BC550BE">
                  <w:pPr>
                    <w:keepLines/>
                    <w:jc w:val="center"/>
                    <w:rPr>
                      <w:rFonts w:hint="default" w:ascii="Times New Roman" w:hAnsi="Times New Roman" w:cs="Times New Roman"/>
                      <w:color w:val="auto"/>
                      <w:szCs w:val="21"/>
                    </w:rPr>
                  </w:pPr>
                </w:p>
              </w:tc>
              <w:tc>
                <w:tcPr>
                  <w:tcW w:w="1191" w:type="dxa"/>
                  <w:vAlign w:val="center"/>
                </w:tcPr>
                <w:p w14:paraId="5A44D2E7">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总磷</w:t>
                  </w:r>
                </w:p>
              </w:tc>
              <w:tc>
                <w:tcPr>
                  <w:tcW w:w="968" w:type="dxa"/>
                  <w:vAlign w:val="center"/>
                </w:tcPr>
                <w:p w14:paraId="0AC4F5ED">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828" w:type="dxa"/>
                  <w:vAlign w:val="center"/>
                </w:tcPr>
                <w:p w14:paraId="3A68EDF2">
                  <w:pPr>
                    <w:keepLines/>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 xml:space="preserve">0.0015 </w:t>
                  </w:r>
                </w:p>
              </w:tc>
              <w:tc>
                <w:tcPr>
                  <w:tcW w:w="797" w:type="dxa"/>
                  <w:vMerge w:val="continue"/>
                  <w:vAlign w:val="center"/>
                </w:tcPr>
                <w:p w14:paraId="61D7C6FA">
                  <w:pPr>
                    <w:keepLines/>
                    <w:widowControl/>
                    <w:jc w:val="center"/>
                    <w:textAlignment w:val="center"/>
                    <w:rPr>
                      <w:rFonts w:hint="default" w:ascii="Times New Roman" w:hAnsi="Times New Roman" w:cs="Times New Roman"/>
                      <w:color w:val="auto"/>
                      <w:kern w:val="0"/>
                      <w:szCs w:val="21"/>
                      <w:lang w:bidi="ar"/>
                    </w:rPr>
                  </w:pPr>
                </w:p>
              </w:tc>
              <w:tc>
                <w:tcPr>
                  <w:tcW w:w="828" w:type="dxa"/>
                  <w:vAlign w:val="center"/>
                </w:tcPr>
                <w:p w14:paraId="6148A86A">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r>
                    <w:rPr>
                      <w:rFonts w:hint="eastAsia" w:cs="Times New Roman"/>
                      <w:color w:val="auto"/>
                      <w:szCs w:val="21"/>
                      <w:lang w:val="en-US" w:eastAsia="zh-CN"/>
                    </w:rPr>
                    <w:t>.0</w:t>
                  </w:r>
                  <w:r>
                    <w:rPr>
                      <w:rFonts w:hint="default" w:ascii="Times New Roman" w:hAnsi="Times New Roman" w:cs="Times New Roman"/>
                      <w:color w:val="auto"/>
                      <w:szCs w:val="21"/>
                    </w:rPr>
                    <w:t xml:space="preserve"> </w:t>
                  </w:r>
                </w:p>
              </w:tc>
              <w:tc>
                <w:tcPr>
                  <w:tcW w:w="1156" w:type="dxa"/>
                  <w:vAlign w:val="center"/>
                </w:tcPr>
                <w:p w14:paraId="596DEA01">
                  <w:pPr>
                    <w:keepLines/>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2.5</w:t>
                  </w:r>
                </w:p>
              </w:tc>
              <w:tc>
                <w:tcPr>
                  <w:tcW w:w="859" w:type="dxa"/>
                  <w:vAlign w:val="center"/>
                </w:tcPr>
                <w:p w14:paraId="2BB08C69">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0.0007 </w:t>
                  </w:r>
                </w:p>
              </w:tc>
              <w:tc>
                <w:tcPr>
                  <w:tcW w:w="753" w:type="dxa"/>
                  <w:vAlign w:val="center"/>
                </w:tcPr>
                <w:p w14:paraId="67B60D46">
                  <w:pPr>
                    <w:keepLines/>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748" w:type="dxa"/>
                  <w:vAlign w:val="center"/>
                </w:tcPr>
                <w:p w14:paraId="4E2DB157">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14:paraId="1BECB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27" w:type="dxa"/>
                  <w:vMerge w:val="continue"/>
                  <w:vAlign w:val="center"/>
                </w:tcPr>
                <w:p w14:paraId="1E1F4897">
                  <w:pPr>
                    <w:keepLines/>
                    <w:jc w:val="center"/>
                    <w:rPr>
                      <w:rFonts w:hint="default" w:ascii="Times New Roman" w:hAnsi="Times New Roman" w:cs="Times New Roman"/>
                      <w:color w:val="auto"/>
                      <w:szCs w:val="21"/>
                    </w:rPr>
                  </w:pPr>
                </w:p>
              </w:tc>
              <w:tc>
                <w:tcPr>
                  <w:tcW w:w="1191" w:type="dxa"/>
                  <w:vAlign w:val="center"/>
                </w:tcPr>
                <w:p w14:paraId="3ACB9252">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动植物油</w:t>
                  </w:r>
                </w:p>
              </w:tc>
              <w:tc>
                <w:tcPr>
                  <w:tcW w:w="968" w:type="dxa"/>
                  <w:vAlign w:val="center"/>
                </w:tcPr>
                <w:p w14:paraId="7AC23325">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828" w:type="dxa"/>
                  <w:vAlign w:val="center"/>
                </w:tcPr>
                <w:p w14:paraId="71C4B4EA">
                  <w:pPr>
                    <w:keepLines/>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 xml:space="preserve">0.0092 </w:t>
                  </w:r>
                </w:p>
              </w:tc>
              <w:tc>
                <w:tcPr>
                  <w:tcW w:w="797" w:type="dxa"/>
                  <w:vMerge w:val="continue"/>
                  <w:vAlign w:val="center"/>
                </w:tcPr>
                <w:p w14:paraId="28582CFB">
                  <w:pPr>
                    <w:keepLines/>
                    <w:widowControl/>
                    <w:jc w:val="center"/>
                    <w:textAlignment w:val="center"/>
                    <w:rPr>
                      <w:rFonts w:hint="default" w:ascii="Times New Roman" w:hAnsi="Times New Roman" w:cs="Times New Roman"/>
                      <w:color w:val="auto"/>
                      <w:kern w:val="0"/>
                      <w:szCs w:val="21"/>
                      <w:lang w:bidi="ar"/>
                    </w:rPr>
                  </w:pPr>
                </w:p>
              </w:tc>
              <w:tc>
                <w:tcPr>
                  <w:tcW w:w="828" w:type="dxa"/>
                  <w:vAlign w:val="center"/>
                </w:tcPr>
                <w:p w14:paraId="073B8789">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r>
                    <w:rPr>
                      <w:rFonts w:hint="eastAsia" w:cs="Times New Roman"/>
                      <w:color w:val="auto"/>
                      <w:szCs w:val="21"/>
                      <w:lang w:val="en-US" w:eastAsia="zh-CN"/>
                    </w:rPr>
                    <w:t>.0</w:t>
                  </w:r>
                  <w:r>
                    <w:rPr>
                      <w:rFonts w:hint="default" w:ascii="Times New Roman" w:hAnsi="Times New Roman" w:cs="Times New Roman"/>
                      <w:color w:val="auto"/>
                      <w:szCs w:val="21"/>
                    </w:rPr>
                    <w:t xml:space="preserve"> </w:t>
                  </w:r>
                </w:p>
              </w:tc>
              <w:tc>
                <w:tcPr>
                  <w:tcW w:w="1156" w:type="dxa"/>
                  <w:vAlign w:val="center"/>
                </w:tcPr>
                <w:p w14:paraId="7A42EA88">
                  <w:pPr>
                    <w:keepLines/>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6</w:t>
                  </w:r>
                </w:p>
              </w:tc>
              <w:tc>
                <w:tcPr>
                  <w:tcW w:w="859" w:type="dxa"/>
                  <w:vAlign w:val="center"/>
                </w:tcPr>
                <w:p w14:paraId="68740C76">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0.0074 </w:t>
                  </w:r>
                </w:p>
              </w:tc>
              <w:tc>
                <w:tcPr>
                  <w:tcW w:w="753" w:type="dxa"/>
                  <w:vAlign w:val="center"/>
                </w:tcPr>
                <w:p w14:paraId="0044D000">
                  <w:pPr>
                    <w:keepLines/>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748" w:type="dxa"/>
                  <w:vAlign w:val="center"/>
                </w:tcPr>
                <w:p w14:paraId="1A457D93">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bl>
          <w:p w14:paraId="537228F3">
            <w:pPr>
              <w:keepLines/>
              <w:adjustRightInd w:val="0"/>
              <w:snapToGrid w:val="0"/>
              <w:spacing w:line="360" w:lineRule="auto"/>
              <w:ind w:firstLine="480" w:firstLineChars="200"/>
              <w:rPr>
                <w:rFonts w:hint="default" w:ascii="Times New Roman" w:hAnsi="Times New Roman" w:cs="Times New Roman"/>
                <w:bCs/>
                <w:color w:val="auto"/>
                <w:spacing w:val="-10"/>
                <w:sz w:val="24"/>
              </w:rPr>
            </w:pPr>
            <w:r>
              <w:rPr>
                <w:rFonts w:hint="default" w:ascii="Times New Roman" w:hAnsi="Times New Roman" w:cs="Times New Roman"/>
                <w:bCs/>
                <w:color w:val="auto"/>
                <w:sz w:val="24"/>
              </w:rPr>
              <w:t>（2）</w:t>
            </w:r>
            <w:r>
              <w:rPr>
                <w:rFonts w:hint="default" w:ascii="Times New Roman" w:hAnsi="Times New Roman" w:cs="Times New Roman"/>
                <w:bCs/>
                <w:color w:val="auto"/>
                <w:spacing w:val="-10"/>
                <w:sz w:val="24"/>
              </w:rPr>
              <w:t>污水达标性分析</w:t>
            </w:r>
          </w:p>
          <w:p w14:paraId="02166A5E">
            <w:pPr>
              <w:pStyle w:val="13"/>
              <w:keepLines/>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根据上述分析，本项目生活污水达标情况分析如下表。</w:t>
            </w:r>
          </w:p>
          <w:p w14:paraId="00407CDE">
            <w:pPr>
              <w:keepLines/>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表4-7  项目废水达标情况分析表</w:t>
            </w:r>
          </w:p>
          <w:tbl>
            <w:tblPr>
              <w:tblStyle w:val="30"/>
              <w:tblW w:w="83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472"/>
              <w:gridCol w:w="1905"/>
              <w:gridCol w:w="1245"/>
              <w:gridCol w:w="1755"/>
              <w:gridCol w:w="1335"/>
            </w:tblGrid>
            <w:tr w14:paraId="56D70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5892ABEB">
                  <w:pPr>
                    <w:pStyle w:val="13"/>
                    <w:keepLines/>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污染源</w:t>
                  </w:r>
                </w:p>
              </w:tc>
              <w:tc>
                <w:tcPr>
                  <w:tcW w:w="1472" w:type="dxa"/>
                  <w:vAlign w:val="center"/>
                </w:tcPr>
                <w:p w14:paraId="123831AA">
                  <w:pPr>
                    <w:pStyle w:val="13"/>
                    <w:keepLines/>
                    <w:adjustRightInd w:val="0"/>
                    <w:snapToGrid w:val="0"/>
                    <w:jc w:val="center"/>
                    <w:rPr>
                      <w:rFonts w:hint="default" w:ascii="Times New Roman" w:hAnsi="Times New Roman" w:cs="Times New Roman"/>
                      <w:b/>
                      <w:bCs/>
                      <w:color w:val="auto"/>
                      <w:kern w:val="2"/>
                    </w:rPr>
                  </w:pPr>
                  <w:r>
                    <w:rPr>
                      <w:rFonts w:hint="default" w:ascii="Times New Roman" w:hAnsi="Times New Roman" w:cs="Times New Roman"/>
                      <w:b/>
                      <w:bCs/>
                      <w:color w:val="auto"/>
                    </w:rPr>
                    <w:t>污染物指标</w:t>
                  </w:r>
                </w:p>
              </w:tc>
              <w:tc>
                <w:tcPr>
                  <w:tcW w:w="1905" w:type="dxa"/>
                  <w:vAlign w:val="center"/>
                </w:tcPr>
                <w:p w14:paraId="676F4DBE">
                  <w:pPr>
                    <w:pStyle w:val="13"/>
                    <w:keepLines/>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污水处理设施出口浓度mg/L</w:t>
                  </w:r>
                </w:p>
              </w:tc>
              <w:tc>
                <w:tcPr>
                  <w:tcW w:w="1245" w:type="dxa"/>
                  <w:vAlign w:val="center"/>
                </w:tcPr>
                <w:p w14:paraId="77323AB0">
                  <w:pPr>
                    <w:pStyle w:val="13"/>
                    <w:keepLines/>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回用量t/a</w:t>
                  </w:r>
                </w:p>
              </w:tc>
              <w:tc>
                <w:tcPr>
                  <w:tcW w:w="1755" w:type="dxa"/>
                  <w:vAlign w:val="center"/>
                </w:tcPr>
                <w:p w14:paraId="3B6E37F2">
                  <w:pPr>
                    <w:pStyle w:val="13"/>
                    <w:keepLines/>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回用标准限值</w:t>
                  </w:r>
                </w:p>
              </w:tc>
              <w:tc>
                <w:tcPr>
                  <w:tcW w:w="1335" w:type="dxa"/>
                  <w:vAlign w:val="center"/>
                </w:tcPr>
                <w:p w14:paraId="0E8CEE03">
                  <w:pPr>
                    <w:pStyle w:val="13"/>
                    <w:keepLines/>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达标情况</w:t>
                  </w:r>
                </w:p>
              </w:tc>
            </w:tr>
            <w:tr w14:paraId="0A9FA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683" w:type="dxa"/>
                  <w:vMerge w:val="restart"/>
                  <w:vAlign w:val="center"/>
                </w:tcPr>
                <w:p w14:paraId="400A98A4">
                  <w:pPr>
                    <w:pStyle w:val="13"/>
                    <w:keepLine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生活污水</w:t>
                  </w:r>
                </w:p>
              </w:tc>
              <w:tc>
                <w:tcPr>
                  <w:tcW w:w="1472" w:type="dxa"/>
                  <w:vAlign w:val="center"/>
                </w:tcPr>
                <w:p w14:paraId="1BBCC3D8">
                  <w:pPr>
                    <w:pStyle w:val="13"/>
                    <w:keepLines/>
                    <w:adjustRightInd w:val="0"/>
                    <w:snapToGrid w:val="0"/>
                    <w:jc w:val="center"/>
                    <w:rPr>
                      <w:rFonts w:hint="default" w:ascii="Times New Roman" w:hAnsi="Times New Roman" w:cs="Times New Roman"/>
                      <w:color w:val="auto"/>
                      <w:kern w:val="2"/>
                    </w:rPr>
                  </w:pPr>
                  <w:r>
                    <w:rPr>
                      <w:rFonts w:hint="default" w:ascii="Times New Roman" w:hAnsi="Times New Roman" w:cs="Times New Roman"/>
                      <w:color w:val="auto"/>
                    </w:rPr>
                    <w:t>废水量</w:t>
                  </w:r>
                </w:p>
              </w:tc>
              <w:tc>
                <w:tcPr>
                  <w:tcW w:w="1905" w:type="dxa"/>
                  <w:vAlign w:val="center"/>
                </w:tcPr>
                <w:p w14:paraId="4D7ED832">
                  <w:pPr>
                    <w:pStyle w:val="13"/>
                    <w:keepLine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w:t>
                  </w:r>
                </w:p>
              </w:tc>
              <w:tc>
                <w:tcPr>
                  <w:tcW w:w="1245" w:type="dxa"/>
                  <w:vAlign w:val="center"/>
                </w:tcPr>
                <w:p w14:paraId="4DA41A01">
                  <w:pPr>
                    <w:pStyle w:val="13"/>
                    <w:keepLine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307.2</w:t>
                  </w:r>
                </w:p>
              </w:tc>
              <w:tc>
                <w:tcPr>
                  <w:tcW w:w="1755" w:type="dxa"/>
                  <w:vAlign w:val="center"/>
                </w:tcPr>
                <w:p w14:paraId="5F5151C6">
                  <w:pPr>
                    <w:pStyle w:val="13"/>
                    <w:keepLine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w:t>
                  </w:r>
                </w:p>
              </w:tc>
              <w:tc>
                <w:tcPr>
                  <w:tcW w:w="1335" w:type="dxa"/>
                  <w:vAlign w:val="center"/>
                </w:tcPr>
                <w:p w14:paraId="29343460">
                  <w:pPr>
                    <w:pStyle w:val="13"/>
                    <w:keepLine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w:t>
                  </w:r>
                </w:p>
              </w:tc>
            </w:tr>
            <w:tr w14:paraId="69F6E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Merge w:val="continue"/>
                  <w:vAlign w:val="center"/>
                </w:tcPr>
                <w:p w14:paraId="438D15BD">
                  <w:pPr>
                    <w:pStyle w:val="13"/>
                    <w:keepLines/>
                    <w:adjustRightInd w:val="0"/>
                    <w:snapToGrid w:val="0"/>
                    <w:jc w:val="center"/>
                    <w:rPr>
                      <w:rFonts w:hint="default" w:ascii="Times New Roman" w:hAnsi="Times New Roman" w:cs="Times New Roman"/>
                      <w:color w:val="auto"/>
                    </w:rPr>
                  </w:pPr>
                </w:p>
              </w:tc>
              <w:tc>
                <w:tcPr>
                  <w:tcW w:w="1472" w:type="dxa"/>
                  <w:vAlign w:val="center"/>
                </w:tcPr>
                <w:p w14:paraId="46A7D800">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COD</w:t>
                  </w:r>
                </w:p>
              </w:tc>
              <w:tc>
                <w:tcPr>
                  <w:tcW w:w="1905" w:type="dxa"/>
                  <w:vAlign w:val="center"/>
                </w:tcPr>
                <w:p w14:paraId="1DB292B3">
                  <w:pPr>
                    <w:keepLines/>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34</w:t>
                  </w:r>
                </w:p>
              </w:tc>
              <w:tc>
                <w:tcPr>
                  <w:tcW w:w="1245" w:type="dxa"/>
                  <w:vAlign w:val="center"/>
                </w:tcPr>
                <w:p w14:paraId="2D4A22D8">
                  <w:pPr>
                    <w:keepLines/>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755" w:type="dxa"/>
                  <w:vAlign w:val="center"/>
                </w:tcPr>
                <w:p w14:paraId="389DEF2C">
                  <w:pPr>
                    <w:pStyle w:val="13"/>
                    <w:keepLine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w:t>
                  </w:r>
                </w:p>
              </w:tc>
              <w:tc>
                <w:tcPr>
                  <w:tcW w:w="1335" w:type="dxa"/>
                  <w:vAlign w:val="center"/>
                </w:tcPr>
                <w:p w14:paraId="111EAB84">
                  <w:pPr>
                    <w:pStyle w:val="13"/>
                    <w:keepLine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w:t>
                  </w:r>
                </w:p>
              </w:tc>
            </w:tr>
            <w:tr w14:paraId="3B06B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Merge w:val="continue"/>
                  <w:vAlign w:val="center"/>
                </w:tcPr>
                <w:p w14:paraId="1DD9903F">
                  <w:pPr>
                    <w:pStyle w:val="13"/>
                    <w:keepLines/>
                    <w:adjustRightInd w:val="0"/>
                    <w:snapToGrid w:val="0"/>
                    <w:jc w:val="center"/>
                    <w:rPr>
                      <w:rFonts w:hint="default" w:ascii="Times New Roman" w:hAnsi="Times New Roman" w:cs="Times New Roman"/>
                      <w:color w:val="auto"/>
                    </w:rPr>
                  </w:pPr>
                </w:p>
              </w:tc>
              <w:tc>
                <w:tcPr>
                  <w:tcW w:w="1472" w:type="dxa"/>
                  <w:vAlign w:val="center"/>
                </w:tcPr>
                <w:p w14:paraId="7743D3BD">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1905" w:type="dxa"/>
                  <w:vAlign w:val="center"/>
                </w:tcPr>
                <w:p w14:paraId="6CA2EC47">
                  <w:pPr>
                    <w:keepLines/>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9.4</w:t>
                  </w:r>
                </w:p>
              </w:tc>
              <w:tc>
                <w:tcPr>
                  <w:tcW w:w="1245" w:type="dxa"/>
                  <w:vAlign w:val="center"/>
                </w:tcPr>
                <w:p w14:paraId="669066BC">
                  <w:pPr>
                    <w:keepLines/>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755" w:type="dxa"/>
                  <w:vAlign w:val="center"/>
                </w:tcPr>
                <w:p w14:paraId="1510EA1B">
                  <w:pPr>
                    <w:pStyle w:val="13"/>
                    <w:keepLine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10</w:t>
                  </w:r>
                </w:p>
              </w:tc>
              <w:tc>
                <w:tcPr>
                  <w:tcW w:w="1335" w:type="dxa"/>
                  <w:vAlign w:val="center"/>
                </w:tcPr>
                <w:p w14:paraId="2F41A59D">
                  <w:pPr>
                    <w:keepLines/>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14:paraId="19CAE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Merge w:val="continue"/>
                  <w:vAlign w:val="center"/>
                </w:tcPr>
                <w:p w14:paraId="2782D315">
                  <w:pPr>
                    <w:pStyle w:val="13"/>
                    <w:keepLines/>
                    <w:adjustRightInd w:val="0"/>
                    <w:snapToGrid w:val="0"/>
                    <w:jc w:val="center"/>
                    <w:rPr>
                      <w:rFonts w:hint="default" w:ascii="Times New Roman" w:hAnsi="Times New Roman" w:cs="Times New Roman"/>
                      <w:color w:val="auto"/>
                    </w:rPr>
                  </w:pPr>
                </w:p>
              </w:tc>
              <w:tc>
                <w:tcPr>
                  <w:tcW w:w="1472" w:type="dxa"/>
                  <w:vAlign w:val="center"/>
                </w:tcPr>
                <w:p w14:paraId="52575EA3">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SS</w:t>
                  </w:r>
                </w:p>
              </w:tc>
              <w:tc>
                <w:tcPr>
                  <w:tcW w:w="1905" w:type="dxa"/>
                  <w:vAlign w:val="center"/>
                </w:tcPr>
                <w:p w14:paraId="3D37539F">
                  <w:pPr>
                    <w:keepLines/>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18</w:t>
                  </w:r>
                </w:p>
              </w:tc>
              <w:tc>
                <w:tcPr>
                  <w:tcW w:w="1245" w:type="dxa"/>
                  <w:vAlign w:val="center"/>
                </w:tcPr>
                <w:p w14:paraId="05AD740F">
                  <w:pPr>
                    <w:keepLines/>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755" w:type="dxa"/>
                  <w:vAlign w:val="center"/>
                </w:tcPr>
                <w:p w14:paraId="39D71D0B">
                  <w:pPr>
                    <w:pStyle w:val="13"/>
                    <w:keepLine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w:t>
                  </w:r>
                </w:p>
              </w:tc>
              <w:tc>
                <w:tcPr>
                  <w:tcW w:w="1335" w:type="dxa"/>
                  <w:vAlign w:val="center"/>
                </w:tcPr>
                <w:p w14:paraId="1E0C4468">
                  <w:pPr>
                    <w:keepLines/>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14:paraId="66D88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Merge w:val="continue"/>
                  <w:vAlign w:val="center"/>
                </w:tcPr>
                <w:p w14:paraId="64545C11">
                  <w:pPr>
                    <w:pStyle w:val="13"/>
                    <w:keepLines/>
                    <w:adjustRightInd w:val="0"/>
                    <w:snapToGrid w:val="0"/>
                    <w:jc w:val="center"/>
                    <w:rPr>
                      <w:rFonts w:hint="default" w:ascii="Times New Roman" w:hAnsi="Times New Roman" w:cs="Times New Roman"/>
                      <w:color w:val="auto"/>
                    </w:rPr>
                  </w:pPr>
                </w:p>
              </w:tc>
              <w:tc>
                <w:tcPr>
                  <w:tcW w:w="1472" w:type="dxa"/>
                  <w:vAlign w:val="center"/>
                </w:tcPr>
                <w:p w14:paraId="30B65206">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氨氮</w:t>
                  </w:r>
                </w:p>
              </w:tc>
              <w:tc>
                <w:tcPr>
                  <w:tcW w:w="1905" w:type="dxa"/>
                  <w:vAlign w:val="center"/>
                </w:tcPr>
                <w:p w14:paraId="5128A093">
                  <w:pPr>
                    <w:keepLines/>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7.7</w:t>
                  </w:r>
                </w:p>
              </w:tc>
              <w:tc>
                <w:tcPr>
                  <w:tcW w:w="1245" w:type="dxa"/>
                  <w:vAlign w:val="center"/>
                </w:tcPr>
                <w:p w14:paraId="1823C8EC">
                  <w:pPr>
                    <w:keepLines/>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755" w:type="dxa"/>
                  <w:vAlign w:val="center"/>
                </w:tcPr>
                <w:p w14:paraId="7895B53C">
                  <w:pPr>
                    <w:pStyle w:val="13"/>
                    <w:keepLine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8</w:t>
                  </w:r>
                </w:p>
              </w:tc>
              <w:tc>
                <w:tcPr>
                  <w:tcW w:w="1335" w:type="dxa"/>
                  <w:vAlign w:val="center"/>
                </w:tcPr>
                <w:p w14:paraId="0879CD9B">
                  <w:pPr>
                    <w:keepLines/>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14:paraId="63D10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683" w:type="dxa"/>
                  <w:vMerge w:val="continue"/>
                  <w:vAlign w:val="center"/>
                </w:tcPr>
                <w:p w14:paraId="3179AC4B">
                  <w:pPr>
                    <w:keepLines/>
                    <w:jc w:val="center"/>
                    <w:rPr>
                      <w:rFonts w:hint="default" w:ascii="Times New Roman" w:hAnsi="Times New Roman" w:cs="Times New Roman"/>
                      <w:color w:val="auto"/>
                      <w:szCs w:val="21"/>
                    </w:rPr>
                  </w:pPr>
                </w:p>
              </w:tc>
              <w:tc>
                <w:tcPr>
                  <w:tcW w:w="1472" w:type="dxa"/>
                  <w:vAlign w:val="center"/>
                </w:tcPr>
                <w:p w14:paraId="33D8127B">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总磷</w:t>
                  </w:r>
                </w:p>
              </w:tc>
              <w:tc>
                <w:tcPr>
                  <w:tcW w:w="1905" w:type="dxa"/>
                  <w:vAlign w:val="center"/>
                </w:tcPr>
                <w:p w14:paraId="1111F230">
                  <w:pPr>
                    <w:keepLines/>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2.5</w:t>
                  </w:r>
                </w:p>
              </w:tc>
              <w:tc>
                <w:tcPr>
                  <w:tcW w:w="1245" w:type="dxa"/>
                  <w:vAlign w:val="center"/>
                </w:tcPr>
                <w:p w14:paraId="39F96938">
                  <w:pPr>
                    <w:keepLines/>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755" w:type="dxa"/>
                  <w:vAlign w:val="center"/>
                </w:tcPr>
                <w:p w14:paraId="43C3DD51">
                  <w:pPr>
                    <w:pStyle w:val="13"/>
                    <w:keepLine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w:t>
                  </w:r>
                </w:p>
              </w:tc>
              <w:tc>
                <w:tcPr>
                  <w:tcW w:w="1335" w:type="dxa"/>
                  <w:vAlign w:val="center"/>
                </w:tcPr>
                <w:p w14:paraId="27CF28E5">
                  <w:pPr>
                    <w:keepLines/>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14:paraId="4096F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83" w:type="dxa"/>
                  <w:vMerge w:val="continue"/>
                  <w:vAlign w:val="center"/>
                </w:tcPr>
                <w:p w14:paraId="252DF384">
                  <w:pPr>
                    <w:keepLines/>
                    <w:jc w:val="center"/>
                    <w:rPr>
                      <w:rFonts w:hint="default" w:ascii="Times New Roman" w:hAnsi="Times New Roman" w:cs="Times New Roman"/>
                      <w:color w:val="auto"/>
                      <w:szCs w:val="21"/>
                    </w:rPr>
                  </w:pPr>
                </w:p>
              </w:tc>
              <w:tc>
                <w:tcPr>
                  <w:tcW w:w="1472" w:type="dxa"/>
                  <w:vAlign w:val="center"/>
                </w:tcPr>
                <w:p w14:paraId="6A88444B">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动植物油</w:t>
                  </w:r>
                </w:p>
              </w:tc>
              <w:tc>
                <w:tcPr>
                  <w:tcW w:w="1905" w:type="dxa"/>
                  <w:vAlign w:val="center"/>
                </w:tcPr>
                <w:p w14:paraId="0AEEAD2F">
                  <w:pPr>
                    <w:keepLines/>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6</w:t>
                  </w:r>
                </w:p>
              </w:tc>
              <w:tc>
                <w:tcPr>
                  <w:tcW w:w="1245" w:type="dxa"/>
                  <w:vAlign w:val="center"/>
                </w:tcPr>
                <w:p w14:paraId="17FD3A8D">
                  <w:pPr>
                    <w:keepLines/>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755" w:type="dxa"/>
                  <w:vAlign w:val="center"/>
                </w:tcPr>
                <w:p w14:paraId="2A6B3BEB">
                  <w:pPr>
                    <w:pStyle w:val="13"/>
                    <w:keepLine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w:t>
                  </w:r>
                </w:p>
              </w:tc>
              <w:tc>
                <w:tcPr>
                  <w:tcW w:w="1335" w:type="dxa"/>
                  <w:vAlign w:val="center"/>
                </w:tcPr>
                <w:p w14:paraId="0CDDA8E6">
                  <w:pPr>
                    <w:keepLines/>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14:paraId="30F44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8395" w:type="dxa"/>
                  <w:gridSpan w:val="6"/>
                  <w:vAlign w:val="center"/>
                </w:tcPr>
                <w:p w14:paraId="3AC71AD7">
                  <w:pPr>
                    <w:pStyle w:val="13"/>
                    <w:keepLine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注：生活污水执行《城市污水再生利用 城市杂用水水质》（GB/T18920-2020）中的城市绿化、道路清扫、消防、建筑施工标准</w:t>
                  </w:r>
                </w:p>
              </w:tc>
            </w:tr>
          </w:tbl>
          <w:p w14:paraId="0232788A">
            <w:pPr>
              <w:keepLines/>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rPr>
              <w:t>根据上表分析，项目生活污水经化粪池处理、</w:t>
            </w:r>
            <w:r>
              <w:rPr>
                <w:rFonts w:hint="default" w:ascii="Times New Roman" w:hAnsi="Times New Roman" w:cs="Times New Roman"/>
                <w:color w:val="auto"/>
                <w:sz w:val="24"/>
                <w:lang w:bidi="ar"/>
              </w:rPr>
              <w:t>一体化</w:t>
            </w:r>
            <w:r>
              <w:rPr>
                <w:rFonts w:hint="default" w:ascii="Times New Roman" w:hAnsi="Times New Roman" w:cs="Times New Roman"/>
                <w:bCs/>
                <w:color w:val="auto"/>
                <w:sz w:val="24"/>
              </w:rPr>
              <w:t>污水处理站处理</w:t>
            </w:r>
            <w:r>
              <w:rPr>
                <w:rFonts w:hint="default" w:ascii="Times New Roman" w:hAnsi="Times New Roman" w:cs="Times New Roman"/>
                <w:color w:val="auto"/>
                <w:sz w:val="24"/>
              </w:rPr>
              <w:t>后，</w:t>
            </w:r>
            <w:r>
              <w:rPr>
                <w:rFonts w:hint="default" w:ascii="Times New Roman" w:hAnsi="Times New Roman" w:cs="Times New Roman"/>
                <w:bCs/>
                <w:color w:val="auto"/>
                <w:sz w:val="24"/>
              </w:rPr>
              <w:t>各污染物浓度均满足《城市污水再生利用 城市杂用水水质》（GB/T18920-2020）中的城市绿化、道路清扫、消防、建筑施工标准，满足道路洒水降尘标准。项目处理后达标废水</w:t>
            </w:r>
            <w:r>
              <w:rPr>
                <w:rFonts w:hint="default" w:ascii="Times New Roman" w:hAnsi="Times New Roman" w:cs="Times New Roman"/>
                <w:color w:val="auto"/>
                <w:sz w:val="24"/>
                <w:lang w:bidi="ar"/>
              </w:rPr>
              <w:t>回用于项目</w:t>
            </w:r>
            <w:r>
              <w:rPr>
                <w:rFonts w:hint="default" w:ascii="Times New Roman" w:hAnsi="Times New Roman" w:cs="Times New Roman"/>
                <w:color w:val="auto"/>
                <w:sz w:val="24"/>
              </w:rPr>
              <w:t>绿化及道路洒水降尘用水，不外排。</w:t>
            </w:r>
          </w:p>
          <w:p w14:paraId="602F75A4">
            <w:pPr>
              <w:keepLines/>
              <w:tabs>
                <w:tab w:val="left" w:pos="5300"/>
              </w:tabs>
              <w:adjustRightInd w:val="0"/>
              <w:snapToGrid w:val="0"/>
              <w:spacing w:line="360" w:lineRule="auto"/>
              <w:ind w:firstLine="480" w:firstLineChars="200"/>
              <w:rPr>
                <w:rFonts w:hint="default" w:ascii="Times New Roman" w:hAnsi="Times New Roman" w:cs="Times New Roman"/>
                <w:bCs/>
                <w:color w:val="auto"/>
                <w:sz w:val="24"/>
                <w:lang w:bidi="ar"/>
              </w:rPr>
            </w:pPr>
            <w:r>
              <w:rPr>
                <w:rFonts w:hint="default" w:ascii="Times New Roman" w:hAnsi="Times New Roman" w:cs="Times New Roman"/>
                <w:bCs/>
                <w:color w:val="auto"/>
                <w:sz w:val="24"/>
                <w:lang w:bidi="ar"/>
              </w:rPr>
              <w:t>（3）污水处理设施可行性分析</w:t>
            </w:r>
          </w:p>
          <w:p w14:paraId="42FD05C3">
            <w:pPr>
              <w:keepLines/>
              <w:tabs>
                <w:tab w:val="left" w:pos="5300"/>
              </w:tabs>
              <w:adjustRightInd w:val="0"/>
              <w:snapToGrid w:val="0"/>
              <w:spacing w:line="360" w:lineRule="auto"/>
              <w:ind w:firstLine="480" w:firstLineChars="200"/>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①化粪池的可行性分析</w:t>
            </w:r>
          </w:p>
          <w:p w14:paraId="56E26781">
            <w:pPr>
              <w:pStyle w:val="13"/>
              <w:keepLines/>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本项目生活污水产生量为1.024</w:t>
            </w:r>
            <w:r>
              <w:rPr>
                <w:rFonts w:hint="default" w:ascii="Times New Roman" w:hAnsi="Times New Roman" w:cs="Times New Roman"/>
                <w:color w:val="auto"/>
                <w:sz w:val="24"/>
                <w:szCs w:val="24"/>
                <w:lang w:bidi="ar"/>
              </w:rPr>
              <w:t>m</w:t>
            </w:r>
            <w:r>
              <w:rPr>
                <w:rFonts w:hint="default" w:ascii="Times New Roman" w:hAnsi="Times New Roman" w:cs="Times New Roman"/>
                <w:color w:val="auto"/>
                <w:sz w:val="24"/>
                <w:szCs w:val="24"/>
                <w:vertAlign w:val="superscript"/>
                <w:lang w:bidi="ar"/>
              </w:rPr>
              <w:t>3</w:t>
            </w:r>
            <w:r>
              <w:rPr>
                <w:rFonts w:hint="default" w:ascii="Times New Roman" w:hAnsi="Times New Roman" w:cs="Times New Roman"/>
                <w:color w:val="auto"/>
                <w:sz w:val="24"/>
                <w:szCs w:val="24"/>
                <w:lang w:bidi="ar"/>
              </w:rPr>
              <w:t>/d。厂房已配套</w:t>
            </w:r>
            <w:r>
              <w:rPr>
                <w:rFonts w:hint="default" w:ascii="Times New Roman" w:hAnsi="Times New Roman" w:cs="Times New Roman"/>
                <w:color w:val="auto"/>
                <w:sz w:val="24"/>
              </w:rPr>
              <w:t>建设了1个容积为5m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的化粪池，该化粪池仅容纳本项目员工生活废水，因此</w:t>
            </w:r>
            <w:r>
              <w:rPr>
                <w:rFonts w:hint="default" w:ascii="Times New Roman" w:hAnsi="Times New Roman" w:cs="Times New Roman"/>
                <w:color w:val="auto"/>
                <w:sz w:val="24"/>
                <w:lang w:val="zh-CN"/>
              </w:rPr>
              <w:t>化粪池容积能够满足</w:t>
            </w:r>
            <w:r>
              <w:rPr>
                <w:rFonts w:hint="default" w:ascii="Times New Roman" w:hAnsi="Times New Roman" w:cs="Times New Roman"/>
                <w:color w:val="auto"/>
                <w:sz w:val="24"/>
              </w:rPr>
              <w:t>生活污水</w:t>
            </w:r>
            <w:r>
              <w:rPr>
                <w:rFonts w:hint="default" w:ascii="Times New Roman" w:hAnsi="Times New Roman" w:cs="Times New Roman"/>
                <w:color w:val="auto"/>
                <w:sz w:val="24"/>
                <w:lang w:val="zh-CN"/>
              </w:rPr>
              <w:t>24小时停留时间要求。</w:t>
            </w:r>
          </w:p>
          <w:p w14:paraId="49D2EE06">
            <w:pPr>
              <w:keepLines/>
              <w:tabs>
                <w:tab w:val="left" w:pos="5300"/>
              </w:tabs>
              <w:adjustRightInd w:val="0"/>
              <w:snapToGrid w:val="0"/>
              <w:spacing w:line="360" w:lineRule="auto"/>
              <w:ind w:firstLine="480" w:firstLineChars="200"/>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②一体化污水处理站的可行性分析</w:t>
            </w:r>
          </w:p>
          <w:p w14:paraId="774E125B">
            <w:pPr>
              <w:keepLines/>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zh-CN"/>
              </w:rPr>
              <w:t>项目</w:t>
            </w:r>
            <w:r>
              <w:rPr>
                <w:rFonts w:hint="default" w:ascii="Times New Roman" w:hAnsi="Times New Roman" w:cs="Times New Roman"/>
                <w:color w:val="auto"/>
                <w:sz w:val="24"/>
              </w:rPr>
              <w:t>依托寻甸荣禾工贸有限公司已建的1座处理规模为5m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的一体化污水处理站用于处理项目区生活废水。鉴于项目生活污水水质与昆明思柏雅定制木制品生产线建设项目生活污水一致，且该项目已建成投产且完成了竣工环境保护验收，一体化污水处理设施运行效果较好，本评价推荐项目采用与昆明思柏雅定制木制品生产线建设项目相同的污水处理工艺，即“</w:t>
            </w:r>
            <w:r>
              <w:rPr>
                <w:rFonts w:hint="default" w:ascii="Times New Roman" w:hAnsi="Times New Roman" w:cs="Times New Roman"/>
                <w:bCs/>
                <w:color w:val="auto"/>
                <w:sz w:val="24"/>
              </w:rPr>
              <w:t>调节池＋SBR生物膜池</w:t>
            </w:r>
            <w:r>
              <w:rPr>
                <w:rFonts w:hint="default" w:ascii="Times New Roman" w:hAnsi="Times New Roman" w:cs="Times New Roman"/>
                <w:color w:val="auto"/>
                <w:sz w:val="24"/>
              </w:rPr>
              <w:t>”工艺。该一体化污水处理设备运行操作简单，运行成本低，能高效去除污水中的有机污染物</w:t>
            </w:r>
            <w:r>
              <w:rPr>
                <w:rFonts w:hint="default" w:ascii="Times New Roman" w:hAnsi="Times New Roman" w:cs="Times New Roman"/>
                <w:bCs/>
                <w:color w:val="auto"/>
                <w:sz w:val="24"/>
              </w:rPr>
              <w:t>，属于</w:t>
            </w:r>
            <w:r>
              <w:rPr>
                <w:rFonts w:hint="default" w:ascii="Times New Roman" w:hAnsi="Times New Roman" w:cs="Times New Roman"/>
                <w:color w:val="auto"/>
                <w:sz w:val="24"/>
              </w:rPr>
              <w:t>可行技术。</w:t>
            </w:r>
          </w:p>
          <w:p w14:paraId="379D4083">
            <w:pPr>
              <w:keepLines/>
              <w:autoSpaceDE w:val="0"/>
              <w:autoSpaceDN w:val="0"/>
              <w:adjustRightInd w:val="0"/>
              <w:snapToGrid w:val="0"/>
              <w:spacing w:line="360" w:lineRule="auto"/>
              <w:ind w:firstLine="480"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根据《昆明思柏雅定制木制品生产线建设项目竣工环境保护验收监测报告表》，</w:t>
            </w:r>
            <w:r>
              <w:rPr>
                <w:rFonts w:hint="default" w:ascii="Times New Roman" w:hAnsi="Times New Roman" w:cs="Times New Roman"/>
                <w:color w:val="auto"/>
                <w:sz w:val="24"/>
                <w:lang w:bidi="ar"/>
              </w:rPr>
              <w:t>一体化</w:t>
            </w:r>
            <w:r>
              <w:rPr>
                <w:rFonts w:hint="default" w:ascii="Times New Roman" w:hAnsi="Times New Roman" w:cs="Times New Roman"/>
                <w:color w:val="auto"/>
                <w:sz w:val="24"/>
              </w:rPr>
              <w:t>污水处理站出水水质满足</w:t>
            </w:r>
            <w:r>
              <w:rPr>
                <w:rFonts w:hint="default" w:ascii="Times New Roman" w:hAnsi="Times New Roman" w:cs="Times New Roman"/>
                <w:bCs/>
                <w:color w:val="auto"/>
                <w:sz w:val="24"/>
              </w:rPr>
              <w:t>《城市污水再生利用 城市杂用水水质》（GB/T18920-2020）中的城市绿化、道路清扫、消防、建筑施工标准。故项目一体化污水处理站出水水质也能满足《城市污水再生利用 城市杂用水水质》（GB/T18920-2020）中的城市绿化、道路清扫、消防、建筑施工标准。另外，项目一体化污水处理站处理规模</w:t>
            </w:r>
            <w:r>
              <w:rPr>
                <w:rFonts w:hint="default" w:ascii="Times New Roman" w:hAnsi="Times New Roman" w:cs="Times New Roman"/>
                <w:color w:val="auto"/>
                <w:sz w:val="24"/>
                <w:lang w:bidi="ar"/>
              </w:rPr>
              <w:t>完全满足项目生活污水处理要求。</w:t>
            </w:r>
          </w:p>
          <w:p w14:paraId="0F07B9A7">
            <w:pPr>
              <w:keepLines/>
              <w:autoSpaceDE w:val="0"/>
              <w:autoSpaceDN w:val="0"/>
              <w:adjustRightInd w:val="0"/>
              <w:snapToGrid w:val="0"/>
              <w:spacing w:line="360" w:lineRule="auto"/>
              <w:ind w:firstLine="480"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综上，项目一体化污水处理站处理规模、工艺均满足要求。</w:t>
            </w:r>
          </w:p>
          <w:p w14:paraId="6EFC9800">
            <w:pPr>
              <w:keepLines/>
              <w:tabs>
                <w:tab w:val="left" w:pos="5300"/>
              </w:tabs>
              <w:adjustRightInd w:val="0"/>
              <w:snapToGrid w:val="0"/>
              <w:spacing w:line="360" w:lineRule="auto"/>
              <w:ind w:firstLine="480" w:firstLineChars="200"/>
              <w:rPr>
                <w:rFonts w:hint="default" w:ascii="Times New Roman" w:hAnsi="Times New Roman" w:cs="Times New Roman"/>
                <w:bCs/>
                <w:color w:val="auto"/>
                <w:sz w:val="24"/>
                <w:lang w:bidi="ar"/>
              </w:rPr>
            </w:pPr>
            <w:r>
              <w:rPr>
                <w:rFonts w:hint="default" w:ascii="Times New Roman" w:hAnsi="Times New Roman" w:cs="Times New Roman"/>
                <w:bCs/>
                <w:color w:val="auto"/>
                <w:sz w:val="24"/>
                <w:lang w:bidi="ar"/>
              </w:rPr>
              <w:t>（4）生活污水回用可行性分析</w:t>
            </w:r>
          </w:p>
          <w:p w14:paraId="58A04468">
            <w:pPr>
              <w:keepLines/>
              <w:autoSpaceDE w:val="0"/>
              <w:autoSpaceDN w:val="0"/>
              <w:adjustRightInd w:val="0"/>
              <w:snapToGrid w:val="0"/>
              <w:spacing w:line="360" w:lineRule="auto"/>
              <w:ind w:firstLine="480" w:firstLineChars="200"/>
              <w:textAlignment w:val="baseline"/>
              <w:rPr>
                <w:rFonts w:hint="default" w:ascii="Times New Roman" w:hAnsi="Times New Roman" w:cs="Times New Roman"/>
                <w:color w:val="auto"/>
                <w:sz w:val="24"/>
                <w:lang w:bidi="ar"/>
              </w:rPr>
            </w:pPr>
            <w:r>
              <w:rPr>
                <w:rFonts w:hint="default" w:ascii="Times New Roman" w:hAnsi="Times New Roman" w:cs="Times New Roman"/>
                <w:color w:val="auto"/>
                <w:sz w:val="24"/>
              </w:rPr>
              <w:t>根据项目水平衡，项目</w:t>
            </w:r>
            <w:r>
              <w:rPr>
                <w:rFonts w:hint="default" w:ascii="Times New Roman" w:hAnsi="Times New Roman" w:cs="Times New Roman"/>
                <w:bCs/>
                <w:color w:val="auto"/>
                <w:sz w:val="24"/>
                <w:lang w:bidi="ar"/>
              </w:rPr>
              <w:t>污水</w:t>
            </w:r>
            <w:r>
              <w:rPr>
                <w:rFonts w:hint="default" w:ascii="Times New Roman" w:hAnsi="Times New Roman" w:cs="Times New Roman"/>
                <w:color w:val="auto"/>
                <w:sz w:val="24"/>
              </w:rPr>
              <w:t>产生量为1.024</w:t>
            </w:r>
            <w:r>
              <w:rPr>
                <w:rFonts w:hint="default" w:ascii="Times New Roman" w:hAnsi="Times New Roman" w:cs="Times New Roman"/>
                <w:color w:val="auto"/>
                <w:sz w:val="24"/>
                <w:lang w:bidi="ar"/>
              </w:rPr>
              <w:t>m</w:t>
            </w:r>
            <w:r>
              <w:rPr>
                <w:rFonts w:hint="default" w:ascii="Times New Roman" w:hAnsi="Times New Roman" w:cs="Times New Roman"/>
                <w:color w:val="auto"/>
                <w:sz w:val="24"/>
                <w:vertAlign w:val="superscript"/>
                <w:lang w:bidi="ar"/>
              </w:rPr>
              <w:t>3</w:t>
            </w:r>
            <w:r>
              <w:rPr>
                <w:rFonts w:hint="default" w:ascii="Times New Roman" w:hAnsi="Times New Roman" w:cs="Times New Roman"/>
                <w:color w:val="auto"/>
                <w:sz w:val="24"/>
                <w:lang w:bidi="ar"/>
              </w:rPr>
              <w:t>/d，</w:t>
            </w:r>
            <w:r>
              <w:rPr>
                <w:rFonts w:hint="default" w:ascii="Times New Roman" w:hAnsi="Times New Roman" w:cs="Times New Roman"/>
                <w:color w:val="auto"/>
                <w:sz w:val="24"/>
              </w:rPr>
              <w:t>307.2</w:t>
            </w:r>
            <w:r>
              <w:rPr>
                <w:rFonts w:hint="default" w:ascii="Times New Roman" w:hAnsi="Times New Roman" w:cs="Times New Roman"/>
                <w:color w:val="auto"/>
                <w:sz w:val="24"/>
                <w:lang w:val="zh-CN"/>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lang w:val="zh-CN"/>
              </w:rPr>
              <w:t>/a</w:t>
            </w:r>
            <w:r>
              <w:rPr>
                <w:rFonts w:hint="default" w:ascii="Times New Roman" w:hAnsi="Times New Roman" w:cs="Times New Roman"/>
                <w:color w:val="auto"/>
                <w:sz w:val="24"/>
                <w:lang w:bidi="ar"/>
              </w:rPr>
              <w:t>，根据《云南省用水定额》（云水发（2019）122号），项目区绿化及</w:t>
            </w:r>
            <w:r>
              <w:rPr>
                <w:rFonts w:hint="default" w:ascii="Times New Roman" w:hAnsi="Times New Roman" w:cs="Times New Roman"/>
                <w:color w:val="auto"/>
                <w:sz w:val="24"/>
              </w:rPr>
              <w:t>道路洒水</w:t>
            </w:r>
            <w:r>
              <w:rPr>
                <w:rFonts w:hint="default" w:ascii="Times New Roman" w:hAnsi="Times New Roman" w:cs="Times New Roman"/>
                <w:color w:val="auto"/>
                <w:sz w:val="24"/>
                <w:lang w:bidi="ar"/>
              </w:rPr>
              <w:t>用水量为</w:t>
            </w:r>
            <w:r>
              <w:rPr>
                <w:rFonts w:hint="default" w:ascii="Times New Roman" w:hAnsi="Times New Roman" w:cs="Times New Roman"/>
                <w:color w:val="auto"/>
                <w:sz w:val="24"/>
              </w:rPr>
              <w:t>2.3m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/d，460m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/a（非雨天按200d计）</w:t>
            </w:r>
            <w:r>
              <w:rPr>
                <w:rFonts w:hint="default" w:ascii="Times New Roman" w:hAnsi="Times New Roman" w:cs="Times New Roman"/>
                <w:color w:val="auto"/>
                <w:sz w:val="24"/>
                <w:lang w:bidi="ar"/>
              </w:rPr>
              <w:t>，则项目生活污水可全部回用于项目区绿化及</w:t>
            </w:r>
            <w:r>
              <w:rPr>
                <w:rFonts w:hint="default" w:ascii="Times New Roman" w:hAnsi="Times New Roman" w:cs="Times New Roman"/>
                <w:color w:val="auto"/>
                <w:sz w:val="24"/>
              </w:rPr>
              <w:t>道路洒水</w:t>
            </w:r>
            <w:r>
              <w:rPr>
                <w:rFonts w:hint="default" w:ascii="Times New Roman" w:hAnsi="Times New Roman" w:cs="Times New Roman"/>
                <w:color w:val="auto"/>
                <w:sz w:val="24"/>
                <w:lang w:bidi="ar"/>
              </w:rPr>
              <w:t>。</w:t>
            </w:r>
            <w:r>
              <w:rPr>
                <w:rFonts w:hint="default" w:ascii="Times New Roman" w:hAnsi="Times New Roman" w:cs="Times New Roman"/>
                <w:color w:val="auto"/>
                <w:sz w:val="24"/>
              </w:rPr>
              <w:t>另外，项目区已建设1个容积为10m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的暂存池，用于暂存项目区雨天经处理达标的生活污水，可满足项目区7天以上的生活污水暂存要求。故项目暂存池</w:t>
            </w:r>
            <w:r>
              <w:rPr>
                <w:rFonts w:hint="default" w:ascii="Times New Roman" w:hAnsi="Times New Roman" w:cs="Times New Roman"/>
                <w:color w:val="auto"/>
                <w:sz w:val="24"/>
                <w:lang w:bidi="ar"/>
              </w:rPr>
              <w:t>容积满足项目生活污水暂存要求。</w:t>
            </w:r>
          </w:p>
          <w:p w14:paraId="32036644">
            <w:pPr>
              <w:keepLines/>
              <w:autoSpaceDE w:val="0"/>
              <w:autoSpaceDN w:val="0"/>
              <w:adjustRightInd w:val="0"/>
              <w:snapToGrid w:val="0"/>
              <w:spacing w:line="360" w:lineRule="auto"/>
              <w:ind w:firstLine="480" w:firstLineChars="200"/>
              <w:textAlignment w:val="baseline"/>
              <w:rPr>
                <w:rFonts w:hint="default" w:ascii="Times New Roman" w:hAnsi="Times New Roman" w:eastAsia="宋体" w:cs="Times New Roman"/>
                <w:color w:val="auto"/>
                <w:sz w:val="24"/>
                <w:lang w:val="en-US" w:eastAsia="zh-CN" w:bidi="ar"/>
              </w:rPr>
            </w:pPr>
            <w:r>
              <w:rPr>
                <w:rFonts w:hint="eastAsia" w:cs="Times New Roman"/>
                <w:color w:val="auto"/>
                <w:sz w:val="24"/>
                <w:lang w:val="en-US" w:eastAsia="zh-CN" w:bidi="ar"/>
              </w:rPr>
              <w:t>项目拟在综合楼北侧建设一座15m</w:t>
            </w:r>
            <w:r>
              <w:rPr>
                <w:rFonts w:hint="eastAsia" w:cs="Times New Roman"/>
                <w:color w:val="auto"/>
                <w:sz w:val="24"/>
                <w:vertAlign w:val="superscript"/>
                <w:lang w:val="en-US" w:eastAsia="zh-CN" w:bidi="ar"/>
              </w:rPr>
              <w:t>3</w:t>
            </w:r>
            <w:r>
              <w:rPr>
                <w:rFonts w:hint="eastAsia" w:cs="Times New Roman"/>
                <w:color w:val="auto"/>
                <w:sz w:val="24"/>
                <w:lang w:val="en-US" w:eastAsia="zh-CN" w:bidi="ar"/>
              </w:rPr>
              <w:t>的事故应急池，平时为空置状态，用来储存项目事故状态下的消防废水和污水处理设施事故状态下的生活污水。</w:t>
            </w:r>
          </w:p>
          <w:p w14:paraId="14A12AAF">
            <w:pPr>
              <w:keepLines/>
              <w:autoSpaceDE w:val="0"/>
              <w:autoSpaceDN w:val="0"/>
              <w:adjustRightInd w:val="0"/>
              <w:snapToGrid w:val="0"/>
              <w:spacing w:line="360" w:lineRule="auto"/>
              <w:ind w:firstLine="480" w:firstLineChars="200"/>
              <w:textAlignment w:val="baseline"/>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综上分析，项目生活污水经处理达标后全部回用于项目区绿化及</w:t>
            </w:r>
            <w:r>
              <w:rPr>
                <w:rFonts w:hint="default" w:ascii="Times New Roman" w:hAnsi="Times New Roman" w:cs="Times New Roman"/>
                <w:color w:val="auto"/>
                <w:sz w:val="24"/>
              </w:rPr>
              <w:t>道路洒水</w:t>
            </w:r>
            <w:r>
              <w:rPr>
                <w:rFonts w:hint="default" w:ascii="Times New Roman" w:hAnsi="Times New Roman" w:cs="Times New Roman"/>
                <w:color w:val="auto"/>
                <w:sz w:val="24"/>
                <w:lang w:bidi="ar"/>
              </w:rPr>
              <w:t>是可行的。</w:t>
            </w:r>
          </w:p>
          <w:p w14:paraId="5D9753B6">
            <w:pPr>
              <w:keepLines/>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（5）地表水环境影响分析</w:t>
            </w:r>
          </w:p>
          <w:p w14:paraId="2722D260">
            <w:pPr>
              <w:keepLines/>
              <w:adjustRightInd w:val="0"/>
              <w:snapToGrid w:val="0"/>
              <w:spacing w:line="360" w:lineRule="auto"/>
              <w:ind w:firstLine="480" w:firstLineChars="200"/>
              <w:rPr>
                <w:rFonts w:hint="default" w:ascii="Times New Roman" w:hAnsi="Times New Roman" w:cs="Times New Roman"/>
                <w:color w:val="auto"/>
                <w:sz w:val="24"/>
                <w:lang w:val="zh-CN"/>
              </w:rPr>
            </w:pPr>
            <w:r>
              <w:rPr>
                <w:rFonts w:hint="default" w:ascii="Times New Roman" w:hAnsi="Times New Roman" w:cs="Times New Roman"/>
                <w:color w:val="auto"/>
                <w:sz w:val="24"/>
                <w:lang w:val="zh-CN"/>
              </w:rPr>
              <w:t>项目</w:t>
            </w:r>
            <w:r>
              <w:rPr>
                <w:rFonts w:hint="default" w:ascii="Times New Roman" w:hAnsi="Times New Roman" w:cs="Times New Roman"/>
                <w:color w:val="auto"/>
                <w:sz w:val="24"/>
              </w:rPr>
              <w:t>无生产废水产生，运营期废水主要为生活污水。生活污水经化粪池、化粪池及一体化污水处理站处理达《城市污水再生利用 城市杂用水水质》（GB/T18920-2020）中的城市绿化、道路清扫标准后，全部回用于项目区绿化及道路洒水，不外排，对周边地表水环境影响较小。</w:t>
            </w:r>
          </w:p>
          <w:p w14:paraId="72B741B0">
            <w:pPr>
              <w:keepLines/>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（6 ）监测要求</w:t>
            </w:r>
          </w:p>
          <w:p w14:paraId="0A93E9E2">
            <w:pPr>
              <w:keepLines/>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根据《排污单位自行监测技术指南 总则》（HJ 819-2017 ）可知，本项目废水监测要求详见下表。</w:t>
            </w:r>
          </w:p>
          <w:p w14:paraId="40C1B714">
            <w:pPr>
              <w:pStyle w:val="96"/>
              <w:keepLines/>
              <w:rPr>
                <w:rFonts w:hint="default" w:ascii="Times New Roman" w:hAnsi="Times New Roman" w:cs="Times New Roman"/>
                <w:color w:val="auto"/>
              </w:rPr>
            </w:pPr>
            <w:r>
              <w:rPr>
                <w:rFonts w:hint="default" w:ascii="Times New Roman" w:hAnsi="Times New Roman" w:cs="Times New Roman"/>
                <w:color w:val="auto"/>
              </w:rPr>
              <w:t>表4-8 运营期噪声源强一览表 dB（A）</w:t>
            </w:r>
          </w:p>
          <w:tbl>
            <w:tblPr>
              <w:tblStyle w:val="31"/>
              <w:tblW w:w="84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2"/>
              <w:gridCol w:w="2100"/>
              <w:gridCol w:w="1185"/>
              <w:gridCol w:w="3385"/>
            </w:tblGrid>
            <w:tr w14:paraId="22627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2" w:type="dxa"/>
                </w:tcPr>
                <w:p w14:paraId="5DD66481">
                  <w:pPr>
                    <w:pStyle w:val="96"/>
                    <w:keepLines/>
                    <w:rPr>
                      <w:rFonts w:hint="default" w:ascii="Times New Roman" w:hAnsi="Times New Roman" w:cs="Times New Roman"/>
                      <w:color w:val="auto"/>
                    </w:rPr>
                  </w:pPr>
                  <w:r>
                    <w:rPr>
                      <w:rFonts w:hint="default" w:ascii="Times New Roman" w:hAnsi="Times New Roman" w:cs="Times New Roman"/>
                      <w:color w:val="auto"/>
                    </w:rPr>
                    <w:t>监测点位</w:t>
                  </w:r>
                </w:p>
              </w:tc>
              <w:tc>
                <w:tcPr>
                  <w:tcW w:w="2100" w:type="dxa"/>
                </w:tcPr>
                <w:p w14:paraId="7384EB6D">
                  <w:pPr>
                    <w:pStyle w:val="96"/>
                    <w:keepLines/>
                    <w:rPr>
                      <w:rFonts w:hint="default" w:ascii="Times New Roman" w:hAnsi="Times New Roman" w:cs="Times New Roman"/>
                      <w:color w:val="auto"/>
                    </w:rPr>
                  </w:pPr>
                  <w:r>
                    <w:rPr>
                      <w:rFonts w:hint="default" w:ascii="Times New Roman" w:hAnsi="Times New Roman" w:cs="Times New Roman"/>
                      <w:color w:val="auto"/>
                    </w:rPr>
                    <w:t>监测因子</w:t>
                  </w:r>
                </w:p>
              </w:tc>
              <w:tc>
                <w:tcPr>
                  <w:tcW w:w="1185" w:type="dxa"/>
                </w:tcPr>
                <w:p w14:paraId="3260B594">
                  <w:pPr>
                    <w:pStyle w:val="96"/>
                    <w:keepLines/>
                    <w:rPr>
                      <w:rFonts w:hint="default" w:ascii="Times New Roman" w:hAnsi="Times New Roman" w:cs="Times New Roman"/>
                      <w:color w:val="auto"/>
                    </w:rPr>
                  </w:pPr>
                  <w:r>
                    <w:rPr>
                      <w:rFonts w:hint="default" w:ascii="Times New Roman" w:hAnsi="Times New Roman" w:cs="Times New Roman"/>
                      <w:color w:val="auto"/>
                    </w:rPr>
                    <w:t>监测频次</w:t>
                  </w:r>
                </w:p>
              </w:tc>
              <w:tc>
                <w:tcPr>
                  <w:tcW w:w="3385" w:type="dxa"/>
                </w:tcPr>
                <w:p w14:paraId="5A3AE011">
                  <w:pPr>
                    <w:pStyle w:val="96"/>
                    <w:keepLines/>
                    <w:rPr>
                      <w:rFonts w:hint="default" w:ascii="Times New Roman" w:hAnsi="Times New Roman" w:cs="Times New Roman"/>
                      <w:color w:val="auto"/>
                    </w:rPr>
                  </w:pPr>
                  <w:r>
                    <w:rPr>
                      <w:rFonts w:hint="default" w:ascii="Times New Roman" w:hAnsi="Times New Roman" w:cs="Times New Roman"/>
                      <w:color w:val="auto"/>
                    </w:rPr>
                    <w:t>执行标准</w:t>
                  </w:r>
                </w:p>
              </w:tc>
            </w:tr>
            <w:tr w14:paraId="2900D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2" w:type="dxa"/>
                  <w:vAlign w:val="center"/>
                </w:tcPr>
                <w:p w14:paraId="66E473BA">
                  <w:pPr>
                    <w:pStyle w:val="96"/>
                    <w:keepLines/>
                    <w:rPr>
                      <w:rFonts w:hint="default" w:ascii="Times New Roman" w:hAnsi="Times New Roman" w:cs="Times New Roman"/>
                      <w:b w:val="0"/>
                      <w:color w:val="auto"/>
                      <w:szCs w:val="21"/>
                    </w:rPr>
                  </w:pPr>
                  <w:r>
                    <w:rPr>
                      <w:rFonts w:hint="default" w:ascii="Times New Roman" w:hAnsi="Times New Roman" w:cs="Times New Roman"/>
                      <w:b w:val="0"/>
                      <w:color w:val="auto"/>
                      <w:szCs w:val="21"/>
                    </w:rPr>
                    <w:t>污水处理站出口</w:t>
                  </w:r>
                </w:p>
              </w:tc>
              <w:tc>
                <w:tcPr>
                  <w:tcW w:w="2100" w:type="dxa"/>
                  <w:vAlign w:val="center"/>
                </w:tcPr>
                <w:p w14:paraId="477F5C09">
                  <w:pPr>
                    <w:pStyle w:val="96"/>
                    <w:keepLines/>
                    <w:rPr>
                      <w:rFonts w:hint="default" w:ascii="Times New Roman" w:hAnsi="Times New Roman" w:cs="Times New Roman"/>
                      <w:b w:val="0"/>
                      <w:color w:val="auto"/>
                      <w:szCs w:val="21"/>
                    </w:rPr>
                  </w:pPr>
                  <w:r>
                    <w:rPr>
                      <w:rFonts w:hint="default" w:ascii="Times New Roman" w:hAnsi="Times New Roman" w:cs="Times New Roman"/>
                      <w:b w:val="0"/>
                      <w:color w:val="auto"/>
                      <w:szCs w:val="21"/>
                    </w:rPr>
                    <w:t>pH、COD、BOD</w:t>
                  </w:r>
                  <w:r>
                    <w:rPr>
                      <w:rFonts w:hint="default" w:ascii="Times New Roman" w:hAnsi="Times New Roman" w:cs="Times New Roman"/>
                      <w:b w:val="0"/>
                      <w:color w:val="auto"/>
                      <w:szCs w:val="21"/>
                      <w:vertAlign w:val="subscript"/>
                    </w:rPr>
                    <w:t>5</w:t>
                  </w:r>
                  <w:r>
                    <w:rPr>
                      <w:rFonts w:hint="default" w:ascii="Times New Roman" w:hAnsi="Times New Roman" w:cs="Times New Roman"/>
                      <w:b w:val="0"/>
                      <w:color w:val="auto"/>
                      <w:szCs w:val="21"/>
                    </w:rPr>
                    <w:t>、 SS、氨氮、总磷</w:t>
                  </w:r>
                </w:p>
              </w:tc>
              <w:tc>
                <w:tcPr>
                  <w:tcW w:w="1185" w:type="dxa"/>
                  <w:vAlign w:val="center"/>
                </w:tcPr>
                <w:p w14:paraId="13565B03">
                  <w:pPr>
                    <w:pStyle w:val="96"/>
                    <w:keepLines/>
                    <w:rPr>
                      <w:rFonts w:hint="default" w:ascii="Times New Roman" w:hAnsi="Times New Roman" w:cs="Times New Roman"/>
                      <w:b w:val="0"/>
                      <w:color w:val="auto"/>
                      <w:szCs w:val="21"/>
                    </w:rPr>
                  </w:pPr>
                  <w:r>
                    <w:rPr>
                      <w:rFonts w:hint="default" w:ascii="Times New Roman" w:hAnsi="Times New Roman" w:cs="Times New Roman"/>
                      <w:b w:val="0"/>
                      <w:color w:val="auto"/>
                      <w:szCs w:val="21"/>
                    </w:rPr>
                    <w:t>1次/年</w:t>
                  </w:r>
                </w:p>
              </w:tc>
              <w:tc>
                <w:tcPr>
                  <w:tcW w:w="3385" w:type="dxa"/>
                  <w:vAlign w:val="center"/>
                </w:tcPr>
                <w:p w14:paraId="583B8FDD">
                  <w:pPr>
                    <w:pStyle w:val="96"/>
                    <w:keepLines/>
                    <w:rPr>
                      <w:rFonts w:hint="default" w:ascii="Times New Roman" w:hAnsi="Times New Roman" w:cs="Times New Roman"/>
                      <w:b w:val="0"/>
                      <w:color w:val="auto"/>
                      <w:szCs w:val="21"/>
                    </w:rPr>
                  </w:pPr>
                  <w:r>
                    <w:rPr>
                      <w:rFonts w:hint="default" w:ascii="Times New Roman" w:hAnsi="Times New Roman" w:cs="Times New Roman"/>
                      <w:b w:val="0"/>
                      <w:color w:val="auto"/>
                      <w:szCs w:val="21"/>
                    </w:rPr>
                    <w:t>《城市污水再生利用 城市杂用水水质》</w:t>
                  </w:r>
                </w:p>
                <w:p w14:paraId="0B73A817">
                  <w:pPr>
                    <w:pStyle w:val="96"/>
                    <w:keepLines/>
                    <w:rPr>
                      <w:rFonts w:hint="default" w:ascii="Times New Roman" w:hAnsi="Times New Roman" w:cs="Times New Roman"/>
                      <w:b w:val="0"/>
                      <w:color w:val="auto"/>
                      <w:szCs w:val="21"/>
                    </w:rPr>
                  </w:pPr>
                  <w:r>
                    <w:rPr>
                      <w:rFonts w:hint="default" w:ascii="Times New Roman" w:hAnsi="Times New Roman" w:cs="Times New Roman"/>
                      <w:b w:val="0"/>
                      <w:color w:val="auto"/>
                      <w:szCs w:val="21"/>
                    </w:rPr>
                    <w:t>（GB/T 18920-2020 ）</w:t>
                  </w:r>
                </w:p>
              </w:tc>
            </w:tr>
          </w:tbl>
          <w:p w14:paraId="0C9276A3">
            <w:pPr>
              <w:pStyle w:val="96"/>
              <w:keepLines/>
              <w:rPr>
                <w:rFonts w:hint="default" w:ascii="Times New Roman" w:hAnsi="Times New Roman" w:cs="Times New Roman"/>
                <w:color w:val="auto"/>
              </w:rPr>
            </w:pPr>
          </w:p>
          <w:p w14:paraId="3CC6DC9A">
            <w:pPr>
              <w:pStyle w:val="16"/>
              <w:keepLines/>
              <w:adjustRightInd w:val="0"/>
              <w:snapToGrid w:val="0"/>
              <w:spacing w:after="0" w:line="360" w:lineRule="auto"/>
              <w:ind w:firstLine="0" w:firstLineChars="0"/>
              <w:rPr>
                <w:rFonts w:hint="default" w:ascii="Times New Roman" w:hAnsi="Times New Roman" w:cs="Times New Roman"/>
                <w:b/>
                <w:bCs/>
                <w:color w:val="auto"/>
                <w:szCs w:val="28"/>
              </w:rPr>
            </w:pPr>
            <w:r>
              <w:rPr>
                <w:rFonts w:hint="default" w:ascii="Times New Roman" w:hAnsi="Times New Roman" w:cs="Times New Roman"/>
                <w:b/>
                <w:bCs/>
                <w:color w:val="auto"/>
                <w:szCs w:val="28"/>
              </w:rPr>
              <w:t>三、噪声</w:t>
            </w:r>
          </w:p>
          <w:p w14:paraId="18E46C4E">
            <w:pPr>
              <w:keepLines/>
              <w:adjustRightInd w:val="0"/>
              <w:snapToGrid w:val="0"/>
              <w:spacing w:line="360" w:lineRule="auto"/>
              <w:ind w:firstLine="482" w:firstLineChars="200"/>
              <w:textAlignment w:val="baseline"/>
              <w:rPr>
                <w:rFonts w:hint="default" w:ascii="Times New Roman" w:hAnsi="Times New Roman" w:cs="Times New Roman"/>
                <w:b/>
                <w:bCs/>
                <w:color w:val="auto"/>
                <w:sz w:val="24"/>
                <w:szCs w:val="28"/>
              </w:rPr>
            </w:pPr>
            <w:r>
              <w:rPr>
                <w:rFonts w:hint="default" w:ascii="Times New Roman" w:hAnsi="Times New Roman" w:cs="Times New Roman"/>
                <w:b/>
                <w:bCs/>
                <w:color w:val="auto"/>
                <w:sz w:val="24"/>
                <w:szCs w:val="28"/>
              </w:rPr>
              <w:t>1、源强分析</w:t>
            </w:r>
          </w:p>
          <w:p w14:paraId="2FEDC5A3">
            <w:pPr>
              <w:keepLines/>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zh-CN" w:bidi="ar"/>
              </w:rPr>
              <w:t>项目</w:t>
            </w:r>
            <w:r>
              <w:rPr>
                <w:rFonts w:hint="default" w:ascii="Times New Roman" w:hAnsi="Times New Roman" w:cs="Times New Roman"/>
                <w:color w:val="auto"/>
                <w:sz w:val="24"/>
                <w:lang w:bidi="ar"/>
              </w:rPr>
              <w:t>运营期噪声</w:t>
            </w:r>
            <w:r>
              <w:rPr>
                <w:rFonts w:hint="default" w:ascii="Times New Roman" w:hAnsi="Times New Roman" w:cs="Times New Roman"/>
                <w:color w:val="auto"/>
                <w:sz w:val="24"/>
                <w:lang w:val="zh-CN" w:bidi="ar"/>
              </w:rPr>
              <w:t>主要</w:t>
            </w:r>
            <w:r>
              <w:rPr>
                <w:rFonts w:hint="default" w:ascii="Times New Roman" w:hAnsi="Times New Roman" w:cs="Times New Roman"/>
                <w:color w:val="auto"/>
                <w:sz w:val="24"/>
                <w:lang w:bidi="ar"/>
              </w:rPr>
              <w:t>来源于卧式浸渍烘干一体机、搅拌机、曝气机、叉车、螺杆式空压机、冷冻式压缩空气干燥器、离心风机等设备运转时产生的噪声。项目</w:t>
            </w:r>
            <w:r>
              <w:rPr>
                <w:rFonts w:hint="default" w:ascii="Times New Roman" w:hAnsi="Times New Roman" w:cs="Times New Roman"/>
                <w:color w:val="auto"/>
                <w:sz w:val="24"/>
                <w:lang w:val="zh-CN" w:bidi="ar"/>
              </w:rPr>
              <w:t>各</w:t>
            </w:r>
            <w:r>
              <w:rPr>
                <w:rFonts w:hint="default" w:ascii="Times New Roman" w:hAnsi="Times New Roman" w:cs="Times New Roman"/>
                <w:color w:val="auto"/>
                <w:sz w:val="24"/>
                <w:lang w:bidi="ar"/>
              </w:rPr>
              <w:t>设备</w:t>
            </w:r>
            <w:r>
              <w:rPr>
                <w:rFonts w:hint="default" w:ascii="Times New Roman" w:hAnsi="Times New Roman" w:cs="Times New Roman"/>
                <w:color w:val="auto"/>
                <w:sz w:val="24"/>
                <w:lang w:val="zh-CN" w:bidi="ar"/>
              </w:rPr>
              <w:t>噪声值在</w:t>
            </w:r>
            <w:r>
              <w:rPr>
                <w:rFonts w:hint="default" w:ascii="Times New Roman" w:hAnsi="Times New Roman" w:cs="Times New Roman"/>
                <w:color w:val="auto"/>
                <w:sz w:val="24"/>
                <w:lang w:bidi="ar"/>
              </w:rPr>
              <w:t>70</w:t>
            </w:r>
            <w:r>
              <w:rPr>
                <w:rFonts w:hint="default" w:ascii="Times New Roman" w:hAnsi="Times New Roman" w:cs="Times New Roman"/>
                <w:color w:val="auto"/>
                <w:sz w:val="24"/>
                <w:lang w:val="zh-CN" w:bidi="ar"/>
              </w:rPr>
              <w:t>～</w:t>
            </w:r>
            <w:r>
              <w:rPr>
                <w:rFonts w:hint="default" w:ascii="Times New Roman" w:hAnsi="Times New Roman" w:cs="Times New Roman"/>
                <w:color w:val="auto"/>
                <w:sz w:val="24"/>
                <w:lang w:bidi="ar"/>
              </w:rPr>
              <w:t>90</w:t>
            </w:r>
            <w:r>
              <w:rPr>
                <w:rFonts w:hint="default" w:ascii="Times New Roman" w:hAnsi="Times New Roman" w:cs="Times New Roman"/>
                <w:color w:val="auto"/>
                <w:sz w:val="24"/>
                <w:lang w:val="zh-CN" w:bidi="ar"/>
              </w:rPr>
              <w:t>dB(A)之间。</w:t>
            </w:r>
            <w:r>
              <w:rPr>
                <w:rFonts w:hint="default" w:ascii="Times New Roman" w:hAnsi="Times New Roman" w:cs="Times New Roman"/>
                <w:color w:val="auto"/>
                <w:sz w:val="24"/>
              </w:rPr>
              <w:t>具体噪声源强见下表。</w:t>
            </w:r>
          </w:p>
          <w:p w14:paraId="24EA7A36">
            <w:pPr>
              <w:pStyle w:val="96"/>
              <w:keepLines/>
              <w:rPr>
                <w:rFonts w:hint="default" w:ascii="Times New Roman" w:hAnsi="Times New Roman" w:cs="Times New Roman"/>
                <w:color w:val="auto"/>
              </w:rPr>
            </w:pPr>
            <w:r>
              <w:rPr>
                <w:rFonts w:hint="default" w:ascii="Times New Roman" w:hAnsi="Times New Roman" w:cs="Times New Roman"/>
                <w:color w:val="auto"/>
              </w:rPr>
              <w:t>表4-9 运营期噪声源强一览表 dB（A）</w:t>
            </w:r>
          </w:p>
          <w:tbl>
            <w:tblPr>
              <w:tblStyle w:val="30"/>
              <w:tblW w:w="81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2178"/>
              <w:gridCol w:w="872"/>
              <w:gridCol w:w="1383"/>
              <w:gridCol w:w="1247"/>
              <w:gridCol w:w="1744"/>
            </w:tblGrid>
            <w:tr w14:paraId="3CCD4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14:paraId="7D03384A">
                  <w:pPr>
                    <w:pStyle w:val="97"/>
                    <w:keepLines/>
                    <w:rPr>
                      <w:rFonts w:hint="default" w:ascii="Times New Roman" w:hAnsi="Times New Roman" w:cs="Times New Roman"/>
                      <w:color w:val="auto"/>
                    </w:rPr>
                  </w:pPr>
                  <w:r>
                    <w:rPr>
                      <w:rFonts w:hint="default" w:ascii="Times New Roman" w:hAnsi="Times New Roman" w:cs="Times New Roman"/>
                      <w:color w:val="auto"/>
                    </w:rPr>
                    <w:t>序号</w:t>
                  </w:r>
                </w:p>
              </w:tc>
              <w:tc>
                <w:tcPr>
                  <w:tcW w:w="2178" w:type="dxa"/>
                  <w:vAlign w:val="center"/>
                </w:tcPr>
                <w:p w14:paraId="01FA18B2">
                  <w:pPr>
                    <w:pStyle w:val="97"/>
                    <w:keepLines/>
                    <w:rPr>
                      <w:rFonts w:hint="default" w:ascii="Times New Roman" w:hAnsi="Times New Roman" w:cs="Times New Roman"/>
                      <w:color w:val="auto"/>
                    </w:rPr>
                  </w:pPr>
                  <w:r>
                    <w:rPr>
                      <w:rFonts w:hint="default" w:ascii="Times New Roman" w:hAnsi="Times New Roman" w:cs="Times New Roman"/>
                      <w:color w:val="auto"/>
                    </w:rPr>
                    <w:t>噪声源强</w:t>
                  </w:r>
                </w:p>
              </w:tc>
              <w:tc>
                <w:tcPr>
                  <w:tcW w:w="872" w:type="dxa"/>
                  <w:vAlign w:val="center"/>
                </w:tcPr>
                <w:p w14:paraId="5DD32DE5">
                  <w:pPr>
                    <w:pStyle w:val="97"/>
                    <w:keepLines/>
                    <w:rPr>
                      <w:rFonts w:hint="default" w:ascii="Times New Roman" w:hAnsi="Times New Roman" w:cs="Times New Roman"/>
                      <w:color w:val="auto"/>
                    </w:rPr>
                  </w:pPr>
                  <w:r>
                    <w:rPr>
                      <w:rFonts w:hint="default" w:ascii="Times New Roman" w:hAnsi="Times New Roman" w:cs="Times New Roman"/>
                      <w:color w:val="auto"/>
                    </w:rPr>
                    <w:t>台数</w:t>
                  </w:r>
                </w:p>
              </w:tc>
              <w:tc>
                <w:tcPr>
                  <w:tcW w:w="1383" w:type="dxa"/>
                  <w:vAlign w:val="center"/>
                </w:tcPr>
                <w:p w14:paraId="60F391CF">
                  <w:pPr>
                    <w:pStyle w:val="97"/>
                    <w:keepLines/>
                    <w:rPr>
                      <w:rFonts w:hint="default" w:ascii="Times New Roman" w:hAnsi="Times New Roman" w:cs="Times New Roman"/>
                      <w:color w:val="auto"/>
                    </w:rPr>
                  </w:pPr>
                  <w:r>
                    <w:rPr>
                      <w:rFonts w:hint="default" w:ascii="Times New Roman" w:hAnsi="Times New Roman" w:cs="Times New Roman"/>
                      <w:color w:val="auto"/>
                    </w:rPr>
                    <w:t>源强[dB(A)]</w:t>
                  </w:r>
                </w:p>
              </w:tc>
              <w:tc>
                <w:tcPr>
                  <w:tcW w:w="1247" w:type="dxa"/>
                  <w:vAlign w:val="center"/>
                </w:tcPr>
                <w:p w14:paraId="41B714E4">
                  <w:pPr>
                    <w:pStyle w:val="97"/>
                    <w:keepLines/>
                    <w:rPr>
                      <w:rFonts w:hint="default" w:ascii="Times New Roman" w:hAnsi="Times New Roman" w:cs="Times New Roman"/>
                      <w:color w:val="auto"/>
                    </w:rPr>
                  </w:pPr>
                  <w:r>
                    <w:rPr>
                      <w:rFonts w:hint="default" w:ascii="Times New Roman" w:hAnsi="Times New Roman" w:cs="Times New Roman"/>
                      <w:color w:val="auto"/>
                    </w:rPr>
                    <w:t>治理措施</w:t>
                  </w:r>
                </w:p>
              </w:tc>
              <w:tc>
                <w:tcPr>
                  <w:tcW w:w="1744" w:type="dxa"/>
                  <w:vAlign w:val="center"/>
                </w:tcPr>
                <w:p w14:paraId="080810D9">
                  <w:pPr>
                    <w:pStyle w:val="97"/>
                    <w:keepLines/>
                    <w:rPr>
                      <w:rFonts w:hint="default" w:ascii="Times New Roman" w:hAnsi="Times New Roman" w:cs="Times New Roman"/>
                      <w:color w:val="auto"/>
                    </w:rPr>
                  </w:pPr>
                  <w:r>
                    <w:rPr>
                      <w:rFonts w:hint="default" w:ascii="Times New Roman" w:hAnsi="Times New Roman" w:cs="Times New Roman"/>
                      <w:color w:val="auto"/>
                    </w:rPr>
                    <w:t>处理后效果[dB(A)]</w:t>
                  </w:r>
                </w:p>
              </w:tc>
            </w:tr>
            <w:tr w14:paraId="48FB9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95" w:type="dxa"/>
                  <w:vAlign w:val="center"/>
                </w:tcPr>
                <w:p w14:paraId="5DE9B065">
                  <w:pPr>
                    <w:pStyle w:val="97"/>
                    <w:keepLines/>
                    <w:rPr>
                      <w:rFonts w:hint="default" w:ascii="Times New Roman" w:hAnsi="Times New Roman" w:cs="Times New Roman"/>
                      <w:color w:val="auto"/>
                    </w:rPr>
                  </w:pPr>
                  <w:r>
                    <w:rPr>
                      <w:rFonts w:hint="default" w:ascii="Times New Roman" w:hAnsi="Times New Roman" w:cs="Times New Roman"/>
                      <w:color w:val="auto"/>
                    </w:rPr>
                    <w:t>1</w:t>
                  </w:r>
                </w:p>
              </w:tc>
              <w:tc>
                <w:tcPr>
                  <w:tcW w:w="2178" w:type="dxa"/>
                  <w:vAlign w:val="center"/>
                </w:tcPr>
                <w:p w14:paraId="610D5B7D">
                  <w:pPr>
                    <w:pStyle w:val="97"/>
                    <w:keepLines/>
                    <w:rPr>
                      <w:rFonts w:hint="default" w:ascii="Times New Roman" w:hAnsi="Times New Roman" w:cs="Times New Roman"/>
                      <w:color w:val="auto"/>
                    </w:rPr>
                  </w:pPr>
                  <w:r>
                    <w:rPr>
                      <w:rFonts w:hint="default" w:ascii="Times New Roman" w:hAnsi="Times New Roman" w:cs="Times New Roman"/>
                      <w:color w:val="auto"/>
                    </w:rPr>
                    <w:t>卧式浸渍烘干一体机</w:t>
                  </w:r>
                </w:p>
              </w:tc>
              <w:tc>
                <w:tcPr>
                  <w:tcW w:w="872" w:type="dxa"/>
                  <w:vAlign w:val="center"/>
                </w:tcPr>
                <w:p w14:paraId="1C750664">
                  <w:pPr>
                    <w:pStyle w:val="97"/>
                    <w:keepLines/>
                    <w:rPr>
                      <w:rFonts w:hint="default" w:ascii="Times New Roman" w:hAnsi="Times New Roman" w:cs="Times New Roman"/>
                      <w:color w:val="auto"/>
                    </w:rPr>
                  </w:pPr>
                  <w:r>
                    <w:rPr>
                      <w:rFonts w:hint="default" w:ascii="Times New Roman" w:hAnsi="Times New Roman" w:cs="Times New Roman"/>
                      <w:color w:val="auto"/>
                    </w:rPr>
                    <w:t>3</w:t>
                  </w:r>
                </w:p>
              </w:tc>
              <w:tc>
                <w:tcPr>
                  <w:tcW w:w="1383" w:type="dxa"/>
                  <w:vAlign w:val="center"/>
                </w:tcPr>
                <w:p w14:paraId="0FD08FED">
                  <w:pPr>
                    <w:pStyle w:val="97"/>
                    <w:keepLines/>
                    <w:rPr>
                      <w:rFonts w:hint="default" w:ascii="Times New Roman" w:hAnsi="Times New Roman" w:cs="Times New Roman"/>
                      <w:color w:val="auto"/>
                    </w:rPr>
                  </w:pPr>
                  <w:r>
                    <w:rPr>
                      <w:rFonts w:hint="default" w:ascii="Times New Roman" w:hAnsi="Times New Roman" w:cs="Times New Roman"/>
                      <w:color w:val="auto"/>
                    </w:rPr>
                    <w:t>85</w:t>
                  </w:r>
                </w:p>
              </w:tc>
              <w:tc>
                <w:tcPr>
                  <w:tcW w:w="1247" w:type="dxa"/>
                  <w:vMerge w:val="restart"/>
                  <w:vAlign w:val="center"/>
                </w:tcPr>
                <w:p w14:paraId="5C9CECC7">
                  <w:pPr>
                    <w:pStyle w:val="97"/>
                    <w:keepLines/>
                    <w:rPr>
                      <w:rFonts w:hint="default" w:ascii="Times New Roman" w:hAnsi="Times New Roman" w:cs="Times New Roman"/>
                      <w:color w:val="auto"/>
                    </w:rPr>
                  </w:pPr>
                  <w:r>
                    <w:rPr>
                      <w:rFonts w:hint="default" w:ascii="Times New Roman" w:hAnsi="Times New Roman" w:cs="Times New Roman"/>
                      <w:color w:val="auto"/>
                    </w:rPr>
                    <w:t>厂房隔声、减震基座</w:t>
                  </w:r>
                </w:p>
              </w:tc>
              <w:tc>
                <w:tcPr>
                  <w:tcW w:w="1744" w:type="dxa"/>
                  <w:vAlign w:val="center"/>
                </w:tcPr>
                <w:p w14:paraId="406B9E7C">
                  <w:pPr>
                    <w:keepLines/>
                    <w:jc w:val="center"/>
                    <w:rPr>
                      <w:rFonts w:hint="default" w:ascii="Times New Roman" w:hAnsi="Times New Roman" w:cs="Times New Roman"/>
                      <w:color w:val="auto"/>
                    </w:rPr>
                  </w:pPr>
                  <w:r>
                    <w:rPr>
                      <w:rFonts w:hint="default" w:ascii="Times New Roman" w:hAnsi="Times New Roman" w:cs="Times New Roman"/>
                      <w:color w:val="auto"/>
                    </w:rPr>
                    <w:t>70</w:t>
                  </w:r>
                </w:p>
              </w:tc>
            </w:tr>
            <w:tr w14:paraId="0D7AD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95" w:type="dxa"/>
                  <w:vAlign w:val="center"/>
                </w:tcPr>
                <w:p w14:paraId="5DC8F15E">
                  <w:pPr>
                    <w:pStyle w:val="97"/>
                    <w:keepLines/>
                    <w:rPr>
                      <w:rFonts w:hint="default" w:ascii="Times New Roman" w:hAnsi="Times New Roman" w:cs="Times New Roman"/>
                      <w:color w:val="auto"/>
                    </w:rPr>
                  </w:pPr>
                  <w:r>
                    <w:rPr>
                      <w:rFonts w:hint="default" w:ascii="Times New Roman" w:hAnsi="Times New Roman" w:cs="Times New Roman"/>
                      <w:color w:val="auto"/>
                    </w:rPr>
                    <w:t>2</w:t>
                  </w:r>
                </w:p>
              </w:tc>
              <w:tc>
                <w:tcPr>
                  <w:tcW w:w="2178" w:type="dxa"/>
                  <w:vAlign w:val="center"/>
                </w:tcPr>
                <w:p w14:paraId="41CBFED7">
                  <w:pPr>
                    <w:pStyle w:val="97"/>
                    <w:keepLines/>
                    <w:rPr>
                      <w:rFonts w:hint="default" w:ascii="Times New Roman" w:hAnsi="Times New Roman" w:cs="Times New Roman"/>
                      <w:color w:val="auto"/>
                    </w:rPr>
                  </w:pPr>
                  <w:r>
                    <w:rPr>
                      <w:rFonts w:hint="default" w:ascii="Times New Roman" w:hAnsi="Times New Roman" w:cs="Times New Roman"/>
                      <w:color w:val="auto"/>
                    </w:rPr>
                    <w:t>搅拌机</w:t>
                  </w:r>
                </w:p>
              </w:tc>
              <w:tc>
                <w:tcPr>
                  <w:tcW w:w="872" w:type="dxa"/>
                  <w:vAlign w:val="center"/>
                </w:tcPr>
                <w:p w14:paraId="191578CC">
                  <w:pPr>
                    <w:pStyle w:val="97"/>
                    <w:keepLines/>
                    <w:rPr>
                      <w:rFonts w:hint="default" w:ascii="Times New Roman" w:hAnsi="Times New Roman" w:cs="Times New Roman"/>
                      <w:color w:val="auto"/>
                    </w:rPr>
                  </w:pPr>
                  <w:r>
                    <w:rPr>
                      <w:rFonts w:hint="default" w:ascii="Times New Roman" w:hAnsi="Times New Roman" w:cs="Times New Roman"/>
                      <w:color w:val="auto"/>
                    </w:rPr>
                    <w:t>2</w:t>
                  </w:r>
                </w:p>
              </w:tc>
              <w:tc>
                <w:tcPr>
                  <w:tcW w:w="1383" w:type="dxa"/>
                  <w:vAlign w:val="center"/>
                </w:tcPr>
                <w:p w14:paraId="55000B54">
                  <w:pPr>
                    <w:pStyle w:val="97"/>
                    <w:keepLines/>
                    <w:rPr>
                      <w:rFonts w:hint="default" w:ascii="Times New Roman" w:hAnsi="Times New Roman" w:cs="Times New Roman"/>
                      <w:color w:val="auto"/>
                    </w:rPr>
                  </w:pPr>
                  <w:r>
                    <w:rPr>
                      <w:rFonts w:hint="default" w:ascii="Times New Roman" w:hAnsi="Times New Roman" w:cs="Times New Roman"/>
                      <w:color w:val="auto"/>
                    </w:rPr>
                    <w:t>90</w:t>
                  </w:r>
                </w:p>
              </w:tc>
              <w:tc>
                <w:tcPr>
                  <w:tcW w:w="1247" w:type="dxa"/>
                  <w:vMerge w:val="continue"/>
                  <w:vAlign w:val="center"/>
                </w:tcPr>
                <w:p w14:paraId="19A33D64">
                  <w:pPr>
                    <w:pStyle w:val="97"/>
                    <w:keepLines/>
                    <w:rPr>
                      <w:rFonts w:hint="default" w:ascii="Times New Roman" w:hAnsi="Times New Roman" w:cs="Times New Roman"/>
                      <w:color w:val="auto"/>
                    </w:rPr>
                  </w:pPr>
                </w:p>
              </w:tc>
              <w:tc>
                <w:tcPr>
                  <w:tcW w:w="1744" w:type="dxa"/>
                  <w:vAlign w:val="center"/>
                </w:tcPr>
                <w:p w14:paraId="03F2433D">
                  <w:pPr>
                    <w:keepLines/>
                    <w:jc w:val="center"/>
                    <w:rPr>
                      <w:rFonts w:hint="default" w:ascii="Times New Roman" w:hAnsi="Times New Roman" w:cs="Times New Roman"/>
                      <w:color w:val="auto"/>
                    </w:rPr>
                  </w:pPr>
                  <w:r>
                    <w:rPr>
                      <w:rFonts w:hint="default" w:ascii="Times New Roman" w:hAnsi="Times New Roman" w:cs="Times New Roman"/>
                      <w:color w:val="auto"/>
                    </w:rPr>
                    <w:t>75</w:t>
                  </w:r>
                </w:p>
              </w:tc>
            </w:tr>
            <w:tr w14:paraId="3A17C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95" w:type="dxa"/>
                  <w:vAlign w:val="center"/>
                </w:tcPr>
                <w:p w14:paraId="3634C1D5">
                  <w:pPr>
                    <w:pStyle w:val="97"/>
                    <w:keepLines/>
                    <w:rPr>
                      <w:rFonts w:hint="default" w:ascii="Times New Roman" w:hAnsi="Times New Roman" w:cs="Times New Roman"/>
                      <w:color w:val="auto"/>
                    </w:rPr>
                  </w:pPr>
                  <w:r>
                    <w:rPr>
                      <w:rFonts w:hint="default" w:ascii="Times New Roman" w:hAnsi="Times New Roman" w:cs="Times New Roman"/>
                      <w:color w:val="auto"/>
                    </w:rPr>
                    <w:t>3</w:t>
                  </w:r>
                </w:p>
              </w:tc>
              <w:tc>
                <w:tcPr>
                  <w:tcW w:w="2178" w:type="dxa"/>
                  <w:vAlign w:val="center"/>
                </w:tcPr>
                <w:p w14:paraId="5271E798">
                  <w:pPr>
                    <w:pStyle w:val="97"/>
                    <w:keepLines/>
                    <w:rPr>
                      <w:rFonts w:hint="default" w:ascii="Times New Roman" w:hAnsi="Times New Roman" w:cs="Times New Roman"/>
                      <w:color w:val="auto"/>
                    </w:rPr>
                  </w:pPr>
                  <w:r>
                    <w:rPr>
                      <w:rFonts w:hint="default" w:ascii="Times New Roman" w:hAnsi="Times New Roman" w:cs="Times New Roman"/>
                      <w:color w:val="auto"/>
                    </w:rPr>
                    <w:t>叉车</w:t>
                  </w:r>
                </w:p>
              </w:tc>
              <w:tc>
                <w:tcPr>
                  <w:tcW w:w="872" w:type="dxa"/>
                  <w:vAlign w:val="center"/>
                </w:tcPr>
                <w:p w14:paraId="1F8DB313">
                  <w:pPr>
                    <w:pStyle w:val="97"/>
                    <w:keepLines/>
                    <w:rPr>
                      <w:rFonts w:hint="default" w:ascii="Times New Roman" w:hAnsi="Times New Roman" w:cs="Times New Roman"/>
                      <w:color w:val="auto"/>
                    </w:rPr>
                  </w:pPr>
                  <w:r>
                    <w:rPr>
                      <w:rFonts w:hint="default" w:ascii="Times New Roman" w:hAnsi="Times New Roman" w:cs="Times New Roman"/>
                      <w:color w:val="auto"/>
                    </w:rPr>
                    <w:t>3</w:t>
                  </w:r>
                </w:p>
              </w:tc>
              <w:tc>
                <w:tcPr>
                  <w:tcW w:w="1383" w:type="dxa"/>
                  <w:vAlign w:val="center"/>
                </w:tcPr>
                <w:p w14:paraId="5163B423">
                  <w:pPr>
                    <w:pStyle w:val="97"/>
                    <w:keepLines/>
                    <w:rPr>
                      <w:rFonts w:hint="default" w:ascii="Times New Roman" w:hAnsi="Times New Roman" w:cs="Times New Roman"/>
                      <w:color w:val="auto"/>
                    </w:rPr>
                  </w:pPr>
                  <w:r>
                    <w:rPr>
                      <w:rFonts w:hint="default" w:ascii="Times New Roman" w:hAnsi="Times New Roman" w:cs="Times New Roman"/>
                      <w:color w:val="auto"/>
                    </w:rPr>
                    <w:t>80</w:t>
                  </w:r>
                </w:p>
              </w:tc>
              <w:tc>
                <w:tcPr>
                  <w:tcW w:w="1247" w:type="dxa"/>
                  <w:vMerge w:val="continue"/>
                  <w:vAlign w:val="center"/>
                </w:tcPr>
                <w:p w14:paraId="2DC6E15B">
                  <w:pPr>
                    <w:pStyle w:val="97"/>
                    <w:keepLines/>
                    <w:rPr>
                      <w:rFonts w:hint="default" w:ascii="Times New Roman" w:hAnsi="Times New Roman" w:cs="Times New Roman"/>
                      <w:color w:val="auto"/>
                    </w:rPr>
                  </w:pPr>
                </w:p>
              </w:tc>
              <w:tc>
                <w:tcPr>
                  <w:tcW w:w="1744" w:type="dxa"/>
                  <w:vAlign w:val="center"/>
                </w:tcPr>
                <w:p w14:paraId="2ABA9CF3">
                  <w:pPr>
                    <w:keepLines/>
                    <w:jc w:val="center"/>
                    <w:rPr>
                      <w:rFonts w:hint="default" w:ascii="Times New Roman" w:hAnsi="Times New Roman" w:cs="Times New Roman"/>
                      <w:color w:val="auto"/>
                    </w:rPr>
                  </w:pPr>
                  <w:r>
                    <w:rPr>
                      <w:rFonts w:hint="default" w:ascii="Times New Roman" w:hAnsi="Times New Roman" w:cs="Times New Roman"/>
                      <w:color w:val="auto"/>
                    </w:rPr>
                    <w:t>65</w:t>
                  </w:r>
                </w:p>
              </w:tc>
            </w:tr>
            <w:tr w14:paraId="52A5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695" w:type="dxa"/>
                  <w:vAlign w:val="center"/>
                </w:tcPr>
                <w:p w14:paraId="15035CF8">
                  <w:pPr>
                    <w:pStyle w:val="97"/>
                    <w:keepLines/>
                    <w:rPr>
                      <w:rFonts w:hint="default" w:ascii="Times New Roman" w:hAnsi="Times New Roman" w:cs="Times New Roman"/>
                      <w:color w:val="auto"/>
                    </w:rPr>
                  </w:pPr>
                  <w:r>
                    <w:rPr>
                      <w:rFonts w:hint="default" w:ascii="Times New Roman" w:hAnsi="Times New Roman" w:cs="Times New Roman"/>
                      <w:color w:val="auto"/>
                    </w:rPr>
                    <w:t>4</w:t>
                  </w:r>
                </w:p>
              </w:tc>
              <w:tc>
                <w:tcPr>
                  <w:tcW w:w="2178" w:type="dxa"/>
                  <w:vAlign w:val="center"/>
                </w:tcPr>
                <w:p w14:paraId="27460426">
                  <w:pPr>
                    <w:pStyle w:val="97"/>
                    <w:keepLines/>
                    <w:rPr>
                      <w:rFonts w:hint="default" w:ascii="Times New Roman" w:hAnsi="Times New Roman" w:cs="Times New Roman"/>
                      <w:color w:val="auto"/>
                    </w:rPr>
                  </w:pPr>
                  <w:r>
                    <w:rPr>
                      <w:rFonts w:hint="default" w:ascii="Times New Roman" w:hAnsi="Times New Roman" w:cs="Times New Roman"/>
                      <w:color w:val="auto"/>
                    </w:rPr>
                    <w:t>螺杆式空压机</w:t>
                  </w:r>
                </w:p>
              </w:tc>
              <w:tc>
                <w:tcPr>
                  <w:tcW w:w="872" w:type="dxa"/>
                  <w:vAlign w:val="center"/>
                </w:tcPr>
                <w:p w14:paraId="321303E3">
                  <w:pPr>
                    <w:pStyle w:val="97"/>
                    <w:keepLines/>
                    <w:rPr>
                      <w:rFonts w:hint="default" w:ascii="Times New Roman" w:hAnsi="Times New Roman" w:cs="Times New Roman"/>
                      <w:color w:val="auto"/>
                    </w:rPr>
                  </w:pPr>
                  <w:r>
                    <w:rPr>
                      <w:rFonts w:hint="default" w:ascii="Times New Roman" w:hAnsi="Times New Roman" w:cs="Times New Roman"/>
                      <w:color w:val="auto"/>
                    </w:rPr>
                    <w:t>1</w:t>
                  </w:r>
                </w:p>
              </w:tc>
              <w:tc>
                <w:tcPr>
                  <w:tcW w:w="1383" w:type="dxa"/>
                  <w:vAlign w:val="center"/>
                </w:tcPr>
                <w:p w14:paraId="20E2B913">
                  <w:pPr>
                    <w:pStyle w:val="97"/>
                    <w:keepLines/>
                    <w:rPr>
                      <w:rFonts w:hint="default" w:ascii="Times New Roman" w:hAnsi="Times New Roman" w:cs="Times New Roman"/>
                      <w:color w:val="auto"/>
                    </w:rPr>
                  </w:pPr>
                  <w:r>
                    <w:rPr>
                      <w:rFonts w:hint="default" w:ascii="Times New Roman" w:hAnsi="Times New Roman" w:cs="Times New Roman"/>
                      <w:color w:val="auto"/>
                    </w:rPr>
                    <w:t>100</w:t>
                  </w:r>
                </w:p>
              </w:tc>
              <w:tc>
                <w:tcPr>
                  <w:tcW w:w="1247" w:type="dxa"/>
                  <w:vMerge w:val="continue"/>
                  <w:vAlign w:val="center"/>
                </w:tcPr>
                <w:p w14:paraId="4F0892AE">
                  <w:pPr>
                    <w:pStyle w:val="97"/>
                    <w:keepLines/>
                    <w:rPr>
                      <w:rFonts w:hint="default" w:ascii="Times New Roman" w:hAnsi="Times New Roman" w:cs="Times New Roman"/>
                      <w:color w:val="auto"/>
                    </w:rPr>
                  </w:pPr>
                </w:p>
              </w:tc>
              <w:tc>
                <w:tcPr>
                  <w:tcW w:w="1744" w:type="dxa"/>
                  <w:vAlign w:val="center"/>
                </w:tcPr>
                <w:p w14:paraId="39D7055C">
                  <w:pPr>
                    <w:keepLines/>
                    <w:jc w:val="center"/>
                    <w:rPr>
                      <w:rFonts w:hint="default" w:ascii="Times New Roman" w:hAnsi="Times New Roman" w:cs="Times New Roman"/>
                      <w:color w:val="auto"/>
                    </w:rPr>
                  </w:pPr>
                  <w:r>
                    <w:rPr>
                      <w:rFonts w:hint="default" w:ascii="Times New Roman" w:hAnsi="Times New Roman" w:cs="Times New Roman"/>
                      <w:color w:val="auto"/>
                    </w:rPr>
                    <w:t>85</w:t>
                  </w:r>
                </w:p>
              </w:tc>
            </w:tr>
            <w:tr w14:paraId="2BD8C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695" w:type="dxa"/>
                  <w:vAlign w:val="center"/>
                </w:tcPr>
                <w:p w14:paraId="102D8A7B">
                  <w:pPr>
                    <w:pStyle w:val="97"/>
                    <w:keepLines/>
                    <w:rPr>
                      <w:rFonts w:hint="default" w:ascii="Times New Roman" w:hAnsi="Times New Roman" w:cs="Times New Roman"/>
                      <w:color w:val="auto"/>
                    </w:rPr>
                  </w:pPr>
                  <w:r>
                    <w:rPr>
                      <w:rFonts w:hint="default" w:ascii="Times New Roman" w:hAnsi="Times New Roman" w:cs="Times New Roman"/>
                      <w:color w:val="auto"/>
                    </w:rPr>
                    <w:t>5</w:t>
                  </w:r>
                </w:p>
              </w:tc>
              <w:tc>
                <w:tcPr>
                  <w:tcW w:w="2178" w:type="dxa"/>
                  <w:vAlign w:val="center"/>
                </w:tcPr>
                <w:p w14:paraId="4946BB2D">
                  <w:pPr>
                    <w:pStyle w:val="97"/>
                    <w:keepLines/>
                    <w:rPr>
                      <w:rFonts w:hint="default" w:ascii="Times New Roman" w:hAnsi="Times New Roman" w:cs="Times New Roman"/>
                      <w:color w:val="auto"/>
                    </w:rPr>
                  </w:pPr>
                  <w:r>
                    <w:rPr>
                      <w:rFonts w:hint="default" w:ascii="Times New Roman" w:hAnsi="Times New Roman" w:cs="Times New Roman"/>
                      <w:color w:val="auto"/>
                      <w:sz w:val="24"/>
                      <w:lang w:bidi="ar"/>
                    </w:rPr>
                    <w:t>冷冻式压缩空气干燥器</w:t>
                  </w:r>
                </w:p>
              </w:tc>
              <w:tc>
                <w:tcPr>
                  <w:tcW w:w="872" w:type="dxa"/>
                  <w:vAlign w:val="center"/>
                </w:tcPr>
                <w:p w14:paraId="62BE3957">
                  <w:pPr>
                    <w:pStyle w:val="97"/>
                    <w:keepLines/>
                    <w:rPr>
                      <w:rFonts w:hint="default" w:ascii="Times New Roman" w:hAnsi="Times New Roman" w:cs="Times New Roman"/>
                      <w:color w:val="auto"/>
                    </w:rPr>
                  </w:pPr>
                  <w:r>
                    <w:rPr>
                      <w:rFonts w:hint="default" w:ascii="Times New Roman" w:hAnsi="Times New Roman" w:cs="Times New Roman"/>
                      <w:color w:val="auto"/>
                    </w:rPr>
                    <w:t>1</w:t>
                  </w:r>
                </w:p>
              </w:tc>
              <w:tc>
                <w:tcPr>
                  <w:tcW w:w="1383" w:type="dxa"/>
                  <w:vAlign w:val="center"/>
                </w:tcPr>
                <w:p w14:paraId="361479E5">
                  <w:pPr>
                    <w:pStyle w:val="97"/>
                    <w:keepLines/>
                    <w:rPr>
                      <w:rFonts w:hint="default" w:ascii="Times New Roman" w:hAnsi="Times New Roman" w:cs="Times New Roman"/>
                      <w:color w:val="auto"/>
                    </w:rPr>
                  </w:pPr>
                  <w:r>
                    <w:rPr>
                      <w:rFonts w:hint="default" w:ascii="Times New Roman" w:hAnsi="Times New Roman" w:cs="Times New Roman"/>
                      <w:color w:val="auto"/>
                    </w:rPr>
                    <w:t>95</w:t>
                  </w:r>
                </w:p>
              </w:tc>
              <w:tc>
                <w:tcPr>
                  <w:tcW w:w="1247" w:type="dxa"/>
                  <w:vMerge w:val="continue"/>
                  <w:vAlign w:val="center"/>
                </w:tcPr>
                <w:p w14:paraId="29368583">
                  <w:pPr>
                    <w:pStyle w:val="97"/>
                    <w:keepLines/>
                    <w:rPr>
                      <w:rFonts w:hint="default" w:ascii="Times New Roman" w:hAnsi="Times New Roman" w:cs="Times New Roman"/>
                      <w:color w:val="auto"/>
                    </w:rPr>
                  </w:pPr>
                </w:p>
              </w:tc>
              <w:tc>
                <w:tcPr>
                  <w:tcW w:w="1744" w:type="dxa"/>
                  <w:vAlign w:val="center"/>
                </w:tcPr>
                <w:p w14:paraId="14E77C64">
                  <w:pPr>
                    <w:keepLines/>
                    <w:jc w:val="center"/>
                    <w:rPr>
                      <w:rFonts w:hint="default" w:ascii="Times New Roman" w:hAnsi="Times New Roman" w:cs="Times New Roman"/>
                      <w:color w:val="auto"/>
                    </w:rPr>
                  </w:pPr>
                  <w:r>
                    <w:rPr>
                      <w:rFonts w:hint="default" w:ascii="Times New Roman" w:hAnsi="Times New Roman" w:cs="Times New Roman"/>
                      <w:color w:val="auto"/>
                    </w:rPr>
                    <w:t>80</w:t>
                  </w:r>
                </w:p>
              </w:tc>
            </w:tr>
            <w:tr w14:paraId="2F650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695" w:type="dxa"/>
                  <w:vAlign w:val="center"/>
                </w:tcPr>
                <w:p w14:paraId="18A4C552">
                  <w:pPr>
                    <w:pStyle w:val="97"/>
                    <w:keepLines/>
                    <w:rPr>
                      <w:rFonts w:hint="default" w:ascii="Times New Roman" w:hAnsi="Times New Roman" w:cs="Times New Roman"/>
                      <w:color w:val="auto"/>
                    </w:rPr>
                  </w:pPr>
                  <w:r>
                    <w:rPr>
                      <w:rFonts w:hint="default" w:ascii="Times New Roman" w:hAnsi="Times New Roman" w:cs="Times New Roman"/>
                      <w:color w:val="auto"/>
                    </w:rPr>
                    <w:t>6</w:t>
                  </w:r>
                </w:p>
              </w:tc>
              <w:tc>
                <w:tcPr>
                  <w:tcW w:w="2178" w:type="dxa"/>
                  <w:vAlign w:val="center"/>
                </w:tcPr>
                <w:p w14:paraId="7F24E03D">
                  <w:pPr>
                    <w:pStyle w:val="97"/>
                    <w:keepLines/>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离心风机</w:t>
                  </w:r>
                </w:p>
              </w:tc>
              <w:tc>
                <w:tcPr>
                  <w:tcW w:w="872" w:type="dxa"/>
                  <w:vAlign w:val="center"/>
                </w:tcPr>
                <w:p w14:paraId="5456499E">
                  <w:pPr>
                    <w:pStyle w:val="97"/>
                    <w:keepLines/>
                    <w:rPr>
                      <w:rFonts w:hint="default" w:ascii="Times New Roman" w:hAnsi="Times New Roman" w:cs="Times New Roman"/>
                      <w:color w:val="auto"/>
                    </w:rPr>
                  </w:pPr>
                  <w:r>
                    <w:rPr>
                      <w:rFonts w:hint="default" w:ascii="Times New Roman" w:hAnsi="Times New Roman" w:cs="Times New Roman"/>
                      <w:color w:val="auto"/>
                    </w:rPr>
                    <w:t>1</w:t>
                  </w:r>
                </w:p>
              </w:tc>
              <w:tc>
                <w:tcPr>
                  <w:tcW w:w="1383" w:type="dxa"/>
                  <w:vAlign w:val="center"/>
                </w:tcPr>
                <w:p w14:paraId="40C7776F">
                  <w:pPr>
                    <w:pStyle w:val="97"/>
                    <w:keepLines/>
                    <w:rPr>
                      <w:rFonts w:hint="default" w:ascii="Times New Roman" w:hAnsi="Times New Roman" w:cs="Times New Roman"/>
                      <w:color w:val="auto"/>
                    </w:rPr>
                  </w:pPr>
                  <w:r>
                    <w:rPr>
                      <w:rFonts w:hint="default" w:ascii="Times New Roman" w:hAnsi="Times New Roman" w:cs="Times New Roman"/>
                      <w:color w:val="auto"/>
                    </w:rPr>
                    <w:t>100</w:t>
                  </w:r>
                </w:p>
              </w:tc>
              <w:tc>
                <w:tcPr>
                  <w:tcW w:w="1247" w:type="dxa"/>
                  <w:vAlign w:val="center"/>
                </w:tcPr>
                <w:p w14:paraId="302D08EA">
                  <w:pPr>
                    <w:pStyle w:val="97"/>
                    <w:keepLines/>
                    <w:rPr>
                      <w:rFonts w:hint="default" w:ascii="Times New Roman" w:hAnsi="Times New Roman" w:cs="Times New Roman"/>
                      <w:color w:val="auto"/>
                    </w:rPr>
                  </w:pPr>
                  <w:r>
                    <w:rPr>
                      <w:rFonts w:hint="default" w:ascii="Times New Roman" w:hAnsi="Times New Roman" w:cs="Times New Roman"/>
                      <w:color w:val="auto"/>
                    </w:rPr>
                    <w:t>隔声罩、减震基座</w:t>
                  </w:r>
                </w:p>
              </w:tc>
              <w:tc>
                <w:tcPr>
                  <w:tcW w:w="1744" w:type="dxa"/>
                  <w:vAlign w:val="center"/>
                </w:tcPr>
                <w:p w14:paraId="40C8488D">
                  <w:pPr>
                    <w:keepLines/>
                    <w:jc w:val="center"/>
                    <w:rPr>
                      <w:rFonts w:hint="default" w:ascii="Times New Roman" w:hAnsi="Times New Roman" w:cs="Times New Roman"/>
                      <w:color w:val="auto"/>
                    </w:rPr>
                  </w:pPr>
                  <w:r>
                    <w:rPr>
                      <w:rFonts w:hint="default" w:ascii="Times New Roman" w:hAnsi="Times New Roman" w:cs="Times New Roman"/>
                      <w:color w:val="auto"/>
                    </w:rPr>
                    <w:t>85</w:t>
                  </w:r>
                </w:p>
              </w:tc>
            </w:tr>
            <w:tr w14:paraId="73BB3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695" w:type="dxa"/>
                  <w:vAlign w:val="center"/>
                </w:tcPr>
                <w:p w14:paraId="47156ED4">
                  <w:pPr>
                    <w:pStyle w:val="97"/>
                    <w:keepLines/>
                    <w:rPr>
                      <w:rFonts w:hint="default" w:ascii="Times New Roman" w:hAnsi="Times New Roman" w:cs="Times New Roman"/>
                      <w:color w:val="auto"/>
                    </w:rPr>
                  </w:pPr>
                  <w:r>
                    <w:rPr>
                      <w:rFonts w:hint="default" w:ascii="Times New Roman" w:hAnsi="Times New Roman" w:cs="Times New Roman"/>
                      <w:color w:val="auto"/>
                    </w:rPr>
                    <w:t>7</w:t>
                  </w:r>
                </w:p>
              </w:tc>
              <w:tc>
                <w:tcPr>
                  <w:tcW w:w="2178" w:type="dxa"/>
                  <w:vAlign w:val="center"/>
                </w:tcPr>
                <w:p w14:paraId="3E9FF858">
                  <w:pPr>
                    <w:pStyle w:val="97"/>
                    <w:keepLines/>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曝气机</w:t>
                  </w:r>
                </w:p>
              </w:tc>
              <w:tc>
                <w:tcPr>
                  <w:tcW w:w="872" w:type="dxa"/>
                  <w:vAlign w:val="center"/>
                </w:tcPr>
                <w:p w14:paraId="3E1AA4AF">
                  <w:pPr>
                    <w:pStyle w:val="97"/>
                    <w:keepLines/>
                    <w:rPr>
                      <w:rFonts w:hint="default" w:ascii="Times New Roman" w:hAnsi="Times New Roman" w:cs="Times New Roman"/>
                      <w:color w:val="auto"/>
                    </w:rPr>
                  </w:pPr>
                  <w:r>
                    <w:rPr>
                      <w:rFonts w:hint="default" w:ascii="Times New Roman" w:hAnsi="Times New Roman" w:cs="Times New Roman"/>
                      <w:color w:val="auto"/>
                    </w:rPr>
                    <w:t>1</w:t>
                  </w:r>
                </w:p>
              </w:tc>
              <w:tc>
                <w:tcPr>
                  <w:tcW w:w="1383" w:type="dxa"/>
                  <w:vAlign w:val="center"/>
                </w:tcPr>
                <w:p w14:paraId="1FF9FFAB">
                  <w:pPr>
                    <w:pStyle w:val="97"/>
                    <w:keepLines/>
                    <w:rPr>
                      <w:rFonts w:hint="default" w:ascii="Times New Roman" w:hAnsi="Times New Roman" w:cs="Times New Roman"/>
                      <w:color w:val="auto"/>
                    </w:rPr>
                  </w:pPr>
                  <w:r>
                    <w:rPr>
                      <w:rFonts w:hint="default" w:ascii="Times New Roman" w:hAnsi="Times New Roman" w:cs="Times New Roman"/>
                      <w:color w:val="auto"/>
                    </w:rPr>
                    <w:t>75</w:t>
                  </w:r>
                </w:p>
              </w:tc>
              <w:tc>
                <w:tcPr>
                  <w:tcW w:w="1247" w:type="dxa"/>
                  <w:vAlign w:val="center"/>
                </w:tcPr>
                <w:p w14:paraId="2DB70031">
                  <w:pPr>
                    <w:pStyle w:val="97"/>
                    <w:keepLines/>
                    <w:rPr>
                      <w:rFonts w:hint="default" w:ascii="Times New Roman" w:hAnsi="Times New Roman" w:cs="Times New Roman"/>
                      <w:color w:val="auto"/>
                    </w:rPr>
                  </w:pPr>
                  <w:r>
                    <w:rPr>
                      <w:rFonts w:hint="default" w:ascii="Times New Roman" w:hAnsi="Times New Roman" w:cs="Times New Roman"/>
                      <w:color w:val="auto"/>
                    </w:rPr>
                    <w:t>盖板隔音</w:t>
                  </w:r>
                </w:p>
              </w:tc>
              <w:tc>
                <w:tcPr>
                  <w:tcW w:w="1744" w:type="dxa"/>
                  <w:vAlign w:val="center"/>
                </w:tcPr>
                <w:p w14:paraId="348BA2A0">
                  <w:pPr>
                    <w:keepLines/>
                    <w:jc w:val="center"/>
                    <w:rPr>
                      <w:rFonts w:hint="default" w:ascii="Times New Roman" w:hAnsi="Times New Roman" w:cs="Times New Roman"/>
                      <w:color w:val="auto"/>
                    </w:rPr>
                  </w:pPr>
                  <w:r>
                    <w:rPr>
                      <w:rFonts w:hint="default" w:ascii="Times New Roman" w:hAnsi="Times New Roman" w:cs="Times New Roman"/>
                      <w:color w:val="auto"/>
                    </w:rPr>
                    <w:t>60</w:t>
                  </w:r>
                </w:p>
              </w:tc>
            </w:tr>
            <w:tr w14:paraId="65E55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695" w:type="dxa"/>
                  <w:vAlign w:val="center"/>
                </w:tcPr>
                <w:p w14:paraId="2C38A7A0">
                  <w:pPr>
                    <w:pStyle w:val="97"/>
                    <w:keepLines/>
                    <w:rPr>
                      <w:rFonts w:hint="default" w:ascii="Times New Roman" w:hAnsi="Times New Roman" w:cs="Times New Roman"/>
                      <w:color w:val="auto"/>
                    </w:rPr>
                  </w:pPr>
                  <w:r>
                    <w:rPr>
                      <w:rFonts w:hint="default" w:ascii="Times New Roman" w:hAnsi="Times New Roman" w:cs="Times New Roman"/>
                      <w:color w:val="auto"/>
                    </w:rPr>
                    <w:t>8</w:t>
                  </w:r>
                </w:p>
              </w:tc>
              <w:tc>
                <w:tcPr>
                  <w:tcW w:w="2178" w:type="dxa"/>
                  <w:vAlign w:val="center"/>
                </w:tcPr>
                <w:p w14:paraId="16BD26B0">
                  <w:pPr>
                    <w:pStyle w:val="97"/>
                    <w:keepLines/>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鼓风机</w:t>
                  </w:r>
                </w:p>
              </w:tc>
              <w:tc>
                <w:tcPr>
                  <w:tcW w:w="872" w:type="dxa"/>
                  <w:vAlign w:val="center"/>
                </w:tcPr>
                <w:p w14:paraId="788ADE3A">
                  <w:pPr>
                    <w:pStyle w:val="97"/>
                    <w:keepLines/>
                    <w:rPr>
                      <w:rFonts w:hint="default" w:ascii="Times New Roman" w:hAnsi="Times New Roman" w:cs="Times New Roman"/>
                      <w:color w:val="auto"/>
                    </w:rPr>
                  </w:pPr>
                  <w:r>
                    <w:rPr>
                      <w:rFonts w:hint="default" w:ascii="Times New Roman" w:hAnsi="Times New Roman" w:cs="Times New Roman"/>
                      <w:color w:val="auto"/>
                    </w:rPr>
                    <w:t>1</w:t>
                  </w:r>
                </w:p>
              </w:tc>
              <w:tc>
                <w:tcPr>
                  <w:tcW w:w="1383" w:type="dxa"/>
                  <w:vAlign w:val="center"/>
                </w:tcPr>
                <w:p w14:paraId="318516E7">
                  <w:pPr>
                    <w:pStyle w:val="97"/>
                    <w:keepLines/>
                    <w:rPr>
                      <w:rFonts w:hint="default" w:ascii="Times New Roman" w:hAnsi="Times New Roman" w:cs="Times New Roman"/>
                      <w:color w:val="auto"/>
                    </w:rPr>
                  </w:pPr>
                  <w:r>
                    <w:rPr>
                      <w:rFonts w:hint="default" w:ascii="Times New Roman" w:hAnsi="Times New Roman" w:cs="Times New Roman"/>
                      <w:color w:val="auto"/>
                    </w:rPr>
                    <w:t>90</w:t>
                  </w:r>
                </w:p>
              </w:tc>
              <w:tc>
                <w:tcPr>
                  <w:tcW w:w="1247" w:type="dxa"/>
                  <w:vAlign w:val="center"/>
                </w:tcPr>
                <w:p w14:paraId="360C33E3">
                  <w:pPr>
                    <w:pStyle w:val="97"/>
                    <w:keepLines/>
                    <w:rPr>
                      <w:rFonts w:hint="default" w:ascii="Times New Roman" w:hAnsi="Times New Roman" w:cs="Times New Roman"/>
                      <w:color w:val="auto"/>
                    </w:rPr>
                  </w:pPr>
                  <w:r>
                    <w:rPr>
                      <w:rFonts w:hint="default" w:ascii="Times New Roman" w:hAnsi="Times New Roman" w:cs="Times New Roman"/>
                      <w:color w:val="auto"/>
                    </w:rPr>
                    <w:t>盖板隔音</w:t>
                  </w:r>
                </w:p>
              </w:tc>
              <w:tc>
                <w:tcPr>
                  <w:tcW w:w="1744" w:type="dxa"/>
                  <w:vAlign w:val="center"/>
                </w:tcPr>
                <w:p w14:paraId="42F0AC83">
                  <w:pPr>
                    <w:keepLines/>
                    <w:jc w:val="center"/>
                    <w:rPr>
                      <w:rFonts w:hint="default" w:ascii="Times New Roman" w:hAnsi="Times New Roman" w:cs="Times New Roman"/>
                      <w:color w:val="auto"/>
                    </w:rPr>
                  </w:pPr>
                  <w:r>
                    <w:rPr>
                      <w:rFonts w:hint="default" w:ascii="Times New Roman" w:hAnsi="Times New Roman" w:cs="Times New Roman"/>
                      <w:color w:val="auto"/>
                    </w:rPr>
                    <w:t>75</w:t>
                  </w:r>
                </w:p>
              </w:tc>
            </w:tr>
            <w:tr w14:paraId="3C1C5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695" w:type="dxa"/>
                  <w:vAlign w:val="center"/>
                </w:tcPr>
                <w:p w14:paraId="6BC8909F">
                  <w:pPr>
                    <w:pStyle w:val="97"/>
                    <w:keepLines/>
                    <w:rPr>
                      <w:rFonts w:hint="default" w:ascii="Times New Roman" w:hAnsi="Times New Roman" w:cs="Times New Roman"/>
                      <w:color w:val="auto"/>
                    </w:rPr>
                  </w:pPr>
                  <w:r>
                    <w:rPr>
                      <w:rFonts w:hint="default" w:ascii="Times New Roman" w:hAnsi="Times New Roman" w:cs="Times New Roman"/>
                      <w:color w:val="auto"/>
                    </w:rPr>
                    <w:t>9</w:t>
                  </w:r>
                </w:p>
              </w:tc>
              <w:tc>
                <w:tcPr>
                  <w:tcW w:w="2178" w:type="dxa"/>
                  <w:vAlign w:val="center"/>
                </w:tcPr>
                <w:p w14:paraId="4D03093C">
                  <w:pPr>
                    <w:pStyle w:val="97"/>
                    <w:keepLines/>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UV光解+三级活性炭吸附装置</w:t>
                  </w:r>
                </w:p>
              </w:tc>
              <w:tc>
                <w:tcPr>
                  <w:tcW w:w="872" w:type="dxa"/>
                  <w:vAlign w:val="center"/>
                </w:tcPr>
                <w:p w14:paraId="201A1802">
                  <w:pPr>
                    <w:pStyle w:val="97"/>
                    <w:keepLines/>
                    <w:rPr>
                      <w:rFonts w:hint="default" w:ascii="Times New Roman" w:hAnsi="Times New Roman" w:cs="Times New Roman"/>
                      <w:color w:val="auto"/>
                    </w:rPr>
                  </w:pPr>
                  <w:r>
                    <w:rPr>
                      <w:rFonts w:hint="default" w:ascii="Times New Roman" w:hAnsi="Times New Roman" w:cs="Times New Roman"/>
                      <w:color w:val="auto"/>
                    </w:rPr>
                    <w:t>1</w:t>
                  </w:r>
                </w:p>
              </w:tc>
              <w:tc>
                <w:tcPr>
                  <w:tcW w:w="1383" w:type="dxa"/>
                  <w:vAlign w:val="center"/>
                </w:tcPr>
                <w:p w14:paraId="79EB93CA">
                  <w:pPr>
                    <w:pStyle w:val="97"/>
                    <w:keepLines/>
                    <w:rPr>
                      <w:rFonts w:hint="default" w:ascii="Times New Roman" w:hAnsi="Times New Roman" w:cs="Times New Roman"/>
                      <w:color w:val="auto"/>
                    </w:rPr>
                  </w:pPr>
                  <w:r>
                    <w:rPr>
                      <w:rFonts w:hint="default" w:ascii="Times New Roman" w:hAnsi="Times New Roman" w:cs="Times New Roman"/>
                      <w:color w:val="auto"/>
                    </w:rPr>
                    <w:t>90</w:t>
                  </w:r>
                </w:p>
              </w:tc>
              <w:tc>
                <w:tcPr>
                  <w:tcW w:w="1247" w:type="dxa"/>
                  <w:vAlign w:val="center"/>
                </w:tcPr>
                <w:p w14:paraId="7977A49F">
                  <w:pPr>
                    <w:pStyle w:val="97"/>
                    <w:keepLines/>
                    <w:rPr>
                      <w:rFonts w:hint="default" w:ascii="Times New Roman" w:hAnsi="Times New Roman" w:cs="Times New Roman"/>
                      <w:color w:val="auto"/>
                    </w:rPr>
                  </w:pPr>
                  <w:r>
                    <w:rPr>
                      <w:rFonts w:hint="default" w:ascii="Times New Roman" w:hAnsi="Times New Roman" w:cs="Times New Roman"/>
                      <w:color w:val="auto"/>
                    </w:rPr>
                    <w:t>隔声罩、减震基座</w:t>
                  </w:r>
                </w:p>
              </w:tc>
              <w:tc>
                <w:tcPr>
                  <w:tcW w:w="1744" w:type="dxa"/>
                  <w:vAlign w:val="center"/>
                </w:tcPr>
                <w:p w14:paraId="47D86CAE">
                  <w:pPr>
                    <w:keepLines/>
                    <w:jc w:val="center"/>
                    <w:rPr>
                      <w:rFonts w:hint="default" w:ascii="Times New Roman" w:hAnsi="Times New Roman" w:cs="Times New Roman"/>
                      <w:color w:val="auto"/>
                    </w:rPr>
                  </w:pPr>
                  <w:r>
                    <w:rPr>
                      <w:rFonts w:hint="default" w:ascii="Times New Roman" w:hAnsi="Times New Roman" w:cs="Times New Roman"/>
                      <w:color w:val="auto"/>
                    </w:rPr>
                    <w:t>75</w:t>
                  </w:r>
                </w:p>
              </w:tc>
            </w:tr>
          </w:tbl>
          <w:p w14:paraId="62F050E1">
            <w:pPr>
              <w:keepLines/>
              <w:ind w:firstLine="482"/>
              <w:rPr>
                <w:rFonts w:hint="default" w:ascii="Times New Roman" w:hAnsi="Times New Roman" w:cs="Times New Roman"/>
                <w:b/>
                <w:color w:val="auto"/>
                <w:sz w:val="24"/>
              </w:rPr>
            </w:pPr>
            <w:r>
              <w:rPr>
                <w:rFonts w:hint="default" w:ascii="Times New Roman" w:hAnsi="Times New Roman" w:cs="Times New Roman"/>
                <w:b/>
                <w:color w:val="auto"/>
                <w:sz w:val="24"/>
              </w:rPr>
              <w:t>2、噪声预测</w:t>
            </w:r>
          </w:p>
          <w:p w14:paraId="40DC54F3">
            <w:pPr>
              <w:keepLines/>
              <w:adjustRightInd w:val="0"/>
              <w:snapToGrid w:val="0"/>
              <w:spacing w:line="360" w:lineRule="auto"/>
              <w:ind w:firstLine="480" w:firstLineChars="200"/>
              <w:rPr>
                <w:rFonts w:hint="default" w:ascii="Times New Roman" w:hAnsi="Times New Roman" w:cs="Times New Roman"/>
                <w:color w:val="auto"/>
                <w:sz w:val="24"/>
                <w:lang w:val="zh-CN" w:bidi="ar"/>
              </w:rPr>
            </w:pPr>
            <w:r>
              <w:rPr>
                <w:rFonts w:hint="default" w:ascii="Times New Roman" w:hAnsi="Times New Roman" w:cs="Times New Roman"/>
                <w:color w:val="auto"/>
                <w:sz w:val="24"/>
                <w:lang w:val="zh-CN" w:bidi="ar"/>
              </w:rPr>
              <w:t>A、预测模式</w:t>
            </w:r>
          </w:p>
          <w:p w14:paraId="186619C7">
            <w:pPr>
              <w:keepLines/>
              <w:adjustRightInd w:val="0"/>
              <w:snapToGrid w:val="0"/>
              <w:spacing w:line="360" w:lineRule="auto"/>
              <w:ind w:firstLine="480" w:firstLineChars="200"/>
              <w:rPr>
                <w:rFonts w:hint="default" w:ascii="Times New Roman" w:hAnsi="Times New Roman" w:cs="Times New Roman"/>
                <w:color w:val="auto"/>
                <w:sz w:val="24"/>
                <w:lang w:val="zh-CN" w:bidi="ar"/>
              </w:rPr>
            </w:pPr>
            <w:r>
              <w:rPr>
                <w:rFonts w:hint="default" w:ascii="Times New Roman" w:hAnsi="Times New Roman" w:cs="Times New Roman"/>
                <w:color w:val="auto"/>
                <w:sz w:val="24"/>
                <w:lang w:val="zh-CN" w:bidi="ar"/>
              </w:rPr>
              <w:t>根据《环境影响评价技术导则  声环境》（HJ2.4-2021）的要求，项目声环境预测采用的模型为《环境影响评价技术导则  声环境》（HJ2.4-2021）附录B（规范性附录）中“B.1 工业噪声预测计算模型”。</w:t>
            </w:r>
          </w:p>
          <w:p w14:paraId="28D20648">
            <w:pPr>
              <w:keepLines/>
              <w:adjustRightInd w:val="0"/>
              <w:snapToGrid w:val="0"/>
              <w:spacing w:line="360" w:lineRule="auto"/>
              <w:ind w:firstLine="480" w:firstLineChars="200"/>
              <w:rPr>
                <w:rFonts w:hint="default" w:ascii="Times New Roman" w:hAnsi="Times New Roman" w:cs="Times New Roman"/>
                <w:color w:val="auto"/>
                <w:sz w:val="24"/>
                <w:lang w:val="zh-CN" w:bidi="ar"/>
              </w:rPr>
            </w:pPr>
            <w:r>
              <w:rPr>
                <w:rFonts w:hint="default" w:ascii="Times New Roman" w:hAnsi="Times New Roman" w:cs="Times New Roman"/>
                <w:color w:val="auto"/>
                <w:sz w:val="24"/>
                <w:lang w:val="zh-CN" w:bidi="ar"/>
              </w:rPr>
              <w:t>B、声源数据</w:t>
            </w:r>
          </w:p>
          <w:p w14:paraId="20EEE193">
            <w:pPr>
              <w:keepLines/>
              <w:adjustRightInd w:val="0"/>
              <w:snapToGrid w:val="0"/>
              <w:spacing w:line="360" w:lineRule="auto"/>
              <w:ind w:firstLine="480" w:firstLineChars="200"/>
              <w:rPr>
                <w:rFonts w:hint="default" w:ascii="Times New Roman" w:hAnsi="Times New Roman" w:cs="Times New Roman"/>
                <w:color w:val="auto"/>
                <w:sz w:val="24"/>
                <w:lang w:val="zh-CN" w:bidi="ar"/>
              </w:rPr>
            </w:pPr>
            <w:r>
              <w:rPr>
                <w:rFonts w:hint="default" w:ascii="Times New Roman" w:hAnsi="Times New Roman" w:cs="Times New Roman"/>
                <w:color w:val="auto"/>
                <w:sz w:val="24"/>
                <w:lang w:val="zh-CN" w:bidi="ar"/>
              </w:rPr>
              <w:t>项目运营期噪声源主要为</w:t>
            </w:r>
            <w:r>
              <w:rPr>
                <w:rFonts w:hint="default" w:ascii="Times New Roman" w:hAnsi="Times New Roman" w:cs="Times New Roman"/>
                <w:color w:val="auto"/>
                <w:sz w:val="24"/>
                <w:lang w:bidi="ar"/>
              </w:rPr>
              <w:t>卧式浸渍烘干一体机、搅拌机、曝气机、叉车、螺杆式空压机、冷冻式压缩空气干燥器、离心风机</w:t>
            </w:r>
            <w:r>
              <w:rPr>
                <w:rFonts w:hint="default" w:ascii="Times New Roman" w:hAnsi="Times New Roman" w:cs="Times New Roman"/>
                <w:color w:val="auto"/>
                <w:sz w:val="24"/>
                <w:lang w:val="zh-CN" w:bidi="ar"/>
              </w:rPr>
              <w:t>等。</w:t>
            </w:r>
          </w:p>
          <w:p w14:paraId="17144902">
            <w:pPr>
              <w:keepLines/>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lang w:bidi="ar"/>
              </w:rPr>
              <w:t>项目</w:t>
            </w:r>
            <w:r>
              <w:rPr>
                <w:rFonts w:hint="default" w:ascii="Times New Roman" w:hAnsi="Times New Roman" w:cs="Times New Roman"/>
                <w:color w:val="auto"/>
                <w:sz w:val="24"/>
                <w:lang w:val="zh-CN" w:bidi="ar"/>
              </w:rPr>
              <w:t>以厂界中心（</w:t>
            </w:r>
            <w:bookmarkStart w:id="33" w:name="PO_6"/>
            <w:r>
              <w:rPr>
                <w:rFonts w:hint="default" w:ascii="Times New Roman" w:hAnsi="Times New Roman" w:cs="Times New Roman" w:eastAsiaTheme="minorEastAsia"/>
                <w:bCs/>
                <w:color w:val="auto"/>
                <w:sz w:val="24"/>
              </w:rPr>
              <w:t>103.154687,25.4</w:t>
            </w:r>
            <w:bookmarkEnd w:id="33"/>
            <w:r>
              <w:rPr>
                <w:rFonts w:hint="default" w:ascii="Times New Roman" w:hAnsi="Times New Roman" w:cs="Times New Roman" w:eastAsiaTheme="minorEastAsia"/>
                <w:bCs/>
                <w:color w:val="auto"/>
                <w:sz w:val="24"/>
              </w:rPr>
              <w:t>70234</w:t>
            </w:r>
            <w:r>
              <w:rPr>
                <w:rFonts w:hint="default" w:ascii="Times New Roman" w:hAnsi="Times New Roman" w:cs="Times New Roman"/>
                <w:color w:val="auto"/>
                <w:sz w:val="24"/>
                <w:lang w:val="zh-CN" w:bidi="ar"/>
              </w:rPr>
              <w:t>）为坐标原点，以原点以东方向为X轴正方向，原点以北方向为Y轴正方向。</w:t>
            </w:r>
          </w:p>
        </w:tc>
      </w:tr>
    </w:tbl>
    <w:p w14:paraId="73402C83">
      <w:pPr>
        <w:adjustRightInd w:val="0"/>
        <w:snapToGrid w:val="0"/>
        <w:spacing w:line="360" w:lineRule="auto"/>
        <w:rPr>
          <w:rFonts w:ascii="宋体" w:cs="宋体"/>
          <w:b/>
          <w:color w:val="auto"/>
          <w:kern w:val="0"/>
          <w:sz w:val="28"/>
          <w:szCs w:val="28"/>
        </w:rPr>
        <w:sectPr>
          <w:pgSz w:w="11907" w:h="16840"/>
          <w:pgMar w:top="1701" w:right="1531" w:bottom="2127" w:left="1531" w:header="851" w:footer="851" w:gutter="0"/>
          <w:cols w:space="720" w:num="1"/>
          <w:docGrid w:linePitch="312" w:charSpace="0"/>
        </w:sectPr>
      </w:pPr>
    </w:p>
    <w:p w14:paraId="7C605639">
      <w:pPr>
        <w:adjustRightInd w:val="0"/>
        <w:snapToGrid w:val="0"/>
        <w:jc w:val="center"/>
        <w:rPr>
          <w:b/>
          <w:bCs/>
          <w:color w:val="auto"/>
          <w:szCs w:val="21"/>
        </w:rPr>
      </w:pPr>
      <w:r>
        <w:rPr>
          <w:b/>
          <w:bCs/>
          <w:color w:val="auto"/>
          <w:szCs w:val="21"/>
        </w:rPr>
        <w:t>表4-</w:t>
      </w:r>
      <w:r>
        <w:rPr>
          <w:rFonts w:hint="eastAsia"/>
          <w:b/>
          <w:bCs/>
          <w:color w:val="auto"/>
          <w:szCs w:val="21"/>
        </w:rPr>
        <w:t>10</w:t>
      </w:r>
      <w:r>
        <w:rPr>
          <w:b/>
          <w:bCs/>
          <w:color w:val="auto"/>
          <w:szCs w:val="21"/>
        </w:rPr>
        <w:t xml:space="preserve">   工业企业噪声源强调查清单（室</w:t>
      </w:r>
      <w:r>
        <w:rPr>
          <w:rFonts w:hint="eastAsia"/>
          <w:b/>
          <w:bCs/>
          <w:color w:val="auto"/>
          <w:szCs w:val="21"/>
        </w:rPr>
        <w:t>外</w:t>
      </w:r>
      <w:r>
        <w:rPr>
          <w:b/>
          <w:bCs/>
          <w:color w:val="auto"/>
          <w:szCs w:val="21"/>
        </w:rPr>
        <w:t>声源）</w:t>
      </w:r>
    </w:p>
    <w:tbl>
      <w:tblPr>
        <w:tblStyle w:val="30"/>
        <w:tblW w:w="11986" w:type="dxa"/>
        <w:tblInd w:w="1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2325"/>
        <w:gridCol w:w="558"/>
        <w:gridCol w:w="625"/>
        <w:gridCol w:w="695"/>
        <w:gridCol w:w="578"/>
        <w:gridCol w:w="2772"/>
        <w:gridCol w:w="1333"/>
        <w:gridCol w:w="1482"/>
        <w:gridCol w:w="1060"/>
      </w:tblGrid>
      <w:tr w14:paraId="0A74E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trPr>
        <w:tc>
          <w:tcPr>
            <w:tcW w:w="558" w:type="dxa"/>
            <w:vMerge w:val="restart"/>
            <w:vAlign w:val="center"/>
          </w:tcPr>
          <w:p w14:paraId="74042A40">
            <w:pPr>
              <w:jc w:val="center"/>
              <w:rPr>
                <w:rFonts w:eastAsiaTheme="minorEastAsia"/>
                <w:color w:val="auto"/>
                <w:szCs w:val="21"/>
              </w:rPr>
            </w:pPr>
            <w:r>
              <w:rPr>
                <w:rFonts w:eastAsiaTheme="minorEastAsia"/>
                <w:b/>
                <w:color w:val="auto"/>
                <w:szCs w:val="21"/>
              </w:rPr>
              <w:t>序号</w:t>
            </w:r>
          </w:p>
        </w:tc>
        <w:tc>
          <w:tcPr>
            <w:tcW w:w="2325" w:type="dxa"/>
            <w:vMerge w:val="restart"/>
            <w:vAlign w:val="center"/>
          </w:tcPr>
          <w:p w14:paraId="3E733B77">
            <w:pPr>
              <w:jc w:val="center"/>
              <w:rPr>
                <w:rFonts w:eastAsiaTheme="minorEastAsia"/>
                <w:color w:val="auto"/>
                <w:szCs w:val="21"/>
              </w:rPr>
            </w:pPr>
            <w:r>
              <w:rPr>
                <w:rFonts w:eastAsiaTheme="minorEastAsia"/>
                <w:b/>
                <w:color w:val="auto"/>
                <w:szCs w:val="21"/>
              </w:rPr>
              <w:t>声源名称</w:t>
            </w:r>
          </w:p>
        </w:tc>
        <w:tc>
          <w:tcPr>
            <w:tcW w:w="558" w:type="dxa"/>
            <w:vMerge w:val="restart"/>
            <w:vAlign w:val="center"/>
          </w:tcPr>
          <w:p w14:paraId="1B6F7591">
            <w:pPr>
              <w:jc w:val="center"/>
              <w:rPr>
                <w:rFonts w:eastAsiaTheme="minorEastAsia"/>
                <w:color w:val="auto"/>
                <w:szCs w:val="21"/>
              </w:rPr>
            </w:pPr>
            <w:r>
              <w:rPr>
                <w:rFonts w:eastAsiaTheme="minorEastAsia"/>
                <w:b/>
                <w:color w:val="auto"/>
                <w:szCs w:val="21"/>
              </w:rPr>
              <w:t>型号</w:t>
            </w:r>
          </w:p>
        </w:tc>
        <w:tc>
          <w:tcPr>
            <w:tcW w:w="1898" w:type="dxa"/>
            <w:gridSpan w:val="3"/>
            <w:vAlign w:val="center"/>
          </w:tcPr>
          <w:p w14:paraId="3E158B3F">
            <w:pPr>
              <w:jc w:val="center"/>
              <w:rPr>
                <w:rFonts w:eastAsiaTheme="minorEastAsia"/>
                <w:color w:val="auto"/>
                <w:szCs w:val="21"/>
              </w:rPr>
            </w:pPr>
            <w:r>
              <w:rPr>
                <w:rFonts w:eastAsiaTheme="minorEastAsia"/>
                <w:b/>
                <w:color w:val="auto"/>
                <w:szCs w:val="21"/>
              </w:rPr>
              <w:t>空间相对位置/m</w:t>
            </w:r>
          </w:p>
        </w:tc>
        <w:tc>
          <w:tcPr>
            <w:tcW w:w="4105" w:type="dxa"/>
            <w:gridSpan w:val="2"/>
            <w:vAlign w:val="center"/>
          </w:tcPr>
          <w:p w14:paraId="521B4C16">
            <w:pPr>
              <w:jc w:val="center"/>
              <w:rPr>
                <w:rFonts w:eastAsiaTheme="minorEastAsia"/>
                <w:color w:val="auto"/>
                <w:szCs w:val="21"/>
              </w:rPr>
            </w:pPr>
            <w:r>
              <w:rPr>
                <w:rFonts w:eastAsiaTheme="minorEastAsia"/>
                <w:b/>
                <w:color w:val="auto"/>
                <w:szCs w:val="21"/>
              </w:rPr>
              <w:t>声源源强（任选一种）</w:t>
            </w:r>
          </w:p>
        </w:tc>
        <w:tc>
          <w:tcPr>
            <w:tcW w:w="1482" w:type="dxa"/>
            <w:vMerge w:val="restart"/>
            <w:vAlign w:val="center"/>
          </w:tcPr>
          <w:p w14:paraId="7B5A1FDC">
            <w:pPr>
              <w:jc w:val="center"/>
              <w:rPr>
                <w:rFonts w:eastAsiaTheme="minorEastAsia"/>
                <w:color w:val="auto"/>
                <w:szCs w:val="21"/>
              </w:rPr>
            </w:pPr>
            <w:r>
              <w:rPr>
                <w:rFonts w:eastAsiaTheme="minorEastAsia"/>
                <w:b/>
                <w:color w:val="auto"/>
                <w:szCs w:val="21"/>
              </w:rPr>
              <w:t>声源控制措施</w:t>
            </w:r>
          </w:p>
        </w:tc>
        <w:tc>
          <w:tcPr>
            <w:tcW w:w="1060" w:type="dxa"/>
            <w:vMerge w:val="restart"/>
            <w:vAlign w:val="center"/>
          </w:tcPr>
          <w:p w14:paraId="1A67CDA0">
            <w:pPr>
              <w:jc w:val="center"/>
              <w:rPr>
                <w:rFonts w:eastAsiaTheme="minorEastAsia"/>
                <w:color w:val="auto"/>
                <w:szCs w:val="21"/>
              </w:rPr>
            </w:pPr>
            <w:r>
              <w:rPr>
                <w:rFonts w:eastAsiaTheme="minorEastAsia"/>
                <w:b/>
                <w:color w:val="auto"/>
                <w:szCs w:val="21"/>
              </w:rPr>
              <w:t>运行时段</w:t>
            </w:r>
          </w:p>
        </w:tc>
      </w:tr>
      <w:tr w14:paraId="2B7A5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58" w:type="dxa"/>
            <w:vMerge w:val="continue"/>
            <w:shd w:val="clear" w:color="auto" w:fill="FFFFFF"/>
            <w:vAlign w:val="center"/>
          </w:tcPr>
          <w:p w14:paraId="65188E70">
            <w:pPr>
              <w:jc w:val="center"/>
              <w:rPr>
                <w:rFonts w:eastAsiaTheme="minorEastAsia"/>
                <w:color w:val="auto"/>
                <w:szCs w:val="21"/>
              </w:rPr>
            </w:pPr>
          </w:p>
        </w:tc>
        <w:tc>
          <w:tcPr>
            <w:tcW w:w="2325" w:type="dxa"/>
            <w:vMerge w:val="continue"/>
            <w:shd w:val="clear" w:color="auto" w:fill="FFFFFF"/>
            <w:vAlign w:val="center"/>
          </w:tcPr>
          <w:p w14:paraId="5DD74F9E">
            <w:pPr>
              <w:jc w:val="center"/>
              <w:rPr>
                <w:rFonts w:eastAsiaTheme="minorEastAsia"/>
                <w:color w:val="auto"/>
                <w:szCs w:val="21"/>
              </w:rPr>
            </w:pPr>
          </w:p>
        </w:tc>
        <w:tc>
          <w:tcPr>
            <w:tcW w:w="558" w:type="dxa"/>
            <w:vMerge w:val="continue"/>
            <w:shd w:val="clear" w:color="auto" w:fill="FFFFFF"/>
            <w:vAlign w:val="center"/>
          </w:tcPr>
          <w:p w14:paraId="7FCE589D">
            <w:pPr>
              <w:rPr>
                <w:rFonts w:eastAsiaTheme="minorEastAsia"/>
                <w:color w:val="auto"/>
                <w:szCs w:val="21"/>
              </w:rPr>
            </w:pPr>
          </w:p>
        </w:tc>
        <w:tc>
          <w:tcPr>
            <w:tcW w:w="625" w:type="dxa"/>
            <w:shd w:val="clear" w:color="auto" w:fill="FFFFFF"/>
            <w:vAlign w:val="center"/>
          </w:tcPr>
          <w:p w14:paraId="49622EAE">
            <w:pPr>
              <w:jc w:val="center"/>
              <w:rPr>
                <w:rFonts w:eastAsiaTheme="minorEastAsia"/>
                <w:color w:val="auto"/>
                <w:szCs w:val="21"/>
              </w:rPr>
            </w:pPr>
            <w:r>
              <w:rPr>
                <w:rFonts w:eastAsiaTheme="minorEastAsia"/>
                <w:color w:val="auto"/>
                <w:szCs w:val="21"/>
              </w:rPr>
              <w:t>X</w:t>
            </w:r>
          </w:p>
        </w:tc>
        <w:tc>
          <w:tcPr>
            <w:tcW w:w="695" w:type="dxa"/>
            <w:shd w:val="clear" w:color="auto" w:fill="FFFFFF"/>
            <w:vAlign w:val="center"/>
          </w:tcPr>
          <w:p w14:paraId="4D7D80DC">
            <w:pPr>
              <w:jc w:val="center"/>
              <w:rPr>
                <w:rFonts w:eastAsiaTheme="minorEastAsia"/>
                <w:color w:val="auto"/>
                <w:szCs w:val="21"/>
              </w:rPr>
            </w:pPr>
            <w:r>
              <w:rPr>
                <w:rFonts w:eastAsiaTheme="minorEastAsia"/>
                <w:color w:val="auto"/>
                <w:szCs w:val="21"/>
              </w:rPr>
              <w:t>Y</w:t>
            </w:r>
          </w:p>
        </w:tc>
        <w:tc>
          <w:tcPr>
            <w:tcW w:w="578" w:type="dxa"/>
            <w:shd w:val="clear" w:color="auto" w:fill="FFFFFF"/>
            <w:vAlign w:val="center"/>
          </w:tcPr>
          <w:p w14:paraId="5A5386EE">
            <w:pPr>
              <w:jc w:val="center"/>
              <w:rPr>
                <w:rFonts w:eastAsiaTheme="minorEastAsia"/>
                <w:color w:val="auto"/>
                <w:szCs w:val="21"/>
              </w:rPr>
            </w:pPr>
            <w:r>
              <w:rPr>
                <w:rFonts w:eastAsiaTheme="minorEastAsia"/>
                <w:color w:val="auto"/>
                <w:szCs w:val="21"/>
              </w:rPr>
              <w:t>Z</w:t>
            </w:r>
          </w:p>
        </w:tc>
        <w:tc>
          <w:tcPr>
            <w:tcW w:w="2772" w:type="dxa"/>
            <w:shd w:val="clear" w:color="auto" w:fill="FFFFFF"/>
            <w:vAlign w:val="center"/>
          </w:tcPr>
          <w:p w14:paraId="42116C26">
            <w:pPr>
              <w:jc w:val="center"/>
              <w:rPr>
                <w:rFonts w:eastAsiaTheme="minorEastAsia"/>
                <w:color w:val="auto"/>
                <w:szCs w:val="21"/>
              </w:rPr>
            </w:pPr>
            <w:r>
              <w:rPr>
                <w:rFonts w:eastAsiaTheme="minorEastAsia"/>
                <w:color w:val="auto"/>
                <w:szCs w:val="21"/>
              </w:rPr>
              <w:t>（声压级/距声源距离）/（dB(A)/m）</w:t>
            </w:r>
          </w:p>
        </w:tc>
        <w:tc>
          <w:tcPr>
            <w:tcW w:w="1333" w:type="dxa"/>
            <w:shd w:val="clear" w:color="auto" w:fill="FFFFFF"/>
            <w:vAlign w:val="center"/>
          </w:tcPr>
          <w:p w14:paraId="019C9FCC">
            <w:pPr>
              <w:jc w:val="center"/>
              <w:rPr>
                <w:rFonts w:eastAsiaTheme="minorEastAsia"/>
                <w:color w:val="auto"/>
                <w:szCs w:val="21"/>
              </w:rPr>
            </w:pPr>
            <w:r>
              <w:rPr>
                <w:rFonts w:eastAsiaTheme="minorEastAsia"/>
                <w:color w:val="auto"/>
                <w:szCs w:val="21"/>
              </w:rPr>
              <w:t>声功率级/dB(A)</w:t>
            </w:r>
          </w:p>
        </w:tc>
        <w:tc>
          <w:tcPr>
            <w:tcW w:w="1482" w:type="dxa"/>
            <w:vMerge w:val="continue"/>
            <w:shd w:val="clear" w:color="auto" w:fill="FFFFFF"/>
            <w:vAlign w:val="center"/>
          </w:tcPr>
          <w:p w14:paraId="7EC4EA29">
            <w:pPr>
              <w:jc w:val="center"/>
              <w:rPr>
                <w:rFonts w:eastAsiaTheme="minorEastAsia"/>
                <w:color w:val="auto"/>
                <w:szCs w:val="21"/>
              </w:rPr>
            </w:pPr>
          </w:p>
        </w:tc>
        <w:tc>
          <w:tcPr>
            <w:tcW w:w="1060" w:type="dxa"/>
            <w:vMerge w:val="continue"/>
            <w:shd w:val="clear" w:color="auto" w:fill="FFFFFF"/>
            <w:vAlign w:val="center"/>
          </w:tcPr>
          <w:p w14:paraId="735488C3">
            <w:pPr>
              <w:jc w:val="center"/>
              <w:rPr>
                <w:rFonts w:eastAsiaTheme="minorEastAsia"/>
                <w:color w:val="auto"/>
                <w:szCs w:val="21"/>
              </w:rPr>
            </w:pPr>
          </w:p>
        </w:tc>
      </w:tr>
      <w:tr w14:paraId="5C19C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97" w:hRule="exact"/>
        </w:trPr>
        <w:tc>
          <w:tcPr>
            <w:tcW w:w="558" w:type="dxa"/>
            <w:shd w:val="clear" w:color="auto" w:fill="FFFFFF"/>
            <w:vAlign w:val="center"/>
          </w:tcPr>
          <w:p w14:paraId="4E0CFBC0">
            <w:pPr>
              <w:jc w:val="center"/>
              <w:rPr>
                <w:rFonts w:ascii="Arial" w:hAnsi="Arial" w:eastAsia="Arial" w:cs="Arial"/>
                <w:color w:val="auto"/>
                <w:szCs w:val="21"/>
              </w:rPr>
            </w:pPr>
            <w:r>
              <w:rPr>
                <w:rFonts w:ascii="Arial" w:hAnsi="Arial" w:eastAsia="Arial" w:cs="Arial"/>
                <w:color w:val="auto"/>
                <w:szCs w:val="21"/>
              </w:rPr>
              <w:t>1</w:t>
            </w:r>
          </w:p>
        </w:tc>
        <w:tc>
          <w:tcPr>
            <w:tcW w:w="2325" w:type="dxa"/>
            <w:shd w:val="clear" w:color="auto" w:fill="FFFFFF"/>
            <w:vAlign w:val="center"/>
          </w:tcPr>
          <w:p w14:paraId="1F414553">
            <w:pPr>
              <w:jc w:val="center"/>
              <w:rPr>
                <w:rFonts w:ascii="Arial" w:hAnsi="Arial" w:eastAsia="Arial" w:cs="Arial"/>
                <w:color w:val="auto"/>
                <w:szCs w:val="21"/>
              </w:rPr>
            </w:pPr>
            <w:r>
              <w:rPr>
                <w:rFonts w:ascii="Arial" w:hAnsi="Arial" w:eastAsia="Arial" w:cs="Arial"/>
                <w:color w:val="auto"/>
                <w:szCs w:val="21"/>
              </w:rPr>
              <w:t>离心风机</w:t>
            </w:r>
          </w:p>
        </w:tc>
        <w:tc>
          <w:tcPr>
            <w:tcW w:w="558" w:type="dxa"/>
            <w:shd w:val="clear" w:color="auto" w:fill="FFFFFF"/>
            <w:vAlign w:val="center"/>
          </w:tcPr>
          <w:p w14:paraId="4F10F8F7">
            <w:pPr>
              <w:jc w:val="center"/>
              <w:rPr>
                <w:rFonts w:ascii="Arial" w:hAnsi="Arial" w:cs="Arial"/>
                <w:color w:val="auto"/>
                <w:szCs w:val="21"/>
              </w:rPr>
            </w:pPr>
            <w:r>
              <w:rPr>
                <w:rFonts w:hint="eastAsia" w:ascii="Arial" w:hAnsi="Arial" w:cs="Arial"/>
                <w:color w:val="auto"/>
                <w:szCs w:val="21"/>
              </w:rPr>
              <w:t>/</w:t>
            </w:r>
          </w:p>
        </w:tc>
        <w:tc>
          <w:tcPr>
            <w:tcW w:w="625" w:type="dxa"/>
            <w:shd w:val="clear" w:color="auto" w:fill="FFFFFF"/>
            <w:vAlign w:val="center"/>
          </w:tcPr>
          <w:p w14:paraId="1260E19A">
            <w:pPr>
              <w:jc w:val="center"/>
              <w:rPr>
                <w:rFonts w:ascii="Arial" w:hAnsi="Arial" w:eastAsia="Arial" w:cs="Arial"/>
                <w:color w:val="auto"/>
                <w:szCs w:val="21"/>
              </w:rPr>
            </w:pPr>
            <w:r>
              <w:rPr>
                <w:rFonts w:ascii="Arial" w:hAnsi="Arial" w:eastAsia="Arial" w:cs="Arial"/>
                <w:color w:val="auto"/>
                <w:szCs w:val="21"/>
              </w:rPr>
              <w:t>25.2</w:t>
            </w:r>
          </w:p>
        </w:tc>
        <w:tc>
          <w:tcPr>
            <w:tcW w:w="695" w:type="dxa"/>
            <w:shd w:val="clear" w:color="auto" w:fill="FFFFFF"/>
            <w:vAlign w:val="center"/>
          </w:tcPr>
          <w:p w14:paraId="4187733D">
            <w:pPr>
              <w:jc w:val="center"/>
              <w:rPr>
                <w:rFonts w:ascii="Arial" w:hAnsi="Arial" w:eastAsia="Arial" w:cs="Arial"/>
                <w:color w:val="auto"/>
                <w:szCs w:val="21"/>
              </w:rPr>
            </w:pPr>
            <w:r>
              <w:rPr>
                <w:rFonts w:ascii="Arial" w:hAnsi="Arial" w:eastAsia="Arial" w:cs="Arial"/>
                <w:color w:val="auto"/>
                <w:szCs w:val="21"/>
              </w:rPr>
              <w:t>-25.3</w:t>
            </w:r>
          </w:p>
        </w:tc>
        <w:tc>
          <w:tcPr>
            <w:tcW w:w="578" w:type="dxa"/>
            <w:shd w:val="clear" w:color="auto" w:fill="FFFFFF"/>
            <w:vAlign w:val="center"/>
          </w:tcPr>
          <w:p w14:paraId="38371CC5">
            <w:pPr>
              <w:jc w:val="center"/>
              <w:rPr>
                <w:rFonts w:ascii="Arial" w:hAnsi="Arial" w:eastAsia="Arial" w:cs="Arial"/>
                <w:color w:val="auto"/>
                <w:szCs w:val="21"/>
              </w:rPr>
            </w:pPr>
            <w:r>
              <w:rPr>
                <w:rFonts w:ascii="Arial" w:hAnsi="Arial" w:eastAsia="Arial" w:cs="Arial"/>
                <w:color w:val="auto"/>
                <w:szCs w:val="21"/>
              </w:rPr>
              <w:t>1.2</w:t>
            </w:r>
          </w:p>
        </w:tc>
        <w:tc>
          <w:tcPr>
            <w:tcW w:w="2772" w:type="dxa"/>
            <w:shd w:val="clear" w:color="auto" w:fill="FFFFFF"/>
            <w:vAlign w:val="center"/>
          </w:tcPr>
          <w:p w14:paraId="2F24A2D6">
            <w:pPr>
              <w:jc w:val="center"/>
              <w:rPr>
                <w:rFonts w:ascii="Arial" w:hAnsi="Arial" w:eastAsia="Arial" w:cs="Arial"/>
                <w:color w:val="auto"/>
                <w:szCs w:val="21"/>
              </w:rPr>
            </w:pPr>
            <w:r>
              <w:rPr>
                <w:rFonts w:hint="eastAsia" w:ascii="Arial" w:hAnsi="Arial" w:eastAsia="Arial" w:cs="Arial"/>
                <w:color w:val="auto"/>
                <w:szCs w:val="21"/>
              </w:rPr>
              <w:t>/</w:t>
            </w:r>
          </w:p>
        </w:tc>
        <w:tc>
          <w:tcPr>
            <w:tcW w:w="1333" w:type="dxa"/>
            <w:shd w:val="clear" w:color="auto" w:fill="FFFFFF"/>
            <w:vAlign w:val="center"/>
          </w:tcPr>
          <w:p w14:paraId="4C668A39">
            <w:pPr>
              <w:jc w:val="center"/>
              <w:rPr>
                <w:rFonts w:ascii="Arial" w:hAnsi="Arial" w:cs="Arial"/>
                <w:color w:val="auto"/>
                <w:szCs w:val="21"/>
              </w:rPr>
            </w:pPr>
            <w:r>
              <w:rPr>
                <w:rFonts w:hint="eastAsia" w:ascii="Arial" w:hAnsi="Arial" w:cs="Arial"/>
                <w:color w:val="auto"/>
                <w:szCs w:val="21"/>
              </w:rPr>
              <w:t>100</w:t>
            </w:r>
          </w:p>
        </w:tc>
        <w:tc>
          <w:tcPr>
            <w:tcW w:w="1482" w:type="dxa"/>
            <w:shd w:val="clear" w:color="auto" w:fill="FFFFFF"/>
            <w:vAlign w:val="center"/>
          </w:tcPr>
          <w:p w14:paraId="73FBFB78">
            <w:pPr>
              <w:jc w:val="center"/>
              <w:rPr>
                <w:rFonts w:ascii="Arial" w:hAnsi="Arial" w:cs="Arial"/>
                <w:color w:val="auto"/>
                <w:szCs w:val="21"/>
              </w:rPr>
            </w:pPr>
            <w:r>
              <w:rPr>
                <w:rFonts w:hint="eastAsia" w:ascii="Arial" w:hAnsi="Arial" w:cs="Arial"/>
                <w:color w:val="auto"/>
                <w:szCs w:val="21"/>
              </w:rPr>
              <w:t>隔声罩、减震基座</w:t>
            </w:r>
          </w:p>
        </w:tc>
        <w:tc>
          <w:tcPr>
            <w:tcW w:w="1060" w:type="dxa"/>
            <w:shd w:val="clear" w:color="auto" w:fill="FFFFFF"/>
            <w:vAlign w:val="center"/>
          </w:tcPr>
          <w:p w14:paraId="43E57BA2">
            <w:pPr>
              <w:jc w:val="center"/>
              <w:rPr>
                <w:rFonts w:ascii="Arial" w:hAnsi="Arial" w:cs="Arial"/>
                <w:color w:val="auto"/>
                <w:szCs w:val="21"/>
              </w:rPr>
            </w:pPr>
            <w:r>
              <w:rPr>
                <w:rFonts w:hint="eastAsia" w:ascii="Arial" w:hAnsi="Arial" w:cs="Arial"/>
                <w:color w:val="auto"/>
                <w:szCs w:val="21"/>
              </w:rPr>
              <w:t>昼间</w:t>
            </w:r>
          </w:p>
        </w:tc>
      </w:tr>
      <w:tr w14:paraId="7E01C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2" w:hRule="exact"/>
        </w:trPr>
        <w:tc>
          <w:tcPr>
            <w:tcW w:w="558" w:type="dxa"/>
            <w:shd w:val="clear" w:color="auto" w:fill="FFFFFF"/>
            <w:vAlign w:val="center"/>
          </w:tcPr>
          <w:p w14:paraId="4F01C77B">
            <w:pPr>
              <w:jc w:val="center"/>
              <w:rPr>
                <w:rFonts w:ascii="Arial" w:hAnsi="Arial" w:eastAsia="Arial" w:cs="Arial"/>
                <w:color w:val="auto"/>
                <w:szCs w:val="21"/>
              </w:rPr>
            </w:pPr>
            <w:r>
              <w:rPr>
                <w:rFonts w:ascii="Arial" w:hAnsi="Arial" w:eastAsia="Arial" w:cs="Arial"/>
                <w:color w:val="auto"/>
                <w:szCs w:val="21"/>
              </w:rPr>
              <w:t>2</w:t>
            </w:r>
          </w:p>
        </w:tc>
        <w:tc>
          <w:tcPr>
            <w:tcW w:w="2325" w:type="dxa"/>
            <w:shd w:val="clear" w:color="auto" w:fill="FFFFFF"/>
            <w:vAlign w:val="center"/>
          </w:tcPr>
          <w:p w14:paraId="7965B937">
            <w:pPr>
              <w:jc w:val="center"/>
              <w:rPr>
                <w:rFonts w:ascii="Arial" w:hAnsi="Arial" w:eastAsia="Arial" w:cs="Arial"/>
                <w:color w:val="auto"/>
                <w:szCs w:val="21"/>
              </w:rPr>
            </w:pPr>
            <w:r>
              <w:rPr>
                <w:rFonts w:ascii="Arial" w:hAnsi="Arial" w:eastAsia="Arial" w:cs="Arial"/>
                <w:color w:val="auto"/>
                <w:szCs w:val="21"/>
              </w:rPr>
              <w:t>曝气机</w:t>
            </w:r>
          </w:p>
        </w:tc>
        <w:tc>
          <w:tcPr>
            <w:tcW w:w="558" w:type="dxa"/>
            <w:shd w:val="clear" w:color="auto" w:fill="FFFFFF"/>
            <w:vAlign w:val="center"/>
          </w:tcPr>
          <w:p w14:paraId="4670162E">
            <w:pPr>
              <w:jc w:val="center"/>
              <w:rPr>
                <w:rFonts w:ascii="Arial" w:hAnsi="Arial" w:eastAsia="Arial" w:cs="Arial"/>
                <w:color w:val="auto"/>
                <w:szCs w:val="21"/>
              </w:rPr>
            </w:pPr>
            <w:r>
              <w:rPr>
                <w:rFonts w:hint="eastAsia" w:ascii="Arial" w:hAnsi="Arial" w:cs="Arial"/>
                <w:color w:val="auto"/>
                <w:szCs w:val="21"/>
              </w:rPr>
              <w:t>/</w:t>
            </w:r>
          </w:p>
        </w:tc>
        <w:tc>
          <w:tcPr>
            <w:tcW w:w="625" w:type="dxa"/>
            <w:shd w:val="clear" w:color="auto" w:fill="FFFFFF"/>
            <w:vAlign w:val="center"/>
          </w:tcPr>
          <w:p w14:paraId="31A0C9C9">
            <w:pPr>
              <w:jc w:val="center"/>
              <w:rPr>
                <w:rFonts w:ascii="Arial" w:hAnsi="Arial" w:eastAsia="Arial" w:cs="Arial"/>
                <w:color w:val="auto"/>
                <w:szCs w:val="21"/>
              </w:rPr>
            </w:pPr>
            <w:r>
              <w:rPr>
                <w:rFonts w:ascii="Arial" w:hAnsi="Arial" w:eastAsia="Arial" w:cs="Arial"/>
                <w:color w:val="auto"/>
                <w:szCs w:val="21"/>
              </w:rPr>
              <w:t>1</w:t>
            </w:r>
          </w:p>
        </w:tc>
        <w:tc>
          <w:tcPr>
            <w:tcW w:w="695" w:type="dxa"/>
            <w:shd w:val="clear" w:color="auto" w:fill="FFFFFF"/>
            <w:vAlign w:val="center"/>
          </w:tcPr>
          <w:p w14:paraId="56DFE376">
            <w:pPr>
              <w:jc w:val="center"/>
              <w:rPr>
                <w:rFonts w:ascii="Arial" w:hAnsi="Arial" w:eastAsia="Arial" w:cs="Arial"/>
                <w:color w:val="auto"/>
                <w:szCs w:val="21"/>
              </w:rPr>
            </w:pPr>
            <w:r>
              <w:rPr>
                <w:rFonts w:ascii="Arial" w:hAnsi="Arial" w:eastAsia="Arial" w:cs="Arial"/>
                <w:color w:val="auto"/>
                <w:szCs w:val="21"/>
              </w:rPr>
              <w:t>54</w:t>
            </w:r>
          </w:p>
        </w:tc>
        <w:tc>
          <w:tcPr>
            <w:tcW w:w="578" w:type="dxa"/>
            <w:shd w:val="clear" w:color="auto" w:fill="FFFFFF"/>
            <w:vAlign w:val="center"/>
          </w:tcPr>
          <w:p w14:paraId="116F93BC">
            <w:pPr>
              <w:jc w:val="center"/>
              <w:rPr>
                <w:rFonts w:ascii="Arial" w:hAnsi="Arial" w:eastAsia="Arial" w:cs="Arial"/>
                <w:color w:val="auto"/>
                <w:szCs w:val="21"/>
              </w:rPr>
            </w:pPr>
            <w:r>
              <w:rPr>
                <w:rFonts w:hint="eastAsia" w:ascii="Arial" w:hAnsi="Arial" w:cs="Arial"/>
                <w:color w:val="auto"/>
                <w:szCs w:val="21"/>
              </w:rPr>
              <w:t>-</w:t>
            </w:r>
            <w:r>
              <w:rPr>
                <w:rFonts w:ascii="Arial" w:hAnsi="Arial" w:eastAsia="Arial" w:cs="Arial"/>
                <w:color w:val="auto"/>
                <w:szCs w:val="21"/>
              </w:rPr>
              <w:t>1.2</w:t>
            </w:r>
          </w:p>
        </w:tc>
        <w:tc>
          <w:tcPr>
            <w:tcW w:w="2772" w:type="dxa"/>
            <w:shd w:val="clear" w:color="auto" w:fill="FFFFFF"/>
            <w:vAlign w:val="center"/>
          </w:tcPr>
          <w:p w14:paraId="4D34BF7A">
            <w:pPr>
              <w:jc w:val="center"/>
              <w:rPr>
                <w:rFonts w:ascii="Arial" w:hAnsi="Arial" w:eastAsia="Arial" w:cs="Arial"/>
                <w:color w:val="auto"/>
                <w:szCs w:val="21"/>
              </w:rPr>
            </w:pPr>
            <w:r>
              <w:rPr>
                <w:rFonts w:hint="eastAsia" w:ascii="Arial" w:hAnsi="Arial" w:eastAsia="Arial" w:cs="Arial"/>
                <w:color w:val="auto"/>
                <w:szCs w:val="21"/>
              </w:rPr>
              <w:t>/</w:t>
            </w:r>
          </w:p>
        </w:tc>
        <w:tc>
          <w:tcPr>
            <w:tcW w:w="1333" w:type="dxa"/>
            <w:shd w:val="clear" w:color="auto" w:fill="FFFFFF"/>
            <w:vAlign w:val="center"/>
          </w:tcPr>
          <w:p w14:paraId="25F48252">
            <w:pPr>
              <w:jc w:val="center"/>
              <w:rPr>
                <w:rFonts w:ascii="Arial" w:hAnsi="Arial" w:cs="Arial"/>
                <w:color w:val="auto"/>
                <w:szCs w:val="21"/>
              </w:rPr>
            </w:pPr>
            <w:r>
              <w:rPr>
                <w:rFonts w:ascii="Arial" w:hAnsi="Arial" w:cs="Arial"/>
                <w:color w:val="auto"/>
                <w:szCs w:val="21"/>
              </w:rPr>
              <w:t>75</w:t>
            </w:r>
          </w:p>
        </w:tc>
        <w:tc>
          <w:tcPr>
            <w:tcW w:w="1482" w:type="dxa"/>
            <w:shd w:val="clear" w:color="auto" w:fill="FFFFFF"/>
            <w:vAlign w:val="center"/>
          </w:tcPr>
          <w:p w14:paraId="2E7B6F0C">
            <w:pPr>
              <w:jc w:val="center"/>
              <w:rPr>
                <w:rFonts w:ascii="Arial" w:hAnsi="Arial" w:eastAsia="Arial" w:cs="Arial"/>
                <w:color w:val="auto"/>
                <w:szCs w:val="21"/>
              </w:rPr>
            </w:pPr>
            <w:r>
              <w:rPr>
                <w:rFonts w:hint="eastAsia"/>
                <w:color w:val="auto"/>
              </w:rPr>
              <w:t>盖板隔音</w:t>
            </w:r>
          </w:p>
        </w:tc>
        <w:tc>
          <w:tcPr>
            <w:tcW w:w="1060" w:type="dxa"/>
            <w:shd w:val="clear" w:color="auto" w:fill="FFFFFF"/>
            <w:vAlign w:val="center"/>
          </w:tcPr>
          <w:p w14:paraId="5C814A3D">
            <w:pPr>
              <w:jc w:val="center"/>
              <w:rPr>
                <w:rFonts w:ascii="Arial" w:hAnsi="Arial" w:cs="Arial"/>
                <w:color w:val="auto"/>
                <w:szCs w:val="21"/>
              </w:rPr>
            </w:pPr>
            <w:r>
              <w:rPr>
                <w:rFonts w:hint="eastAsia" w:ascii="Arial" w:hAnsi="Arial" w:cs="Arial"/>
                <w:color w:val="auto"/>
                <w:szCs w:val="21"/>
              </w:rPr>
              <w:t>昼间</w:t>
            </w:r>
          </w:p>
        </w:tc>
      </w:tr>
      <w:tr w14:paraId="568B9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2" w:hRule="exact"/>
        </w:trPr>
        <w:tc>
          <w:tcPr>
            <w:tcW w:w="558" w:type="dxa"/>
            <w:shd w:val="clear" w:color="auto" w:fill="FFFFFF"/>
            <w:vAlign w:val="center"/>
          </w:tcPr>
          <w:p w14:paraId="7A4EE652">
            <w:pPr>
              <w:jc w:val="center"/>
              <w:rPr>
                <w:rFonts w:ascii="Arial" w:hAnsi="Arial" w:cs="Arial"/>
                <w:color w:val="auto"/>
                <w:szCs w:val="21"/>
              </w:rPr>
            </w:pPr>
            <w:r>
              <w:rPr>
                <w:rFonts w:hint="eastAsia" w:ascii="Arial" w:hAnsi="Arial" w:cs="Arial"/>
                <w:color w:val="auto"/>
                <w:szCs w:val="21"/>
              </w:rPr>
              <w:t>3</w:t>
            </w:r>
          </w:p>
        </w:tc>
        <w:tc>
          <w:tcPr>
            <w:tcW w:w="2325" w:type="dxa"/>
            <w:shd w:val="clear" w:color="auto" w:fill="FFFFFF"/>
            <w:vAlign w:val="center"/>
          </w:tcPr>
          <w:p w14:paraId="7D497205">
            <w:pPr>
              <w:jc w:val="center"/>
              <w:rPr>
                <w:rFonts w:ascii="Arial" w:hAnsi="Arial" w:cs="Arial"/>
                <w:color w:val="auto"/>
                <w:szCs w:val="21"/>
              </w:rPr>
            </w:pPr>
            <w:r>
              <w:rPr>
                <w:rFonts w:hint="eastAsia" w:ascii="Arial" w:hAnsi="Arial" w:cs="Arial"/>
                <w:color w:val="auto"/>
                <w:szCs w:val="21"/>
              </w:rPr>
              <w:t>鼓风机</w:t>
            </w:r>
          </w:p>
        </w:tc>
        <w:tc>
          <w:tcPr>
            <w:tcW w:w="558" w:type="dxa"/>
            <w:shd w:val="clear" w:color="auto" w:fill="FFFFFF"/>
            <w:vAlign w:val="center"/>
          </w:tcPr>
          <w:p w14:paraId="37AABEFC">
            <w:pPr>
              <w:jc w:val="center"/>
              <w:rPr>
                <w:rFonts w:ascii="Arial" w:hAnsi="Arial" w:eastAsia="Arial" w:cs="Arial"/>
                <w:color w:val="auto"/>
                <w:szCs w:val="21"/>
              </w:rPr>
            </w:pPr>
            <w:r>
              <w:rPr>
                <w:rFonts w:hint="eastAsia" w:ascii="Arial" w:hAnsi="Arial" w:cs="Arial"/>
                <w:color w:val="auto"/>
                <w:szCs w:val="21"/>
              </w:rPr>
              <w:t>/</w:t>
            </w:r>
          </w:p>
        </w:tc>
        <w:tc>
          <w:tcPr>
            <w:tcW w:w="625" w:type="dxa"/>
            <w:shd w:val="clear" w:color="auto" w:fill="FFFFFF"/>
            <w:vAlign w:val="center"/>
          </w:tcPr>
          <w:p w14:paraId="062E75DB">
            <w:pPr>
              <w:jc w:val="center"/>
              <w:rPr>
                <w:rFonts w:ascii="Arial" w:hAnsi="Arial" w:cs="Arial"/>
                <w:color w:val="auto"/>
                <w:szCs w:val="21"/>
              </w:rPr>
            </w:pPr>
            <w:r>
              <w:rPr>
                <w:rFonts w:hint="eastAsia" w:ascii="Arial" w:hAnsi="Arial" w:cs="Arial"/>
                <w:color w:val="auto"/>
                <w:szCs w:val="21"/>
              </w:rPr>
              <w:t>1.7</w:t>
            </w:r>
          </w:p>
        </w:tc>
        <w:tc>
          <w:tcPr>
            <w:tcW w:w="695" w:type="dxa"/>
            <w:shd w:val="clear" w:color="auto" w:fill="FFFFFF"/>
            <w:vAlign w:val="center"/>
          </w:tcPr>
          <w:p w14:paraId="0E4CB0A1">
            <w:pPr>
              <w:jc w:val="center"/>
              <w:rPr>
                <w:rFonts w:ascii="Arial" w:hAnsi="Arial" w:cs="Arial"/>
                <w:color w:val="auto"/>
                <w:szCs w:val="21"/>
              </w:rPr>
            </w:pPr>
            <w:r>
              <w:rPr>
                <w:rFonts w:hint="eastAsia" w:ascii="Arial" w:hAnsi="Arial" w:cs="Arial"/>
                <w:color w:val="auto"/>
                <w:szCs w:val="21"/>
              </w:rPr>
              <w:t>46</w:t>
            </w:r>
          </w:p>
        </w:tc>
        <w:tc>
          <w:tcPr>
            <w:tcW w:w="578" w:type="dxa"/>
            <w:shd w:val="clear" w:color="auto" w:fill="FFFFFF"/>
            <w:vAlign w:val="center"/>
          </w:tcPr>
          <w:p w14:paraId="0FFDF4DF">
            <w:pPr>
              <w:jc w:val="center"/>
              <w:rPr>
                <w:rFonts w:ascii="Arial" w:hAnsi="Arial" w:cs="Arial"/>
                <w:color w:val="auto"/>
                <w:szCs w:val="21"/>
              </w:rPr>
            </w:pPr>
            <w:r>
              <w:rPr>
                <w:rFonts w:hint="eastAsia" w:ascii="Arial" w:hAnsi="Arial" w:cs="Arial"/>
                <w:color w:val="auto"/>
                <w:szCs w:val="21"/>
              </w:rPr>
              <w:t>-1.2</w:t>
            </w:r>
          </w:p>
        </w:tc>
        <w:tc>
          <w:tcPr>
            <w:tcW w:w="2772" w:type="dxa"/>
            <w:shd w:val="clear" w:color="auto" w:fill="FFFFFF"/>
            <w:vAlign w:val="center"/>
          </w:tcPr>
          <w:p w14:paraId="3F279F5D">
            <w:pPr>
              <w:jc w:val="center"/>
              <w:rPr>
                <w:rFonts w:ascii="Arial" w:hAnsi="Arial" w:eastAsia="Arial" w:cs="Arial"/>
                <w:color w:val="auto"/>
                <w:szCs w:val="21"/>
              </w:rPr>
            </w:pPr>
            <w:r>
              <w:rPr>
                <w:rFonts w:hint="eastAsia" w:ascii="Arial" w:hAnsi="Arial" w:eastAsia="Arial" w:cs="Arial"/>
                <w:color w:val="auto"/>
                <w:szCs w:val="21"/>
              </w:rPr>
              <w:t>/</w:t>
            </w:r>
          </w:p>
        </w:tc>
        <w:tc>
          <w:tcPr>
            <w:tcW w:w="1333" w:type="dxa"/>
            <w:shd w:val="clear" w:color="auto" w:fill="FFFFFF"/>
            <w:vAlign w:val="center"/>
          </w:tcPr>
          <w:p w14:paraId="77BDF922">
            <w:pPr>
              <w:jc w:val="center"/>
              <w:rPr>
                <w:rFonts w:ascii="Arial" w:hAnsi="Arial" w:cs="Arial"/>
                <w:color w:val="auto"/>
                <w:szCs w:val="21"/>
              </w:rPr>
            </w:pPr>
            <w:r>
              <w:rPr>
                <w:rFonts w:hint="eastAsia" w:ascii="Arial" w:hAnsi="Arial" w:cs="Arial"/>
                <w:color w:val="auto"/>
                <w:szCs w:val="21"/>
              </w:rPr>
              <w:t>90</w:t>
            </w:r>
          </w:p>
        </w:tc>
        <w:tc>
          <w:tcPr>
            <w:tcW w:w="1482" w:type="dxa"/>
            <w:shd w:val="clear" w:color="auto" w:fill="FFFFFF"/>
            <w:vAlign w:val="center"/>
          </w:tcPr>
          <w:p w14:paraId="0ADB1E24">
            <w:pPr>
              <w:jc w:val="center"/>
              <w:rPr>
                <w:color w:val="auto"/>
              </w:rPr>
            </w:pPr>
            <w:r>
              <w:rPr>
                <w:rFonts w:hint="eastAsia"/>
                <w:color w:val="auto"/>
              </w:rPr>
              <w:t>盖板隔音</w:t>
            </w:r>
          </w:p>
        </w:tc>
        <w:tc>
          <w:tcPr>
            <w:tcW w:w="1060" w:type="dxa"/>
            <w:shd w:val="clear" w:color="auto" w:fill="FFFFFF"/>
            <w:vAlign w:val="center"/>
          </w:tcPr>
          <w:p w14:paraId="0A6B3B1B">
            <w:pPr>
              <w:jc w:val="center"/>
              <w:rPr>
                <w:rFonts w:ascii="Arial" w:hAnsi="Arial" w:cs="Arial"/>
                <w:color w:val="auto"/>
                <w:szCs w:val="21"/>
              </w:rPr>
            </w:pPr>
            <w:r>
              <w:rPr>
                <w:rFonts w:hint="eastAsia" w:ascii="Arial" w:hAnsi="Arial" w:cs="Arial"/>
                <w:color w:val="auto"/>
                <w:szCs w:val="21"/>
              </w:rPr>
              <w:t>昼间</w:t>
            </w:r>
          </w:p>
        </w:tc>
      </w:tr>
      <w:tr w14:paraId="08A17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22" w:hRule="exact"/>
        </w:trPr>
        <w:tc>
          <w:tcPr>
            <w:tcW w:w="558" w:type="dxa"/>
            <w:shd w:val="clear" w:color="auto" w:fill="FFFFFF"/>
            <w:vAlign w:val="center"/>
          </w:tcPr>
          <w:p w14:paraId="4CDA6B45">
            <w:pPr>
              <w:jc w:val="center"/>
              <w:rPr>
                <w:rFonts w:ascii="Arial" w:hAnsi="Arial" w:cs="Arial"/>
                <w:color w:val="auto"/>
                <w:szCs w:val="21"/>
              </w:rPr>
            </w:pPr>
            <w:r>
              <w:rPr>
                <w:rFonts w:hint="eastAsia" w:ascii="Arial" w:hAnsi="Arial" w:cs="Arial"/>
                <w:color w:val="auto"/>
                <w:szCs w:val="21"/>
              </w:rPr>
              <w:t>4</w:t>
            </w:r>
          </w:p>
        </w:tc>
        <w:tc>
          <w:tcPr>
            <w:tcW w:w="2325" w:type="dxa"/>
            <w:shd w:val="clear" w:color="auto" w:fill="FFFFFF"/>
            <w:vAlign w:val="center"/>
          </w:tcPr>
          <w:p w14:paraId="4F0716F5">
            <w:pPr>
              <w:jc w:val="center"/>
              <w:rPr>
                <w:rFonts w:ascii="Arial" w:hAnsi="Arial" w:eastAsia="Arial" w:cs="Arial"/>
                <w:color w:val="auto"/>
                <w:szCs w:val="21"/>
              </w:rPr>
            </w:pPr>
            <w:r>
              <w:rPr>
                <w:rFonts w:hint="eastAsia"/>
                <w:color w:val="auto"/>
                <w:sz w:val="24"/>
                <w:lang w:bidi="ar"/>
              </w:rPr>
              <w:t>UV光解+三级活性炭吸附装置</w:t>
            </w:r>
          </w:p>
        </w:tc>
        <w:tc>
          <w:tcPr>
            <w:tcW w:w="558" w:type="dxa"/>
            <w:shd w:val="clear" w:color="auto" w:fill="FFFFFF"/>
            <w:vAlign w:val="center"/>
          </w:tcPr>
          <w:p w14:paraId="5ABFD66A">
            <w:pPr>
              <w:jc w:val="center"/>
              <w:rPr>
                <w:rFonts w:ascii="Arial" w:hAnsi="Arial" w:eastAsia="Arial" w:cs="Arial"/>
                <w:color w:val="auto"/>
                <w:szCs w:val="21"/>
              </w:rPr>
            </w:pPr>
            <w:r>
              <w:rPr>
                <w:rFonts w:hint="eastAsia" w:ascii="Arial" w:hAnsi="Arial" w:cs="Arial"/>
                <w:color w:val="auto"/>
                <w:szCs w:val="21"/>
              </w:rPr>
              <w:t>/</w:t>
            </w:r>
          </w:p>
        </w:tc>
        <w:tc>
          <w:tcPr>
            <w:tcW w:w="625" w:type="dxa"/>
            <w:shd w:val="clear" w:color="auto" w:fill="FFFFFF"/>
            <w:vAlign w:val="center"/>
          </w:tcPr>
          <w:p w14:paraId="3E246A08">
            <w:pPr>
              <w:jc w:val="center"/>
              <w:rPr>
                <w:rFonts w:ascii="Arial" w:hAnsi="Arial" w:cs="Arial"/>
                <w:color w:val="auto"/>
                <w:szCs w:val="21"/>
              </w:rPr>
            </w:pPr>
            <w:r>
              <w:rPr>
                <w:rFonts w:hint="eastAsia" w:ascii="Arial" w:hAnsi="Arial" w:cs="Arial"/>
                <w:color w:val="auto"/>
                <w:szCs w:val="21"/>
              </w:rPr>
              <w:t>37.6</w:t>
            </w:r>
          </w:p>
        </w:tc>
        <w:tc>
          <w:tcPr>
            <w:tcW w:w="695" w:type="dxa"/>
            <w:shd w:val="clear" w:color="auto" w:fill="FFFFFF"/>
            <w:vAlign w:val="center"/>
          </w:tcPr>
          <w:p w14:paraId="05621B19">
            <w:pPr>
              <w:jc w:val="center"/>
              <w:rPr>
                <w:rFonts w:ascii="Arial" w:hAnsi="Arial" w:cs="Arial"/>
                <w:color w:val="auto"/>
                <w:szCs w:val="21"/>
              </w:rPr>
            </w:pPr>
            <w:r>
              <w:rPr>
                <w:rFonts w:hint="eastAsia" w:ascii="Arial" w:hAnsi="Arial" w:cs="Arial"/>
                <w:color w:val="auto"/>
                <w:szCs w:val="21"/>
              </w:rPr>
              <w:t>-33.4</w:t>
            </w:r>
          </w:p>
        </w:tc>
        <w:tc>
          <w:tcPr>
            <w:tcW w:w="578" w:type="dxa"/>
            <w:shd w:val="clear" w:color="auto" w:fill="FFFFFF"/>
            <w:vAlign w:val="center"/>
          </w:tcPr>
          <w:p w14:paraId="0FCBF70B">
            <w:pPr>
              <w:jc w:val="center"/>
              <w:rPr>
                <w:rFonts w:ascii="Arial" w:hAnsi="Arial" w:cs="Arial"/>
                <w:color w:val="auto"/>
                <w:szCs w:val="21"/>
              </w:rPr>
            </w:pPr>
            <w:r>
              <w:rPr>
                <w:rFonts w:hint="eastAsia" w:ascii="Arial" w:hAnsi="Arial" w:cs="Arial"/>
                <w:color w:val="auto"/>
                <w:szCs w:val="21"/>
              </w:rPr>
              <w:t>1.2</w:t>
            </w:r>
          </w:p>
        </w:tc>
        <w:tc>
          <w:tcPr>
            <w:tcW w:w="2772" w:type="dxa"/>
            <w:shd w:val="clear" w:color="auto" w:fill="FFFFFF"/>
            <w:vAlign w:val="center"/>
          </w:tcPr>
          <w:p w14:paraId="124CF97C">
            <w:pPr>
              <w:jc w:val="center"/>
              <w:rPr>
                <w:rFonts w:ascii="Arial" w:hAnsi="Arial" w:eastAsia="Arial" w:cs="Arial"/>
                <w:color w:val="auto"/>
                <w:szCs w:val="21"/>
              </w:rPr>
            </w:pPr>
            <w:r>
              <w:rPr>
                <w:rFonts w:hint="eastAsia" w:ascii="Arial" w:hAnsi="Arial" w:eastAsia="Arial" w:cs="Arial"/>
                <w:color w:val="auto"/>
                <w:szCs w:val="21"/>
              </w:rPr>
              <w:t>/</w:t>
            </w:r>
          </w:p>
        </w:tc>
        <w:tc>
          <w:tcPr>
            <w:tcW w:w="1333" w:type="dxa"/>
            <w:shd w:val="clear" w:color="auto" w:fill="FFFFFF"/>
            <w:vAlign w:val="center"/>
          </w:tcPr>
          <w:p w14:paraId="0DC10845">
            <w:pPr>
              <w:jc w:val="center"/>
              <w:rPr>
                <w:rFonts w:ascii="Arial" w:hAnsi="Arial" w:cs="Arial"/>
                <w:color w:val="auto"/>
                <w:szCs w:val="21"/>
              </w:rPr>
            </w:pPr>
            <w:r>
              <w:rPr>
                <w:rFonts w:hint="eastAsia" w:ascii="Arial" w:hAnsi="Arial" w:cs="Arial"/>
                <w:color w:val="auto"/>
                <w:szCs w:val="21"/>
              </w:rPr>
              <w:t>90</w:t>
            </w:r>
          </w:p>
        </w:tc>
        <w:tc>
          <w:tcPr>
            <w:tcW w:w="1482" w:type="dxa"/>
            <w:shd w:val="clear" w:color="auto" w:fill="FFFFFF"/>
            <w:vAlign w:val="center"/>
          </w:tcPr>
          <w:p w14:paraId="56174CAC">
            <w:pPr>
              <w:jc w:val="center"/>
              <w:rPr>
                <w:color w:val="auto"/>
              </w:rPr>
            </w:pPr>
            <w:r>
              <w:rPr>
                <w:rFonts w:hint="eastAsia" w:ascii="Arial" w:hAnsi="Arial" w:cs="Arial"/>
                <w:color w:val="auto"/>
                <w:szCs w:val="21"/>
              </w:rPr>
              <w:t>隔声罩、减震基座</w:t>
            </w:r>
          </w:p>
        </w:tc>
        <w:tc>
          <w:tcPr>
            <w:tcW w:w="1060" w:type="dxa"/>
            <w:shd w:val="clear" w:color="auto" w:fill="FFFFFF"/>
            <w:vAlign w:val="center"/>
          </w:tcPr>
          <w:p w14:paraId="041B9343">
            <w:pPr>
              <w:jc w:val="center"/>
              <w:rPr>
                <w:rFonts w:ascii="Arial" w:hAnsi="Arial" w:cs="Arial"/>
                <w:color w:val="auto"/>
                <w:szCs w:val="21"/>
              </w:rPr>
            </w:pPr>
            <w:r>
              <w:rPr>
                <w:rFonts w:hint="eastAsia" w:ascii="Arial" w:hAnsi="Arial" w:cs="Arial"/>
                <w:color w:val="auto"/>
                <w:szCs w:val="21"/>
              </w:rPr>
              <w:t>昼间</w:t>
            </w:r>
          </w:p>
        </w:tc>
      </w:tr>
    </w:tbl>
    <w:p w14:paraId="11DA2694">
      <w:pPr>
        <w:adjustRightInd w:val="0"/>
        <w:snapToGrid w:val="0"/>
        <w:jc w:val="center"/>
        <w:rPr>
          <w:b/>
          <w:bCs/>
          <w:color w:val="auto"/>
          <w:szCs w:val="21"/>
        </w:rPr>
      </w:pPr>
    </w:p>
    <w:p w14:paraId="16042509">
      <w:pPr>
        <w:adjustRightInd w:val="0"/>
        <w:snapToGrid w:val="0"/>
        <w:jc w:val="center"/>
        <w:rPr>
          <w:b/>
          <w:bCs/>
          <w:color w:val="auto"/>
          <w:szCs w:val="21"/>
        </w:rPr>
      </w:pPr>
      <w:r>
        <w:rPr>
          <w:b/>
          <w:bCs/>
          <w:color w:val="auto"/>
          <w:szCs w:val="21"/>
        </w:rPr>
        <w:t>表4-</w:t>
      </w:r>
      <w:r>
        <w:rPr>
          <w:rFonts w:hint="eastAsia"/>
          <w:b/>
          <w:bCs/>
          <w:color w:val="auto"/>
          <w:szCs w:val="21"/>
        </w:rPr>
        <w:t>11</w:t>
      </w:r>
      <w:r>
        <w:rPr>
          <w:b/>
          <w:bCs/>
          <w:color w:val="auto"/>
          <w:szCs w:val="21"/>
        </w:rPr>
        <w:t xml:space="preserve">   工业企业噪声源强调查清单（室内声源）</w:t>
      </w:r>
    </w:p>
    <w:tbl>
      <w:tblPr>
        <w:tblStyle w:val="30"/>
        <w:tblW w:w="145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
        <w:gridCol w:w="909"/>
        <w:gridCol w:w="1378"/>
        <w:gridCol w:w="563"/>
        <w:gridCol w:w="656"/>
        <w:gridCol w:w="508"/>
        <w:gridCol w:w="522"/>
        <w:gridCol w:w="525"/>
        <w:gridCol w:w="473"/>
        <w:gridCol w:w="522"/>
        <w:gridCol w:w="540"/>
        <w:gridCol w:w="440"/>
        <w:gridCol w:w="472"/>
        <w:gridCol w:w="472"/>
        <w:gridCol w:w="504"/>
        <w:gridCol w:w="507"/>
        <w:gridCol w:w="539"/>
        <w:gridCol w:w="472"/>
        <w:gridCol w:w="486"/>
        <w:gridCol w:w="472"/>
        <w:gridCol w:w="422"/>
        <w:gridCol w:w="553"/>
        <w:gridCol w:w="486"/>
        <w:gridCol w:w="553"/>
        <w:gridCol w:w="521"/>
        <w:gridCol w:w="696"/>
      </w:tblGrid>
      <w:tr w14:paraId="556E8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 w:type="dxa"/>
            <w:vMerge w:val="restart"/>
            <w:vAlign w:val="center"/>
          </w:tcPr>
          <w:p w14:paraId="78D37981">
            <w:pPr>
              <w:jc w:val="center"/>
              <w:rPr>
                <w:rFonts w:eastAsiaTheme="minorEastAsia"/>
                <w:color w:val="auto"/>
                <w:szCs w:val="21"/>
              </w:rPr>
            </w:pPr>
            <w:bookmarkStart w:id="34" w:name="PT_6"/>
            <w:r>
              <w:rPr>
                <w:rFonts w:eastAsiaTheme="minorEastAsia"/>
                <w:b/>
                <w:color w:val="auto"/>
                <w:szCs w:val="21"/>
              </w:rPr>
              <w:t>序号</w:t>
            </w:r>
          </w:p>
        </w:tc>
        <w:tc>
          <w:tcPr>
            <w:tcW w:w="909" w:type="dxa"/>
            <w:vMerge w:val="restart"/>
            <w:vAlign w:val="center"/>
          </w:tcPr>
          <w:p w14:paraId="444B21EC">
            <w:pPr>
              <w:jc w:val="center"/>
              <w:rPr>
                <w:rFonts w:eastAsiaTheme="minorEastAsia"/>
                <w:color w:val="auto"/>
                <w:szCs w:val="21"/>
              </w:rPr>
            </w:pPr>
            <w:r>
              <w:rPr>
                <w:rFonts w:eastAsiaTheme="minorEastAsia"/>
                <w:b/>
                <w:color w:val="auto"/>
                <w:szCs w:val="21"/>
              </w:rPr>
              <w:t>建筑物名称</w:t>
            </w:r>
          </w:p>
        </w:tc>
        <w:tc>
          <w:tcPr>
            <w:tcW w:w="1378" w:type="dxa"/>
            <w:vMerge w:val="restart"/>
            <w:vAlign w:val="center"/>
          </w:tcPr>
          <w:p w14:paraId="2BD54CA5">
            <w:pPr>
              <w:jc w:val="center"/>
              <w:rPr>
                <w:rFonts w:eastAsiaTheme="minorEastAsia"/>
                <w:color w:val="auto"/>
                <w:szCs w:val="21"/>
              </w:rPr>
            </w:pPr>
            <w:r>
              <w:rPr>
                <w:rFonts w:eastAsiaTheme="minorEastAsia"/>
                <w:b/>
                <w:color w:val="auto"/>
                <w:szCs w:val="21"/>
              </w:rPr>
              <w:t>声源名称</w:t>
            </w:r>
          </w:p>
        </w:tc>
        <w:tc>
          <w:tcPr>
            <w:tcW w:w="563" w:type="dxa"/>
            <w:vAlign w:val="center"/>
          </w:tcPr>
          <w:p w14:paraId="20A71A8D">
            <w:pPr>
              <w:jc w:val="center"/>
              <w:rPr>
                <w:rFonts w:eastAsiaTheme="minorEastAsia"/>
                <w:color w:val="auto"/>
                <w:szCs w:val="21"/>
              </w:rPr>
            </w:pPr>
            <w:r>
              <w:rPr>
                <w:rFonts w:eastAsiaTheme="minorEastAsia"/>
                <w:b/>
                <w:color w:val="auto"/>
                <w:szCs w:val="21"/>
              </w:rPr>
              <w:t>声源源强</w:t>
            </w:r>
          </w:p>
        </w:tc>
        <w:tc>
          <w:tcPr>
            <w:tcW w:w="656" w:type="dxa"/>
            <w:vMerge w:val="restart"/>
            <w:vAlign w:val="center"/>
          </w:tcPr>
          <w:p w14:paraId="0D299138">
            <w:pPr>
              <w:jc w:val="center"/>
              <w:rPr>
                <w:rFonts w:eastAsiaTheme="minorEastAsia"/>
                <w:color w:val="auto"/>
                <w:szCs w:val="21"/>
              </w:rPr>
            </w:pPr>
            <w:r>
              <w:rPr>
                <w:rFonts w:eastAsiaTheme="minorEastAsia"/>
                <w:b/>
                <w:color w:val="auto"/>
                <w:szCs w:val="21"/>
              </w:rPr>
              <w:t>声源控制措施</w:t>
            </w:r>
          </w:p>
        </w:tc>
        <w:tc>
          <w:tcPr>
            <w:tcW w:w="1555" w:type="dxa"/>
            <w:gridSpan w:val="3"/>
            <w:vAlign w:val="center"/>
          </w:tcPr>
          <w:p w14:paraId="13E97DAA">
            <w:pPr>
              <w:jc w:val="center"/>
              <w:rPr>
                <w:rFonts w:eastAsiaTheme="minorEastAsia"/>
                <w:color w:val="auto"/>
                <w:szCs w:val="21"/>
              </w:rPr>
            </w:pPr>
            <w:r>
              <w:rPr>
                <w:rFonts w:eastAsiaTheme="minorEastAsia"/>
                <w:b/>
                <w:color w:val="auto"/>
                <w:szCs w:val="21"/>
              </w:rPr>
              <w:t>空间相对位置/m</w:t>
            </w:r>
          </w:p>
        </w:tc>
        <w:tc>
          <w:tcPr>
            <w:tcW w:w="1975" w:type="dxa"/>
            <w:gridSpan w:val="4"/>
            <w:vAlign w:val="center"/>
          </w:tcPr>
          <w:p w14:paraId="5AE42240">
            <w:pPr>
              <w:jc w:val="center"/>
              <w:rPr>
                <w:rFonts w:eastAsiaTheme="minorEastAsia"/>
                <w:b/>
                <w:color w:val="auto"/>
                <w:szCs w:val="21"/>
              </w:rPr>
            </w:pPr>
            <w:r>
              <w:rPr>
                <w:rFonts w:eastAsiaTheme="minorEastAsia"/>
                <w:b/>
                <w:color w:val="auto"/>
                <w:szCs w:val="21"/>
              </w:rPr>
              <w:t>距室内边界距离/m</w:t>
            </w:r>
          </w:p>
        </w:tc>
        <w:tc>
          <w:tcPr>
            <w:tcW w:w="1955" w:type="dxa"/>
            <w:gridSpan w:val="4"/>
            <w:vAlign w:val="center"/>
          </w:tcPr>
          <w:p w14:paraId="6FDCC84B">
            <w:pPr>
              <w:jc w:val="center"/>
              <w:rPr>
                <w:rFonts w:eastAsiaTheme="minorEastAsia"/>
                <w:b/>
                <w:color w:val="auto"/>
                <w:szCs w:val="21"/>
              </w:rPr>
            </w:pPr>
            <w:r>
              <w:rPr>
                <w:rFonts w:eastAsiaTheme="minorEastAsia"/>
                <w:b/>
                <w:color w:val="auto"/>
                <w:szCs w:val="21"/>
              </w:rPr>
              <w:t>室内边界声级/dB(A)</w:t>
            </w:r>
          </w:p>
        </w:tc>
        <w:tc>
          <w:tcPr>
            <w:tcW w:w="539" w:type="dxa"/>
            <w:vMerge w:val="restart"/>
            <w:vAlign w:val="center"/>
          </w:tcPr>
          <w:p w14:paraId="04AB066A">
            <w:pPr>
              <w:jc w:val="center"/>
              <w:rPr>
                <w:rFonts w:eastAsiaTheme="minorEastAsia"/>
                <w:color w:val="auto"/>
                <w:szCs w:val="21"/>
              </w:rPr>
            </w:pPr>
            <w:r>
              <w:rPr>
                <w:rFonts w:eastAsiaTheme="minorEastAsia"/>
                <w:b/>
                <w:color w:val="auto"/>
                <w:szCs w:val="21"/>
              </w:rPr>
              <w:t>运行时段</w:t>
            </w:r>
          </w:p>
        </w:tc>
        <w:tc>
          <w:tcPr>
            <w:tcW w:w="1852" w:type="dxa"/>
            <w:gridSpan w:val="4"/>
            <w:vAlign w:val="center"/>
          </w:tcPr>
          <w:p w14:paraId="022C4BC9">
            <w:pPr>
              <w:jc w:val="center"/>
              <w:rPr>
                <w:rFonts w:eastAsiaTheme="minorEastAsia"/>
                <w:b/>
                <w:color w:val="auto"/>
                <w:szCs w:val="21"/>
              </w:rPr>
            </w:pPr>
            <w:r>
              <w:rPr>
                <w:rFonts w:eastAsiaTheme="minorEastAsia"/>
                <w:b/>
                <w:color w:val="auto"/>
                <w:szCs w:val="21"/>
              </w:rPr>
              <w:t>建筑物插入损失 / dB(A)</w:t>
            </w:r>
            <w:bookmarkStart w:id="35" w:name="PT_10"/>
            <w:bookmarkEnd w:id="35"/>
          </w:p>
        </w:tc>
        <w:tc>
          <w:tcPr>
            <w:tcW w:w="2809" w:type="dxa"/>
            <w:gridSpan w:val="5"/>
            <w:vAlign w:val="center"/>
          </w:tcPr>
          <w:p w14:paraId="5E8B489B">
            <w:pPr>
              <w:jc w:val="center"/>
              <w:rPr>
                <w:rFonts w:eastAsiaTheme="minorEastAsia"/>
                <w:b/>
                <w:color w:val="auto"/>
                <w:szCs w:val="21"/>
              </w:rPr>
            </w:pPr>
            <w:r>
              <w:rPr>
                <w:rFonts w:eastAsiaTheme="minorEastAsia"/>
                <w:b/>
                <w:color w:val="auto"/>
                <w:szCs w:val="21"/>
              </w:rPr>
              <w:t>建筑物外噪声声压级/dB(A)</w:t>
            </w:r>
          </w:p>
        </w:tc>
      </w:tr>
      <w:tr w14:paraId="52EC3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65" w:type="dxa"/>
            <w:vMerge w:val="continue"/>
            <w:shd w:val="clear" w:color="auto" w:fill="FFFFFF"/>
            <w:tcMar>
              <w:top w:w="0" w:type="dxa"/>
              <w:left w:w="0" w:type="dxa"/>
              <w:bottom w:w="0" w:type="dxa"/>
              <w:right w:w="0" w:type="dxa"/>
            </w:tcMar>
            <w:vAlign w:val="center"/>
          </w:tcPr>
          <w:p w14:paraId="28B44CD3">
            <w:pPr>
              <w:jc w:val="center"/>
              <w:rPr>
                <w:rFonts w:eastAsiaTheme="minorEastAsia"/>
                <w:color w:val="auto"/>
                <w:szCs w:val="21"/>
              </w:rPr>
            </w:pPr>
          </w:p>
        </w:tc>
        <w:tc>
          <w:tcPr>
            <w:tcW w:w="909" w:type="dxa"/>
            <w:vMerge w:val="continue"/>
            <w:shd w:val="clear" w:color="auto" w:fill="FFFFFF"/>
            <w:tcMar>
              <w:top w:w="0" w:type="dxa"/>
              <w:left w:w="0" w:type="dxa"/>
              <w:bottom w:w="0" w:type="dxa"/>
              <w:right w:w="0" w:type="dxa"/>
            </w:tcMar>
            <w:vAlign w:val="center"/>
          </w:tcPr>
          <w:p w14:paraId="1CCF33AE">
            <w:pPr>
              <w:jc w:val="center"/>
              <w:rPr>
                <w:rFonts w:eastAsiaTheme="minorEastAsia"/>
                <w:color w:val="auto"/>
                <w:szCs w:val="21"/>
              </w:rPr>
            </w:pPr>
          </w:p>
        </w:tc>
        <w:tc>
          <w:tcPr>
            <w:tcW w:w="1378" w:type="dxa"/>
            <w:vMerge w:val="continue"/>
            <w:shd w:val="clear" w:color="auto" w:fill="FFFFFF"/>
            <w:tcMar>
              <w:top w:w="0" w:type="dxa"/>
              <w:left w:w="0" w:type="dxa"/>
              <w:bottom w:w="0" w:type="dxa"/>
              <w:right w:w="0" w:type="dxa"/>
            </w:tcMar>
            <w:vAlign w:val="center"/>
          </w:tcPr>
          <w:p w14:paraId="11A7D59C">
            <w:pPr>
              <w:jc w:val="center"/>
              <w:rPr>
                <w:rFonts w:eastAsiaTheme="minorEastAsia"/>
                <w:color w:val="auto"/>
                <w:szCs w:val="21"/>
              </w:rPr>
            </w:pPr>
          </w:p>
        </w:tc>
        <w:tc>
          <w:tcPr>
            <w:tcW w:w="563" w:type="dxa"/>
            <w:shd w:val="clear" w:color="auto" w:fill="FFFFFF"/>
            <w:tcMar>
              <w:top w:w="0" w:type="dxa"/>
              <w:left w:w="0" w:type="dxa"/>
              <w:bottom w:w="0" w:type="dxa"/>
              <w:right w:w="0" w:type="dxa"/>
            </w:tcMar>
            <w:vAlign w:val="center"/>
          </w:tcPr>
          <w:p w14:paraId="6B12CF09">
            <w:pPr>
              <w:jc w:val="center"/>
              <w:rPr>
                <w:rFonts w:eastAsiaTheme="minorEastAsia"/>
                <w:color w:val="auto"/>
                <w:szCs w:val="21"/>
              </w:rPr>
            </w:pPr>
            <w:r>
              <w:rPr>
                <w:rFonts w:eastAsiaTheme="minorEastAsia"/>
                <w:color w:val="auto"/>
                <w:szCs w:val="21"/>
              </w:rPr>
              <w:t>声功率级/dB(A)</w:t>
            </w:r>
          </w:p>
        </w:tc>
        <w:tc>
          <w:tcPr>
            <w:tcW w:w="656" w:type="dxa"/>
            <w:vMerge w:val="continue"/>
            <w:shd w:val="clear" w:color="auto" w:fill="FFFFFF"/>
            <w:tcMar>
              <w:top w:w="0" w:type="dxa"/>
              <w:left w:w="0" w:type="dxa"/>
              <w:bottom w:w="0" w:type="dxa"/>
              <w:right w:w="0" w:type="dxa"/>
            </w:tcMar>
            <w:vAlign w:val="center"/>
          </w:tcPr>
          <w:p w14:paraId="3EDEEDB1">
            <w:pPr>
              <w:jc w:val="center"/>
              <w:rPr>
                <w:rFonts w:eastAsiaTheme="minorEastAsia"/>
                <w:color w:val="auto"/>
                <w:szCs w:val="21"/>
              </w:rPr>
            </w:pPr>
          </w:p>
        </w:tc>
        <w:tc>
          <w:tcPr>
            <w:tcW w:w="508" w:type="dxa"/>
            <w:shd w:val="clear" w:color="auto" w:fill="FFFFFF"/>
            <w:tcMar>
              <w:top w:w="0" w:type="dxa"/>
              <w:left w:w="0" w:type="dxa"/>
              <w:bottom w:w="0" w:type="dxa"/>
              <w:right w:w="0" w:type="dxa"/>
            </w:tcMar>
            <w:vAlign w:val="center"/>
          </w:tcPr>
          <w:p w14:paraId="39B0FB49">
            <w:pPr>
              <w:jc w:val="center"/>
              <w:rPr>
                <w:rFonts w:eastAsiaTheme="minorEastAsia"/>
                <w:color w:val="auto"/>
                <w:szCs w:val="21"/>
              </w:rPr>
            </w:pPr>
            <w:r>
              <w:rPr>
                <w:rFonts w:eastAsiaTheme="minorEastAsia"/>
                <w:color w:val="auto"/>
                <w:szCs w:val="21"/>
              </w:rPr>
              <w:t>X</w:t>
            </w:r>
          </w:p>
        </w:tc>
        <w:tc>
          <w:tcPr>
            <w:tcW w:w="522" w:type="dxa"/>
            <w:shd w:val="clear" w:color="auto" w:fill="FFFFFF"/>
            <w:tcMar>
              <w:top w:w="0" w:type="dxa"/>
              <w:left w:w="0" w:type="dxa"/>
              <w:bottom w:w="0" w:type="dxa"/>
              <w:right w:w="0" w:type="dxa"/>
            </w:tcMar>
            <w:vAlign w:val="center"/>
          </w:tcPr>
          <w:p w14:paraId="5A97D77F">
            <w:pPr>
              <w:jc w:val="center"/>
              <w:rPr>
                <w:rFonts w:eastAsiaTheme="minorEastAsia"/>
                <w:color w:val="auto"/>
                <w:szCs w:val="21"/>
              </w:rPr>
            </w:pPr>
            <w:r>
              <w:rPr>
                <w:rFonts w:eastAsiaTheme="minorEastAsia"/>
                <w:color w:val="auto"/>
                <w:szCs w:val="21"/>
              </w:rPr>
              <w:t>Y</w:t>
            </w:r>
          </w:p>
        </w:tc>
        <w:tc>
          <w:tcPr>
            <w:tcW w:w="525" w:type="dxa"/>
            <w:shd w:val="clear" w:color="auto" w:fill="FFFFFF"/>
            <w:tcMar>
              <w:top w:w="0" w:type="dxa"/>
              <w:left w:w="0" w:type="dxa"/>
              <w:bottom w:w="0" w:type="dxa"/>
              <w:right w:w="0" w:type="dxa"/>
            </w:tcMar>
            <w:vAlign w:val="center"/>
          </w:tcPr>
          <w:p w14:paraId="036554EA">
            <w:pPr>
              <w:jc w:val="center"/>
              <w:rPr>
                <w:rFonts w:eastAsiaTheme="minorEastAsia"/>
                <w:color w:val="auto"/>
                <w:szCs w:val="21"/>
              </w:rPr>
            </w:pPr>
            <w:r>
              <w:rPr>
                <w:rFonts w:eastAsiaTheme="minorEastAsia"/>
                <w:color w:val="auto"/>
                <w:szCs w:val="21"/>
              </w:rPr>
              <w:t>Z</w:t>
            </w:r>
          </w:p>
        </w:tc>
        <w:tc>
          <w:tcPr>
            <w:tcW w:w="473" w:type="dxa"/>
            <w:shd w:val="clear" w:color="auto" w:fill="FFFFFF"/>
            <w:tcMar>
              <w:top w:w="0" w:type="dxa"/>
              <w:left w:w="0" w:type="dxa"/>
              <w:bottom w:w="0" w:type="dxa"/>
              <w:right w:w="0" w:type="dxa"/>
            </w:tcMar>
            <w:vAlign w:val="center"/>
          </w:tcPr>
          <w:p w14:paraId="5818899D">
            <w:pPr>
              <w:jc w:val="center"/>
              <w:rPr>
                <w:rFonts w:eastAsiaTheme="minorEastAsia"/>
                <w:color w:val="auto"/>
                <w:szCs w:val="21"/>
              </w:rPr>
            </w:pPr>
            <w:r>
              <w:rPr>
                <w:rFonts w:hint="eastAsia" w:eastAsiaTheme="minorEastAsia"/>
                <w:color w:val="auto"/>
                <w:szCs w:val="21"/>
              </w:rPr>
              <w:t>东</w:t>
            </w:r>
          </w:p>
        </w:tc>
        <w:tc>
          <w:tcPr>
            <w:tcW w:w="522" w:type="dxa"/>
            <w:shd w:val="clear" w:color="auto" w:fill="FFFFFF"/>
            <w:tcMar>
              <w:top w:w="0" w:type="dxa"/>
              <w:left w:w="0" w:type="dxa"/>
              <w:bottom w:w="0" w:type="dxa"/>
              <w:right w:w="0" w:type="dxa"/>
            </w:tcMar>
            <w:vAlign w:val="center"/>
          </w:tcPr>
          <w:p w14:paraId="542D83CD">
            <w:pPr>
              <w:jc w:val="center"/>
              <w:rPr>
                <w:rFonts w:eastAsiaTheme="minorEastAsia"/>
                <w:color w:val="auto"/>
                <w:szCs w:val="21"/>
              </w:rPr>
            </w:pPr>
            <w:r>
              <w:rPr>
                <w:rFonts w:hint="eastAsia" w:eastAsiaTheme="minorEastAsia"/>
                <w:color w:val="auto"/>
                <w:szCs w:val="21"/>
              </w:rPr>
              <w:t>南</w:t>
            </w:r>
          </w:p>
        </w:tc>
        <w:tc>
          <w:tcPr>
            <w:tcW w:w="540" w:type="dxa"/>
            <w:shd w:val="clear" w:color="auto" w:fill="FFFFFF"/>
            <w:tcMar>
              <w:top w:w="0" w:type="dxa"/>
              <w:left w:w="0" w:type="dxa"/>
              <w:bottom w:w="0" w:type="dxa"/>
              <w:right w:w="0" w:type="dxa"/>
            </w:tcMar>
            <w:vAlign w:val="center"/>
          </w:tcPr>
          <w:p w14:paraId="568AD9B6">
            <w:pPr>
              <w:jc w:val="center"/>
              <w:rPr>
                <w:rFonts w:eastAsiaTheme="minorEastAsia"/>
                <w:color w:val="auto"/>
                <w:szCs w:val="21"/>
              </w:rPr>
            </w:pPr>
            <w:r>
              <w:rPr>
                <w:rFonts w:hint="eastAsia" w:eastAsiaTheme="minorEastAsia"/>
                <w:color w:val="auto"/>
                <w:szCs w:val="21"/>
              </w:rPr>
              <w:t>西</w:t>
            </w:r>
          </w:p>
        </w:tc>
        <w:tc>
          <w:tcPr>
            <w:tcW w:w="440" w:type="dxa"/>
            <w:shd w:val="clear" w:color="auto" w:fill="FFFFFF"/>
            <w:tcMar>
              <w:top w:w="0" w:type="dxa"/>
              <w:left w:w="0" w:type="dxa"/>
              <w:bottom w:w="0" w:type="dxa"/>
              <w:right w:w="0" w:type="dxa"/>
            </w:tcMar>
            <w:vAlign w:val="center"/>
          </w:tcPr>
          <w:p w14:paraId="6096E499">
            <w:pPr>
              <w:jc w:val="center"/>
              <w:rPr>
                <w:rFonts w:eastAsiaTheme="minorEastAsia"/>
                <w:color w:val="auto"/>
                <w:szCs w:val="21"/>
              </w:rPr>
            </w:pPr>
            <w:r>
              <w:rPr>
                <w:rFonts w:hint="eastAsia" w:eastAsiaTheme="minorEastAsia"/>
                <w:color w:val="auto"/>
                <w:szCs w:val="21"/>
              </w:rPr>
              <w:t>北</w:t>
            </w:r>
          </w:p>
        </w:tc>
        <w:tc>
          <w:tcPr>
            <w:tcW w:w="472" w:type="dxa"/>
            <w:shd w:val="clear" w:color="auto" w:fill="FFFFFF"/>
            <w:tcMar>
              <w:top w:w="0" w:type="dxa"/>
              <w:left w:w="0" w:type="dxa"/>
              <w:bottom w:w="0" w:type="dxa"/>
              <w:right w:w="0" w:type="dxa"/>
            </w:tcMar>
            <w:vAlign w:val="center"/>
          </w:tcPr>
          <w:p w14:paraId="6C26AD15">
            <w:pPr>
              <w:jc w:val="center"/>
              <w:rPr>
                <w:rFonts w:eastAsiaTheme="minorEastAsia"/>
                <w:color w:val="auto"/>
                <w:szCs w:val="21"/>
              </w:rPr>
            </w:pPr>
            <w:r>
              <w:rPr>
                <w:rFonts w:hint="eastAsia" w:eastAsiaTheme="minorEastAsia"/>
                <w:color w:val="auto"/>
                <w:szCs w:val="21"/>
              </w:rPr>
              <w:t>东</w:t>
            </w:r>
          </w:p>
        </w:tc>
        <w:tc>
          <w:tcPr>
            <w:tcW w:w="472" w:type="dxa"/>
            <w:shd w:val="clear" w:color="auto" w:fill="FFFFFF"/>
            <w:tcMar>
              <w:top w:w="0" w:type="dxa"/>
              <w:left w:w="0" w:type="dxa"/>
              <w:bottom w:w="0" w:type="dxa"/>
              <w:right w:w="0" w:type="dxa"/>
            </w:tcMar>
            <w:vAlign w:val="center"/>
          </w:tcPr>
          <w:p w14:paraId="32ECA082">
            <w:pPr>
              <w:jc w:val="center"/>
              <w:rPr>
                <w:rFonts w:eastAsiaTheme="minorEastAsia"/>
                <w:color w:val="auto"/>
                <w:szCs w:val="21"/>
              </w:rPr>
            </w:pPr>
            <w:r>
              <w:rPr>
                <w:rFonts w:hint="eastAsia" w:eastAsiaTheme="minorEastAsia"/>
                <w:color w:val="auto"/>
                <w:szCs w:val="21"/>
              </w:rPr>
              <w:t>南</w:t>
            </w:r>
          </w:p>
        </w:tc>
        <w:tc>
          <w:tcPr>
            <w:tcW w:w="504" w:type="dxa"/>
            <w:shd w:val="clear" w:color="auto" w:fill="FFFFFF"/>
            <w:tcMar>
              <w:top w:w="0" w:type="dxa"/>
              <w:left w:w="0" w:type="dxa"/>
              <w:bottom w:w="0" w:type="dxa"/>
              <w:right w:w="0" w:type="dxa"/>
            </w:tcMar>
            <w:vAlign w:val="center"/>
          </w:tcPr>
          <w:p w14:paraId="5D645D0A">
            <w:pPr>
              <w:jc w:val="center"/>
              <w:rPr>
                <w:rFonts w:eastAsiaTheme="minorEastAsia"/>
                <w:color w:val="auto"/>
                <w:szCs w:val="21"/>
              </w:rPr>
            </w:pPr>
            <w:r>
              <w:rPr>
                <w:rFonts w:hint="eastAsia" w:eastAsiaTheme="minorEastAsia"/>
                <w:color w:val="auto"/>
                <w:szCs w:val="21"/>
              </w:rPr>
              <w:t>西</w:t>
            </w:r>
          </w:p>
        </w:tc>
        <w:tc>
          <w:tcPr>
            <w:tcW w:w="507" w:type="dxa"/>
            <w:shd w:val="clear" w:color="auto" w:fill="FFFFFF"/>
            <w:tcMar>
              <w:top w:w="0" w:type="dxa"/>
              <w:left w:w="0" w:type="dxa"/>
              <w:bottom w:w="0" w:type="dxa"/>
              <w:right w:w="0" w:type="dxa"/>
            </w:tcMar>
            <w:vAlign w:val="center"/>
          </w:tcPr>
          <w:p w14:paraId="0A02868A">
            <w:pPr>
              <w:jc w:val="center"/>
              <w:rPr>
                <w:rFonts w:eastAsiaTheme="minorEastAsia"/>
                <w:color w:val="auto"/>
                <w:szCs w:val="21"/>
              </w:rPr>
            </w:pPr>
            <w:r>
              <w:rPr>
                <w:rFonts w:hint="eastAsia" w:eastAsiaTheme="minorEastAsia"/>
                <w:color w:val="auto"/>
                <w:szCs w:val="21"/>
              </w:rPr>
              <w:t>北</w:t>
            </w:r>
          </w:p>
        </w:tc>
        <w:tc>
          <w:tcPr>
            <w:tcW w:w="539" w:type="dxa"/>
            <w:vMerge w:val="continue"/>
            <w:shd w:val="clear" w:color="auto" w:fill="FFFFFF"/>
            <w:tcMar>
              <w:top w:w="0" w:type="dxa"/>
              <w:left w:w="0" w:type="dxa"/>
              <w:bottom w:w="0" w:type="dxa"/>
              <w:right w:w="0" w:type="dxa"/>
            </w:tcMar>
            <w:vAlign w:val="center"/>
          </w:tcPr>
          <w:p w14:paraId="53515ECB">
            <w:pPr>
              <w:jc w:val="center"/>
              <w:rPr>
                <w:rFonts w:eastAsiaTheme="minorEastAsia"/>
                <w:color w:val="auto"/>
                <w:szCs w:val="21"/>
              </w:rPr>
            </w:pPr>
          </w:p>
        </w:tc>
        <w:tc>
          <w:tcPr>
            <w:tcW w:w="472" w:type="dxa"/>
            <w:shd w:val="clear" w:color="auto" w:fill="FFFFFF"/>
            <w:tcMar>
              <w:top w:w="0" w:type="dxa"/>
              <w:left w:w="0" w:type="dxa"/>
              <w:bottom w:w="0" w:type="dxa"/>
              <w:right w:w="0" w:type="dxa"/>
            </w:tcMar>
            <w:vAlign w:val="center"/>
          </w:tcPr>
          <w:p w14:paraId="743480ED">
            <w:pPr>
              <w:jc w:val="center"/>
              <w:rPr>
                <w:rFonts w:eastAsiaTheme="minorEastAsia"/>
                <w:color w:val="auto"/>
                <w:szCs w:val="21"/>
              </w:rPr>
            </w:pPr>
            <w:r>
              <w:rPr>
                <w:rFonts w:hint="eastAsia" w:eastAsiaTheme="minorEastAsia"/>
                <w:color w:val="auto"/>
                <w:szCs w:val="21"/>
              </w:rPr>
              <w:t>东</w:t>
            </w:r>
          </w:p>
        </w:tc>
        <w:tc>
          <w:tcPr>
            <w:tcW w:w="486" w:type="dxa"/>
            <w:shd w:val="clear" w:color="auto" w:fill="FFFFFF"/>
            <w:tcMar>
              <w:top w:w="0" w:type="dxa"/>
              <w:left w:w="0" w:type="dxa"/>
              <w:bottom w:w="0" w:type="dxa"/>
              <w:right w:w="0" w:type="dxa"/>
            </w:tcMar>
            <w:vAlign w:val="center"/>
          </w:tcPr>
          <w:p w14:paraId="08E2A81D">
            <w:pPr>
              <w:jc w:val="center"/>
              <w:rPr>
                <w:rFonts w:eastAsiaTheme="minorEastAsia"/>
                <w:color w:val="auto"/>
                <w:szCs w:val="21"/>
              </w:rPr>
            </w:pPr>
            <w:r>
              <w:rPr>
                <w:rFonts w:hint="eastAsia" w:eastAsiaTheme="minorEastAsia"/>
                <w:color w:val="auto"/>
                <w:szCs w:val="21"/>
              </w:rPr>
              <w:t>南</w:t>
            </w:r>
          </w:p>
        </w:tc>
        <w:tc>
          <w:tcPr>
            <w:tcW w:w="472" w:type="dxa"/>
            <w:shd w:val="clear" w:color="auto" w:fill="FFFFFF"/>
            <w:tcMar>
              <w:top w:w="0" w:type="dxa"/>
              <w:left w:w="0" w:type="dxa"/>
              <w:bottom w:w="0" w:type="dxa"/>
              <w:right w:w="0" w:type="dxa"/>
            </w:tcMar>
            <w:vAlign w:val="center"/>
          </w:tcPr>
          <w:p w14:paraId="453DF730">
            <w:pPr>
              <w:jc w:val="center"/>
              <w:rPr>
                <w:rFonts w:eastAsiaTheme="minorEastAsia"/>
                <w:color w:val="auto"/>
                <w:szCs w:val="21"/>
              </w:rPr>
            </w:pPr>
            <w:r>
              <w:rPr>
                <w:rFonts w:hint="eastAsia" w:eastAsiaTheme="minorEastAsia"/>
                <w:color w:val="auto"/>
                <w:szCs w:val="21"/>
              </w:rPr>
              <w:t>西</w:t>
            </w:r>
          </w:p>
        </w:tc>
        <w:tc>
          <w:tcPr>
            <w:tcW w:w="422" w:type="dxa"/>
            <w:shd w:val="clear" w:color="auto" w:fill="FFFFFF"/>
            <w:tcMar>
              <w:top w:w="0" w:type="dxa"/>
              <w:left w:w="0" w:type="dxa"/>
              <w:bottom w:w="0" w:type="dxa"/>
              <w:right w:w="0" w:type="dxa"/>
            </w:tcMar>
            <w:vAlign w:val="center"/>
          </w:tcPr>
          <w:p w14:paraId="60B7992F">
            <w:pPr>
              <w:jc w:val="center"/>
              <w:rPr>
                <w:rFonts w:eastAsiaTheme="minorEastAsia"/>
                <w:color w:val="auto"/>
                <w:szCs w:val="21"/>
              </w:rPr>
            </w:pPr>
            <w:r>
              <w:rPr>
                <w:rFonts w:hint="eastAsia" w:eastAsiaTheme="minorEastAsia"/>
                <w:color w:val="auto"/>
                <w:szCs w:val="21"/>
              </w:rPr>
              <w:t>北</w:t>
            </w:r>
          </w:p>
        </w:tc>
        <w:tc>
          <w:tcPr>
            <w:tcW w:w="553" w:type="dxa"/>
            <w:shd w:val="clear" w:color="auto" w:fill="FFFFFF"/>
            <w:tcMar>
              <w:top w:w="0" w:type="dxa"/>
              <w:left w:w="0" w:type="dxa"/>
              <w:bottom w:w="0" w:type="dxa"/>
              <w:right w:w="0" w:type="dxa"/>
            </w:tcMar>
            <w:vAlign w:val="center"/>
          </w:tcPr>
          <w:p w14:paraId="44BAD0E9">
            <w:pPr>
              <w:jc w:val="center"/>
              <w:rPr>
                <w:rFonts w:eastAsiaTheme="minorEastAsia"/>
                <w:color w:val="auto"/>
                <w:szCs w:val="21"/>
              </w:rPr>
            </w:pPr>
            <w:r>
              <w:rPr>
                <w:rFonts w:hint="eastAsia" w:eastAsiaTheme="minorEastAsia"/>
                <w:color w:val="auto"/>
                <w:szCs w:val="21"/>
              </w:rPr>
              <w:t>东</w:t>
            </w:r>
          </w:p>
        </w:tc>
        <w:tc>
          <w:tcPr>
            <w:tcW w:w="486" w:type="dxa"/>
            <w:shd w:val="clear" w:color="auto" w:fill="FFFFFF"/>
            <w:tcMar>
              <w:top w:w="0" w:type="dxa"/>
              <w:left w:w="0" w:type="dxa"/>
              <w:bottom w:w="0" w:type="dxa"/>
              <w:right w:w="0" w:type="dxa"/>
            </w:tcMar>
            <w:vAlign w:val="center"/>
          </w:tcPr>
          <w:p w14:paraId="59BCC4BE">
            <w:pPr>
              <w:jc w:val="center"/>
              <w:rPr>
                <w:rFonts w:eastAsiaTheme="minorEastAsia"/>
                <w:color w:val="auto"/>
                <w:szCs w:val="21"/>
              </w:rPr>
            </w:pPr>
            <w:r>
              <w:rPr>
                <w:rFonts w:hint="eastAsia" w:eastAsiaTheme="minorEastAsia"/>
                <w:color w:val="auto"/>
                <w:szCs w:val="21"/>
              </w:rPr>
              <w:t>南</w:t>
            </w:r>
          </w:p>
        </w:tc>
        <w:tc>
          <w:tcPr>
            <w:tcW w:w="553" w:type="dxa"/>
            <w:shd w:val="clear" w:color="auto" w:fill="FFFFFF"/>
            <w:tcMar>
              <w:top w:w="0" w:type="dxa"/>
              <w:left w:w="0" w:type="dxa"/>
              <w:bottom w:w="0" w:type="dxa"/>
              <w:right w:w="0" w:type="dxa"/>
            </w:tcMar>
            <w:vAlign w:val="center"/>
          </w:tcPr>
          <w:p w14:paraId="3AB5F669">
            <w:pPr>
              <w:jc w:val="center"/>
              <w:rPr>
                <w:rFonts w:eastAsiaTheme="minorEastAsia"/>
                <w:color w:val="auto"/>
                <w:szCs w:val="21"/>
              </w:rPr>
            </w:pPr>
            <w:r>
              <w:rPr>
                <w:rFonts w:hint="eastAsia" w:eastAsiaTheme="minorEastAsia"/>
                <w:color w:val="auto"/>
                <w:szCs w:val="21"/>
              </w:rPr>
              <w:t>西</w:t>
            </w:r>
          </w:p>
        </w:tc>
        <w:tc>
          <w:tcPr>
            <w:tcW w:w="521" w:type="dxa"/>
            <w:shd w:val="clear" w:color="auto" w:fill="FFFFFF"/>
            <w:tcMar>
              <w:top w:w="0" w:type="dxa"/>
              <w:left w:w="0" w:type="dxa"/>
              <w:bottom w:w="0" w:type="dxa"/>
              <w:right w:w="0" w:type="dxa"/>
            </w:tcMar>
            <w:vAlign w:val="center"/>
          </w:tcPr>
          <w:p w14:paraId="1F6B4473">
            <w:pPr>
              <w:jc w:val="center"/>
              <w:rPr>
                <w:rFonts w:eastAsiaTheme="minorEastAsia"/>
                <w:color w:val="auto"/>
                <w:szCs w:val="21"/>
              </w:rPr>
            </w:pPr>
            <w:r>
              <w:rPr>
                <w:rFonts w:hint="eastAsia" w:eastAsiaTheme="minorEastAsia"/>
                <w:color w:val="auto"/>
                <w:szCs w:val="21"/>
              </w:rPr>
              <w:t>北</w:t>
            </w:r>
          </w:p>
        </w:tc>
        <w:tc>
          <w:tcPr>
            <w:tcW w:w="696" w:type="dxa"/>
            <w:shd w:val="clear" w:color="auto" w:fill="FFFFFF"/>
            <w:tcMar>
              <w:top w:w="0" w:type="dxa"/>
              <w:left w:w="0" w:type="dxa"/>
              <w:bottom w:w="0" w:type="dxa"/>
              <w:right w:w="0" w:type="dxa"/>
            </w:tcMar>
            <w:vAlign w:val="center"/>
          </w:tcPr>
          <w:p w14:paraId="34F84CFA">
            <w:pPr>
              <w:jc w:val="center"/>
              <w:rPr>
                <w:rFonts w:eastAsiaTheme="minorEastAsia"/>
                <w:color w:val="auto"/>
                <w:szCs w:val="21"/>
              </w:rPr>
            </w:pPr>
            <w:r>
              <w:rPr>
                <w:rFonts w:eastAsiaTheme="minorEastAsia"/>
                <w:color w:val="auto"/>
                <w:szCs w:val="21"/>
              </w:rPr>
              <w:t>建筑物外距离</w:t>
            </w:r>
          </w:p>
        </w:tc>
      </w:tr>
      <w:tr w14:paraId="79364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65" w:type="dxa"/>
            <w:shd w:val="clear" w:color="auto" w:fill="FFFFFF"/>
            <w:tcMar>
              <w:top w:w="0" w:type="dxa"/>
              <w:left w:w="0" w:type="dxa"/>
              <w:bottom w:w="0" w:type="dxa"/>
              <w:right w:w="0" w:type="dxa"/>
            </w:tcMar>
            <w:vAlign w:val="center"/>
          </w:tcPr>
          <w:p w14:paraId="7A7ED8CF">
            <w:pPr>
              <w:jc w:val="center"/>
              <w:rPr>
                <w:color w:val="auto"/>
                <w:szCs w:val="21"/>
              </w:rPr>
            </w:pPr>
            <w:r>
              <w:rPr>
                <w:rFonts w:ascii="Arial" w:hAnsi="Arial" w:eastAsia="Arial" w:cs="Arial"/>
                <w:color w:val="auto"/>
                <w:szCs w:val="21"/>
              </w:rPr>
              <w:t>1</w:t>
            </w:r>
          </w:p>
        </w:tc>
        <w:tc>
          <w:tcPr>
            <w:tcW w:w="909" w:type="dxa"/>
            <w:shd w:val="clear" w:color="auto" w:fill="FFFFFF"/>
            <w:tcMar>
              <w:top w:w="0" w:type="dxa"/>
              <w:left w:w="0" w:type="dxa"/>
              <w:bottom w:w="0" w:type="dxa"/>
              <w:right w:w="0" w:type="dxa"/>
            </w:tcMar>
            <w:vAlign w:val="center"/>
          </w:tcPr>
          <w:p w14:paraId="05FEAEA3">
            <w:pPr>
              <w:jc w:val="center"/>
              <w:rPr>
                <w:color w:val="auto"/>
                <w:szCs w:val="21"/>
              </w:rPr>
            </w:pPr>
            <w:r>
              <w:rPr>
                <w:rFonts w:ascii="Arial" w:hAnsi="Arial" w:eastAsia="Arial" w:cs="Arial"/>
                <w:color w:val="auto"/>
                <w:szCs w:val="21"/>
              </w:rPr>
              <w:t>生产厂房</w:t>
            </w:r>
          </w:p>
        </w:tc>
        <w:tc>
          <w:tcPr>
            <w:tcW w:w="1378" w:type="dxa"/>
            <w:shd w:val="clear" w:color="auto" w:fill="FFFFFF"/>
            <w:tcMar>
              <w:top w:w="0" w:type="dxa"/>
              <w:left w:w="0" w:type="dxa"/>
              <w:bottom w:w="0" w:type="dxa"/>
              <w:right w:w="0" w:type="dxa"/>
            </w:tcMar>
            <w:vAlign w:val="center"/>
          </w:tcPr>
          <w:p w14:paraId="25586D30">
            <w:pPr>
              <w:jc w:val="center"/>
              <w:rPr>
                <w:rFonts w:ascii="Arial" w:hAnsi="Arial" w:eastAsia="Arial" w:cs="Arial"/>
                <w:color w:val="auto"/>
                <w:szCs w:val="21"/>
              </w:rPr>
            </w:pPr>
            <w:r>
              <w:rPr>
                <w:rFonts w:hint="eastAsia" w:ascii="Arial" w:hAnsi="Arial" w:cs="Arial"/>
                <w:color w:val="auto"/>
                <w:szCs w:val="21"/>
              </w:rPr>
              <w:t>卧式浸渍烘干一体机1</w:t>
            </w:r>
          </w:p>
        </w:tc>
        <w:tc>
          <w:tcPr>
            <w:tcW w:w="563" w:type="dxa"/>
            <w:shd w:val="clear" w:color="auto" w:fill="FFFFFF"/>
            <w:tcMar>
              <w:top w:w="0" w:type="dxa"/>
              <w:left w:w="0" w:type="dxa"/>
              <w:bottom w:w="0" w:type="dxa"/>
              <w:right w:w="0" w:type="dxa"/>
            </w:tcMar>
            <w:vAlign w:val="center"/>
          </w:tcPr>
          <w:p w14:paraId="5B2816F4">
            <w:pPr>
              <w:jc w:val="center"/>
              <w:rPr>
                <w:rFonts w:ascii="Arial" w:hAnsi="Arial" w:eastAsia="Arial" w:cs="Arial"/>
                <w:color w:val="auto"/>
                <w:szCs w:val="21"/>
              </w:rPr>
            </w:pPr>
            <w:r>
              <w:rPr>
                <w:rFonts w:ascii="Arial" w:hAnsi="Arial" w:eastAsia="Arial" w:cs="Arial"/>
                <w:color w:val="auto"/>
                <w:szCs w:val="21"/>
              </w:rPr>
              <w:t>85</w:t>
            </w:r>
          </w:p>
        </w:tc>
        <w:tc>
          <w:tcPr>
            <w:tcW w:w="656" w:type="dxa"/>
            <w:vMerge w:val="restart"/>
            <w:shd w:val="clear" w:color="auto" w:fill="FFFFFF"/>
            <w:tcMar>
              <w:top w:w="0" w:type="dxa"/>
              <w:left w:w="0" w:type="dxa"/>
              <w:bottom w:w="0" w:type="dxa"/>
              <w:right w:w="0" w:type="dxa"/>
            </w:tcMar>
            <w:vAlign w:val="center"/>
          </w:tcPr>
          <w:p w14:paraId="329BD4E0">
            <w:pPr>
              <w:jc w:val="center"/>
              <w:rPr>
                <w:rFonts w:ascii="Arial" w:hAnsi="Arial" w:eastAsia="Arial" w:cs="Arial"/>
                <w:color w:val="auto"/>
                <w:szCs w:val="21"/>
              </w:rPr>
            </w:pPr>
            <w:r>
              <w:rPr>
                <w:rFonts w:ascii="Arial" w:hAnsi="Arial" w:eastAsia="Arial" w:cs="Arial"/>
                <w:color w:val="auto"/>
                <w:szCs w:val="21"/>
              </w:rPr>
              <w:t>减振基座、厂房隔声、距离衰减</w:t>
            </w:r>
          </w:p>
        </w:tc>
        <w:tc>
          <w:tcPr>
            <w:tcW w:w="508" w:type="dxa"/>
            <w:shd w:val="clear" w:color="auto" w:fill="FFFFFF"/>
            <w:tcMar>
              <w:top w:w="0" w:type="dxa"/>
              <w:left w:w="0" w:type="dxa"/>
              <w:bottom w:w="0" w:type="dxa"/>
              <w:right w:w="0" w:type="dxa"/>
            </w:tcMar>
            <w:vAlign w:val="center"/>
          </w:tcPr>
          <w:p w14:paraId="28B42D93">
            <w:pPr>
              <w:jc w:val="center"/>
              <w:rPr>
                <w:rFonts w:ascii="Arial" w:hAnsi="Arial" w:eastAsia="Arial" w:cs="Arial"/>
                <w:color w:val="auto"/>
                <w:szCs w:val="21"/>
              </w:rPr>
            </w:pPr>
            <w:r>
              <w:rPr>
                <w:rFonts w:ascii="Arial" w:hAnsi="Arial" w:eastAsia="Arial" w:cs="Arial"/>
                <w:color w:val="auto"/>
                <w:sz w:val="20"/>
              </w:rPr>
              <w:t>14.4</w:t>
            </w:r>
          </w:p>
        </w:tc>
        <w:tc>
          <w:tcPr>
            <w:tcW w:w="522" w:type="dxa"/>
            <w:shd w:val="clear" w:color="auto" w:fill="FFFFFF"/>
            <w:tcMar>
              <w:top w:w="0" w:type="dxa"/>
              <w:left w:w="0" w:type="dxa"/>
              <w:bottom w:w="0" w:type="dxa"/>
              <w:right w:w="0" w:type="dxa"/>
            </w:tcMar>
            <w:vAlign w:val="center"/>
          </w:tcPr>
          <w:p w14:paraId="6F108354">
            <w:pPr>
              <w:jc w:val="center"/>
              <w:rPr>
                <w:rFonts w:ascii="Arial" w:hAnsi="Arial" w:eastAsia="Arial" w:cs="Arial"/>
                <w:color w:val="auto"/>
                <w:szCs w:val="21"/>
              </w:rPr>
            </w:pPr>
            <w:r>
              <w:rPr>
                <w:rFonts w:ascii="Arial" w:hAnsi="Arial" w:eastAsia="Arial" w:cs="Arial"/>
                <w:color w:val="auto"/>
                <w:sz w:val="20"/>
              </w:rPr>
              <w:t>-19.9</w:t>
            </w:r>
          </w:p>
        </w:tc>
        <w:tc>
          <w:tcPr>
            <w:tcW w:w="525" w:type="dxa"/>
            <w:shd w:val="clear" w:color="auto" w:fill="FFFFFF"/>
            <w:tcMar>
              <w:top w:w="0" w:type="dxa"/>
              <w:left w:w="0" w:type="dxa"/>
              <w:bottom w:w="0" w:type="dxa"/>
              <w:right w:w="0" w:type="dxa"/>
            </w:tcMar>
            <w:vAlign w:val="center"/>
          </w:tcPr>
          <w:p w14:paraId="37C8E114">
            <w:pPr>
              <w:jc w:val="center"/>
              <w:rPr>
                <w:rFonts w:ascii="Arial" w:hAnsi="Arial" w:eastAsia="Arial" w:cs="Arial"/>
                <w:color w:val="auto"/>
                <w:szCs w:val="21"/>
              </w:rPr>
            </w:pPr>
            <w:r>
              <w:rPr>
                <w:rFonts w:ascii="Arial" w:hAnsi="Arial" w:eastAsia="Arial" w:cs="Arial"/>
                <w:color w:val="auto"/>
                <w:sz w:val="20"/>
              </w:rPr>
              <w:t>1.2</w:t>
            </w:r>
          </w:p>
        </w:tc>
        <w:tc>
          <w:tcPr>
            <w:tcW w:w="473" w:type="dxa"/>
            <w:shd w:val="clear" w:color="auto" w:fill="FFFFFF"/>
            <w:tcMar>
              <w:top w:w="0" w:type="dxa"/>
              <w:left w:w="0" w:type="dxa"/>
              <w:bottom w:w="0" w:type="dxa"/>
              <w:right w:w="0" w:type="dxa"/>
            </w:tcMar>
            <w:vAlign w:val="center"/>
          </w:tcPr>
          <w:p w14:paraId="088A38F7">
            <w:pPr>
              <w:jc w:val="center"/>
              <w:rPr>
                <w:rFonts w:ascii="Arial" w:hAnsi="Arial" w:eastAsia="Arial" w:cs="Arial"/>
                <w:color w:val="auto"/>
                <w:szCs w:val="21"/>
              </w:rPr>
            </w:pPr>
            <w:r>
              <w:rPr>
                <w:rFonts w:ascii="Arial" w:hAnsi="Arial" w:eastAsia="Arial" w:cs="Arial"/>
                <w:color w:val="auto"/>
                <w:sz w:val="20"/>
              </w:rPr>
              <w:t>10.7</w:t>
            </w:r>
          </w:p>
        </w:tc>
        <w:tc>
          <w:tcPr>
            <w:tcW w:w="522" w:type="dxa"/>
            <w:shd w:val="clear" w:color="auto" w:fill="FFFFFF"/>
            <w:tcMar>
              <w:top w:w="0" w:type="dxa"/>
              <w:left w:w="0" w:type="dxa"/>
              <w:bottom w:w="0" w:type="dxa"/>
              <w:right w:w="0" w:type="dxa"/>
            </w:tcMar>
            <w:vAlign w:val="center"/>
          </w:tcPr>
          <w:p w14:paraId="7DAFF3DF">
            <w:pPr>
              <w:jc w:val="center"/>
              <w:rPr>
                <w:rFonts w:ascii="Arial" w:hAnsi="Arial" w:eastAsia="Arial" w:cs="Arial"/>
                <w:color w:val="auto"/>
                <w:szCs w:val="21"/>
              </w:rPr>
            </w:pPr>
            <w:r>
              <w:rPr>
                <w:rFonts w:ascii="Arial" w:hAnsi="Arial" w:eastAsia="Arial" w:cs="Arial"/>
                <w:color w:val="auto"/>
                <w:sz w:val="20"/>
              </w:rPr>
              <w:t>31.3</w:t>
            </w:r>
          </w:p>
        </w:tc>
        <w:tc>
          <w:tcPr>
            <w:tcW w:w="540" w:type="dxa"/>
            <w:shd w:val="clear" w:color="auto" w:fill="FFFFFF"/>
            <w:tcMar>
              <w:top w:w="0" w:type="dxa"/>
              <w:left w:w="0" w:type="dxa"/>
              <w:bottom w:w="0" w:type="dxa"/>
              <w:right w:w="0" w:type="dxa"/>
            </w:tcMar>
            <w:vAlign w:val="center"/>
          </w:tcPr>
          <w:p w14:paraId="142E47C1">
            <w:pPr>
              <w:jc w:val="center"/>
              <w:rPr>
                <w:rFonts w:ascii="Arial" w:hAnsi="Arial" w:eastAsia="Arial" w:cs="Arial"/>
                <w:color w:val="auto"/>
                <w:szCs w:val="21"/>
              </w:rPr>
            </w:pPr>
            <w:r>
              <w:rPr>
                <w:rFonts w:ascii="Arial" w:hAnsi="Arial" w:eastAsia="Arial" w:cs="Arial"/>
                <w:color w:val="auto"/>
                <w:sz w:val="20"/>
              </w:rPr>
              <w:t>38.0</w:t>
            </w:r>
          </w:p>
        </w:tc>
        <w:tc>
          <w:tcPr>
            <w:tcW w:w="440" w:type="dxa"/>
            <w:shd w:val="clear" w:color="auto" w:fill="FFFFFF"/>
            <w:tcMar>
              <w:top w:w="0" w:type="dxa"/>
              <w:left w:w="0" w:type="dxa"/>
              <w:bottom w:w="0" w:type="dxa"/>
              <w:right w:w="0" w:type="dxa"/>
            </w:tcMar>
            <w:vAlign w:val="center"/>
          </w:tcPr>
          <w:p w14:paraId="7DBBCF3B">
            <w:pPr>
              <w:jc w:val="center"/>
              <w:rPr>
                <w:rFonts w:ascii="Arial" w:hAnsi="Arial" w:eastAsia="Arial" w:cs="Arial"/>
                <w:color w:val="auto"/>
                <w:szCs w:val="21"/>
              </w:rPr>
            </w:pPr>
            <w:r>
              <w:rPr>
                <w:rFonts w:ascii="Arial" w:hAnsi="Arial" w:eastAsia="Arial" w:cs="Arial"/>
                <w:color w:val="auto"/>
                <w:sz w:val="20"/>
              </w:rPr>
              <w:t>50.4</w:t>
            </w:r>
          </w:p>
        </w:tc>
        <w:tc>
          <w:tcPr>
            <w:tcW w:w="472" w:type="dxa"/>
            <w:shd w:val="clear" w:color="auto" w:fill="FFFFFF"/>
            <w:tcMar>
              <w:top w:w="0" w:type="dxa"/>
              <w:left w:w="0" w:type="dxa"/>
              <w:bottom w:w="0" w:type="dxa"/>
              <w:right w:w="0" w:type="dxa"/>
            </w:tcMar>
            <w:vAlign w:val="center"/>
          </w:tcPr>
          <w:p w14:paraId="0731A8CE">
            <w:pPr>
              <w:jc w:val="center"/>
              <w:rPr>
                <w:rFonts w:ascii="Arial" w:hAnsi="Arial" w:eastAsia="Arial" w:cs="Arial"/>
                <w:color w:val="auto"/>
                <w:szCs w:val="21"/>
              </w:rPr>
            </w:pPr>
            <w:r>
              <w:rPr>
                <w:rFonts w:ascii="Arial" w:hAnsi="Arial" w:eastAsia="Arial" w:cs="Arial"/>
                <w:color w:val="auto"/>
                <w:sz w:val="20"/>
              </w:rPr>
              <w:t>67.6</w:t>
            </w:r>
          </w:p>
        </w:tc>
        <w:tc>
          <w:tcPr>
            <w:tcW w:w="472" w:type="dxa"/>
            <w:shd w:val="clear" w:color="auto" w:fill="FFFFFF"/>
            <w:tcMar>
              <w:top w:w="0" w:type="dxa"/>
              <w:left w:w="0" w:type="dxa"/>
              <w:bottom w:w="0" w:type="dxa"/>
              <w:right w:w="0" w:type="dxa"/>
            </w:tcMar>
            <w:vAlign w:val="center"/>
          </w:tcPr>
          <w:p w14:paraId="445DDE37">
            <w:pPr>
              <w:jc w:val="center"/>
              <w:rPr>
                <w:rFonts w:ascii="Arial" w:hAnsi="Arial" w:eastAsia="Arial" w:cs="Arial"/>
                <w:color w:val="auto"/>
                <w:szCs w:val="21"/>
              </w:rPr>
            </w:pPr>
            <w:r>
              <w:rPr>
                <w:rFonts w:ascii="Arial" w:hAnsi="Arial" w:eastAsia="Arial" w:cs="Arial"/>
                <w:color w:val="auto"/>
                <w:sz w:val="20"/>
              </w:rPr>
              <w:t>67.4</w:t>
            </w:r>
          </w:p>
        </w:tc>
        <w:tc>
          <w:tcPr>
            <w:tcW w:w="504" w:type="dxa"/>
            <w:shd w:val="clear" w:color="auto" w:fill="FFFFFF"/>
            <w:tcMar>
              <w:top w:w="0" w:type="dxa"/>
              <w:left w:w="0" w:type="dxa"/>
              <w:bottom w:w="0" w:type="dxa"/>
              <w:right w:w="0" w:type="dxa"/>
            </w:tcMar>
            <w:vAlign w:val="center"/>
          </w:tcPr>
          <w:p w14:paraId="2771E4D8">
            <w:pPr>
              <w:jc w:val="center"/>
              <w:rPr>
                <w:rFonts w:ascii="Arial" w:hAnsi="Arial" w:eastAsia="Arial" w:cs="Arial"/>
                <w:color w:val="auto"/>
                <w:szCs w:val="21"/>
              </w:rPr>
            </w:pPr>
            <w:r>
              <w:rPr>
                <w:rFonts w:ascii="Arial" w:hAnsi="Arial" w:eastAsia="Arial" w:cs="Arial"/>
                <w:color w:val="auto"/>
                <w:sz w:val="20"/>
              </w:rPr>
              <w:t>67.4</w:t>
            </w:r>
          </w:p>
        </w:tc>
        <w:tc>
          <w:tcPr>
            <w:tcW w:w="507" w:type="dxa"/>
            <w:shd w:val="clear" w:color="auto" w:fill="FFFFFF"/>
            <w:tcMar>
              <w:top w:w="0" w:type="dxa"/>
              <w:left w:w="0" w:type="dxa"/>
              <w:bottom w:w="0" w:type="dxa"/>
              <w:right w:w="0" w:type="dxa"/>
            </w:tcMar>
            <w:vAlign w:val="center"/>
          </w:tcPr>
          <w:p w14:paraId="5323C9DE">
            <w:pPr>
              <w:jc w:val="center"/>
              <w:rPr>
                <w:rFonts w:ascii="Arial" w:hAnsi="Arial" w:eastAsia="Arial" w:cs="Arial"/>
                <w:color w:val="auto"/>
                <w:szCs w:val="21"/>
              </w:rPr>
            </w:pPr>
            <w:r>
              <w:rPr>
                <w:rFonts w:ascii="Arial" w:hAnsi="Arial" w:eastAsia="Arial" w:cs="Arial"/>
                <w:color w:val="auto"/>
                <w:sz w:val="20"/>
              </w:rPr>
              <w:t>67.4</w:t>
            </w:r>
          </w:p>
        </w:tc>
        <w:tc>
          <w:tcPr>
            <w:tcW w:w="539" w:type="dxa"/>
            <w:vMerge w:val="restart"/>
            <w:shd w:val="clear" w:color="auto" w:fill="FFFFFF"/>
            <w:tcMar>
              <w:top w:w="0" w:type="dxa"/>
              <w:left w:w="0" w:type="dxa"/>
              <w:bottom w:w="0" w:type="dxa"/>
              <w:right w:w="0" w:type="dxa"/>
            </w:tcMar>
            <w:vAlign w:val="center"/>
          </w:tcPr>
          <w:p w14:paraId="50F0A90F">
            <w:pPr>
              <w:jc w:val="center"/>
              <w:rPr>
                <w:color w:val="auto"/>
                <w:szCs w:val="21"/>
              </w:rPr>
            </w:pPr>
            <w:r>
              <w:rPr>
                <w:rFonts w:hint="eastAsia" w:ascii="Arial" w:hAnsi="Arial" w:cs="Arial"/>
                <w:color w:val="auto"/>
                <w:szCs w:val="21"/>
              </w:rPr>
              <w:t>昼间</w:t>
            </w:r>
          </w:p>
        </w:tc>
        <w:tc>
          <w:tcPr>
            <w:tcW w:w="472" w:type="dxa"/>
            <w:shd w:val="clear" w:color="auto" w:fill="FFFFFF"/>
            <w:tcMar>
              <w:top w:w="0" w:type="dxa"/>
              <w:left w:w="0" w:type="dxa"/>
              <w:bottom w:w="0" w:type="dxa"/>
              <w:right w:w="0" w:type="dxa"/>
            </w:tcMar>
            <w:vAlign w:val="center"/>
          </w:tcPr>
          <w:p w14:paraId="7156065B">
            <w:pPr>
              <w:jc w:val="center"/>
              <w:rPr>
                <w:rFonts w:ascii="Arial" w:hAnsi="Arial" w:cs="Arial"/>
                <w:color w:val="auto"/>
                <w:szCs w:val="21"/>
              </w:rPr>
            </w:pPr>
            <w:r>
              <w:rPr>
                <w:rFonts w:ascii="Arial" w:hAnsi="Arial" w:eastAsia="Arial" w:cs="Arial"/>
                <w:color w:val="auto"/>
                <w:sz w:val="20"/>
              </w:rPr>
              <w:t>2</w:t>
            </w:r>
            <w:r>
              <w:rPr>
                <w:rFonts w:hint="eastAsia" w:ascii="Arial" w:hAnsi="Arial" w:cs="Arial"/>
                <w:color w:val="auto"/>
                <w:sz w:val="20"/>
              </w:rPr>
              <w:t>0.0</w:t>
            </w:r>
          </w:p>
        </w:tc>
        <w:tc>
          <w:tcPr>
            <w:tcW w:w="486" w:type="dxa"/>
            <w:shd w:val="clear" w:color="auto" w:fill="FFFFFF"/>
            <w:tcMar>
              <w:top w:w="0" w:type="dxa"/>
              <w:left w:w="0" w:type="dxa"/>
              <w:bottom w:w="0" w:type="dxa"/>
              <w:right w:w="0" w:type="dxa"/>
            </w:tcMar>
            <w:vAlign w:val="center"/>
          </w:tcPr>
          <w:p w14:paraId="222B60BA">
            <w:pPr>
              <w:jc w:val="center"/>
              <w:rPr>
                <w:rFonts w:ascii="Arial" w:hAnsi="Arial" w:eastAsia="Arial" w:cs="Arial"/>
                <w:color w:val="auto"/>
                <w:szCs w:val="21"/>
              </w:rPr>
            </w:pPr>
            <w:r>
              <w:rPr>
                <w:rFonts w:ascii="Arial" w:hAnsi="Arial" w:eastAsia="Arial" w:cs="Arial"/>
                <w:color w:val="auto"/>
                <w:sz w:val="20"/>
              </w:rPr>
              <w:t>2</w:t>
            </w:r>
            <w:r>
              <w:rPr>
                <w:rFonts w:hint="eastAsia" w:ascii="Arial" w:hAnsi="Arial" w:cs="Arial"/>
                <w:color w:val="auto"/>
                <w:sz w:val="20"/>
              </w:rPr>
              <w:t>0.0</w:t>
            </w:r>
          </w:p>
        </w:tc>
        <w:tc>
          <w:tcPr>
            <w:tcW w:w="472" w:type="dxa"/>
            <w:shd w:val="clear" w:color="auto" w:fill="FFFFFF"/>
            <w:tcMar>
              <w:top w:w="0" w:type="dxa"/>
              <w:left w:w="0" w:type="dxa"/>
              <w:bottom w:w="0" w:type="dxa"/>
              <w:right w:w="0" w:type="dxa"/>
            </w:tcMar>
            <w:vAlign w:val="center"/>
          </w:tcPr>
          <w:p w14:paraId="099D6F03">
            <w:pPr>
              <w:jc w:val="center"/>
              <w:rPr>
                <w:rFonts w:ascii="Arial" w:hAnsi="Arial" w:eastAsia="Arial" w:cs="Arial"/>
                <w:color w:val="auto"/>
                <w:szCs w:val="21"/>
              </w:rPr>
            </w:pPr>
            <w:r>
              <w:rPr>
                <w:rFonts w:ascii="Arial" w:hAnsi="Arial" w:eastAsia="Arial" w:cs="Arial"/>
                <w:color w:val="auto"/>
                <w:sz w:val="20"/>
              </w:rPr>
              <w:t>2</w:t>
            </w:r>
            <w:r>
              <w:rPr>
                <w:rFonts w:hint="eastAsia" w:ascii="Arial" w:hAnsi="Arial" w:cs="Arial"/>
                <w:color w:val="auto"/>
                <w:sz w:val="20"/>
              </w:rPr>
              <w:t>0.0</w:t>
            </w:r>
          </w:p>
        </w:tc>
        <w:tc>
          <w:tcPr>
            <w:tcW w:w="422" w:type="dxa"/>
            <w:shd w:val="clear" w:color="auto" w:fill="FFFFFF"/>
            <w:tcMar>
              <w:top w:w="0" w:type="dxa"/>
              <w:left w:w="0" w:type="dxa"/>
              <w:bottom w:w="0" w:type="dxa"/>
              <w:right w:w="0" w:type="dxa"/>
            </w:tcMar>
            <w:vAlign w:val="center"/>
          </w:tcPr>
          <w:p w14:paraId="4AF1D76A">
            <w:pPr>
              <w:jc w:val="center"/>
              <w:rPr>
                <w:rFonts w:ascii="Arial" w:hAnsi="Arial" w:eastAsia="Arial" w:cs="Arial"/>
                <w:color w:val="auto"/>
                <w:szCs w:val="21"/>
              </w:rPr>
            </w:pPr>
            <w:r>
              <w:rPr>
                <w:rFonts w:ascii="Arial" w:hAnsi="Arial" w:eastAsia="Arial" w:cs="Arial"/>
                <w:color w:val="auto"/>
                <w:sz w:val="20"/>
              </w:rPr>
              <w:t>2</w:t>
            </w:r>
            <w:r>
              <w:rPr>
                <w:rFonts w:hint="eastAsia" w:ascii="Arial" w:hAnsi="Arial" w:cs="Arial"/>
                <w:color w:val="auto"/>
                <w:sz w:val="20"/>
              </w:rPr>
              <w:t>0.0</w:t>
            </w:r>
          </w:p>
        </w:tc>
        <w:tc>
          <w:tcPr>
            <w:tcW w:w="553" w:type="dxa"/>
            <w:shd w:val="clear" w:color="auto" w:fill="FFFFFF"/>
            <w:tcMar>
              <w:top w:w="0" w:type="dxa"/>
              <w:left w:w="0" w:type="dxa"/>
              <w:bottom w:w="0" w:type="dxa"/>
              <w:right w:w="0" w:type="dxa"/>
            </w:tcMar>
            <w:vAlign w:val="center"/>
          </w:tcPr>
          <w:p w14:paraId="42F0D88B">
            <w:pPr>
              <w:jc w:val="center"/>
              <w:rPr>
                <w:rFonts w:ascii="Arial" w:hAnsi="Arial" w:cs="Arial"/>
                <w:color w:val="auto"/>
                <w:szCs w:val="21"/>
              </w:rPr>
            </w:pPr>
            <w:r>
              <w:rPr>
                <w:rFonts w:hint="eastAsia" w:ascii="Arial" w:hAnsi="Arial" w:cs="Arial"/>
                <w:color w:val="auto"/>
                <w:sz w:val="20"/>
              </w:rPr>
              <w:t>47.6</w:t>
            </w:r>
          </w:p>
        </w:tc>
        <w:tc>
          <w:tcPr>
            <w:tcW w:w="486" w:type="dxa"/>
            <w:shd w:val="clear" w:color="auto" w:fill="FFFFFF"/>
            <w:tcMar>
              <w:top w:w="0" w:type="dxa"/>
              <w:left w:w="0" w:type="dxa"/>
              <w:bottom w:w="0" w:type="dxa"/>
              <w:right w:w="0" w:type="dxa"/>
            </w:tcMar>
            <w:vAlign w:val="center"/>
          </w:tcPr>
          <w:p w14:paraId="56B23B8D">
            <w:pPr>
              <w:jc w:val="center"/>
              <w:rPr>
                <w:rFonts w:ascii="Arial" w:hAnsi="Arial" w:cs="Arial"/>
                <w:color w:val="auto"/>
                <w:szCs w:val="21"/>
              </w:rPr>
            </w:pPr>
            <w:r>
              <w:rPr>
                <w:rFonts w:hint="eastAsia" w:ascii="Arial" w:hAnsi="Arial" w:cs="Arial"/>
                <w:color w:val="auto"/>
                <w:sz w:val="20"/>
              </w:rPr>
              <w:t>47.4</w:t>
            </w:r>
          </w:p>
        </w:tc>
        <w:tc>
          <w:tcPr>
            <w:tcW w:w="553" w:type="dxa"/>
            <w:shd w:val="clear" w:color="auto" w:fill="FFFFFF"/>
            <w:tcMar>
              <w:top w:w="0" w:type="dxa"/>
              <w:left w:w="0" w:type="dxa"/>
              <w:bottom w:w="0" w:type="dxa"/>
              <w:right w:w="0" w:type="dxa"/>
            </w:tcMar>
            <w:vAlign w:val="center"/>
          </w:tcPr>
          <w:p w14:paraId="2164D46B">
            <w:pPr>
              <w:jc w:val="center"/>
              <w:rPr>
                <w:rFonts w:ascii="Arial" w:hAnsi="Arial" w:cs="Arial"/>
                <w:color w:val="auto"/>
                <w:szCs w:val="21"/>
              </w:rPr>
            </w:pPr>
            <w:r>
              <w:rPr>
                <w:rFonts w:hint="eastAsia" w:ascii="Arial" w:hAnsi="Arial" w:cs="Arial"/>
                <w:color w:val="auto"/>
                <w:sz w:val="20"/>
              </w:rPr>
              <w:t>47.4</w:t>
            </w:r>
          </w:p>
        </w:tc>
        <w:tc>
          <w:tcPr>
            <w:tcW w:w="521" w:type="dxa"/>
            <w:shd w:val="clear" w:color="auto" w:fill="FFFFFF"/>
            <w:tcMar>
              <w:top w:w="0" w:type="dxa"/>
              <w:left w:w="0" w:type="dxa"/>
              <w:bottom w:w="0" w:type="dxa"/>
              <w:right w:w="0" w:type="dxa"/>
            </w:tcMar>
            <w:vAlign w:val="center"/>
          </w:tcPr>
          <w:p w14:paraId="7FD166FE">
            <w:pPr>
              <w:jc w:val="center"/>
              <w:rPr>
                <w:rFonts w:ascii="Arial" w:hAnsi="Arial" w:cs="Arial"/>
                <w:color w:val="auto"/>
                <w:szCs w:val="21"/>
              </w:rPr>
            </w:pPr>
            <w:r>
              <w:rPr>
                <w:rFonts w:hint="eastAsia" w:ascii="Arial" w:hAnsi="Arial" w:cs="Arial"/>
                <w:color w:val="auto"/>
                <w:sz w:val="20"/>
              </w:rPr>
              <w:t>47.4</w:t>
            </w:r>
          </w:p>
        </w:tc>
        <w:tc>
          <w:tcPr>
            <w:tcW w:w="696" w:type="dxa"/>
            <w:shd w:val="clear" w:color="auto" w:fill="FFFFFF"/>
            <w:tcMar>
              <w:top w:w="0" w:type="dxa"/>
              <w:left w:w="0" w:type="dxa"/>
              <w:bottom w:w="0" w:type="dxa"/>
              <w:right w:w="0" w:type="dxa"/>
            </w:tcMar>
            <w:vAlign w:val="center"/>
          </w:tcPr>
          <w:p w14:paraId="591F8061">
            <w:pPr>
              <w:jc w:val="center"/>
              <w:rPr>
                <w:color w:val="auto"/>
                <w:szCs w:val="21"/>
              </w:rPr>
            </w:pPr>
            <w:r>
              <w:rPr>
                <w:rFonts w:ascii="Arial" w:hAnsi="Arial" w:eastAsia="Arial" w:cs="Arial"/>
                <w:color w:val="auto"/>
                <w:szCs w:val="21"/>
              </w:rPr>
              <w:t>1</w:t>
            </w:r>
          </w:p>
        </w:tc>
      </w:tr>
      <w:tr w14:paraId="73C0D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65" w:type="dxa"/>
            <w:shd w:val="clear" w:color="auto" w:fill="FFFFFF"/>
            <w:tcMar>
              <w:top w:w="0" w:type="dxa"/>
              <w:left w:w="0" w:type="dxa"/>
              <w:bottom w:w="0" w:type="dxa"/>
              <w:right w:w="0" w:type="dxa"/>
            </w:tcMar>
            <w:vAlign w:val="center"/>
          </w:tcPr>
          <w:p w14:paraId="2E44B788">
            <w:pPr>
              <w:jc w:val="center"/>
              <w:rPr>
                <w:color w:val="auto"/>
                <w:szCs w:val="21"/>
              </w:rPr>
            </w:pPr>
            <w:r>
              <w:rPr>
                <w:rFonts w:ascii="Arial" w:hAnsi="Arial" w:eastAsia="Arial" w:cs="Arial"/>
                <w:color w:val="auto"/>
                <w:szCs w:val="21"/>
              </w:rPr>
              <w:t>2</w:t>
            </w:r>
          </w:p>
        </w:tc>
        <w:tc>
          <w:tcPr>
            <w:tcW w:w="909" w:type="dxa"/>
            <w:shd w:val="clear" w:color="auto" w:fill="FFFFFF"/>
            <w:tcMar>
              <w:top w:w="0" w:type="dxa"/>
              <w:left w:w="0" w:type="dxa"/>
              <w:bottom w:w="0" w:type="dxa"/>
              <w:right w:w="0" w:type="dxa"/>
            </w:tcMar>
            <w:vAlign w:val="center"/>
          </w:tcPr>
          <w:p w14:paraId="78F9B0CC">
            <w:pPr>
              <w:jc w:val="center"/>
              <w:rPr>
                <w:color w:val="auto"/>
                <w:szCs w:val="21"/>
              </w:rPr>
            </w:pPr>
            <w:r>
              <w:rPr>
                <w:rFonts w:ascii="Arial" w:hAnsi="Arial" w:eastAsia="Arial" w:cs="Arial"/>
                <w:color w:val="auto"/>
                <w:szCs w:val="21"/>
              </w:rPr>
              <w:t>生产厂房</w:t>
            </w:r>
          </w:p>
        </w:tc>
        <w:tc>
          <w:tcPr>
            <w:tcW w:w="1378" w:type="dxa"/>
            <w:shd w:val="clear" w:color="auto" w:fill="FFFFFF"/>
            <w:tcMar>
              <w:top w:w="0" w:type="dxa"/>
              <w:left w:w="0" w:type="dxa"/>
              <w:bottom w:w="0" w:type="dxa"/>
              <w:right w:w="0" w:type="dxa"/>
            </w:tcMar>
            <w:vAlign w:val="center"/>
          </w:tcPr>
          <w:p w14:paraId="6DAD3665">
            <w:pPr>
              <w:jc w:val="center"/>
              <w:rPr>
                <w:rFonts w:ascii="Arial" w:hAnsi="Arial" w:eastAsia="Arial" w:cs="Arial"/>
                <w:color w:val="auto"/>
                <w:szCs w:val="21"/>
              </w:rPr>
            </w:pPr>
            <w:r>
              <w:rPr>
                <w:rFonts w:hint="eastAsia" w:ascii="Arial" w:hAnsi="Arial" w:cs="Arial"/>
                <w:color w:val="auto"/>
                <w:szCs w:val="21"/>
              </w:rPr>
              <w:t>卧式浸渍烘干一体机2</w:t>
            </w:r>
          </w:p>
        </w:tc>
        <w:tc>
          <w:tcPr>
            <w:tcW w:w="563" w:type="dxa"/>
            <w:shd w:val="clear" w:color="auto" w:fill="FFFFFF"/>
            <w:tcMar>
              <w:top w:w="0" w:type="dxa"/>
              <w:left w:w="0" w:type="dxa"/>
              <w:bottom w:w="0" w:type="dxa"/>
              <w:right w:w="0" w:type="dxa"/>
            </w:tcMar>
            <w:vAlign w:val="center"/>
          </w:tcPr>
          <w:p w14:paraId="28519013">
            <w:pPr>
              <w:jc w:val="center"/>
              <w:rPr>
                <w:rFonts w:ascii="Arial" w:hAnsi="Arial" w:eastAsia="Arial" w:cs="Arial"/>
                <w:color w:val="auto"/>
                <w:szCs w:val="21"/>
              </w:rPr>
            </w:pPr>
            <w:r>
              <w:rPr>
                <w:rFonts w:ascii="Arial" w:hAnsi="Arial" w:eastAsia="Arial" w:cs="Arial"/>
                <w:color w:val="auto"/>
                <w:szCs w:val="21"/>
              </w:rPr>
              <w:t>85</w:t>
            </w:r>
          </w:p>
        </w:tc>
        <w:tc>
          <w:tcPr>
            <w:tcW w:w="656" w:type="dxa"/>
            <w:vMerge w:val="continue"/>
            <w:shd w:val="clear" w:color="auto" w:fill="FFFFFF"/>
            <w:tcMar>
              <w:top w:w="0" w:type="dxa"/>
              <w:left w:w="0" w:type="dxa"/>
              <w:bottom w:w="0" w:type="dxa"/>
              <w:right w:w="0" w:type="dxa"/>
            </w:tcMar>
            <w:vAlign w:val="center"/>
          </w:tcPr>
          <w:p w14:paraId="4A9D90B7">
            <w:pPr>
              <w:jc w:val="center"/>
              <w:rPr>
                <w:rFonts w:ascii="Arial" w:hAnsi="Arial" w:eastAsia="Arial" w:cs="Arial"/>
                <w:color w:val="auto"/>
                <w:szCs w:val="21"/>
              </w:rPr>
            </w:pPr>
          </w:p>
        </w:tc>
        <w:tc>
          <w:tcPr>
            <w:tcW w:w="508" w:type="dxa"/>
            <w:shd w:val="clear" w:color="auto" w:fill="FFFFFF"/>
            <w:tcMar>
              <w:top w:w="0" w:type="dxa"/>
              <w:left w:w="0" w:type="dxa"/>
              <w:bottom w:w="0" w:type="dxa"/>
              <w:right w:w="0" w:type="dxa"/>
            </w:tcMar>
            <w:vAlign w:val="center"/>
          </w:tcPr>
          <w:p w14:paraId="34018C67">
            <w:pPr>
              <w:jc w:val="center"/>
              <w:rPr>
                <w:rFonts w:ascii="Arial" w:hAnsi="Arial" w:eastAsia="Arial" w:cs="Arial"/>
                <w:color w:val="auto"/>
                <w:szCs w:val="21"/>
              </w:rPr>
            </w:pPr>
            <w:r>
              <w:rPr>
                <w:rFonts w:ascii="Arial" w:hAnsi="Arial" w:eastAsia="Arial" w:cs="Arial"/>
                <w:color w:val="auto"/>
                <w:sz w:val="20"/>
              </w:rPr>
              <w:t>7.1</w:t>
            </w:r>
          </w:p>
        </w:tc>
        <w:tc>
          <w:tcPr>
            <w:tcW w:w="522" w:type="dxa"/>
            <w:shd w:val="clear" w:color="auto" w:fill="FFFFFF"/>
            <w:tcMar>
              <w:top w:w="0" w:type="dxa"/>
              <w:left w:w="0" w:type="dxa"/>
              <w:bottom w:w="0" w:type="dxa"/>
              <w:right w:w="0" w:type="dxa"/>
            </w:tcMar>
            <w:vAlign w:val="center"/>
          </w:tcPr>
          <w:p w14:paraId="06B3AC99">
            <w:pPr>
              <w:jc w:val="center"/>
              <w:rPr>
                <w:rFonts w:ascii="Arial" w:hAnsi="Arial" w:eastAsia="Arial" w:cs="Arial"/>
                <w:color w:val="auto"/>
                <w:szCs w:val="21"/>
              </w:rPr>
            </w:pPr>
            <w:r>
              <w:rPr>
                <w:rFonts w:ascii="Arial" w:hAnsi="Arial" w:eastAsia="Arial" w:cs="Arial"/>
                <w:color w:val="auto"/>
                <w:sz w:val="20"/>
              </w:rPr>
              <w:t>-17.8</w:t>
            </w:r>
          </w:p>
        </w:tc>
        <w:tc>
          <w:tcPr>
            <w:tcW w:w="525" w:type="dxa"/>
            <w:shd w:val="clear" w:color="auto" w:fill="FFFFFF"/>
            <w:tcMar>
              <w:top w:w="0" w:type="dxa"/>
              <w:left w:w="0" w:type="dxa"/>
              <w:bottom w:w="0" w:type="dxa"/>
              <w:right w:w="0" w:type="dxa"/>
            </w:tcMar>
            <w:vAlign w:val="center"/>
          </w:tcPr>
          <w:p w14:paraId="631D2F70">
            <w:pPr>
              <w:jc w:val="center"/>
              <w:rPr>
                <w:rFonts w:ascii="Arial" w:hAnsi="Arial" w:eastAsia="Arial" w:cs="Arial"/>
                <w:color w:val="auto"/>
                <w:szCs w:val="21"/>
              </w:rPr>
            </w:pPr>
            <w:r>
              <w:rPr>
                <w:rFonts w:ascii="Arial" w:hAnsi="Arial" w:eastAsia="Arial" w:cs="Arial"/>
                <w:color w:val="auto"/>
                <w:sz w:val="20"/>
              </w:rPr>
              <w:t>1.2</w:t>
            </w:r>
          </w:p>
        </w:tc>
        <w:tc>
          <w:tcPr>
            <w:tcW w:w="473" w:type="dxa"/>
            <w:shd w:val="clear" w:color="auto" w:fill="FFFFFF"/>
            <w:tcMar>
              <w:top w:w="0" w:type="dxa"/>
              <w:left w:w="0" w:type="dxa"/>
              <w:bottom w:w="0" w:type="dxa"/>
              <w:right w:w="0" w:type="dxa"/>
            </w:tcMar>
            <w:vAlign w:val="center"/>
          </w:tcPr>
          <w:p w14:paraId="359B4A87">
            <w:pPr>
              <w:jc w:val="center"/>
              <w:rPr>
                <w:rFonts w:ascii="Arial" w:hAnsi="Arial" w:eastAsia="Arial" w:cs="Arial"/>
                <w:color w:val="auto"/>
                <w:szCs w:val="21"/>
              </w:rPr>
            </w:pPr>
            <w:r>
              <w:rPr>
                <w:rFonts w:ascii="Arial" w:hAnsi="Arial" w:eastAsia="Arial" w:cs="Arial"/>
                <w:color w:val="auto"/>
                <w:sz w:val="20"/>
              </w:rPr>
              <w:t>18.3</w:t>
            </w:r>
          </w:p>
        </w:tc>
        <w:tc>
          <w:tcPr>
            <w:tcW w:w="522" w:type="dxa"/>
            <w:shd w:val="clear" w:color="auto" w:fill="FFFFFF"/>
            <w:tcMar>
              <w:top w:w="0" w:type="dxa"/>
              <w:left w:w="0" w:type="dxa"/>
              <w:bottom w:w="0" w:type="dxa"/>
              <w:right w:w="0" w:type="dxa"/>
            </w:tcMar>
            <w:vAlign w:val="center"/>
          </w:tcPr>
          <w:p w14:paraId="6A6E4F0E">
            <w:pPr>
              <w:jc w:val="center"/>
              <w:rPr>
                <w:rFonts w:ascii="Arial" w:hAnsi="Arial" w:eastAsia="Arial" w:cs="Arial"/>
                <w:color w:val="auto"/>
                <w:szCs w:val="21"/>
              </w:rPr>
            </w:pPr>
            <w:r>
              <w:rPr>
                <w:rFonts w:ascii="Arial" w:hAnsi="Arial" w:eastAsia="Arial" w:cs="Arial"/>
                <w:color w:val="auto"/>
                <w:sz w:val="20"/>
              </w:rPr>
              <w:t>29.1</w:t>
            </w:r>
          </w:p>
        </w:tc>
        <w:tc>
          <w:tcPr>
            <w:tcW w:w="540" w:type="dxa"/>
            <w:shd w:val="clear" w:color="auto" w:fill="FFFFFF"/>
            <w:tcMar>
              <w:top w:w="0" w:type="dxa"/>
              <w:left w:w="0" w:type="dxa"/>
              <w:bottom w:w="0" w:type="dxa"/>
              <w:right w:w="0" w:type="dxa"/>
            </w:tcMar>
            <w:vAlign w:val="center"/>
          </w:tcPr>
          <w:p w14:paraId="491CB6F8">
            <w:pPr>
              <w:jc w:val="center"/>
              <w:rPr>
                <w:rFonts w:ascii="Arial" w:hAnsi="Arial" w:eastAsia="Arial" w:cs="Arial"/>
                <w:color w:val="auto"/>
                <w:szCs w:val="21"/>
              </w:rPr>
            </w:pPr>
            <w:r>
              <w:rPr>
                <w:rFonts w:ascii="Arial" w:hAnsi="Arial" w:eastAsia="Arial" w:cs="Arial"/>
                <w:color w:val="auto"/>
                <w:sz w:val="20"/>
              </w:rPr>
              <w:t>30.4</w:t>
            </w:r>
          </w:p>
        </w:tc>
        <w:tc>
          <w:tcPr>
            <w:tcW w:w="440" w:type="dxa"/>
            <w:shd w:val="clear" w:color="auto" w:fill="FFFFFF"/>
            <w:tcMar>
              <w:top w:w="0" w:type="dxa"/>
              <w:left w:w="0" w:type="dxa"/>
              <w:bottom w:w="0" w:type="dxa"/>
              <w:right w:w="0" w:type="dxa"/>
            </w:tcMar>
            <w:vAlign w:val="center"/>
          </w:tcPr>
          <w:p w14:paraId="15E567E3">
            <w:pPr>
              <w:jc w:val="center"/>
              <w:rPr>
                <w:rFonts w:ascii="Arial" w:hAnsi="Arial" w:eastAsia="Arial" w:cs="Arial"/>
                <w:color w:val="auto"/>
                <w:szCs w:val="21"/>
              </w:rPr>
            </w:pPr>
            <w:r>
              <w:rPr>
                <w:rFonts w:ascii="Arial" w:hAnsi="Arial" w:eastAsia="Arial" w:cs="Arial"/>
                <w:color w:val="auto"/>
                <w:sz w:val="20"/>
              </w:rPr>
              <w:t>49.6</w:t>
            </w:r>
          </w:p>
        </w:tc>
        <w:tc>
          <w:tcPr>
            <w:tcW w:w="472" w:type="dxa"/>
            <w:shd w:val="clear" w:color="auto" w:fill="FFFFFF"/>
            <w:tcMar>
              <w:top w:w="0" w:type="dxa"/>
              <w:left w:w="0" w:type="dxa"/>
              <w:bottom w:w="0" w:type="dxa"/>
              <w:right w:w="0" w:type="dxa"/>
            </w:tcMar>
            <w:vAlign w:val="center"/>
          </w:tcPr>
          <w:p w14:paraId="39D78C05">
            <w:pPr>
              <w:jc w:val="center"/>
              <w:rPr>
                <w:rFonts w:ascii="Arial" w:hAnsi="Arial" w:eastAsia="Arial" w:cs="Arial"/>
                <w:color w:val="auto"/>
                <w:szCs w:val="21"/>
              </w:rPr>
            </w:pPr>
            <w:r>
              <w:rPr>
                <w:rFonts w:ascii="Arial" w:hAnsi="Arial" w:eastAsia="Arial" w:cs="Arial"/>
                <w:color w:val="auto"/>
                <w:sz w:val="20"/>
              </w:rPr>
              <w:t>67.5</w:t>
            </w:r>
          </w:p>
        </w:tc>
        <w:tc>
          <w:tcPr>
            <w:tcW w:w="472" w:type="dxa"/>
            <w:shd w:val="clear" w:color="auto" w:fill="FFFFFF"/>
            <w:tcMar>
              <w:top w:w="0" w:type="dxa"/>
              <w:left w:w="0" w:type="dxa"/>
              <w:bottom w:w="0" w:type="dxa"/>
              <w:right w:w="0" w:type="dxa"/>
            </w:tcMar>
            <w:vAlign w:val="center"/>
          </w:tcPr>
          <w:p w14:paraId="2305B561">
            <w:pPr>
              <w:jc w:val="center"/>
              <w:rPr>
                <w:rFonts w:ascii="Arial" w:hAnsi="Arial" w:eastAsia="Arial" w:cs="Arial"/>
                <w:color w:val="auto"/>
                <w:szCs w:val="21"/>
              </w:rPr>
            </w:pPr>
            <w:r>
              <w:rPr>
                <w:rFonts w:ascii="Arial" w:hAnsi="Arial" w:eastAsia="Arial" w:cs="Arial"/>
                <w:color w:val="auto"/>
                <w:sz w:val="20"/>
              </w:rPr>
              <w:t>67.4</w:t>
            </w:r>
          </w:p>
        </w:tc>
        <w:tc>
          <w:tcPr>
            <w:tcW w:w="504" w:type="dxa"/>
            <w:shd w:val="clear" w:color="auto" w:fill="FFFFFF"/>
            <w:tcMar>
              <w:top w:w="0" w:type="dxa"/>
              <w:left w:w="0" w:type="dxa"/>
              <w:bottom w:w="0" w:type="dxa"/>
              <w:right w:w="0" w:type="dxa"/>
            </w:tcMar>
            <w:vAlign w:val="center"/>
          </w:tcPr>
          <w:p w14:paraId="40D434BD">
            <w:pPr>
              <w:jc w:val="center"/>
              <w:rPr>
                <w:rFonts w:ascii="Arial" w:hAnsi="Arial" w:eastAsia="Arial" w:cs="Arial"/>
                <w:color w:val="auto"/>
                <w:szCs w:val="21"/>
              </w:rPr>
            </w:pPr>
            <w:r>
              <w:rPr>
                <w:rFonts w:ascii="Arial" w:hAnsi="Arial" w:eastAsia="Arial" w:cs="Arial"/>
                <w:color w:val="auto"/>
                <w:sz w:val="20"/>
              </w:rPr>
              <w:t>67.4</w:t>
            </w:r>
          </w:p>
        </w:tc>
        <w:tc>
          <w:tcPr>
            <w:tcW w:w="507" w:type="dxa"/>
            <w:shd w:val="clear" w:color="auto" w:fill="FFFFFF"/>
            <w:tcMar>
              <w:top w:w="0" w:type="dxa"/>
              <w:left w:w="0" w:type="dxa"/>
              <w:bottom w:w="0" w:type="dxa"/>
              <w:right w:w="0" w:type="dxa"/>
            </w:tcMar>
            <w:vAlign w:val="center"/>
          </w:tcPr>
          <w:p w14:paraId="4F3CC559">
            <w:pPr>
              <w:jc w:val="center"/>
              <w:rPr>
                <w:rFonts w:ascii="Arial" w:hAnsi="Arial" w:eastAsia="Arial" w:cs="Arial"/>
                <w:color w:val="auto"/>
                <w:szCs w:val="21"/>
              </w:rPr>
            </w:pPr>
            <w:r>
              <w:rPr>
                <w:rFonts w:ascii="Arial" w:hAnsi="Arial" w:eastAsia="Arial" w:cs="Arial"/>
                <w:color w:val="auto"/>
                <w:sz w:val="20"/>
              </w:rPr>
              <w:t>67.4</w:t>
            </w:r>
          </w:p>
        </w:tc>
        <w:tc>
          <w:tcPr>
            <w:tcW w:w="539" w:type="dxa"/>
            <w:vMerge w:val="continue"/>
            <w:shd w:val="clear" w:color="auto" w:fill="FFFFFF"/>
            <w:tcMar>
              <w:top w:w="0" w:type="dxa"/>
              <w:left w:w="0" w:type="dxa"/>
              <w:bottom w:w="0" w:type="dxa"/>
              <w:right w:w="0" w:type="dxa"/>
            </w:tcMar>
            <w:vAlign w:val="center"/>
          </w:tcPr>
          <w:p w14:paraId="15DACDD7">
            <w:pPr>
              <w:jc w:val="center"/>
              <w:rPr>
                <w:color w:val="auto"/>
                <w:szCs w:val="21"/>
              </w:rPr>
            </w:pPr>
          </w:p>
        </w:tc>
        <w:tc>
          <w:tcPr>
            <w:tcW w:w="472" w:type="dxa"/>
            <w:shd w:val="clear" w:color="auto" w:fill="FFFFFF"/>
            <w:tcMar>
              <w:top w:w="0" w:type="dxa"/>
              <w:left w:w="0" w:type="dxa"/>
              <w:bottom w:w="0" w:type="dxa"/>
              <w:right w:w="0" w:type="dxa"/>
            </w:tcMar>
            <w:vAlign w:val="center"/>
          </w:tcPr>
          <w:p w14:paraId="1C97C133">
            <w:pPr>
              <w:jc w:val="center"/>
              <w:rPr>
                <w:rFonts w:ascii="Arial" w:hAnsi="Arial" w:eastAsia="Arial" w:cs="Arial"/>
                <w:color w:val="auto"/>
                <w:szCs w:val="21"/>
              </w:rPr>
            </w:pPr>
            <w:r>
              <w:rPr>
                <w:rFonts w:ascii="Arial" w:hAnsi="Arial" w:eastAsia="Arial" w:cs="Arial"/>
                <w:color w:val="auto"/>
                <w:sz w:val="20"/>
              </w:rPr>
              <w:t>2</w:t>
            </w:r>
            <w:r>
              <w:rPr>
                <w:rFonts w:hint="eastAsia" w:ascii="Arial" w:hAnsi="Arial" w:cs="Arial"/>
                <w:color w:val="auto"/>
                <w:sz w:val="20"/>
              </w:rPr>
              <w:t>0.0</w:t>
            </w:r>
          </w:p>
        </w:tc>
        <w:tc>
          <w:tcPr>
            <w:tcW w:w="486" w:type="dxa"/>
            <w:shd w:val="clear" w:color="auto" w:fill="FFFFFF"/>
            <w:tcMar>
              <w:top w:w="0" w:type="dxa"/>
              <w:left w:w="0" w:type="dxa"/>
              <w:bottom w:w="0" w:type="dxa"/>
              <w:right w:w="0" w:type="dxa"/>
            </w:tcMar>
            <w:vAlign w:val="center"/>
          </w:tcPr>
          <w:p w14:paraId="0E9DE1B2">
            <w:pPr>
              <w:jc w:val="center"/>
              <w:rPr>
                <w:rFonts w:ascii="Arial" w:hAnsi="Arial" w:eastAsia="Arial" w:cs="Arial"/>
                <w:color w:val="auto"/>
                <w:szCs w:val="21"/>
              </w:rPr>
            </w:pPr>
            <w:r>
              <w:rPr>
                <w:rFonts w:ascii="Arial" w:hAnsi="Arial" w:eastAsia="Arial" w:cs="Arial"/>
                <w:color w:val="auto"/>
                <w:sz w:val="20"/>
              </w:rPr>
              <w:t>2</w:t>
            </w:r>
            <w:r>
              <w:rPr>
                <w:rFonts w:hint="eastAsia" w:ascii="Arial" w:hAnsi="Arial" w:cs="Arial"/>
                <w:color w:val="auto"/>
                <w:sz w:val="20"/>
              </w:rPr>
              <w:t>0.0</w:t>
            </w:r>
          </w:p>
        </w:tc>
        <w:tc>
          <w:tcPr>
            <w:tcW w:w="472" w:type="dxa"/>
            <w:shd w:val="clear" w:color="auto" w:fill="FFFFFF"/>
            <w:tcMar>
              <w:top w:w="0" w:type="dxa"/>
              <w:left w:w="0" w:type="dxa"/>
              <w:bottom w:w="0" w:type="dxa"/>
              <w:right w:w="0" w:type="dxa"/>
            </w:tcMar>
            <w:vAlign w:val="center"/>
          </w:tcPr>
          <w:p w14:paraId="2DA5E257">
            <w:pPr>
              <w:jc w:val="center"/>
              <w:rPr>
                <w:rFonts w:ascii="Arial" w:hAnsi="Arial" w:eastAsia="Arial" w:cs="Arial"/>
                <w:color w:val="auto"/>
                <w:szCs w:val="21"/>
              </w:rPr>
            </w:pPr>
            <w:r>
              <w:rPr>
                <w:rFonts w:ascii="Arial" w:hAnsi="Arial" w:eastAsia="Arial" w:cs="Arial"/>
                <w:color w:val="auto"/>
                <w:sz w:val="20"/>
              </w:rPr>
              <w:t>2</w:t>
            </w:r>
            <w:r>
              <w:rPr>
                <w:rFonts w:hint="eastAsia" w:ascii="Arial" w:hAnsi="Arial" w:cs="Arial"/>
                <w:color w:val="auto"/>
                <w:sz w:val="20"/>
              </w:rPr>
              <w:t>0.0</w:t>
            </w:r>
          </w:p>
        </w:tc>
        <w:tc>
          <w:tcPr>
            <w:tcW w:w="422" w:type="dxa"/>
            <w:shd w:val="clear" w:color="auto" w:fill="FFFFFF"/>
            <w:tcMar>
              <w:top w:w="0" w:type="dxa"/>
              <w:left w:w="0" w:type="dxa"/>
              <w:bottom w:w="0" w:type="dxa"/>
              <w:right w:w="0" w:type="dxa"/>
            </w:tcMar>
            <w:vAlign w:val="center"/>
          </w:tcPr>
          <w:p w14:paraId="403DA200">
            <w:pPr>
              <w:jc w:val="center"/>
              <w:rPr>
                <w:rFonts w:ascii="Arial" w:hAnsi="Arial" w:eastAsia="Arial" w:cs="Arial"/>
                <w:color w:val="auto"/>
                <w:szCs w:val="21"/>
              </w:rPr>
            </w:pPr>
            <w:r>
              <w:rPr>
                <w:rFonts w:ascii="Arial" w:hAnsi="Arial" w:eastAsia="Arial" w:cs="Arial"/>
                <w:color w:val="auto"/>
                <w:sz w:val="20"/>
              </w:rPr>
              <w:t>2</w:t>
            </w:r>
            <w:r>
              <w:rPr>
                <w:rFonts w:hint="eastAsia" w:ascii="Arial" w:hAnsi="Arial" w:cs="Arial"/>
                <w:color w:val="auto"/>
                <w:sz w:val="20"/>
              </w:rPr>
              <w:t>0.0</w:t>
            </w:r>
          </w:p>
        </w:tc>
        <w:tc>
          <w:tcPr>
            <w:tcW w:w="553" w:type="dxa"/>
            <w:shd w:val="clear" w:color="auto" w:fill="FFFFFF"/>
            <w:tcMar>
              <w:top w:w="0" w:type="dxa"/>
              <w:left w:w="0" w:type="dxa"/>
              <w:bottom w:w="0" w:type="dxa"/>
              <w:right w:w="0" w:type="dxa"/>
            </w:tcMar>
            <w:vAlign w:val="center"/>
          </w:tcPr>
          <w:p w14:paraId="7E2CAAE2">
            <w:pPr>
              <w:jc w:val="center"/>
              <w:rPr>
                <w:rFonts w:ascii="Arial" w:hAnsi="Arial" w:cs="Arial"/>
                <w:color w:val="auto"/>
                <w:szCs w:val="21"/>
              </w:rPr>
            </w:pPr>
            <w:r>
              <w:rPr>
                <w:rFonts w:hint="eastAsia" w:ascii="Arial" w:hAnsi="Arial" w:cs="Arial"/>
                <w:color w:val="auto"/>
                <w:sz w:val="20"/>
              </w:rPr>
              <w:t>47.5</w:t>
            </w:r>
          </w:p>
        </w:tc>
        <w:tc>
          <w:tcPr>
            <w:tcW w:w="486" w:type="dxa"/>
            <w:shd w:val="clear" w:color="auto" w:fill="FFFFFF"/>
            <w:tcMar>
              <w:top w:w="0" w:type="dxa"/>
              <w:left w:w="0" w:type="dxa"/>
              <w:bottom w:w="0" w:type="dxa"/>
              <w:right w:w="0" w:type="dxa"/>
            </w:tcMar>
            <w:vAlign w:val="center"/>
          </w:tcPr>
          <w:p w14:paraId="171A97AF">
            <w:pPr>
              <w:jc w:val="center"/>
              <w:rPr>
                <w:rFonts w:ascii="Arial" w:hAnsi="Arial" w:cs="Arial"/>
                <w:color w:val="auto"/>
                <w:szCs w:val="21"/>
              </w:rPr>
            </w:pPr>
            <w:r>
              <w:rPr>
                <w:rFonts w:hint="eastAsia" w:ascii="Arial" w:hAnsi="Arial" w:cs="Arial"/>
                <w:color w:val="auto"/>
                <w:sz w:val="20"/>
              </w:rPr>
              <w:t>47.4</w:t>
            </w:r>
          </w:p>
        </w:tc>
        <w:tc>
          <w:tcPr>
            <w:tcW w:w="553" w:type="dxa"/>
            <w:shd w:val="clear" w:color="auto" w:fill="FFFFFF"/>
            <w:tcMar>
              <w:top w:w="0" w:type="dxa"/>
              <w:left w:w="0" w:type="dxa"/>
              <w:bottom w:w="0" w:type="dxa"/>
              <w:right w:w="0" w:type="dxa"/>
            </w:tcMar>
            <w:vAlign w:val="center"/>
          </w:tcPr>
          <w:p w14:paraId="00904954">
            <w:pPr>
              <w:jc w:val="center"/>
              <w:rPr>
                <w:rFonts w:ascii="Arial" w:hAnsi="Arial" w:cs="Arial"/>
                <w:color w:val="auto"/>
                <w:szCs w:val="21"/>
              </w:rPr>
            </w:pPr>
            <w:r>
              <w:rPr>
                <w:rFonts w:hint="eastAsia" w:ascii="Arial" w:hAnsi="Arial" w:cs="Arial"/>
                <w:color w:val="auto"/>
                <w:sz w:val="20"/>
              </w:rPr>
              <w:t>47.4</w:t>
            </w:r>
          </w:p>
        </w:tc>
        <w:tc>
          <w:tcPr>
            <w:tcW w:w="521" w:type="dxa"/>
            <w:shd w:val="clear" w:color="auto" w:fill="FFFFFF"/>
            <w:tcMar>
              <w:top w:w="0" w:type="dxa"/>
              <w:left w:w="0" w:type="dxa"/>
              <w:bottom w:w="0" w:type="dxa"/>
              <w:right w:w="0" w:type="dxa"/>
            </w:tcMar>
            <w:vAlign w:val="center"/>
          </w:tcPr>
          <w:p w14:paraId="1C15CF18">
            <w:pPr>
              <w:jc w:val="center"/>
              <w:rPr>
                <w:rFonts w:ascii="Arial" w:hAnsi="Arial" w:cs="Arial"/>
                <w:color w:val="auto"/>
                <w:szCs w:val="21"/>
              </w:rPr>
            </w:pPr>
            <w:r>
              <w:rPr>
                <w:rFonts w:hint="eastAsia" w:ascii="Arial" w:hAnsi="Arial" w:cs="Arial"/>
                <w:color w:val="auto"/>
                <w:sz w:val="20"/>
              </w:rPr>
              <w:t>47.4</w:t>
            </w:r>
          </w:p>
        </w:tc>
        <w:tc>
          <w:tcPr>
            <w:tcW w:w="696" w:type="dxa"/>
            <w:shd w:val="clear" w:color="auto" w:fill="FFFFFF"/>
            <w:tcMar>
              <w:top w:w="0" w:type="dxa"/>
              <w:left w:w="0" w:type="dxa"/>
              <w:bottom w:w="0" w:type="dxa"/>
              <w:right w:w="0" w:type="dxa"/>
            </w:tcMar>
            <w:vAlign w:val="center"/>
          </w:tcPr>
          <w:p w14:paraId="7D1090AF">
            <w:pPr>
              <w:jc w:val="center"/>
              <w:rPr>
                <w:color w:val="auto"/>
                <w:szCs w:val="21"/>
              </w:rPr>
            </w:pPr>
            <w:r>
              <w:rPr>
                <w:rFonts w:ascii="Arial" w:hAnsi="Arial" w:eastAsia="Arial" w:cs="Arial"/>
                <w:color w:val="auto"/>
                <w:szCs w:val="21"/>
              </w:rPr>
              <w:t>1</w:t>
            </w:r>
          </w:p>
        </w:tc>
      </w:tr>
      <w:tr w14:paraId="4AED6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65" w:type="dxa"/>
            <w:shd w:val="clear" w:color="auto" w:fill="FFFFFF"/>
            <w:tcMar>
              <w:top w:w="0" w:type="dxa"/>
              <w:left w:w="0" w:type="dxa"/>
              <w:bottom w:w="0" w:type="dxa"/>
              <w:right w:w="0" w:type="dxa"/>
            </w:tcMar>
            <w:vAlign w:val="center"/>
          </w:tcPr>
          <w:p w14:paraId="522B5C5F">
            <w:pPr>
              <w:jc w:val="center"/>
              <w:rPr>
                <w:rFonts w:ascii="Arial" w:hAnsi="Arial" w:eastAsia="Arial" w:cs="Arial"/>
                <w:color w:val="auto"/>
                <w:sz w:val="20"/>
              </w:rPr>
            </w:pPr>
            <w:r>
              <w:rPr>
                <w:rFonts w:ascii="Arial" w:hAnsi="Arial" w:eastAsia="Arial" w:cs="Arial"/>
                <w:color w:val="auto"/>
                <w:sz w:val="20"/>
              </w:rPr>
              <w:t>3</w:t>
            </w:r>
          </w:p>
        </w:tc>
        <w:tc>
          <w:tcPr>
            <w:tcW w:w="909" w:type="dxa"/>
            <w:shd w:val="clear" w:color="auto" w:fill="FFFFFF"/>
            <w:tcMar>
              <w:top w:w="0" w:type="dxa"/>
              <w:left w:w="0" w:type="dxa"/>
              <w:bottom w:w="0" w:type="dxa"/>
              <w:right w:w="0" w:type="dxa"/>
            </w:tcMar>
            <w:vAlign w:val="center"/>
          </w:tcPr>
          <w:p w14:paraId="161BDC5E">
            <w:pPr>
              <w:jc w:val="center"/>
              <w:rPr>
                <w:rFonts w:ascii="Arial" w:hAnsi="Arial" w:eastAsia="Arial" w:cs="Arial"/>
                <w:color w:val="auto"/>
                <w:sz w:val="20"/>
              </w:rPr>
            </w:pPr>
            <w:r>
              <w:rPr>
                <w:rFonts w:ascii="Arial" w:hAnsi="Arial" w:eastAsia="Arial" w:cs="Arial"/>
                <w:color w:val="auto"/>
                <w:sz w:val="20"/>
              </w:rPr>
              <w:t>生产厂房</w:t>
            </w:r>
          </w:p>
        </w:tc>
        <w:tc>
          <w:tcPr>
            <w:tcW w:w="1378" w:type="dxa"/>
            <w:shd w:val="clear" w:color="auto" w:fill="FFFFFF"/>
            <w:tcMar>
              <w:top w:w="0" w:type="dxa"/>
              <w:left w:w="0" w:type="dxa"/>
              <w:bottom w:w="0" w:type="dxa"/>
              <w:right w:w="0" w:type="dxa"/>
            </w:tcMar>
            <w:vAlign w:val="center"/>
          </w:tcPr>
          <w:p w14:paraId="58200171">
            <w:pPr>
              <w:jc w:val="center"/>
              <w:rPr>
                <w:rFonts w:ascii="Arial" w:hAnsi="Arial" w:eastAsia="Arial" w:cs="Arial"/>
                <w:color w:val="auto"/>
                <w:sz w:val="20"/>
              </w:rPr>
            </w:pPr>
            <w:r>
              <w:rPr>
                <w:rFonts w:hint="eastAsia" w:ascii="Arial" w:hAnsi="Arial" w:eastAsia="Arial" w:cs="Arial"/>
                <w:color w:val="auto"/>
                <w:sz w:val="20"/>
              </w:rPr>
              <w:t>卧式浸渍烘干一体机3</w:t>
            </w:r>
          </w:p>
        </w:tc>
        <w:tc>
          <w:tcPr>
            <w:tcW w:w="563" w:type="dxa"/>
            <w:shd w:val="clear" w:color="auto" w:fill="FFFFFF"/>
            <w:tcMar>
              <w:top w:w="0" w:type="dxa"/>
              <w:left w:w="0" w:type="dxa"/>
              <w:bottom w:w="0" w:type="dxa"/>
              <w:right w:w="0" w:type="dxa"/>
            </w:tcMar>
            <w:vAlign w:val="center"/>
          </w:tcPr>
          <w:p w14:paraId="67D3D596">
            <w:pPr>
              <w:jc w:val="center"/>
              <w:rPr>
                <w:rFonts w:ascii="Arial" w:hAnsi="Arial" w:eastAsia="Arial" w:cs="Arial"/>
                <w:color w:val="auto"/>
                <w:sz w:val="20"/>
              </w:rPr>
            </w:pPr>
            <w:r>
              <w:rPr>
                <w:rFonts w:ascii="Arial" w:hAnsi="Arial" w:eastAsia="Arial" w:cs="Arial"/>
                <w:color w:val="auto"/>
                <w:sz w:val="20"/>
              </w:rPr>
              <w:t>85</w:t>
            </w:r>
          </w:p>
        </w:tc>
        <w:tc>
          <w:tcPr>
            <w:tcW w:w="656" w:type="dxa"/>
            <w:vMerge w:val="continue"/>
            <w:shd w:val="clear" w:color="auto" w:fill="FFFFFF"/>
            <w:tcMar>
              <w:top w:w="0" w:type="dxa"/>
              <w:left w:w="0" w:type="dxa"/>
              <w:bottom w:w="0" w:type="dxa"/>
              <w:right w:w="0" w:type="dxa"/>
            </w:tcMar>
            <w:vAlign w:val="center"/>
          </w:tcPr>
          <w:p w14:paraId="6055CC3D">
            <w:pPr>
              <w:jc w:val="center"/>
              <w:rPr>
                <w:rFonts w:ascii="Arial" w:hAnsi="Arial" w:eastAsia="Arial" w:cs="Arial"/>
                <w:color w:val="auto"/>
                <w:sz w:val="20"/>
              </w:rPr>
            </w:pPr>
          </w:p>
        </w:tc>
        <w:tc>
          <w:tcPr>
            <w:tcW w:w="508" w:type="dxa"/>
            <w:shd w:val="clear" w:color="auto" w:fill="FFFFFF"/>
            <w:tcMar>
              <w:top w:w="0" w:type="dxa"/>
              <w:left w:w="0" w:type="dxa"/>
              <w:bottom w:w="0" w:type="dxa"/>
              <w:right w:w="0" w:type="dxa"/>
            </w:tcMar>
            <w:vAlign w:val="center"/>
          </w:tcPr>
          <w:p w14:paraId="36A6E2E5">
            <w:pPr>
              <w:jc w:val="center"/>
              <w:rPr>
                <w:rFonts w:ascii="Arial" w:hAnsi="Arial" w:eastAsia="Arial" w:cs="Arial"/>
                <w:color w:val="auto"/>
                <w:sz w:val="20"/>
              </w:rPr>
            </w:pPr>
            <w:r>
              <w:rPr>
                <w:rFonts w:ascii="Arial" w:hAnsi="Arial" w:eastAsia="Arial" w:cs="Arial"/>
                <w:color w:val="auto"/>
                <w:sz w:val="20"/>
              </w:rPr>
              <w:t>0.4</w:t>
            </w:r>
          </w:p>
        </w:tc>
        <w:tc>
          <w:tcPr>
            <w:tcW w:w="522" w:type="dxa"/>
            <w:shd w:val="clear" w:color="auto" w:fill="FFFFFF"/>
            <w:tcMar>
              <w:top w:w="0" w:type="dxa"/>
              <w:left w:w="0" w:type="dxa"/>
              <w:bottom w:w="0" w:type="dxa"/>
              <w:right w:w="0" w:type="dxa"/>
            </w:tcMar>
            <w:vAlign w:val="center"/>
          </w:tcPr>
          <w:p w14:paraId="39C097E2">
            <w:pPr>
              <w:jc w:val="center"/>
              <w:rPr>
                <w:rFonts w:ascii="Arial" w:hAnsi="Arial" w:eastAsia="Arial" w:cs="Arial"/>
                <w:color w:val="auto"/>
                <w:sz w:val="20"/>
              </w:rPr>
            </w:pPr>
            <w:r>
              <w:rPr>
                <w:rFonts w:ascii="Arial" w:hAnsi="Arial" w:eastAsia="Arial" w:cs="Arial"/>
                <w:color w:val="auto"/>
                <w:sz w:val="20"/>
              </w:rPr>
              <w:t>-15.6</w:t>
            </w:r>
          </w:p>
        </w:tc>
        <w:tc>
          <w:tcPr>
            <w:tcW w:w="525" w:type="dxa"/>
            <w:shd w:val="clear" w:color="auto" w:fill="FFFFFF"/>
            <w:tcMar>
              <w:top w:w="0" w:type="dxa"/>
              <w:left w:w="0" w:type="dxa"/>
              <w:bottom w:w="0" w:type="dxa"/>
              <w:right w:w="0" w:type="dxa"/>
            </w:tcMar>
            <w:vAlign w:val="center"/>
          </w:tcPr>
          <w:p w14:paraId="089BF7CA">
            <w:pPr>
              <w:jc w:val="center"/>
              <w:rPr>
                <w:rFonts w:ascii="Arial" w:hAnsi="Arial" w:eastAsia="Arial" w:cs="Arial"/>
                <w:color w:val="auto"/>
                <w:sz w:val="20"/>
              </w:rPr>
            </w:pPr>
            <w:r>
              <w:rPr>
                <w:rFonts w:ascii="Arial" w:hAnsi="Arial" w:eastAsia="Arial" w:cs="Arial"/>
                <w:color w:val="auto"/>
                <w:sz w:val="20"/>
              </w:rPr>
              <w:t>1.2</w:t>
            </w:r>
          </w:p>
        </w:tc>
        <w:tc>
          <w:tcPr>
            <w:tcW w:w="473" w:type="dxa"/>
            <w:shd w:val="clear" w:color="auto" w:fill="FFFFFF"/>
            <w:tcMar>
              <w:top w:w="0" w:type="dxa"/>
              <w:left w:w="0" w:type="dxa"/>
              <w:bottom w:w="0" w:type="dxa"/>
              <w:right w:w="0" w:type="dxa"/>
            </w:tcMar>
            <w:vAlign w:val="center"/>
          </w:tcPr>
          <w:p w14:paraId="5622D42D">
            <w:pPr>
              <w:jc w:val="center"/>
              <w:rPr>
                <w:rFonts w:ascii="Arial" w:hAnsi="Arial" w:eastAsia="Arial" w:cs="Arial"/>
                <w:color w:val="auto"/>
                <w:sz w:val="20"/>
              </w:rPr>
            </w:pPr>
            <w:r>
              <w:rPr>
                <w:rFonts w:ascii="Arial" w:hAnsi="Arial" w:eastAsia="Arial" w:cs="Arial"/>
                <w:color w:val="auto"/>
                <w:sz w:val="20"/>
              </w:rPr>
              <w:t>25.3</w:t>
            </w:r>
          </w:p>
        </w:tc>
        <w:tc>
          <w:tcPr>
            <w:tcW w:w="522" w:type="dxa"/>
            <w:shd w:val="clear" w:color="auto" w:fill="FFFFFF"/>
            <w:tcMar>
              <w:top w:w="0" w:type="dxa"/>
              <w:left w:w="0" w:type="dxa"/>
              <w:bottom w:w="0" w:type="dxa"/>
              <w:right w:w="0" w:type="dxa"/>
            </w:tcMar>
            <w:vAlign w:val="center"/>
          </w:tcPr>
          <w:p w14:paraId="7E4DFED6">
            <w:pPr>
              <w:jc w:val="center"/>
              <w:rPr>
                <w:rFonts w:ascii="Arial" w:hAnsi="Arial" w:eastAsia="Arial" w:cs="Arial"/>
                <w:color w:val="auto"/>
                <w:sz w:val="20"/>
              </w:rPr>
            </w:pPr>
            <w:r>
              <w:rPr>
                <w:rFonts w:ascii="Arial" w:hAnsi="Arial" w:eastAsia="Arial" w:cs="Arial"/>
                <w:color w:val="auto"/>
                <w:sz w:val="20"/>
              </w:rPr>
              <w:t>27.4</w:t>
            </w:r>
          </w:p>
        </w:tc>
        <w:tc>
          <w:tcPr>
            <w:tcW w:w="540" w:type="dxa"/>
            <w:shd w:val="clear" w:color="auto" w:fill="FFFFFF"/>
            <w:tcMar>
              <w:top w:w="0" w:type="dxa"/>
              <w:left w:w="0" w:type="dxa"/>
              <w:bottom w:w="0" w:type="dxa"/>
              <w:right w:w="0" w:type="dxa"/>
            </w:tcMar>
            <w:vAlign w:val="center"/>
          </w:tcPr>
          <w:p w14:paraId="3E23221C">
            <w:pPr>
              <w:jc w:val="center"/>
              <w:rPr>
                <w:rFonts w:ascii="Arial" w:hAnsi="Arial" w:eastAsia="Arial" w:cs="Arial"/>
                <w:color w:val="auto"/>
                <w:sz w:val="20"/>
              </w:rPr>
            </w:pPr>
            <w:r>
              <w:rPr>
                <w:rFonts w:ascii="Arial" w:hAnsi="Arial" w:eastAsia="Arial" w:cs="Arial"/>
                <w:color w:val="auto"/>
                <w:sz w:val="20"/>
              </w:rPr>
              <w:t>23.4</w:t>
            </w:r>
          </w:p>
        </w:tc>
        <w:tc>
          <w:tcPr>
            <w:tcW w:w="440" w:type="dxa"/>
            <w:shd w:val="clear" w:color="auto" w:fill="FFFFFF"/>
            <w:tcMar>
              <w:top w:w="0" w:type="dxa"/>
              <w:left w:w="0" w:type="dxa"/>
              <w:bottom w:w="0" w:type="dxa"/>
              <w:right w:w="0" w:type="dxa"/>
            </w:tcMar>
            <w:vAlign w:val="center"/>
          </w:tcPr>
          <w:p w14:paraId="1D123179">
            <w:pPr>
              <w:jc w:val="center"/>
              <w:rPr>
                <w:rFonts w:ascii="Arial" w:hAnsi="Arial" w:eastAsia="Arial" w:cs="Arial"/>
                <w:color w:val="auto"/>
                <w:sz w:val="20"/>
              </w:rPr>
            </w:pPr>
            <w:r>
              <w:rPr>
                <w:rFonts w:ascii="Arial" w:hAnsi="Arial" w:eastAsia="Arial" w:cs="Arial"/>
                <w:color w:val="auto"/>
                <w:sz w:val="20"/>
              </w:rPr>
              <w:t>48.7</w:t>
            </w:r>
          </w:p>
        </w:tc>
        <w:tc>
          <w:tcPr>
            <w:tcW w:w="472" w:type="dxa"/>
            <w:shd w:val="clear" w:color="auto" w:fill="FFFFFF"/>
            <w:tcMar>
              <w:top w:w="0" w:type="dxa"/>
              <w:left w:w="0" w:type="dxa"/>
              <w:bottom w:w="0" w:type="dxa"/>
              <w:right w:w="0" w:type="dxa"/>
            </w:tcMar>
            <w:vAlign w:val="center"/>
          </w:tcPr>
          <w:p w14:paraId="02888898">
            <w:pPr>
              <w:jc w:val="center"/>
              <w:rPr>
                <w:rFonts w:ascii="Arial" w:hAnsi="Arial" w:eastAsia="Arial" w:cs="Arial"/>
                <w:color w:val="auto"/>
                <w:sz w:val="20"/>
              </w:rPr>
            </w:pPr>
            <w:r>
              <w:rPr>
                <w:rFonts w:ascii="Arial" w:hAnsi="Arial" w:eastAsia="Arial" w:cs="Arial"/>
                <w:color w:val="auto"/>
                <w:sz w:val="20"/>
              </w:rPr>
              <w:t>67.4</w:t>
            </w:r>
          </w:p>
        </w:tc>
        <w:tc>
          <w:tcPr>
            <w:tcW w:w="472" w:type="dxa"/>
            <w:shd w:val="clear" w:color="auto" w:fill="FFFFFF"/>
            <w:tcMar>
              <w:top w:w="0" w:type="dxa"/>
              <w:left w:w="0" w:type="dxa"/>
              <w:bottom w:w="0" w:type="dxa"/>
              <w:right w:w="0" w:type="dxa"/>
            </w:tcMar>
            <w:vAlign w:val="center"/>
          </w:tcPr>
          <w:p w14:paraId="7525079E">
            <w:pPr>
              <w:jc w:val="center"/>
              <w:rPr>
                <w:rFonts w:ascii="Arial" w:hAnsi="Arial" w:eastAsia="Arial" w:cs="Arial"/>
                <w:color w:val="auto"/>
                <w:sz w:val="20"/>
              </w:rPr>
            </w:pPr>
            <w:r>
              <w:rPr>
                <w:rFonts w:ascii="Arial" w:hAnsi="Arial" w:eastAsia="Arial" w:cs="Arial"/>
                <w:color w:val="auto"/>
                <w:sz w:val="20"/>
              </w:rPr>
              <w:t>67.4</w:t>
            </w:r>
          </w:p>
        </w:tc>
        <w:tc>
          <w:tcPr>
            <w:tcW w:w="504" w:type="dxa"/>
            <w:shd w:val="clear" w:color="auto" w:fill="FFFFFF"/>
            <w:tcMar>
              <w:top w:w="0" w:type="dxa"/>
              <w:left w:w="0" w:type="dxa"/>
              <w:bottom w:w="0" w:type="dxa"/>
              <w:right w:w="0" w:type="dxa"/>
            </w:tcMar>
            <w:vAlign w:val="center"/>
          </w:tcPr>
          <w:p w14:paraId="312696A7">
            <w:pPr>
              <w:jc w:val="center"/>
              <w:rPr>
                <w:rFonts w:ascii="Arial" w:hAnsi="Arial" w:eastAsia="Arial" w:cs="Arial"/>
                <w:color w:val="auto"/>
                <w:sz w:val="20"/>
              </w:rPr>
            </w:pPr>
            <w:r>
              <w:rPr>
                <w:rFonts w:ascii="Arial" w:hAnsi="Arial" w:eastAsia="Arial" w:cs="Arial"/>
                <w:color w:val="auto"/>
                <w:sz w:val="20"/>
              </w:rPr>
              <w:t>67.4</w:t>
            </w:r>
          </w:p>
        </w:tc>
        <w:tc>
          <w:tcPr>
            <w:tcW w:w="507" w:type="dxa"/>
            <w:shd w:val="clear" w:color="auto" w:fill="FFFFFF"/>
            <w:tcMar>
              <w:top w:w="0" w:type="dxa"/>
              <w:left w:w="0" w:type="dxa"/>
              <w:bottom w:w="0" w:type="dxa"/>
              <w:right w:w="0" w:type="dxa"/>
            </w:tcMar>
            <w:vAlign w:val="center"/>
          </w:tcPr>
          <w:p w14:paraId="49B6011D">
            <w:pPr>
              <w:jc w:val="center"/>
              <w:rPr>
                <w:rFonts w:ascii="Arial" w:hAnsi="Arial" w:eastAsia="Arial" w:cs="Arial"/>
                <w:color w:val="auto"/>
                <w:sz w:val="20"/>
              </w:rPr>
            </w:pPr>
            <w:r>
              <w:rPr>
                <w:rFonts w:ascii="Arial" w:hAnsi="Arial" w:eastAsia="Arial" w:cs="Arial"/>
                <w:color w:val="auto"/>
                <w:sz w:val="20"/>
              </w:rPr>
              <w:t>67.4</w:t>
            </w:r>
          </w:p>
        </w:tc>
        <w:tc>
          <w:tcPr>
            <w:tcW w:w="539" w:type="dxa"/>
            <w:vMerge w:val="continue"/>
            <w:shd w:val="clear" w:color="auto" w:fill="FFFFFF"/>
            <w:tcMar>
              <w:top w:w="0" w:type="dxa"/>
              <w:left w:w="0" w:type="dxa"/>
              <w:bottom w:w="0" w:type="dxa"/>
              <w:right w:w="0" w:type="dxa"/>
            </w:tcMar>
            <w:vAlign w:val="center"/>
          </w:tcPr>
          <w:p w14:paraId="75E7A79B">
            <w:pPr>
              <w:jc w:val="center"/>
              <w:rPr>
                <w:rFonts w:ascii="Arial" w:hAnsi="Arial" w:eastAsia="Arial" w:cs="Arial"/>
                <w:color w:val="auto"/>
                <w:sz w:val="20"/>
              </w:rPr>
            </w:pPr>
          </w:p>
        </w:tc>
        <w:tc>
          <w:tcPr>
            <w:tcW w:w="472" w:type="dxa"/>
            <w:shd w:val="clear" w:color="auto" w:fill="FFFFFF"/>
            <w:tcMar>
              <w:top w:w="0" w:type="dxa"/>
              <w:left w:w="0" w:type="dxa"/>
              <w:bottom w:w="0" w:type="dxa"/>
              <w:right w:w="0" w:type="dxa"/>
            </w:tcMar>
            <w:vAlign w:val="center"/>
          </w:tcPr>
          <w:p w14:paraId="1E442077">
            <w:pPr>
              <w:jc w:val="center"/>
              <w:rPr>
                <w:rFonts w:ascii="Arial" w:hAnsi="Arial" w:eastAsia="Arial" w:cs="Arial"/>
                <w:color w:val="auto"/>
                <w:sz w:val="20"/>
              </w:rPr>
            </w:pPr>
            <w:r>
              <w:rPr>
                <w:rFonts w:ascii="Arial" w:hAnsi="Arial" w:eastAsia="Arial" w:cs="Arial"/>
                <w:color w:val="auto"/>
                <w:sz w:val="20"/>
              </w:rPr>
              <w:t>2</w:t>
            </w:r>
            <w:r>
              <w:rPr>
                <w:rFonts w:hint="eastAsia" w:ascii="Arial" w:hAnsi="Arial" w:eastAsia="Arial" w:cs="Arial"/>
                <w:color w:val="auto"/>
                <w:sz w:val="20"/>
              </w:rPr>
              <w:t>0.0</w:t>
            </w:r>
          </w:p>
        </w:tc>
        <w:tc>
          <w:tcPr>
            <w:tcW w:w="486" w:type="dxa"/>
            <w:shd w:val="clear" w:color="auto" w:fill="FFFFFF"/>
            <w:tcMar>
              <w:top w:w="0" w:type="dxa"/>
              <w:left w:w="0" w:type="dxa"/>
              <w:bottom w:w="0" w:type="dxa"/>
              <w:right w:w="0" w:type="dxa"/>
            </w:tcMar>
            <w:vAlign w:val="center"/>
          </w:tcPr>
          <w:p w14:paraId="564123AE">
            <w:pPr>
              <w:jc w:val="center"/>
              <w:rPr>
                <w:rFonts w:ascii="Arial" w:hAnsi="Arial" w:eastAsia="Arial" w:cs="Arial"/>
                <w:color w:val="auto"/>
                <w:sz w:val="20"/>
              </w:rPr>
            </w:pPr>
            <w:r>
              <w:rPr>
                <w:rFonts w:ascii="Arial" w:hAnsi="Arial" w:eastAsia="Arial" w:cs="Arial"/>
                <w:color w:val="auto"/>
                <w:sz w:val="20"/>
              </w:rPr>
              <w:t>2</w:t>
            </w:r>
            <w:r>
              <w:rPr>
                <w:rFonts w:hint="eastAsia" w:ascii="Arial" w:hAnsi="Arial" w:eastAsia="Arial" w:cs="Arial"/>
                <w:color w:val="auto"/>
                <w:sz w:val="20"/>
              </w:rPr>
              <w:t>0.0</w:t>
            </w:r>
          </w:p>
        </w:tc>
        <w:tc>
          <w:tcPr>
            <w:tcW w:w="472" w:type="dxa"/>
            <w:shd w:val="clear" w:color="auto" w:fill="FFFFFF"/>
            <w:tcMar>
              <w:top w:w="0" w:type="dxa"/>
              <w:left w:w="0" w:type="dxa"/>
              <w:bottom w:w="0" w:type="dxa"/>
              <w:right w:w="0" w:type="dxa"/>
            </w:tcMar>
            <w:vAlign w:val="center"/>
          </w:tcPr>
          <w:p w14:paraId="2C2DC1F8">
            <w:pPr>
              <w:jc w:val="center"/>
              <w:rPr>
                <w:rFonts w:ascii="Arial" w:hAnsi="Arial" w:eastAsia="Arial" w:cs="Arial"/>
                <w:color w:val="auto"/>
                <w:sz w:val="20"/>
              </w:rPr>
            </w:pPr>
            <w:r>
              <w:rPr>
                <w:rFonts w:ascii="Arial" w:hAnsi="Arial" w:eastAsia="Arial" w:cs="Arial"/>
                <w:color w:val="auto"/>
                <w:sz w:val="20"/>
              </w:rPr>
              <w:t>2</w:t>
            </w:r>
            <w:r>
              <w:rPr>
                <w:rFonts w:hint="eastAsia" w:ascii="Arial" w:hAnsi="Arial" w:eastAsia="Arial" w:cs="Arial"/>
                <w:color w:val="auto"/>
                <w:sz w:val="20"/>
              </w:rPr>
              <w:t>0.0</w:t>
            </w:r>
          </w:p>
        </w:tc>
        <w:tc>
          <w:tcPr>
            <w:tcW w:w="422" w:type="dxa"/>
            <w:shd w:val="clear" w:color="auto" w:fill="FFFFFF"/>
            <w:tcMar>
              <w:top w:w="0" w:type="dxa"/>
              <w:left w:w="0" w:type="dxa"/>
              <w:bottom w:w="0" w:type="dxa"/>
              <w:right w:w="0" w:type="dxa"/>
            </w:tcMar>
            <w:vAlign w:val="center"/>
          </w:tcPr>
          <w:p w14:paraId="3B5971A0">
            <w:pPr>
              <w:jc w:val="center"/>
              <w:rPr>
                <w:rFonts w:ascii="Arial" w:hAnsi="Arial" w:eastAsia="Arial" w:cs="Arial"/>
                <w:color w:val="auto"/>
                <w:sz w:val="20"/>
              </w:rPr>
            </w:pPr>
            <w:r>
              <w:rPr>
                <w:rFonts w:ascii="Arial" w:hAnsi="Arial" w:eastAsia="Arial" w:cs="Arial"/>
                <w:color w:val="auto"/>
                <w:sz w:val="20"/>
              </w:rPr>
              <w:t>2</w:t>
            </w:r>
            <w:r>
              <w:rPr>
                <w:rFonts w:hint="eastAsia" w:ascii="Arial" w:hAnsi="Arial" w:eastAsia="Arial" w:cs="Arial"/>
                <w:color w:val="auto"/>
                <w:sz w:val="20"/>
              </w:rPr>
              <w:t>0.0</w:t>
            </w:r>
          </w:p>
        </w:tc>
        <w:tc>
          <w:tcPr>
            <w:tcW w:w="553" w:type="dxa"/>
            <w:shd w:val="clear" w:color="auto" w:fill="FFFFFF"/>
            <w:tcMar>
              <w:top w:w="0" w:type="dxa"/>
              <w:left w:w="0" w:type="dxa"/>
              <w:bottom w:w="0" w:type="dxa"/>
              <w:right w:w="0" w:type="dxa"/>
            </w:tcMar>
            <w:vAlign w:val="center"/>
          </w:tcPr>
          <w:p w14:paraId="7D40B7A2">
            <w:pPr>
              <w:jc w:val="center"/>
              <w:rPr>
                <w:rFonts w:ascii="Arial" w:hAnsi="Arial" w:eastAsia="Arial" w:cs="Arial"/>
                <w:color w:val="auto"/>
                <w:sz w:val="20"/>
              </w:rPr>
            </w:pPr>
            <w:r>
              <w:rPr>
                <w:rFonts w:ascii="Arial" w:hAnsi="Arial" w:eastAsia="Arial" w:cs="Arial"/>
                <w:color w:val="auto"/>
                <w:sz w:val="20"/>
              </w:rPr>
              <w:t>4</w:t>
            </w:r>
            <w:r>
              <w:rPr>
                <w:rFonts w:hint="eastAsia" w:ascii="Arial" w:hAnsi="Arial" w:eastAsia="Arial" w:cs="Arial"/>
                <w:color w:val="auto"/>
                <w:sz w:val="20"/>
              </w:rPr>
              <w:t>7.4</w:t>
            </w:r>
          </w:p>
        </w:tc>
        <w:tc>
          <w:tcPr>
            <w:tcW w:w="486" w:type="dxa"/>
            <w:shd w:val="clear" w:color="auto" w:fill="FFFFFF"/>
            <w:tcMar>
              <w:top w:w="0" w:type="dxa"/>
              <w:left w:w="0" w:type="dxa"/>
              <w:bottom w:w="0" w:type="dxa"/>
              <w:right w:w="0" w:type="dxa"/>
            </w:tcMar>
            <w:vAlign w:val="center"/>
          </w:tcPr>
          <w:p w14:paraId="31060CE2">
            <w:pPr>
              <w:jc w:val="center"/>
              <w:rPr>
                <w:rFonts w:ascii="Arial" w:hAnsi="Arial" w:eastAsia="Arial" w:cs="Arial"/>
                <w:color w:val="auto"/>
                <w:sz w:val="20"/>
              </w:rPr>
            </w:pPr>
            <w:r>
              <w:rPr>
                <w:rFonts w:hint="eastAsia" w:ascii="Arial" w:hAnsi="Arial" w:eastAsia="Arial" w:cs="Arial"/>
                <w:color w:val="auto"/>
                <w:sz w:val="20"/>
              </w:rPr>
              <w:t>47.4</w:t>
            </w:r>
          </w:p>
        </w:tc>
        <w:tc>
          <w:tcPr>
            <w:tcW w:w="553" w:type="dxa"/>
            <w:shd w:val="clear" w:color="auto" w:fill="FFFFFF"/>
            <w:tcMar>
              <w:top w:w="0" w:type="dxa"/>
              <w:left w:w="0" w:type="dxa"/>
              <w:bottom w:w="0" w:type="dxa"/>
              <w:right w:w="0" w:type="dxa"/>
            </w:tcMar>
            <w:vAlign w:val="center"/>
          </w:tcPr>
          <w:p w14:paraId="2093AC01">
            <w:pPr>
              <w:jc w:val="center"/>
              <w:rPr>
                <w:rFonts w:ascii="Arial" w:hAnsi="Arial" w:eastAsia="Arial" w:cs="Arial"/>
                <w:color w:val="auto"/>
                <w:sz w:val="20"/>
              </w:rPr>
            </w:pPr>
            <w:r>
              <w:rPr>
                <w:rFonts w:hint="eastAsia" w:ascii="Arial" w:hAnsi="Arial" w:eastAsia="Arial" w:cs="Arial"/>
                <w:color w:val="auto"/>
                <w:sz w:val="20"/>
              </w:rPr>
              <w:t>47.4</w:t>
            </w:r>
          </w:p>
        </w:tc>
        <w:tc>
          <w:tcPr>
            <w:tcW w:w="521" w:type="dxa"/>
            <w:shd w:val="clear" w:color="auto" w:fill="FFFFFF"/>
            <w:tcMar>
              <w:top w:w="0" w:type="dxa"/>
              <w:left w:w="0" w:type="dxa"/>
              <w:bottom w:w="0" w:type="dxa"/>
              <w:right w:w="0" w:type="dxa"/>
            </w:tcMar>
            <w:vAlign w:val="center"/>
          </w:tcPr>
          <w:p w14:paraId="752D5AD6">
            <w:pPr>
              <w:jc w:val="center"/>
              <w:rPr>
                <w:rFonts w:ascii="Arial" w:hAnsi="Arial" w:eastAsia="Arial" w:cs="Arial"/>
                <w:color w:val="auto"/>
                <w:sz w:val="20"/>
              </w:rPr>
            </w:pPr>
            <w:r>
              <w:rPr>
                <w:rFonts w:hint="eastAsia" w:ascii="Arial" w:hAnsi="Arial" w:eastAsia="Arial" w:cs="Arial"/>
                <w:color w:val="auto"/>
                <w:sz w:val="20"/>
              </w:rPr>
              <w:t>47.4</w:t>
            </w:r>
          </w:p>
        </w:tc>
        <w:tc>
          <w:tcPr>
            <w:tcW w:w="696" w:type="dxa"/>
            <w:shd w:val="clear" w:color="auto" w:fill="FFFFFF"/>
            <w:tcMar>
              <w:top w:w="0" w:type="dxa"/>
              <w:left w:w="0" w:type="dxa"/>
              <w:bottom w:w="0" w:type="dxa"/>
              <w:right w:w="0" w:type="dxa"/>
            </w:tcMar>
            <w:vAlign w:val="center"/>
          </w:tcPr>
          <w:p w14:paraId="69D7508D">
            <w:pPr>
              <w:jc w:val="center"/>
              <w:rPr>
                <w:rFonts w:ascii="Arial" w:hAnsi="Arial" w:eastAsia="Arial" w:cs="Arial"/>
                <w:color w:val="auto"/>
                <w:sz w:val="20"/>
              </w:rPr>
            </w:pPr>
            <w:r>
              <w:rPr>
                <w:rFonts w:ascii="Arial" w:hAnsi="Arial" w:eastAsia="Arial" w:cs="Arial"/>
                <w:color w:val="auto"/>
                <w:sz w:val="20"/>
              </w:rPr>
              <w:t>1</w:t>
            </w:r>
          </w:p>
        </w:tc>
      </w:tr>
      <w:tr w14:paraId="2533D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65" w:type="dxa"/>
            <w:shd w:val="clear" w:color="auto" w:fill="FFFFFF"/>
            <w:tcMar>
              <w:top w:w="0" w:type="dxa"/>
              <w:left w:w="0" w:type="dxa"/>
              <w:bottom w:w="0" w:type="dxa"/>
              <w:right w:w="0" w:type="dxa"/>
            </w:tcMar>
            <w:vAlign w:val="center"/>
          </w:tcPr>
          <w:p w14:paraId="38774EE1">
            <w:pPr>
              <w:jc w:val="center"/>
              <w:rPr>
                <w:rFonts w:ascii="Arial" w:hAnsi="Arial" w:eastAsia="Arial" w:cs="Arial"/>
                <w:color w:val="auto"/>
                <w:sz w:val="20"/>
              </w:rPr>
            </w:pPr>
            <w:r>
              <w:rPr>
                <w:rFonts w:ascii="Arial" w:hAnsi="Arial" w:eastAsia="Arial" w:cs="Arial"/>
                <w:color w:val="auto"/>
                <w:sz w:val="20"/>
              </w:rPr>
              <w:t>4</w:t>
            </w:r>
          </w:p>
        </w:tc>
        <w:tc>
          <w:tcPr>
            <w:tcW w:w="909" w:type="dxa"/>
            <w:shd w:val="clear" w:color="auto" w:fill="FFFFFF"/>
            <w:tcMar>
              <w:top w:w="0" w:type="dxa"/>
              <w:left w:w="0" w:type="dxa"/>
              <w:bottom w:w="0" w:type="dxa"/>
              <w:right w:w="0" w:type="dxa"/>
            </w:tcMar>
            <w:vAlign w:val="center"/>
          </w:tcPr>
          <w:p w14:paraId="5DA852E3">
            <w:pPr>
              <w:jc w:val="center"/>
              <w:rPr>
                <w:rFonts w:ascii="Arial" w:hAnsi="Arial" w:eastAsia="Arial" w:cs="Arial"/>
                <w:color w:val="auto"/>
                <w:sz w:val="20"/>
              </w:rPr>
            </w:pPr>
            <w:r>
              <w:rPr>
                <w:rFonts w:ascii="Arial" w:hAnsi="Arial" w:eastAsia="Arial" w:cs="Arial"/>
                <w:color w:val="auto"/>
                <w:sz w:val="20"/>
              </w:rPr>
              <w:t>生产厂房</w:t>
            </w:r>
          </w:p>
        </w:tc>
        <w:tc>
          <w:tcPr>
            <w:tcW w:w="1378" w:type="dxa"/>
            <w:shd w:val="clear" w:color="auto" w:fill="FFFFFF"/>
            <w:tcMar>
              <w:top w:w="0" w:type="dxa"/>
              <w:left w:w="0" w:type="dxa"/>
              <w:bottom w:w="0" w:type="dxa"/>
              <w:right w:w="0" w:type="dxa"/>
            </w:tcMar>
            <w:vAlign w:val="center"/>
          </w:tcPr>
          <w:p w14:paraId="5BC52F11">
            <w:pPr>
              <w:jc w:val="center"/>
              <w:rPr>
                <w:rFonts w:ascii="Arial" w:hAnsi="Arial" w:cs="Arial"/>
                <w:color w:val="auto"/>
                <w:sz w:val="20"/>
              </w:rPr>
            </w:pPr>
            <w:r>
              <w:rPr>
                <w:rFonts w:ascii="Arial" w:hAnsi="Arial" w:eastAsia="Arial" w:cs="Arial"/>
                <w:color w:val="auto"/>
                <w:sz w:val="20"/>
              </w:rPr>
              <w:t>搅拌机</w:t>
            </w:r>
            <w:r>
              <w:rPr>
                <w:rFonts w:hint="eastAsia" w:ascii="Arial" w:hAnsi="Arial" w:cs="Arial"/>
                <w:color w:val="auto"/>
                <w:sz w:val="20"/>
              </w:rPr>
              <w:t>1</w:t>
            </w:r>
          </w:p>
        </w:tc>
        <w:tc>
          <w:tcPr>
            <w:tcW w:w="563" w:type="dxa"/>
            <w:shd w:val="clear" w:color="auto" w:fill="FFFFFF"/>
            <w:tcMar>
              <w:top w:w="0" w:type="dxa"/>
              <w:left w:w="0" w:type="dxa"/>
              <w:bottom w:w="0" w:type="dxa"/>
              <w:right w:w="0" w:type="dxa"/>
            </w:tcMar>
            <w:vAlign w:val="center"/>
          </w:tcPr>
          <w:p w14:paraId="2FBBD0B3">
            <w:pPr>
              <w:jc w:val="center"/>
              <w:rPr>
                <w:rFonts w:ascii="Arial" w:hAnsi="Arial" w:eastAsia="Arial" w:cs="Arial"/>
                <w:color w:val="auto"/>
                <w:sz w:val="20"/>
              </w:rPr>
            </w:pPr>
            <w:r>
              <w:rPr>
                <w:rFonts w:ascii="Arial" w:hAnsi="Arial" w:eastAsia="Arial" w:cs="Arial"/>
                <w:color w:val="auto"/>
                <w:sz w:val="20"/>
              </w:rPr>
              <w:t>80</w:t>
            </w:r>
          </w:p>
        </w:tc>
        <w:tc>
          <w:tcPr>
            <w:tcW w:w="656" w:type="dxa"/>
            <w:vMerge w:val="continue"/>
            <w:shd w:val="clear" w:color="auto" w:fill="FFFFFF"/>
            <w:tcMar>
              <w:top w:w="0" w:type="dxa"/>
              <w:left w:w="0" w:type="dxa"/>
              <w:bottom w:w="0" w:type="dxa"/>
              <w:right w:w="0" w:type="dxa"/>
            </w:tcMar>
            <w:vAlign w:val="center"/>
          </w:tcPr>
          <w:p w14:paraId="72ACDD9E">
            <w:pPr>
              <w:jc w:val="center"/>
              <w:rPr>
                <w:rFonts w:ascii="Arial" w:hAnsi="Arial" w:eastAsia="Arial" w:cs="Arial"/>
                <w:color w:val="auto"/>
                <w:sz w:val="20"/>
              </w:rPr>
            </w:pPr>
          </w:p>
        </w:tc>
        <w:tc>
          <w:tcPr>
            <w:tcW w:w="508" w:type="dxa"/>
            <w:shd w:val="clear" w:color="auto" w:fill="FFFFFF"/>
            <w:tcMar>
              <w:top w:w="0" w:type="dxa"/>
              <w:left w:w="0" w:type="dxa"/>
              <w:bottom w:w="0" w:type="dxa"/>
              <w:right w:w="0" w:type="dxa"/>
            </w:tcMar>
            <w:vAlign w:val="center"/>
          </w:tcPr>
          <w:p w14:paraId="3FC67B20">
            <w:pPr>
              <w:jc w:val="center"/>
              <w:rPr>
                <w:rFonts w:ascii="Arial" w:hAnsi="Arial" w:eastAsia="Arial" w:cs="Arial"/>
                <w:color w:val="auto"/>
                <w:sz w:val="20"/>
              </w:rPr>
            </w:pPr>
            <w:r>
              <w:rPr>
                <w:rFonts w:ascii="Arial" w:hAnsi="Arial" w:eastAsia="Arial" w:cs="Arial"/>
                <w:color w:val="auto"/>
                <w:sz w:val="20"/>
              </w:rPr>
              <w:t>-18.9</w:t>
            </w:r>
          </w:p>
        </w:tc>
        <w:tc>
          <w:tcPr>
            <w:tcW w:w="522" w:type="dxa"/>
            <w:shd w:val="clear" w:color="auto" w:fill="FFFFFF"/>
            <w:tcMar>
              <w:top w:w="0" w:type="dxa"/>
              <w:left w:w="0" w:type="dxa"/>
              <w:bottom w:w="0" w:type="dxa"/>
              <w:right w:w="0" w:type="dxa"/>
            </w:tcMar>
            <w:vAlign w:val="center"/>
          </w:tcPr>
          <w:p w14:paraId="2F59F354">
            <w:pPr>
              <w:jc w:val="center"/>
              <w:rPr>
                <w:rFonts w:ascii="Arial" w:hAnsi="Arial" w:eastAsia="Arial" w:cs="Arial"/>
                <w:color w:val="auto"/>
                <w:sz w:val="20"/>
              </w:rPr>
            </w:pPr>
            <w:r>
              <w:rPr>
                <w:rFonts w:ascii="Arial" w:hAnsi="Arial" w:eastAsia="Arial" w:cs="Arial"/>
                <w:color w:val="auto"/>
                <w:sz w:val="20"/>
              </w:rPr>
              <w:t>-24</w:t>
            </w:r>
          </w:p>
        </w:tc>
        <w:tc>
          <w:tcPr>
            <w:tcW w:w="525" w:type="dxa"/>
            <w:shd w:val="clear" w:color="auto" w:fill="FFFFFF"/>
            <w:tcMar>
              <w:top w:w="0" w:type="dxa"/>
              <w:left w:w="0" w:type="dxa"/>
              <w:bottom w:w="0" w:type="dxa"/>
              <w:right w:w="0" w:type="dxa"/>
            </w:tcMar>
            <w:vAlign w:val="center"/>
          </w:tcPr>
          <w:p w14:paraId="2F060173">
            <w:pPr>
              <w:jc w:val="center"/>
              <w:rPr>
                <w:rFonts w:ascii="Arial" w:hAnsi="Arial" w:eastAsia="Arial" w:cs="Arial"/>
                <w:color w:val="auto"/>
                <w:sz w:val="20"/>
              </w:rPr>
            </w:pPr>
            <w:r>
              <w:rPr>
                <w:rFonts w:ascii="Arial" w:hAnsi="Arial" w:eastAsia="Arial" w:cs="Arial"/>
                <w:color w:val="auto"/>
                <w:sz w:val="20"/>
              </w:rPr>
              <w:t>1.2</w:t>
            </w:r>
          </w:p>
        </w:tc>
        <w:tc>
          <w:tcPr>
            <w:tcW w:w="473" w:type="dxa"/>
            <w:shd w:val="clear" w:color="auto" w:fill="FFFFFF"/>
            <w:tcMar>
              <w:top w:w="0" w:type="dxa"/>
              <w:left w:w="0" w:type="dxa"/>
              <w:bottom w:w="0" w:type="dxa"/>
              <w:right w:w="0" w:type="dxa"/>
            </w:tcMar>
            <w:vAlign w:val="center"/>
          </w:tcPr>
          <w:p w14:paraId="12D23046">
            <w:pPr>
              <w:jc w:val="center"/>
              <w:rPr>
                <w:rFonts w:ascii="Arial" w:hAnsi="Arial" w:eastAsia="Arial" w:cs="Arial"/>
                <w:color w:val="auto"/>
                <w:sz w:val="20"/>
              </w:rPr>
            </w:pPr>
            <w:r>
              <w:rPr>
                <w:rFonts w:ascii="Arial" w:hAnsi="Arial" w:eastAsia="Arial" w:cs="Arial"/>
                <w:color w:val="auto"/>
                <w:sz w:val="20"/>
              </w:rPr>
              <w:t>42.8</w:t>
            </w:r>
          </w:p>
        </w:tc>
        <w:tc>
          <w:tcPr>
            <w:tcW w:w="522" w:type="dxa"/>
            <w:shd w:val="clear" w:color="auto" w:fill="FFFFFF"/>
            <w:tcMar>
              <w:top w:w="0" w:type="dxa"/>
              <w:left w:w="0" w:type="dxa"/>
              <w:bottom w:w="0" w:type="dxa"/>
              <w:right w:w="0" w:type="dxa"/>
            </w:tcMar>
            <w:vAlign w:val="center"/>
          </w:tcPr>
          <w:p w14:paraId="4AC625EF">
            <w:pPr>
              <w:jc w:val="center"/>
              <w:rPr>
                <w:rFonts w:ascii="Arial" w:hAnsi="Arial" w:eastAsia="Arial" w:cs="Arial"/>
                <w:color w:val="auto"/>
                <w:sz w:val="20"/>
              </w:rPr>
            </w:pPr>
            <w:r>
              <w:rPr>
                <w:rFonts w:ascii="Arial" w:hAnsi="Arial" w:eastAsia="Arial" w:cs="Arial"/>
                <w:color w:val="auto"/>
                <w:sz w:val="20"/>
              </w:rPr>
              <w:t>9.9</w:t>
            </w:r>
          </w:p>
        </w:tc>
        <w:tc>
          <w:tcPr>
            <w:tcW w:w="540" w:type="dxa"/>
            <w:shd w:val="clear" w:color="auto" w:fill="FFFFFF"/>
            <w:tcMar>
              <w:top w:w="0" w:type="dxa"/>
              <w:left w:w="0" w:type="dxa"/>
              <w:bottom w:w="0" w:type="dxa"/>
              <w:right w:w="0" w:type="dxa"/>
            </w:tcMar>
            <w:vAlign w:val="center"/>
          </w:tcPr>
          <w:p w14:paraId="381C0563">
            <w:pPr>
              <w:jc w:val="center"/>
              <w:rPr>
                <w:rFonts w:ascii="Arial" w:hAnsi="Arial" w:eastAsia="Arial" w:cs="Arial"/>
                <w:color w:val="auto"/>
                <w:sz w:val="20"/>
              </w:rPr>
            </w:pPr>
            <w:r>
              <w:rPr>
                <w:rFonts w:ascii="Arial" w:hAnsi="Arial" w:eastAsia="Arial" w:cs="Arial"/>
                <w:color w:val="auto"/>
                <w:sz w:val="20"/>
              </w:rPr>
              <w:t>6.1</w:t>
            </w:r>
          </w:p>
        </w:tc>
        <w:tc>
          <w:tcPr>
            <w:tcW w:w="440" w:type="dxa"/>
            <w:shd w:val="clear" w:color="auto" w:fill="FFFFFF"/>
            <w:tcMar>
              <w:top w:w="0" w:type="dxa"/>
              <w:left w:w="0" w:type="dxa"/>
              <w:bottom w:w="0" w:type="dxa"/>
              <w:right w:w="0" w:type="dxa"/>
            </w:tcMar>
            <w:vAlign w:val="center"/>
          </w:tcPr>
          <w:p w14:paraId="5CFE14C0">
            <w:pPr>
              <w:jc w:val="center"/>
              <w:rPr>
                <w:rFonts w:ascii="Arial" w:hAnsi="Arial" w:eastAsia="Arial" w:cs="Arial"/>
                <w:color w:val="auto"/>
                <w:sz w:val="20"/>
              </w:rPr>
            </w:pPr>
            <w:r>
              <w:rPr>
                <w:rFonts w:ascii="Arial" w:hAnsi="Arial" w:eastAsia="Arial" w:cs="Arial"/>
                <w:color w:val="auto"/>
                <w:sz w:val="20"/>
              </w:rPr>
              <w:t>60.4</w:t>
            </w:r>
          </w:p>
        </w:tc>
        <w:tc>
          <w:tcPr>
            <w:tcW w:w="472" w:type="dxa"/>
            <w:shd w:val="clear" w:color="auto" w:fill="FFFFFF"/>
            <w:tcMar>
              <w:top w:w="0" w:type="dxa"/>
              <w:left w:w="0" w:type="dxa"/>
              <w:bottom w:w="0" w:type="dxa"/>
              <w:right w:w="0" w:type="dxa"/>
            </w:tcMar>
            <w:vAlign w:val="center"/>
          </w:tcPr>
          <w:p w14:paraId="361337BC">
            <w:pPr>
              <w:jc w:val="center"/>
              <w:rPr>
                <w:rFonts w:ascii="Arial" w:hAnsi="Arial" w:eastAsia="Arial" w:cs="Arial"/>
                <w:color w:val="auto"/>
                <w:sz w:val="20"/>
              </w:rPr>
            </w:pPr>
            <w:r>
              <w:rPr>
                <w:rFonts w:ascii="Arial" w:hAnsi="Arial" w:eastAsia="Arial" w:cs="Arial"/>
                <w:color w:val="auto"/>
                <w:sz w:val="20"/>
              </w:rPr>
              <w:t>62.4</w:t>
            </w:r>
          </w:p>
        </w:tc>
        <w:tc>
          <w:tcPr>
            <w:tcW w:w="472" w:type="dxa"/>
            <w:shd w:val="clear" w:color="auto" w:fill="FFFFFF"/>
            <w:tcMar>
              <w:top w:w="0" w:type="dxa"/>
              <w:left w:w="0" w:type="dxa"/>
              <w:bottom w:w="0" w:type="dxa"/>
              <w:right w:w="0" w:type="dxa"/>
            </w:tcMar>
            <w:vAlign w:val="center"/>
          </w:tcPr>
          <w:p w14:paraId="51651915">
            <w:pPr>
              <w:jc w:val="center"/>
              <w:rPr>
                <w:rFonts w:ascii="Arial" w:hAnsi="Arial" w:eastAsia="Arial" w:cs="Arial"/>
                <w:color w:val="auto"/>
                <w:sz w:val="20"/>
              </w:rPr>
            </w:pPr>
            <w:r>
              <w:rPr>
                <w:rFonts w:ascii="Arial" w:hAnsi="Arial" w:eastAsia="Arial" w:cs="Arial"/>
                <w:color w:val="auto"/>
                <w:sz w:val="20"/>
              </w:rPr>
              <w:t>62.6</w:t>
            </w:r>
          </w:p>
        </w:tc>
        <w:tc>
          <w:tcPr>
            <w:tcW w:w="504" w:type="dxa"/>
            <w:shd w:val="clear" w:color="auto" w:fill="FFFFFF"/>
            <w:tcMar>
              <w:top w:w="0" w:type="dxa"/>
              <w:left w:w="0" w:type="dxa"/>
              <w:bottom w:w="0" w:type="dxa"/>
              <w:right w:w="0" w:type="dxa"/>
            </w:tcMar>
            <w:vAlign w:val="center"/>
          </w:tcPr>
          <w:p w14:paraId="2CD4A7F8">
            <w:pPr>
              <w:jc w:val="center"/>
              <w:rPr>
                <w:rFonts w:ascii="Arial" w:hAnsi="Arial" w:eastAsia="Arial" w:cs="Arial"/>
                <w:color w:val="auto"/>
                <w:sz w:val="20"/>
              </w:rPr>
            </w:pPr>
            <w:r>
              <w:rPr>
                <w:rFonts w:ascii="Arial" w:hAnsi="Arial" w:eastAsia="Arial" w:cs="Arial"/>
                <w:color w:val="auto"/>
                <w:sz w:val="20"/>
              </w:rPr>
              <w:t>62.9</w:t>
            </w:r>
          </w:p>
        </w:tc>
        <w:tc>
          <w:tcPr>
            <w:tcW w:w="507" w:type="dxa"/>
            <w:shd w:val="clear" w:color="auto" w:fill="FFFFFF"/>
            <w:tcMar>
              <w:top w:w="0" w:type="dxa"/>
              <w:left w:w="0" w:type="dxa"/>
              <w:bottom w:w="0" w:type="dxa"/>
              <w:right w:w="0" w:type="dxa"/>
            </w:tcMar>
            <w:vAlign w:val="center"/>
          </w:tcPr>
          <w:p w14:paraId="2B090D70">
            <w:pPr>
              <w:jc w:val="center"/>
              <w:rPr>
                <w:rFonts w:ascii="Arial" w:hAnsi="Arial" w:eastAsia="Arial" w:cs="Arial"/>
                <w:color w:val="auto"/>
                <w:sz w:val="20"/>
              </w:rPr>
            </w:pPr>
            <w:r>
              <w:rPr>
                <w:rFonts w:ascii="Arial" w:hAnsi="Arial" w:eastAsia="Arial" w:cs="Arial"/>
                <w:color w:val="auto"/>
                <w:sz w:val="20"/>
              </w:rPr>
              <w:t>62.4</w:t>
            </w:r>
          </w:p>
        </w:tc>
        <w:tc>
          <w:tcPr>
            <w:tcW w:w="539" w:type="dxa"/>
            <w:vMerge w:val="continue"/>
            <w:shd w:val="clear" w:color="auto" w:fill="FFFFFF"/>
            <w:tcMar>
              <w:top w:w="0" w:type="dxa"/>
              <w:left w:w="0" w:type="dxa"/>
              <w:bottom w:w="0" w:type="dxa"/>
              <w:right w:w="0" w:type="dxa"/>
            </w:tcMar>
            <w:vAlign w:val="center"/>
          </w:tcPr>
          <w:p w14:paraId="4C5C4703">
            <w:pPr>
              <w:jc w:val="center"/>
              <w:rPr>
                <w:rFonts w:ascii="Arial" w:hAnsi="Arial" w:eastAsia="Arial" w:cs="Arial"/>
                <w:color w:val="auto"/>
                <w:sz w:val="20"/>
              </w:rPr>
            </w:pPr>
          </w:p>
        </w:tc>
        <w:tc>
          <w:tcPr>
            <w:tcW w:w="472" w:type="dxa"/>
            <w:shd w:val="clear" w:color="auto" w:fill="FFFFFF"/>
            <w:tcMar>
              <w:top w:w="0" w:type="dxa"/>
              <w:left w:w="0" w:type="dxa"/>
              <w:bottom w:w="0" w:type="dxa"/>
              <w:right w:w="0" w:type="dxa"/>
            </w:tcMar>
            <w:vAlign w:val="center"/>
          </w:tcPr>
          <w:p w14:paraId="0A4FA332">
            <w:pPr>
              <w:jc w:val="center"/>
              <w:rPr>
                <w:rFonts w:ascii="Arial" w:hAnsi="Arial" w:eastAsia="Arial" w:cs="Arial"/>
                <w:color w:val="auto"/>
                <w:sz w:val="20"/>
              </w:rPr>
            </w:pPr>
            <w:r>
              <w:rPr>
                <w:rFonts w:ascii="Arial" w:hAnsi="Arial" w:eastAsia="Arial" w:cs="Arial"/>
                <w:color w:val="auto"/>
                <w:sz w:val="20"/>
              </w:rPr>
              <w:t>2</w:t>
            </w:r>
            <w:r>
              <w:rPr>
                <w:rFonts w:hint="eastAsia" w:ascii="Arial" w:hAnsi="Arial" w:eastAsia="Arial" w:cs="Arial"/>
                <w:color w:val="auto"/>
                <w:sz w:val="20"/>
              </w:rPr>
              <w:t>0.0</w:t>
            </w:r>
          </w:p>
        </w:tc>
        <w:tc>
          <w:tcPr>
            <w:tcW w:w="486" w:type="dxa"/>
            <w:shd w:val="clear" w:color="auto" w:fill="FFFFFF"/>
            <w:tcMar>
              <w:top w:w="0" w:type="dxa"/>
              <w:left w:w="0" w:type="dxa"/>
              <w:bottom w:w="0" w:type="dxa"/>
              <w:right w:w="0" w:type="dxa"/>
            </w:tcMar>
            <w:vAlign w:val="center"/>
          </w:tcPr>
          <w:p w14:paraId="36F9D9C2">
            <w:pPr>
              <w:jc w:val="center"/>
              <w:rPr>
                <w:rFonts w:ascii="Arial" w:hAnsi="Arial" w:eastAsia="Arial" w:cs="Arial"/>
                <w:color w:val="auto"/>
                <w:sz w:val="20"/>
              </w:rPr>
            </w:pPr>
            <w:r>
              <w:rPr>
                <w:rFonts w:ascii="Arial" w:hAnsi="Arial" w:eastAsia="Arial" w:cs="Arial"/>
                <w:color w:val="auto"/>
                <w:sz w:val="20"/>
              </w:rPr>
              <w:t>2</w:t>
            </w:r>
            <w:r>
              <w:rPr>
                <w:rFonts w:hint="eastAsia" w:ascii="Arial" w:hAnsi="Arial" w:eastAsia="Arial" w:cs="Arial"/>
                <w:color w:val="auto"/>
                <w:sz w:val="20"/>
              </w:rPr>
              <w:t>0.0</w:t>
            </w:r>
          </w:p>
        </w:tc>
        <w:tc>
          <w:tcPr>
            <w:tcW w:w="472" w:type="dxa"/>
            <w:shd w:val="clear" w:color="auto" w:fill="FFFFFF"/>
            <w:tcMar>
              <w:top w:w="0" w:type="dxa"/>
              <w:left w:w="0" w:type="dxa"/>
              <w:bottom w:w="0" w:type="dxa"/>
              <w:right w:w="0" w:type="dxa"/>
            </w:tcMar>
            <w:vAlign w:val="center"/>
          </w:tcPr>
          <w:p w14:paraId="408FB1E5">
            <w:pPr>
              <w:jc w:val="center"/>
              <w:rPr>
                <w:rFonts w:ascii="Arial" w:hAnsi="Arial" w:eastAsia="Arial" w:cs="Arial"/>
                <w:color w:val="auto"/>
                <w:sz w:val="20"/>
              </w:rPr>
            </w:pPr>
            <w:r>
              <w:rPr>
                <w:rFonts w:ascii="Arial" w:hAnsi="Arial" w:eastAsia="Arial" w:cs="Arial"/>
                <w:color w:val="auto"/>
                <w:sz w:val="20"/>
              </w:rPr>
              <w:t>2</w:t>
            </w:r>
            <w:r>
              <w:rPr>
                <w:rFonts w:hint="eastAsia" w:ascii="Arial" w:hAnsi="Arial" w:eastAsia="Arial" w:cs="Arial"/>
                <w:color w:val="auto"/>
                <w:sz w:val="20"/>
              </w:rPr>
              <w:t>0.0</w:t>
            </w:r>
          </w:p>
        </w:tc>
        <w:tc>
          <w:tcPr>
            <w:tcW w:w="422" w:type="dxa"/>
            <w:shd w:val="clear" w:color="auto" w:fill="FFFFFF"/>
            <w:tcMar>
              <w:top w:w="0" w:type="dxa"/>
              <w:left w:w="0" w:type="dxa"/>
              <w:bottom w:w="0" w:type="dxa"/>
              <w:right w:w="0" w:type="dxa"/>
            </w:tcMar>
            <w:vAlign w:val="center"/>
          </w:tcPr>
          <w:p w14:paraId="064FD0AC">
            <w:pPr>
              <w:jc w:val="center"/>
              <w:rPr>
                <w:rFonts w:ascii="Arial" w:hAnsi="Arial" w:eastAsia="Arial" w:cs="Arial"/>
                <w:color w:val="auto"/>
                <w:sz w:val="20"/>
              </w:rPr>
            </w:pPr>
            <w:r>
              <w:rPr>
                <w:rFonts w:ascii="Arial" w:hAnsi="Arial" w:eastAsia="Arial" w:cs="Arial"/>
                <w:color w:val="auto"/>
                <w:sz w:val="20"/>
              </w:rPr>
              <w:t>2</w:t>
            </w:r>
            <w:r>
              <w:rPr>
                <w:rFonts w:hint="eastAsia" w:ascii="Arial" w:hAnsi="Arial" w:eastAsia="Arial" w:cs="Arial"/>
                <w:color w:val="auto"/>
                <w:sz w:val="20"/>
              </w:rPr>
              <w:t>0.0</w:t>
            </w:r>
          </w:p>
        </w:tc>
        <w:tc>
          <w:tcPr>
            <w:tcW w:w="553" w:type="dxa"/>
            <w:shd w:val="clear" w:color="auto" w:fill="FFFFFF"/>
            <w:tcMar>
              <w:top w:w="0" w:type="dxa"/>
              <w:left w:w="0" w:type="dxa"/>
              <w:bottom w:w="0" w:type="dxa"/>
              <w:right w:w="0" w:type="dxa"/>
            </w:tcMar>
            <w:vAlign w:val="center"/>
          </w:tcPr>
          <w:p w14:paraId="57421B83">
            <w:pPr>
              <w:jc w:val="center"/>
              <w:rPr>
                <w:rFonts w:ascii="Arial" w:hAnsi="Arial" w:cs="Arial"/>
                <w:color w:val="auto"/>
                <w:sz w:val="20"/>
              </w:rPr>
            </w:pPr>
            <w:r>
              <w:rPr>
                <w:rFonts w:hint="eastAsia" w:ascii="Arial" w:hAnsi="Arial" w:cs="Arial"/>
                <w:color w:val="auto"/>
                <w:sz w:val="20"/>
              </w:rPr>
              <w:t>42.4</w:t>
            </w:r>
          </w:p>
        </w:tc>
        <w:tc>
          <w:tcPr>
            <w:tcW w:w="486" w:type="dxa"/>
            <w:shd w:val="clear" w:color="auto" w:fill="FFFFFF"/>
            <w:tcMar>
              <w:top w:w="0" w:type="dxa"/>
              <w:left w:w="0" w:type="dxa"/>
              <w:bottom w:w="0" w:type="dxa"/>
              <w:right w:w="0" w:type="dxa"/>
            </w:tcMar>
            <w:vAlign w:val="center"/>
          </w:tcPr>
          <w:p w14:paraId="13951E44">
            <w:pPr>
              <w:jc w:val="center"/>
              <w:rPr>
                <w:rFonts w:ascii="Arial" w:hAnsi="Arial" w:cs="Arial"/>
                <w:color w:val="auto"/>
                <w:sz w:val="20"/>
              </w:rPr>
            </w:pPr>
            <w:r>
              <w:rPr>
                <w:rFonts w:ascii="Arial" w:hAnsi="Arial" w:eastAsia="Arial" w:cs="Arial"/>
                <w:color w:val="auto"/>
                <w:sz w:val="20"/>
              </w:rPr>
              <w:t>4</w:t>
            </w:r>
            <w:r>
              <w:rPr>
                <w:rFonts w:hint="eastAsia" w:ascii="Arial" w:hAnsi="Arial" w:cs="Arial"/>
                <w:color w:val="auto"/>
                <w:sz w:val="20"/>
              </w:rPr>
              <w:t>2.6</w:t>
            </w:r>
          </w:p>
        </w:tc>
        <w:tc>
          <w:tcPr>
            <w:tcW w:w="553" w:type="dxa"/>
            <w:shd w:val="clear" w:color="auto" w:fill="FFFFFF"/>
            <w:tcMar>
              <w:top w:w="0" w:type="dxa"/>
              <w:left w:w="0" w:type="dxa"/>
              <w:bottom w:w="0" w:type="dxa"/>
              <w:right w:w="0" w:type="dxa"/>
            </w:tcMar>
            <w:vAlign w:val="center"/>
          </w:tcPr>
          <w:p w14:paraId="2EBC00B7">
            <w:pPr>
              <w:jc w:val="center"/>
              <w:rPr>
                <w:rFonts w:ascii="Arial" w:hAnsi="Arial" w:cs="Arial"/>
                <w:color w:val="auto"/>
                <w:sz w:val="20"/>
              </w:rPr>
            </w:pPr>
            <w:r>
              <w:rPr>
                <w:rFonts w:ascii="Arial" w:hAnsi="Arial" w:eastAsia="Arial" w:cs="Arial"/>
                <w:color w:val="auto"/>
                <w:sz w:val="20"/>
              </w:rPr>
              <w:t>4</w:t>
            </w:r>
            <w:r>
              <w:rPr>
                <w:rFonts w:hint="eastAsia" w:ascii="Arial" w:hAnsi="Arial" w:cs="Arial"/>
                <w:color w:val="auto"/>
                <w:sz w:val="20"/>
              </w:rPr>
              <w:t>2.9</w:t>
            </w:r>
          </w:p>
        </w:tc>
        <w:tc>
          <w:tcPr>
            <w:tcW w:w="521" w:type="dxa"/>
            <w:shd w:val="clear" w:color="auto" w:fill="FFFFFF"/>
            <w:tcMar>
              <w:top w:w="0" w:type="dxa"/>
              <w:left w:w="0" w:type="dxa"/>
              <w:bottom w:w="0" w:type="dxa"/>
              <w:right w:w="0" w:type="dxa"/>
            </w:tcMar>
            <w:vAlign w:val="center"/>
          </w:tcPr>
          <w:p w14:paraId="708C829F">
            <w:pPr>
              <w:jc w:val="center"/>
              <w:rPr>
                <w:rFonts w:ascii="Arial" w:hAnsi="Arial" w:cs="Arial"/>
                <w:color w:val="auto"/>
                <w:sz w:val="20"/>
              </w:rPr>
            </w:pPr>
            <w:r>
              <w:rPr>
                <w:rFonts w:ascii="Arial" w:hAnsi="Arial" w:eastAsia="Arial" w:cs="Arial"/>
                <w:color w:val="auto"/>
                <w:sz w:val="20"/>
              </w:rPr>
              <w:t>4</w:t>
            </w:r>
            <w:r>
              <w:rPr>
                <w:rFonts w:hint="eastAsia" w:ascii="Arial" w:hAnsi="Arial" w:cs="Arial"/>
                <w:color w:val="auto"/>
                <w:sz w:val="20"/>
              </w:rPr>
              <w:t>2.4</w:t>
            </w:r>
          </w:p>
        </w:tc>
        <w:tc>
          <w:tcPr>
            <w:tcW w:w="696" w:type="dxa"/>
            <w:shd w:val="clear" w:color="auto" w:fill="FFFFFF"/>
            <w:tcMar>
              <w:top w:w="0" w:type="dxa"/>
              <w:left w:w="0" w:type="dxa"/>
              <w:bottom w:w="0" w:type="dxa"/>
              <w:right w:w="0" w:type="dxa"/>
            </w:tcMar>
            <w:vAlign w:val="center"/>
          </w:tcPr>
          <w:p w14:paraId="0EC881DC">
            <w:pPr>
              <w:jc w:val="center"/>
              <w:rPr>
                <w:rFonts w:ascii="Arial" w:hAnsi="Arial" w:eastAsia="Arial" w:cs="Arial"/>
                <w:color w:val="auto"/>
                <w:sz w:val="20"/>
              </w:rPr>
            </w:pPr>
            <w:r>
              <w:rPr>
                <w:rFonts w:ascii="Arial" w:hAnsi="Arial" w:eastAsia="Arial" w:cs="Arial"/>
                <w:color w:val="auto"/>
                <w:sz w:val="20"/>
              </w:rPr>
              <w:t>1</w:t>
            </w:r>
          </w:p>
        </w:tc>
      </w:tr>
      <w:tr w14:paraId="49479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65" w:type="dxa"/>
            <w:shd w:val="clear" w:color="auto" w:fill="FFFFFF"/>
            <w:tcMar>
              <w:top w:w="0" w:type="dxa"/>
              <w:left w:w="0" w:type="dxa"/>
              <w:bottom w:w="0" w:type="dxa"/>
              <w:right w:w="0" w:type="dxa"/>
            </w:tcMar>
            <w:vAlign w:val="center"/>
          </w:tcPr>
          <w:p w14:paraId="2D61CC93">
            <w:pPr>
              <w:jc w:val="center"/>
              <w:rPr>
                <w:rFonts w:ascii="Arial" w:hAnsi="Arial" w:eastAsia="Arial" w:cs="Arial"/>
                <w:color w:val="auto"/>
                <w:sz w:val="20"/>
              </w:rPr>
            </w:pPr>
            <w:r>
              <w:rPr>
                <w:rFonts w:ascii="Arial" w:hAnsi="Arial" w:eastAsia="Arial" w:cs="Arial"/>
                <w:color w:val="auto"/>
                <w:sz w:val="20"/>
              </w:rPr>
              <w:t>5</w:t>
            </w:r>
          </w:p>
        </w:tc>
        <w:tc>
          <w:tcPr>
            <w:tcW w:w="909" w:type="dxa"/>
            <w:shd w:val="clear" w:color="auto" w:fill="FFFFFF"/>
            <w:tcMar>
              <w:top w:w="0" w:type="dxa"/>
              <w:left w:w="0" w:type="dxa"/>
              <w:bottom w:w="0" w:type="dxa"/>
              <w:right w:w="0" w:type="dxa"/>
            </w:tcMar>
            <w:vAlign w:val="center"/>
          </w:tcPr>
          <w:p w14:paraId="1166B0ED">
            <w:pPr>
              <w:jc w:val="center"/>
              <w:rPr>
                <w:rFonts w:ascii="Arial" w:hAnsi="Arial" w:eastAsia="Arial" w:cs="Arial"/>
                <w:color w:val="auto"/>
                <w:sz w:val="20"/>
              </w:rPr>
            </w:pPr>
            <w:r>
              <w:rPr>
                <w:rFonts w:ascii="Arial" w:hAnsi="Arial" w:eastAsia="Arial" w:cs="Arial"/>
                <w:color w:val="auto"/>
                <w:sz w:val="20"/>
              </w:rPr>
              <w:t>生产厂房</w:t>
            </w:r>
          </w:p>
        </w:tc>
        <w:tc>
          <w:tcPr>
            <w:tcW w:w="1378" w:type="dxa"/>
            <w:shd w:val="clear" w:color="auto" w:fill="FFFFFF"/>
            <w:tcMar>
              <w:top w:w="0" w:type="dxa"/>
              <w:left w:w="0" w:type="dxa"/>
              <w:bottom w:w="0" w:type="dxa"/>
              <w:right w:w="0" w:type="dxa"/>
            </w:tcMar>
            <w:vAlign w:val="center"/>
          </w:tcPr>
          <w:p w14:paraId="34433B0D">
            <w:pPr>
              <w:jc w:val="center"/>
              <w:rPr>
                <w:rFonts w:ascii="Arial" w:hAnsi="Arial" w:cs="Arial"/>
                <w:color w:val="auto"/>
                <w:sz w:val="20"/>
              </w:rPr>
            </w:pPr>
            <w:r>
              <w:rPr>
                <w:rFonts w:ascii="Arial" w:hAnsi="Arial" w:eastAsia="Arial" w:cs="Arial"/>
                <w:color w:val="auto"/>
                <w:sz w:val="20"/>
              </w:rPr>
              <w:t>搅拌机</w:t>
            </w:r>
            <w:r>
              <w:rPr>
                <w:rFonts w:hint="eastAsia" w:ascii="Arial" w:hAnsi="Arial" w:cs="Arial"/>
                <w:color w:val="auto"/>
                <w:sz w:val="20"/>
              </w:rPr>
              <w:t>2</w:t>
            </w:r>
          </w:p>
        </w:tc>
        <w:tc>
          <w:tcPr>
            <w:tcW w:w="563" w:type="dxa"/>
            <w:shd w:val="clear" w:color="auto" w:fill="FFFFFF"/>
            <w:tcMar>
              <w:top w:w="0" w:type="dxa"/>
              <w:left w:w="0" w:type="dxa"/>
              <w:bottom w:w="0" w:type="dxa"/>
              <w:right w:w="0" w:type="dxa"/>
            </w:tcMar>
            <w:vAlign w:val="center"/>
          </w:tcPr>
          <w:p w14:paraId="329BB387">
            <w:pPr>
              <w:jc w:val="center"/>
              <w:rPr>
                <w:rFonts w:ascii="Arial" w:hAnsi="Arial" w:eastAsia="Arial" w:cs="Arial"/>
                <w:color w:val="auto"/>
                <w:sz w:val="20"/>
              </w:rPr>
            </w:pPr>
            <w:r>
              <w:rPr>
                <w:rFonts w:ascii="Arial" w:hAnsi="Arial" w:eastAsia="Arial" w:cs="Arial"/>
                <w:color w:val="auto"/>
                <w:sz w:val="20"/>
              </w:rPr>
              <w:t>80</w:t>
            </w:r>
          </w:p>
        </w:tc>
        <w:tc>
          <w:tcPr>
            <w:tcW w:w="656" w:type="dxa"/>
            <w:vMerge w:val="continue"/>
            <w:shd w:val="clear" w:color="auto" w:fill="FFFFFF"/>
            <w:tcMar>
              <w:top w:w="0" w:type="dxa"/>
              <w:left w:w="0" w:type="dxa"/>
              <w:bottom w:w="0" w:type="dxa"/>
              <w:right w:w="0" w:type="dxa"/>
            </w:tcMar>
            <w:vAlign w:val="center"/>
          </w:tcPr>
          <w:p w14:paraId="603E5598">
            <w:pPr>
              <w:jc w:val="center"/>
              <w:rPr>
                <w:rFonts w:ascii="Arial" w:hAnsi="Arial" w:eastAsia="Arial" w:cs="Arial"/>
                <w:color w:val="auto"/>
                <w:sz w:val="20"/>
              </w:rPr>
            </w:pPr>
          </w:p>
        </w:tc>
        <w:tc>
          <w:tcPr>
            <w:tcW w:w="508" w:type="dxa"/>
            <w:shd w:val="clear" w:color="auto" w:fill="FFFFFF"/>
            <w:tcMar>
              <w:top w:w="0" w:type="dxa"/>
              <w:left w:w="0" w:type="dxa"/>
              <w:bottom w:w="0" w:type="dxa"/>
              <w:right w:w="0" w:type="dxa"/>
            </w:tcMar>
            <w:vAlign w:val="center"/>
          </w:tcPr>
          <w:p w14:paraId="61899321">
            <w:pPr>
              <w:jc w:val="center"/>
              <w:rPr>
                <w:rFonts w:ascii="Arial" w:hAnsi="Arial" w:eastAsia="Arial" w:cs="Arial"/>
                <w:color w:val="auto"/>
                <w:sz w:val="20"/>
              </w:rPr>
            </w:pPr>
            <w:r>
              <w:rPr>
                <w:rFonts w:ascii="Arial" w:hAnsi="Arial" w:eastAsia="Arial" w:cs="Arial"/>
                <w:color w:val="auto"/>
                <w:sz w:val="20"/>
              </w:rPr>
              <w:t>-15.4</w:t>
            </w:r>
          </w:p>
        </w:tc>
        <w:tc>
          <w:tcPr>
            <w:tcW w:w="522" w:type="dxa"/>
            <w:shd w:val="clear" w:color="auto" w:fill="FFFFFF"/>
            <w:tcMar>
              <w:top w:w="0" w:type="dxa"/>
              <w:left w:w="0" w:type="dxa"/>
              <w:bottom w:w="0" w:type="dxa"/>
              <w:right w:w="0" w:type="dxa"/>
            </w:tcMar>
            <w:vAlign w:val="center"/>
          </w:tcPr>
          <w:p w14:paraId="242D37F3">
            <w:pPr>
              <w:jc w:val="center"/>
              <w:rPr>
                <w:rFonts w:ascii="Arial" w:hAnsi="Arial" w:eastAsia="Arial" w:cs="Arial"/>
                <w:color w:val="auto"/>
                <w:sz w:val="20"/>
              </w:rPr>
            </w:pPr>
            <w:r>
              <w:rPr>
                <w:rFonts w:ascii="Arial" w:hAnsi="Arial" w:eastAsia="Arial" w:cs="Arial"/>
                <w:color w:val="auto"/>
                <w:sz w:val="20"/>
              </w:rPr>
              <w:t>-26.1</w:t>
            </w:r>
          </w:p>
        </w:tc>
        <w:tc>
          <w:tcPr>
            <w:tcW w:w="525" w:type="dxa"/>
            <w:shd w:val="clear" w:color="auto" w:fill="FFFFFF"/>
            <w:tcMar>
              <w:top w:w="0" w:type="dxa"/>
              <w:left w:w="0" w:type="dxa"/>
              <w:bottom w:w="0" w:type="dxa"/>
              <w:right w:w="0" w:type="dxa"/>
            </w:tcMar>
            <w:vAlign w:val="center"/>
          </w:tcPr>
          <w:p w14:paraId="7ECBC262">
            <w:pPr>
              <w:jc w:val="center"/>
              <w:rPr>
                <w:rFonts w:ascii="Arial" w:hAnsi="Arial" w:eastAsia="Arial" w:cs="Arial"/>
                <w:color w:val="auto"/>
                <w:sz w:val="20"/>
              </w:rPr>
            </w:pPr>
            <w:r>
              <w:rPr>
                <w:rFonts w:ascii="Arial" w:hAnsi="Arial" w:eastAsia="Arial" w:cs="Arial"/>
                <w:color w:val="auto"/>
                <w:sz w:val="20"/>
              </w:rPr>
              <w:t>1.2</w:t>
            </w:r>
          </w:p>
        </w:tc>
        <w:tc>
          <w:tcPr>
            <w:tcW w:w="473" w:type="dxa"/>
            <w:shd w:val="clear" w:color="auto" w:fill="FFFFFF"/>
            <w:tcMar>
              <w:top w:w="0" w:type="dxa"/>
              <w:left w:w="0" w:type="dxa"/>
              <w:bottom w:w="0" w:type="dxa"/>
              <w:right w:w="0" w:type="dxa"/>
            </w:tcMar>
            <w:vAlign w:val="center"/>
          </w:tcPr>
          <w:p w14:paraId="19C56271">
            <w:pPr>
              <w:jc w:val="center"/>
              <w:rPr>
                <w:rFonts w:ascii="Arial" w:hAnsi="Arial" w:eastAsia="Arial" w:cs="Arial"/>
                <w:color w:val="auto"/>
                <w:sz w:val="20"/>
              </w:rPr>
            </w:pPr>
            <w:r>
              <w:rPr>
                <w:rFonts w:ascii="Arial" w:hAnsi="Arial" w:eastAsia="Arial" w:cs="Arial"/>
                <w:color w:val="auto"/>
                <w:sz w:val="20"/>
              </w:rPr>
              <w:t>38.9</w:t>
            </w:r>
          </w:p>
        </w:tc>
        <w:tc>
          <w:tcPr>
            <w:tcW w:w="522" w:type="dxa"/>
            <w:shd w:val="clear" w:color="auto" w:fill="FFFFFF"/>
            <w:tcMar>
              <w:top w:w="0" w:type="dxa"/>
              <w:left w:w="0" w:type="dxa"/>
              <w:bottom w:w="0" w:type="dxa"/>
              <w:right w:w="0" w:type="dxa"/>
            </w:tcMar>
            <w:vAlign w:val="center"/>
          </w:tcPr>
          <w:p w14:paraId="21FD3A68">
            <w:pPr>
              <w:jc w:val="center"/>
              <w:rPr>
                <w:rFonts w:ascii="Arial" w:hAnsi="Arial" w:eastAsia="Arial" w:cs="Arial"/>
                <w:color w:val="auto"/>
                <w:sz w:val="20"/>
              </w:rPr>
            </w:pPr>
            <w:r>
              <w:rPr>
                <w:rFonts w:ascii="Arial" w:hAnsi="Arial" w:eastAsia="Arial" w:cs="Arial"/>
                <w:color w:val="auto"/>
                <w:sz w:val="20"/>
              </w:rPr>
              <w:t>10.0</w:t>
            </w:r>
          </w:p>
        </w:tc>
        <w:tc>
          <w:tcPr>
            <w:tcW w:w="540" w:type="dxa"/>
            <w:shd w:val="clear" w:color="auto" w:fill="FFFFFF"/>
            <w:tcMar>
              <w:top w:w="0" w:type="dxa"/>
              <w:left w:w="0" w:type="dxa"/>
              <w:bottom w:w="0" w:type="dxa"/>
              <w:right w:w="0" w:type="dxa"/>
            </w:tcMar>
            <w:vAlign w:val="center"/>
          </w:tcPr>
          <w:p w14:paraId="0F8A6FBB">
            <w:pPr>
              <w:jc w:val="center"/>
              <w:rPr>
                <w:rFonts w:ascii="Arial" w:hAnsi="Arial" w:eastAsia="Arial" w:cs="Arial"/>
                <w:color w:val="auto"/>
                <w:sz w:val="20"/>
              </w:rPr>
            </w:pPr>
            <w:r>
              <w:rPr>
                <w:rFonts w:ascii="Arial" w:hAnsi="Arial" w:eastAsia="Arial" w:cs="Arial"/>
                <w:color w:val="auto"/>
                <w:sz w:val="20"/>
              </w:rPr>
              <w:t>9.9</w:t>
            </w:r>
          </w:p>
        </w:tc>
        <w:tc>
          <w:tcPr>
            <w:tcW w:w="440" w:type="dxa"/>
            <w:shd w:val="clear" w:color="auto" w:fill="FFFFFF"/>
            <w:tcMar>
              <w:top w:w="0" w:type="dxa"/>
              <w:left w:w="0" w:type="dxa"/>
              <w:bottom w:w="0" w:type="dxa"/>
              <w:right w:w="0" w:type="dxa"/>
            </w:tcMar>
            <w:vAlign w:val="center"/>
          </w:tcPr>
          <w:p w14:paraId="7828AB24">
            <w:pPr>
              <w:jc w:val="center"/>
              <w:rPr>
                <w:rFonts w:ascii="Arial" w:hAnsi="Arial" w:eastAsia="Arial" w:cs="Arial"/>
                <w:color w:val="auto"/>
                <w:sz w:val="20"/>
              </w:rPr>
            </w:pPr>
            <w:r>
              <w:rPr>
                <w:rFonts w:ascii="Arial" w:hAnsi="Arial" w:eastAsia="Arial" w:cs="Arial"/>
                <w:color w:val="auto"/>
                <w:sz w:val="20"/>
              </w:rPr>
              <w:t>61.8</w:t>
            </w:r>
          </w:p>
        </w:tc>
        <w:tc>
          <w:tcPr>
            <w:tcW w:w="472" w:type="dxa"/>
            <w:shd w:val="clear" w:color="auto" w:fill="FFFFFF"/>
            <w:tcMar>
              <w:top w:w="0" w:type="dxa"/>
              <w:left w:w="0" w:type="dxa"/>
              <w:bottom w:w="0" w:type="dxa"/>
              <w:right w:w="0" w:type="dxa"/>
            </w:tcMar>
            <w:vAlign w:val="center"/>
          </w:tcPr>
          <w:p w14:paraId="6EE1580A">
            <w:pPr>
              <w:jc w:val="center"/>
              <w:rPr>
                <w:rFonts w:ascii="Arial" w:hAnsi="Arial" w:eastAsia="Arial" w:cs="Arial"/>
                <w:color w:val="auto"/>
                <w:sz w:val="20"/>
              </w:rPr>
            </w:pPr>
            <w:r>
              <w:rPr>
                <w:rFonts w:ascii="Arial" w:hAnsi="Arial" w:eastAsia="Arial" w:cs="Arial"/>
                <w:color w:val="auto"/>
                <w:sz w:val="20"/>
              </w:rPr>
              <w:t>62.4</w:t>
            </w:r>
          </w:p>
        </w:tc>
        <w:tc>
          <w:tcPr>
            <w:tcW w:w="472" w:type="dxa"/>
            <w:shd w:val="clear" w:color="auto" w:fill="FFFFFF"/>
            <w:tcMar>
              <w:top w:w="0" w:type="dxa"/>
              <w:left w:w="0" w:type="dxa"/>
              <w:bottom w:w="0" w:type="dxa"/>
              <w:right w:w="0" w:type="dxa"/>
            </w:tcMar>
            <w:vAlign w:val="center"/>
          </w:tcPr>
          <w:p w14:paraId="6FD91B9C">
            <w:pPr>
              <w:jc w:val="center"/>
              <w:rPr>
                <w:rFonts w:ascii="Arial" w:hAnsi="Arial" w:eastAsia="Arial" w:cs="Arial"/>
                <w:color w:val="auto"/>
                <w:sz w:val="20"/>
              </w:rPr>
            </w:pPr>
            <w:r>
              <w:rPr>
                <w:rFonts w:ascii="Arial" w:hAnsi="Arial" w:eastAsia="Arial" w:cs="Arial"/>
                <w:color w:val="auto"/>
                <w:sz w:val="20"/>
              </w:rPr>
              <w:t>62.6</w:t>
            </w:r>
          </w:p>
        </w:tc>
        <w:tc>
          <w:tcPr>
            <w:tcW w:w="504" w:type="dxa"/>
            <w:shd w:val="clear" w:color="auto" w:fill="FFFFFF"/>
            <w:tcMar>
              <w:top w:w="0" w:type="dxa"/>
              <w:left w:w="0" w:type="dxa"/>
              <w:bottom w:w="0" w:type="dxa"/>
              <w:right w:w="0" w:type="dxa"/>
            </w:tcMar>
            <w:vAlign w:val="center"/>
          </w:tcPr>
          <w:p w14:paraId="5112589D">
            <w:pPr>
              <w:jc w:val="center"/>
              <w:rPr>
                <w:rFonts w:ascii="Arial" w:hAnsi="Arial" w:eastAsia="Arial" w:cs="Arial"/>
                <w:color w:val="auto"/>
                <w:sz w:val="20"/>
              </w:rPr>
            </w:pPr>
            <w:r>
              <w:rPr>
                <w:rFonts w:ascii="Arial" w:hAnsi="Arial" w:eastAsia="Arial" w:cs="Arial"/>
                <w:color w:val="auto"/>
                <w:sz w:val="20"/>
              </w:rPr>
              <w:t>62.6</w:t>
            </w:r>
          </w:p>
        </w:tc>
        <w:tc>
          <w:tcPr>
            <w:tcW w:w="507" w:type="dxa"/>
            <w:shd w:val="clear" w:color="auto" w:fill="FFFFFF"/>
            <w:tcMar>
              <w:top w:w="0" w:type="dxa"/>
              <w:left w:w="0" w:type="dxa"/>
              <w:bottom w:w="0" w:type="dxa"/>
              <w:right w:w="0" w:type="dxa"/>
            </w:tcMar>
            <w:vAlign w:val="center"/>
          </w:tcPr>
          <w:p w14:paraId="202ED809">
            <w:pPr>
              <w:jc w:val="center"/>
              <w:rPr>
                <w:rFonts w:ascii="Arial" w:hAnsi="Arial" w:eastAsia="Arial" w:cs="Arial"/>
                <w:color w:val="auto"/>
                <w:sz w:val="20"/>
              </w:rPr>
            </w:pPr>
            <w:r>
              <w:rPr>
                <w:rFonts w:ascii="Arial" w:hAnsi="Arial" w:eastAsia="Arial" w:cs="Arial"/>
                <w:color w:val="auto"/>
                <w:sz w:val="20"/>
              </w:rPr>
              <w:t>62.4</w:t>
            </w:r>
          </w:p>
        </w:tc>
        <w:tc>
          <w:tcPr>
            <w:tcW w:w="539" w:type="dxa"/>
            <w:vMerge w:val="continue"/>
            <w:shd w:val="clear" w:color="auto" w:fill="FFFFFF"/>
            <w:tcMar>
              <w:top w:w="0" w:type="dxa"/>
              <w:left w:w="0" w:type="dxa"/>
              <w:bottom w:w="0" w:type="dxa"/>
              <w:right w:w="0" w:type="dxa"/>
            </w:tcMar>
            <w:vAlign w:val="center"/>
          </w:tcPr>
          <w:p w14:paraId="5D1BD911">
            <w:pPr>
              <w:jc w:val="center"/>
              <w:rPr>
                <w:rFonts w:ascii="Arial" w:hAnsi="Arial" w:eastAsia="Arial" w:cs="Arial"/>
                <w:color w:val="auto"/>
                <w:sz w:val="20"/>
              </w:rPr>
            </w:pPr>
          </w:p>
        </w:tc>
        <w:tc>
          <w:tcPr>
            <w:tcW w:w="472" w:type="dxa"/>
            <w:shd w:val="clear" w:color="auto" w:fill="FFFFFF"/>
            <w:tcMar>
              <w:top w:w="0" w:type="dxa"/>
              <w:left w:w="0" w:type="dxa"/>
              <w:bottom w:w="0" w:type="dxa"/>
              <w:right w:w="0" w:type="dxa"/>
            </w:tcMar>
            <w:vAlign w:val="center"/>
          </w:tcPr>
          <w:p w14:paraId="1B13C90E">
            <w:pPr>
              <w:jc w:val="center"/>
              <w:rPr>
                <w:rFonts w:ascii="Arial" w:hAnsi="Arial" w:eastAsia="Arial" w:cs="Arial"/>
                <w:color w:val="auto"/>
                <w:sz w:val="20"/>
              </w:rPr>
            </w:pPr>
            <w:r>
              <w:rPr>
                <w:rFonts w:ascii="Arial" w:hAnsi="Arial" w:eastAsia="Arial" w:cs="Arial"/>
                <w:color w:val="auto"/>
                <w:sz w:val="20"/>
              </w:rPr>
              <w:t>2</w:t>
            </w:r>
            <w:r>
              <w:rPr>
                <w:rFonts w:hint="eastAsia" w:ascii="Arial" w:hAnsi="Arial" w:eastAsia="Arial" w:cs="Arial"/>
                <w:color w:val="auto"/>
                <w:sz w:val="20"/>
              </w:rPr>
              <w:t>0.0</w:t>
            </w:r>
          </w:p>
        </w:tc>
        <w:tc>
          <w:tcPr>
            <w:tcW w:w="486" w:type="dxa"/>
            <w:shd w:val="clear" w:color="auto" w:fill="FFFFFF"/>
            <w:tcMar>
              <w:top w:w="0" w:type="dxa"/>
              <w:left w:w="0" w:type="dxa"/>
              <w:bottom w:w="0" w:type="dxa"/>
              <w:right w:w="0" w:type="dxa"/>
            </w:tcMar>
            <w:vAlign w:val="center"/>
          </w:tcPr>
          <w:p w14:paraId="364CEE72">
            <w:pPr>
              <w:jc w:val="center"/>
              <w:rPr>
                <w:rFonts w:ascii="Arial" w:hAnsi="Arial" w:eastAsia="Arial" w:cs="Arial"/>
                <w:color w:val="auto"/>
                <w:sz w:val="20"/>
              </w:rPr>
            </w:pPr>
            <w:r>
              <w:rPr>
                <w:rFonts w:ascii="Arial" w:hAnsi="Arial" w:eastAsia="Arial" w:cs="Arial"/>
                <w:color w:val="auto"/>
                <w:sz w:val="20"/>
              </w:rPr>
              <w:t>2</w:t>
            </w:r>
            <w:r>
              <w:rPr>
                <w:rFonts w:hint="eastAsia" w:ascii="Arial" w:hAnsi="Arial" w:eastAsia="Arial" w:cs="Arial"/>
                <w:color w:val="auto"/>
                <w:sz w:val="20"/>
              </w:rPr>
              <w:t>0.0</w:t>
            </w:r>
          </w:p>
        </w:tc>
        <w:tc>
          <w:tcPr>
            <w:tcW w:w="472" w:type="dxa"/>
            <w:shd w:val="clear" w:color="auto" w:fill="FFFFFF"/>
            <w:tcMar>
              <w:top w:w="0" w:type="dxa"/>
              <w:left w:w="0" w:type="dxa"/>
              <w:bottom w:w="0" w:type="dxa"/>
              <w:right w:w="0" w:type="dxa"/>
            </w:tcMar>
            <w:vAlign w:val="center"/>
          </w:tcPr>
          <w:p w14:paraId="2046853D">
            <w:pPr>
              <w:jc w:val="center"/>
              <w:rPr>
                <w:rFonts w:ascii="Arial" w:hAnsi="Arial" w:eastAsia="Arial" w:cs="Arial"/>
                <w:color w:val="auto"/>
                <w:sz w:val="20"/>
              </w:rPr>
            </w:pPr>
            <w:r>
              <w:rPr>
                <w:rFonts w:ascii="Arial" w:hAnsi="Arial" w:eastAsia="Arial" w:cs="Arial"/>
                <w:color w:val="auto"/>
                <w:sz w:val="20"/>
              </w:rPr>
              <w:t>2</w:t>
            </w:r>
            <w:r>
              <w:rPr>
                <w:rFonts w:hint="eastAsia" w:ascii="Arial" w:hAnsi="Arial" w:eastAsia="Arial" w:cs="Arial"/>
                <w:color w:val="auto"/>
                <w:sz w:val="20"/>
              </w:rPr>
              <w:t>0.0</w:t>
            </w:r>
          </w:p>
        </w:tc>
        <w:tc>
          <w:tcPr>
            <w:tcW w:w="422" w:type="dxa"/>
            <w:shd w:val="clear" w:color="auto" w:fill="FFFFFF"/>
            <w:tcMar>
              <w:top w:w="0" w:type="dxa"/>
              <w:left w:w="0" w:type="dxa"/>
              <w:bottom w:w="0" w:type="dxa"/>
              <w:right w:w="0" w:type="dxa"/>
            </w:tcMar>
            <w:vAlign w:val="center"/>
          </w:tcPr>
          <w:p w14:paraId="07C11F4A">
            <w:pPr>
              <w:jc w:val="center"/>
              <w:rPr>
                <w:rFonts w:ascii="Arial" w:hAnsi="Arial" w:eastAsia="Arial" w:cs="Arial"/>
                <w:color w:val="auto"/>
                <w:sz w:val="20"/>
              </w:rPr>
            </w:pPr>
            <w:r>
              <w:rPr>
                <w:rFonts w:ascii="Arial" w:hAnsi="Arial" w:eastAsia="Arial" w:cs="Arial"/>
                <w:color w:val="auto"/>
                <w:sz w:val="20"/>
              </w:rPr>
              <w:t>2</w:t>
            </w:r>
            <w:r>
              <w:rPr>
                <w:rFonts w:hint="eastAsia" w:ascii="Arial" w:hAnsi="Arial" w:eastAsia="Arial" w:cs="Arial"/>
                <w:color w:val="auto"/>
                <w:sz w:val="20"/>
              </w:rPr>
              <w:t>0.0</w:t>
            </w:r>
          </w:p>
        </w:tc>
        <w:tc>
          <w:tcPr>
            <w:tcW w:w="553" w:type="dxa"/>
            <w:shd w:val="clear" w:color="auto" w:fill="FFFFFF"/>
            <w:tcMar>
              <w:top w:w="0" w:type="dxa"/>
              <w:left w:w="0" w:type="dxa"/>
              <w:bottom w:w="0" w:type="dxa"/>
              <w:right w:w="0" w:type="dxa"/>
            </w:tcMar>
            <w:vAlign w:val="center"/>
          </w:tcPr>
          <w:p w14:paraId="20D4E33B">
            <w:pPr>
              <w:jc w:val="center"/>
              <w:rPr>
                <w:rFonts w:ascii="Arial" w:hAnsi="Arial" w:cs="Arial"/>
                <w:color w:val="auto"/>
                <w:sz w:val="20"/>
              </w:rPr>
            </w:pPr>
            <w:r>
              <w:rPr>
                <w:rFonts w:ascii="Arial" w:hAnsi="Arial" w:eastAsia="Arial" w:cs="Arial"/>
                <w:color w:val="auto"/>
                <w:sz w:val="20"/>
              </w:rPr>
              <w:t>4</w:t>
            </w:r>
            <w:r>
              <w:rPr>
                <w:rFonts w:hint="eastAsia" w:ascii="Arial" w:hAnsi="Arial" w:cs="Arial"/>
                <w:color w:val="auto"/>
                <w:sz w:val="20"/>
              </w:rPr>
              <w:t>2.4</w:t>
            </w:r>
          </w:p>
        </w:tc>
        <w:tc>
          <w:tcPr>
            <w:tcW w:w="486" w:type="dxa"/>
            <w:shd w:val="clear" w:color="auto" w:fill="FFFFFF"/>
            <w:tcMar>
              <w:top w:w="0" w:type="dxa"/>
              <w:left w:w="0" w:type="dxa"/>
              <w:bottom w:w="0" w:type="dxa"/>
              <w:right w:w="0" w:type="dxa"/>
            </w:tcMar>
            <w:vAlign w:val="center"/>
          </w:tcPr>
          <w:p w14:paraId="7C5E31D1">
            <w:pPr>
              <w:jc w:val="center"/>
              <w:rPr>
                <w:rFonts w:ascii="Arial" w:hAnsi="Arial" w:cs="Arial"/>
                <w:color w:val="auto"/>
                <w:sz w:val="20"/>
              </w:rPr>
            </w:pPr>
            <w:r>
              <w:rPr>
                <w:rFonts w:ascii="Arial" w:hAnsi="Arial" w:eastAsia="Arial" w:cs="Arial"/>
                <w:color w:val="auto"/>
                <w:sz w:val="20"/>
              </w:rPr>
              <w:t>4</w:t>
            </w:r>
            <w:r>
              <w:rPr>
                <w:rFonts w:hint="eastAsia" w:ascii="Arial" w:hAnsi="Arial" w:cs="Arial"/>
                <w:color w:val="auto"/>
                <w:sz w:val="20"/>
              </w:rPr>
              <w:t>2.4</w:t>
            </w:r>
          </w:p>
        </w:tc>
        <w:tc>
          <w:tcPr>
            <w:tcW w:w="553" w:type="dxa"/>
            <w:shd w:val="clear" w:color="auto" w:fill="FFFFFF"/>
            <w:tcMar>
              <w:top w:w="0" w:type="dxa"/>
              <w:left w:w="0" w:type="dxa"/>
              <w:bottom w:w="0" w:type="dxa"/>
              <w:right w:w="0" w:type="dxa"/>
            </w:tcMar>
            <w:vAlign w:val="center"/>
          </w:tcPr>
          <w:p w14:paraId="274A5AFB">
            <w:pPr>
              <w:jc w:val="center"/>
              <w:rPr>
                <w:rFonts w:ascii="Arial" w:hAnsi="Arial" w:cs="Arial"/>
                <w:color w:val="auto"/>
                <w:sz w:val="20"/>
              </w:rPr>
            </w:pPr>
            <w:r>
              <w:rPr>
                <w:rFonts w:ascii="Arial" w:hAnsi="Arial" w:eastAsia="Arial" w:cs="Arial"/>
                <w:color w:val="auto"/>
                <w:sz w:val="20"/>
              </w:rPr>
              <w:t>4</w:t>
            </w:r>
            <w:r>
              <w:rPr>
                <w:rFonts w:hint="eastAsia" w:ascii="Arial" w:hAnsi="Arial" w:cs="Arial"/>
                <w:color w:val="auto"/>
                <w:sz w:val="20"/>
              </w:rPr>
              <w:t>2.6</w:t>
            </w:r>
          </w:p>
        </w:tc>
        <w:tc>
          <w:tcPr>
            <w:tcW w:w="521" w:type="dxa"/>
            <w:shd w:val="clear" w:color="auto" w:fill="FFFFFF"/>
            <w:tcMar>
              <w:top w:w="0" w:type="dxa"/>
              <w:left w:w="0" w:type="dxa"/>
              <w:bottom w:w="0" w:type="dxa"/>
              <w:right w:w="0" w:type="dxa"/>
            </w:tcMar>
            <w:vAlign w:val="center"/>
          </w:tcPr>
          <w:p w14:paraId="0C5FAAB4">
            <w:pPr>
              <w:jc w:val="center"/>
              <w:rPr>
                <w:rFonts w:ascii="Arial" w:hAnsi="Arial" w:cs="Arial"/>
                <w:color w:val="auto"/>
                <w:sz w:val="20"/>
              </w:rPr>
            </w:pPr>
            <w:r>
              <w:rPr>
                <w:rFonts w:ascii="Arial" w:hAnsi="Arial" w:eastAsia="Arial" w:cs="Arial"/>
                <w:color w:val="auto"/>
                <w:sz w:val="20"/>
              </w:rPr>
              <w:t>4</w:t>
            </w:r>
            <w:r>
              <w:rPr>
                <w:rFonts w:hint="eastAsia" w:ascii="Arial" w:hAnsi="Arial" w:cs="Arial"/>
                <w:color w:val="auto"/>
                <w:sz w:val="20"/>
              </w:rPr>
              <w:t>2.4</w:t>
            </w:r>
          </w:p>
        </w:tc>
        <w:tc>
          <w:tcPr>
            <w:tcW w:w="696" w:type="dxa"/>
            <w:shd w:val="clear" w:color="auto" w:fill="FFFFFF"/>
            <w:tcMar>
              <w:top w:w="0" w:type="dxa"/>
              <w:left w:w="0" w:type="dxa"/>
              <w:bottom w:w="0" w:type="dxa"/>
              <w:right w:w="0" w:type="dxa"/>
            </w:tcMar>
            <w:vAlign w:val="center"/>
          </w:tcPr>
          <w:p w14:paraId="528643C4">
            <w:pPr>
              <w:jc w:val="center"/>
              <w:rPr>
                <w:rFonts w:ascii="Arial" w:hAnsi="Arial" w:eastAsia="Arial" w:cs="Arial"/>
                <w:color w:val="auto"/>
                <w:sz w:val="20"/>
              </w:rPr>
            </w:pPr>
            <w:r>
              <w:rPr>
                <w:rFonts w:ascii="Arial" w:hAnsi="Arial" w:eastAsia="Arial" w:cs="Arial"/>
                <w:color w:val="auto"/>
                <w:sz w:val="20"/>
              </w:rPr>
              <w:t>1</w:t>
            </w:r>
          </w:p>
        </w:tc>
      </w:tr>
      <w:tr w14:paraId="33D24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65" w:type="dxa"/>
            <w:shd w:val="clear" w:color="auto" w:fill="FFFFFF"/>
            <w:tcMar>
              <w:top w:w="0" w:type="dxa"/>
              <w:left w:w="0" w:type="dxa"/>
              <w:bottom w:w="0" w:type="dxa"/>
              <w:right w:w="0" w:type="dxa"/>
            </w:tcMar>
            <w:vAlign w:val="center"/>
          </w:tcPr>
          <w:p w14:paraId="3FA4331C">
            <w:pPr>
              <w:jc w:val="center"/>
              <w:rPr>
                <w:rFonts w:ascii="Arial" w:hAnsi="Arial" w:eastAsia="Arial" w:cs="Arial"/>
                <w:color w:val="auto"/>
                <w:sz w:val="20"/>
              </w:rPr>
            </w:pPr>
            <w:r>
              <w:rPr>
                <w:rFonts w:ascii="Arial" w:hAnsi="Arial" w:eastAsia="Arial" w:cs="Arial"/>
                <w:color w:val="auto"/>
                <w:sz w:val="20"/>
              </w:rPr>
              <w:t>6</w:t>
            </w:r>
          </w:p>
        </w:tc>
        <w:tc>
          <w:tcPr>
            <w:tcW w:w="909" w:type="dxa"/>
            <w:shd w:val="clear" w:color="auto" w:fill="FFFFFF"/>
            <w:tcMar>
              <w:top w:w="0" w:type="dxa"/>
              <w:left w:w="0" w:type="dxa"/>
              <w:bottom w:w="0" w:type="dxa"/>
              <w:right w:w="0" w:type="dxa"/>
            </w:tcMar>
            <w:vAlign w:val="center"/>
          </w:tcPr>
          <w:p w14:paraId="7EB0735B">
            <w:pPr>
              <w:jc w:val="center"/>
              <w:rPr>
                <w:rFonts w:ascii="Arial" w:hAnsi="Arial" w:eastAsia="Arial" w:cs="Arial"/>
                <w:color w:val="auto"/>
                <w:sz w:val="20"/>
              </w:rPr>
            </w:pPr>
            <w:r>
              <w:rPr>
                <w:rFonts w:ascii="Arial" w:hAnsi="Arial" w:eastAsia="Arial" w:cs="Arial"/>
                <w:color w:val="auto"/>
                <w:sz w:val="20"/>
              </w:rPr>
              <w:t>生产厂房</w:t>
            </w:r>
          </w:p>
        </w:tc>
        <w:tc>
          <w:tcPr>
            <w:tcW w:w="1378" w:type="dxa"/>
            <w:shd w:val="clear" w:color="auto" w:fill="FFFFFF"/>
            <w:tcMar>
              <w:top w:w="0" w:type="dxa"/>
              <w:left w:w="0" w:type="dxa"/>
              <w:bottom w:w="0" w:type="dxa"/>
              <w:right w:w="0" w:type="dxa"/>
            </w:tcMar>
            <w:vAlign w:val="center"/>
          </w:tcPr>
          <w:p w14:paraId="59F1F11F">
            <w:pPr>
              <w:jc w:val="center"/>
              <w:rPr>
                <w:rFonts w:ascii="Arial" w:hAnsi="Arial" w:cs="Arial"/>
                <w:color w:val="auto"/>
                <w:sz w:val="20"/>
              </w:rPr>
            </w:pPr>
            <w:r>
              <w:rPr>
                <w:rFonts w:ascii="Arial" w:hAnsi="Arial" w:eastAsia="Arial" w:cs="Arial"/>
                <w:color w:val="auto"/>
                <w:sz w:val="20"/>
              </w:rPr>
              <w:t>叉车</w:t>
            </w:r>
            <w:r>
              <w:rPr>
                <w:rFonts w:hint="eastAsia" w:ascii="Arial" w:hAnsi="Arial" w:cs="Arial"/>
                <w:color w:val="auto"/>
                <w:sz w:val="20"/>
              </w:rPr>
              <w:t>1</w:t>
            </w:r>
          </w:p>
        </w:tc>
        <w:tc>
          <w:tcPr>
            <w:tcW w:w="563" w:type="dxa"/>
            <w:shd w:val="clear" w:color="auto" w:fill="FFFFFF"/>
            <w:tcMar>
              <w:top w:w="0" w:type="dxa"/>
              <w:left w:w="0" w:type="dxa"/>
              <w:bottom w:w="0" w:type="dxa"/>
              <w:right w:w="0" w:type="dxa"/>
            </w:tcMar>
            <w:vAlign w:val="center"/>
          </w:tcPr>
          <w:p w14:paraId="7F613ECC">
            <w:pPr>
              <w:jc w:val="center"/>
              <w:rPr>
                <w:rFonts w:ascii="Arial" w:hAnsi="Arial" w:eastAsia="Arial" w:cs="Arial"/>
                <w:color w:val="auto"/>
                <w:sz w:val="20"/>
              </w:rPr>
            </w:pPr>
            <w:r>
              <w:rPr>
                <w:rFonts w:ascii="Arial" w:hAnsi="Arial" w:eastAsia="Arial" w:cs="Arial"/>
                <w:color w:val="auto"/>
                <w:sz w:val="20"/>
              </w:rPr>
              <w:t>80</w:t>
            </w:r>
          </w:p>
        </w:tc>
        <w:tc>
          <w:tcPr>
            <w:tcW w:w="656" w:type="dxa"/>
            <w:vMerge w:val="continue"/>
            <w:shd w:val="clear" w:color="auto" w:fill="FFFFFF"/>
            <w:tcMar>
              <w:top w:w="0" w:type="dxa"/>
              <w:left w:w="0" w:type="dxa"/>
              <w:bottom w:w="0" w:type="dxa"/>
              <w:right w:w="0" w:type="dxa"/>
            </w:tcMar>
            <w:vAlign w:val="center"/>
          </w:tcPr>
          <w:p w14:paraId="64A24B37">
            <w:pPr>
              <w:jc w:val="center"/>
              <w:rPr>
                <w:rFonts w:ascii="Arial" w:hAnsi="Arial" w:eastAsia="Arial" w:cs="Arial"/>
                <w:color w:val="auto"/>
                <w:sz w:val="20"/>
              </w:rPr>
            </w:pPr>
          </w:p>
        </w:tc>
        <w:tc>
          <w:tcPr>
            <w:tcW w:w="508" w:type="dxa"/>
            <w:shd w:val="clear" w:color="auto" w:fill="FFFFFF"/>
            <w:tcMar>
              <w:top w:w="0" w:type="dxa"/>
              <w:left w:w="0" w:type="dxa"/>
              <w:bottom w:w="0" w:type="dxa"/>
              <w:right w:w="0" w:type="dxa"/>
            </w:tcMar>
            <w:vAlign w:val="center"/>
          </w:tcPr>
          <w:p w14:paraId="4A38A04C">
            <w:pPr>
              <w:jc w:val="center"/>
              <w:rPr>
                <w:rFonts w:ascii="Arial" w:hAnsi="Arial" w:eastAsia="Arial" w:cs="Arial"/>
                <w:color w:val="auto"/>
                <w:sz w:val="20"/>
              </w:rPr>
            </w:pPr>
            <w:r>
              <w:rPr>
                <w:rFonts w:ascii="Arial" w:hAnsi="Arial" w:eastAsia="Arial" w:cs="Arial"/>
                <w:color w:val="auto"/>
                <w:sz w:val="20"/>
              </w:rPr>
              <w:t>-8.1</w:t>
            </w:r>
          </w:p>
        </w:tc>
        <w:tc>
          <w:tcPr>
            <w:tcW w:w="522" w:type="dxa"/>
            <w:shd w:val="clear" w:color="auto" w:fill="FFFFFF"/>
            <w:tcMar>
              <w:top w:w="0" w:type="dxa"/>
              <w:left w:w="0" w:type="dxa"/>
              <w:bottom w:w="0" w:type="dxa"/>
              <w:right w:w="0" w:type="dxa"/>
            </w:tcMar>
            <w:vAlign w:val="center"/>
          </w:tcPr>
          <w:p w14:paraId="6CD47C34">
            <w:pPr>
              <w:jc w:val="center"/>
              <w:rPr>
                <w:rFonts w:ascii="Arial" w:hAnsi="Arial" w:eastAsia="Arial" w:cs="Arial"/>
                <w:color w:val="auto"/>
                <w:sz w:val="20"/>
              </w:rPr>
            </w:pPr>
            <w:r>
              <w:rPr>
                <w:rFonts w:ascii="Arial" w:hAnsi="Arial" w:eastAsia="Arial" w:cs="Arial"/>
                <w:color w:val="auto"/>
                <w:sz w:val="20"/>
              </w:rPr>
              <w:t>6.5</w:t>
            </w:r>
          </w:p>
        </w:tc>
        <w:tc>
          <w:tcPr>
            <w:tcW w:w="525" w:type="dxa"/>
            <w:shd w:val="clear" w:color="auto" w:fill="FFFFFF"/>
            <w:tcMar>
              <w:top w:w="0" w:type="dxa"/>
              <w:left w:w="0" w:type="dxa"/>
              <w:bottom w:w="0" w:type="dxa"/>
              <w:right w:w="0" w:type="dxa"/>
            </w:tcMar>
            <w:vAlign w:val="center"/>
          </w:tcPr>
          <w:p w14:paraId="555566C4">
            <w:pPr>
              <w:jc w:val="center"/>
              <w:rPr>
                <w:rFonts w:ascii="Arial" w:hAnsi="Arial" w:eastAsia="Arial" w:cs="Arial"/>
                <w:color w:val="auto"/>
                <w:sz w:val="20"/>
              </w:rPr>
            </w:pPr>
            <w:r>
              <w:rPr>
                <w:rFonts w:ascii="Arial" w:hAnsi="Arial" w:eastAsia="Arial" w:cs="Arial"/>
                <w:color w:val="auto"/>
                <w:sz w:val="20"/>
              </w:rPr>
              <w:t>1.2</w:t>
            </w:r>
          </w:p>
        </w:tc>
        <w:tc>
          <w:tcPr>
            <w:tcW w:w="473" w:type="dxa"/>
            <w:shd w:val="clear" w:color="auto" w:fill="FFFFFF"/>
            <w:tcMar>
              <w:top w:w="0" w:type="dxa"/>
              <w:left w:w="0" w:type="dxa"/>
              <w:bottom w:w="0" w:type="dxa"/>
              <w:right w:w="0" w:type="dxa"/>
            </w:tcMar>
            <w:vAlign w:val="center"/>
          </w:tcPr>
          <w:p w14:paraId="318EC9A0">
            <w:pPr>
              <w:jc w:val="center"/>
              <w:rPr>
                <w:rFonts w:ascii="Arial" w:hAnsi="Arial" w:eastAsia="Arial" w:cs="Arial"/>
                <w:color w:val="auto"/>
                <w:sz w:val="20"/>
              </w:rPr>
            </w:pPr>
            <w:r>
              <w:rPr>
                <w:rFonts w:ascii="Arial" w:hAnsi="Arial" w:eastAsia="Arial" w:cs="Arial"/>
                <w:color w:val="auto"/>
                <w:sz w:val="20"/>
              </w:rPr>
              <w:t>37.6</w:t>
            </w:r>
          </w:p>
        </w:tc>
        <w:tc>
          <w:tcPr>
            <w:tcW w:w="522" w:type="dxa"/>
            <w:shd w:val="clear" w:color="auto" w:fill="FFFFFF"/>
            <w:tcMar>
              <w:top w:w="0" w:type="dxa"/>
              <w:left w:w="0" w:type="dxa"/>
              <w:bottom w:w="0" w:type="dxa"/>
              <w:right w:w="0" w:type="dxa"/>
            </w:tcMar>
            <w:vAlign w:val="center"/>
          </w:tcPr>
          <w:p w14:paraId="00B3C1F3">
            <w:pPr>
              <w:jc w:val="center"/>
              <w:rPr>
                <w:rFonts w:ascii="Arial" w:hAnsi="Arial" w:eastAsia="Arial" w:cs="Arial"/>
                <w:color w:val="auto"/>
                <w:sz w:val="20"/>
              </w:rPr>
            </w:pPr>
            <w:r>
              <w:rPr>
                <w:rFonts w:ascii="Arial" w:hAnsi="Arial" w:eastAsia="Arial" w:cs="Arial"/>
                <w:color w:val="auto"/>
                <w:sz w:val="20"/>
              </w:rPr>
              <w:t>41.5</w:t>
            </w:r>
          </w:p>
        </w:tc>
        <w:tc>
          <w:tcPr>
            <w:tcW w:w="540" w:type="dxa"/>
            <w:shd w:val="clear" w:color="auto" w:fill="FFFFFF"/>
            <w:tcMar>
              <w:top w:w="0" w:type="dxa"/>
              <w:left w:w="0" w:type="dxa"/>
              <w:bottom w:w="0" w:type="dxa"/>
              <w:right w:w="0" w:type="dxa"/>
            </w:tcMar>
            <w:vAlign w:val="center"/>
          </w:tcPr>
          <w:p w14:paraId="4D5AC3B4">
            <w:pPr>
              <w:jc w:val="center"/>
              <w:rPr>
                <w:rFonts w:ascii="Arial" w:hAnsi="Arial" w:eastAsia="Arial" w:cs="Arial"/>
                <w:color w:val="auto"/>
                <w:sz w:val="20"/>
              </w:rPr>
            </w:pPr>
            <w:r>
              <w:rPr>
                <w:rFonts w:ascii="Arial" w:hAnsi="Arial" w:eastAsia="Arial" w:cs="Arial"/>
                <w:color w:val="auto"/>
                <w:sz w:val="20"/>
              </w:rPr>
              <w:t>10.9</w:t>
            </w:r>
          </w:p>
        </w:tc>
        <w:tc>
          <w:tcPr>
            <w:tcW w:w="440" w:type="dxa"/>
            <w:shd w:val="clear" w:color="auto" w:fill="FFFFFF"/>
            <w:tcMar>
              <w:top w:w="0" w:type="dxa"/>
              <w:left w:w="0" w:type="dxa"/>
              <w:bottom w:w="0" w:type="dxa"/>
              <w:right w:w="0" w:type="dxa"/>
            </w:tcMar>
            <w:vAlign w:val="center"/>
          </w:tcPr>
          <w:p w14:paraId="47668E63">
            <w:pPr>
              <w:jc w:val="center"/>
              <w:rPr>
                <w:rFonts w:ascii="Arial" w:hAnsi="Arial" w:eastAsia="Arial" w:cs="Arial"/>
                <w:color w:val="auto"/>
                <w:sz w:val="20"/>
              </w:rPr>
            </w:pPr>
            <w:r>
              <w:rPr>
                <w:rFonts w:ascii="Arial" w:hAnsi="Arial" w:eastAsia="Arial" w:cs="Arial"/>
                <w:color w:val="auto"/>
                <w:sz w:val="20"/>
              </w:rPr>
              <w:t>28.4</w:t>
            </w:r>
          </w:p>
        </w:tc>
        <w:tc>
          <w:tcPr>
            <w:tcW w:w="472" w:type="dxa"/>
            <w:shd w:val="clear" w:color="auto" w:fill="FFFFFF"/>
            <w:tcMar>
              <w:top w:w="0" w:type="dxa"/>
              <w:left w:w="0" w:type="dxa"/>
              <w:bottom w:w="0" w:type="dxa"/>
              <w:right w:w="0" w:type="dxa"/>
            </w:tcMar>
            <w:vAlign w:val="center"/>
          </w:tcPr>
          <w:p w14:paraId="4BA55BD1">
            <w:pPr>
              <w:jc w:val="center"/>
              <w:rPr>
                <w:rFonts w:ascii="Arial" w:hAnsi="Arial" w:eastAsia="Arial" w:cs="Arial"/>
                <w:color w:val="auto"/>
                <w:sz w:val="20"/>
              </w:rPr>
            </w:pPr>
            <w:r>
              <w:rPr>
                <w:rFonts w:ascii="Arial" w:hAnsi="Arial" w:eastAsia="Arial" w:cs="Arial"/>
                <w:color w:val="auto"/>
                <w:sz w:val="20"/>
              </w:rPr>
              <w:t>62.4</w:t>
            </w:r>
          </w:p>
        </w:tc>
        <w:tc>
          <w:tcPr>
            <w:tcW w:w="472" w:type="dxa"/>
            <w:shd w:val="clear" w:color="auto" w:fill="FFFFFF"/>
            <w:tcMar>
              <w:top w:w="0" w:type="dxa"/>
              <w:left w:w="0" w:type="dxa"/>
              <w:bottom w:w="0" w:type="dxa"/>
              <w:right w:w="0" w:type="dxa"/>
            </w:tcMar>
            <w:vAlign w:val="center"/>
          </w:tcPr>
          <w:p w14:paraId="7FD8BA79">
            <w:pPr>
              <w:jc w:val="center"/>
              <w:rPr>
                <w:rFonts w:ascii="Arial" w:hAnsi="Arial" w:eastAsia="Arial" w:cs="Arial"/>
                <w:color w:val="auto"/>
                <w:sz w:val="20"/>
              </w:rPr>
            </w:pPr>
            <w:r>
              <w:rPr>
                <w:rFonts w:ascii="Arial" w:hAnsi="Arial" w:eastAsia="Arial" w:cs="Arial"/>
                <w:color w:val="auto"/>
                <w:sz w:val="20"/>
              </w:rPr>
              <w:t>62.4</w:t>
            </w:r>
          </w:p>
        </w:tc>
        <w:tc>
          <w:tcPr>
            <w:tcW w:w="504" w:type="dxa"/>
            <w:shd w:val="clear" w:color="auto" w:fill="FFFFFF"/>
            <w:tcMar>
              <w:top w:w="0" w:type="dxa"/>
              <w:left w:w="0" w:type="dxa"/>
              <w:bottom w:w="0" w:type="dxa"/>
              <w:right w:w="0" w:type="dxa"/>
            </w:tcMar>
            <w:vAlign w:val="center"/>
          </w:tcPr>
          <w:p w14:paraId="0BBF38B4">
            <w:pPr>
              <w:jc w:val="center"/>
              <w:rPr>
                <w:rFonts w:ascii="Arial" w:hAnsi="Arial" w:eastAsia="Arial" w:cs="Arial"/>
                <w:color w:val="auto"/>
                <w:sz w:val="20"/>
              </w:rPr>
            </w:pPr>
            <w:r>
              <w:rPr>
                <w:rFonts w:ascii="Arial" w:hAnsi="Arial" w:eastAsia="Arial" w:cs="Arial"/>
                <w:color w:val="auto"/>
                <w:sz w:val="20"/>
              </w:rPr>
              <w:t>62.6</w:t>
            </w:r>
          </w:p>
        </w:tc>
        <w:tc>
          <w:tcPr>
            <w:tcW w:w="507" w:type="dxa"/>
            <w:shd w:val="clear" w:color="auto" w:fill="FFFFFF"/>
            <w:tcMar>
              <w:top w:w="0" w:type="dxa"/>
              <w:left w:w="0" w:type="dxa"/>
              <w:bottom w:w="0" w:type="dxa"/>
              <w:right w:w="0" w:type="dxa"/>
            </w:tcMar>
            <w:vAlign w:val="center"/>
          </w:tcPr>
          <w:p w14:paraId="79D9EF15">
            <w:pPr>
              <w:jc w:val="center"/>
              <w:rPr>
                <w:rFonts w:ascii="Arial" w:hAnsi="Arial" w:eastAsia="Arial" w:cs="Arial"/>
                <w:color w:val="auto"/>
                <w:sz w:val="20"/>
              </w:rPr>
            </w:pPr>
            <w:r>
              <w:rPr>
                <w:rFonts w:ascii="Arial" w:hAnsi="Arial" w:eastAsia="Arial" w:cs="Arial"/>
                <w:color w:val="auto"/>
                <w:sz w:val="20"/>
              </w:rPr>
              <w:t>62.4</w:t>
            </w:r>
          </w:p>
        </w:tc>
        <w:tc>
          <w:tcPr>
            <w:tcW w:w="539" w:type="dxa"/>
            <w:vMerge w:val="continue"/>
            <w:shd w:val="clear" w:color="auto" w:fill="FFFFFF"/>
            <w:tcMar>
              <w:top w:w="0" w:type="dxa"/>
              <w:left w:w="0" w:type="dxa"/>
              <w:bottom w:w="0" w:type="dxa"/>
              <w:right w:w="0" w:type="dxa"/>
            </w:tcMar>
            <w:vAlign w:val="center"/>
          </w:tcPr>
          <w:p w14:paraId="0A1AE60D">
            <w:pPr>
              <w:jc w:val="center"/>
              <w:rPr>
                <w:rFonts w:ascii="Arial" w:hAnsi="Arial" w:eastAsia="Arial" w:cs="Arial"/>
                <w:color w:val="auto"/>
                <w:sz w:val="20"/>
              </w:rPr>
            </w:pPr>
          </w:p>
        </w:tc>
        <w:tc>
          <w:tcPr>
            <w:tcW w:w="472" w:type="dxa"/>
            <w:shd w:val="clear" w:color="auto" w:fill="FFFFFF"/>
            <w:tcMar>
              <w:top w:w="0" w:type="dxa"/>
              <w:left w:w="0" w:type="dxa"/>
              <w:bottom w:w="0" w:type="dxa"/>
              <w:right w:w="0" w:type="dxa"/>
            </w:tcMar>
            <w:vAlign w:val="center"/>
          </w:tcPr>
          <w:p w14:paraId="24982B14">
            <w:pPr>
              <w:jc w:val="center"/>
              <w:rPr>
                <w:rFonts w:ascii="Arial" w:hAnsi="Arial" w:eastAsia="Arial" w:cs="Arial"/>
                <w:color w:val="auto"/>
                <w:sz w:val="20"/>
              </w:rPr>
            </w:pPr>
            <w:r>
              <w:rPr>
                <w:rFonts w:ascii="Arial" w:hAnsi="Arial" w:eastAsia="Arial" w:cs="Arial"/>
                <w:color w:val="auto"/>
                <w:sz w:val="20"/>
              </w:rPr>
              <w:t>2</w:t>
            </w:r>
            <w:r>
              <w:rPr>
                <w:rFonts w:hint="eastAsia" w:ascii="Arial" w:hAnsi="Arial" w:eastAsia="Arial" w:cs="Arial"/>
                <w:color w:val="auto"/>
                <w:sz w:val="20"/>
              </w:rPr>
              <w:t>0.0</w:t>
            </w:r>
          </w:p>
        </w:tc>
        <w:tc>
          <w:tcPr>
            <w:tcW w:w="486" w:type="dxa"/>
            <w:shd w:val="clear" w:color="auto" w:fill="FFFFFF"/>
            <w:tcMar>
              <w:top w:w="0" w:type="dxa"/>
              <w:left w:w="0" w:type="dxa"/>
              <w:bottom w:w="0" w:type="dxa"/>
              <w:right w:w="0" w:type="dxa"/>
            </w:tcMar>
            <w:vAlign w:val="center"/>
          </w:tcPr>
          <w:p w14:paraId="2A928AA8">
            <w:pPr>
              <w:jc w:val="center"/>
              <w:rPr>
                <w:rFonts w:ascii="Arial" w:hAnsi="Arial" w:eastAsia="Arial" w:cs="Arial"/>
                <w:color w:val="auto"/>
                <w:sz w:val="20"/>
              </w:rPr>
            </w:pPr>
            <w:r>
              <w:rPr>
                <w:rFonts w:ascii="Arial" w:hAnsi="Arial" w:eastAsia="Arial" w:cs="Arial"/>
                <w:color w:val="auto"/>
                <w:sz w:val="20"/>
              </w:rPr>
              <w:t>2</w:t>
            </w:r>
            <w:r>
              <w:rPr>
                <w:rFonts w:hint="eastAsia" w:ascii="Arial" w:hAnsi="Arial" w:eastAsia="Arial" w:cs="Arial"/>
                <w:color w:val="auto"/>
                <w:sz w:val="20"/>
              </w:rPr>
              <w:t>0.0</w:t>
            </w:r>
          </w:p>
        </w:tc>
        <w:tc>
          <w:tcPr>
            <w:tcW w:w="472" w:type="dxa"/>
            <w:shd w:val="clear" w:color="auto" w:fill="FFFFFF"/>
            <w:tcMar>
              <w:top w:w="0" w:type="dxa"/>
              <w:left w:w="0" w:type="dxa"/>
              <w:bottom w:w="0" w:type="dxa"/>
              <w:right w:w="0" w:type="dxa"/>
            </w:tcMar>
            <w:vAlign w:val="center"/>
          </w:tcPr>
          <w:p w14:paraId="6ED02267">
            <w:pPr>
              <w:jc w:val="center"/>
              <w:rPr>
                <w:rFonts w:ascii="Arial" w:hAnsi="Arial" w:eastAsia="Arial" w:cs="Arial"/>
                <w:color w:val="auto"/>
                <w:sz w:val="20"/>
              </w:rPr>
            </w:pPr>
            <w:r>
              <w:rPr>
                <w:rFonts w:ascii="Arial" w:hAnsi="Arial" w:eastAsia="Arial" w:cs="Arial"/>
                <w:color w:val="auto"/>
                <w:sz w:val="20"/>
              </w:rPr>
              <w:t>2</w:t>
            </w:r>
            <w:r>
              <w:rPr>
                <w:rFonts w:hint="eastAsia" w:ascii="Arial" w:hAnsi="Arial" w:eastAsia="Arial" w:cs="Arial"/>
                <w:color w:val="auto"/>
                <w:sz w:val="20"/>
              </w:rPr>
              <w:t>0.0</w:t>
            </w:r>
          </w:p>
        </w:tc>
        <w:tc>
          <w:tcPr>
            <w:tcW w:w="422" w:type="dxa"/>
            <w:shd w:val="clear" w:color="auto" w:fill="FFFFFF"/>
            <w:tcMar>
              <w:top w:w="0" w:type="dxa"/>
              <w:left w:w="0" w:type="dxa"/>
              <w:bottom w:w="0" w:type="dxa"/>
              <w:right w:w="0" w:type="dxa"/>
            </w:tcMar>
            <w:vAlign w:val="center"/>
          </w:tcPr>
          <w:p w14:paraId="0BD69F9F">
            <w:pPr>
              <w:jc w:val="center"/>
              <w:rPr>
                <w:rFonts w:ascii="Arial" w:hAnsi="Arial" w:eastAsia="Arial" w:cs="Arial"/>
                <w:color w:val="auto"/>
                <w:sz w:val="20"/>
              </w:rPr>
            </w:pPr>
            <w:r>
              <w:rPr>
                <w:rFonts w:ascii="Arial" w:hAnsi="Arial" w:eastAsia="Arial" w:cs="Arial"/>
                <w:color w:val="auto"/>
                <w:sz w:val="20"/>
              </w:rPr>
              <w:t>2</w:t>
            </w:r>
            <w:r>
              <w:rPr>
                <w:rFonts w:hint="eastAsia" w:ascii="Arial" w:hAnsi="Arial" w:eastAsia="Arial" w:cs="Arial"/>
                <w:color w:val="auto"/>
                <w:sz w:val="20"/>
              </w:rPr>
              <w:t>0.0</w:t>
            </w:r>
          </w:p>
        </w:tc>
        <w:tc>
          <w:tcPr>
            <w:tcW w:w="553" w:type="dxa"/>
            <w:shd w:val="clear" w:color="auto" w:fill="FFFFFF"/>
            <w:tcMar>
              <w:top w:w="0" w:type="dxa"/>
              <w:left w:w="0" w:type="dxa"/>
              <w:bottom w:w="0" w:type="dxa"/>
              <w:right w:w="0" w:type="dxa"/>
            </w:tcMar>
            <w:vAlign w:val="center"/>
          </w:tcPr>
          <w:p w14:paraId="3965FFA3">
            <w:pPr>
              <w:jc w:val="center"/>
              <w:rPr>
                <w:rFonts w:ascii="Arial" w:hAnsi="Arial" w:cs="Arial"/>
                <w:color w:val="auto"/>
                <w:sz w:val="20"/>
              </w:rPr>
            </w:pPr>
            <w:r>
              <w:rPr>
                <w:rFonts w:hint="eastAsia" w:ascii="Arial" w:hAnsi="Arial" w:cs="Arial"/>
                <w:color w:val="auto"/>
                <w:sz w:val="20"/>
              </w:rPr>
              <w:t>42.4</w:t>
            </w:r>
          </w:p>
        </w:tc>
        <w:tc>
          <w:tcPr>
            <w:tcW w:w="486" w:type="dxa"/>
            <w:shd w:val="clear" w:color="auto" w:fill="FFFFFF"/>
            <w:tcMar>
              <w:top w:w="0" w:type="dxa"/>
              <w:left w:w="0" w:type="dxa"/>
              <w:bottom w:w="0" w:type="dxa"/>
              <w:right w:w="0" w:type="dxa"/>
            </w:tcMar>
            <w:vAlign w:val="center"/>
          </w:tcPr>
          <w:p w14:paraId="296A055A">
            <w:pPr>
              <w:jc w:val="center"/>
              <w:rPr>
                <w:rFonts w:ascii="Arial" w:hAnsi="Arial" w:cs="Arial"/>
                <w:color w:val="auto"/>
                <w:sz w:val="20"/>
              </w:rPr>
            </w:pPr>
            <w:r>
              <w:rPr>
                <w:rFonts w:hint="eastAsia" w:ascii="Arial" w:hAnsi="Arial" w:cs="Arial"/>
                <w:color w:val="auto"/>
                <w:sz w:val="20"/>
              </w:rPr>
              <w:t>42.4</w:t>
            </w:r>
          </w:p>
        </w:tc>
        <w:tc>
          <w:tcPr>
            <w:tcW w:w="553" w:type="dxa"/>
            <w:shd w:val="clear" w:color="auto" w:fill="FFFFFF"/>
            <w:tcMar>
              <w:top w:w="0" w:type="dxa"/>
              <w:left w:w="0" w:type="dxa"/>
              <w:bottom w:w="0" w:type="dxa"/>
              <w:right w:w="0" w:type="dxa"/>
            </w:tcMar>
            <w:vAlign w:val="center"/>
          </w:tcPr>
          <w:p w14:paraId="57FC0EA2">
            <w:pPr>
              <w:jc w:val="center"/>
              <w:rPr>
                <w:rFonts w:ascii="Arial" w:hAnsi="Arial" w:cs="Arial"/>
                <w:color w:val="auto"/>
                <w:sz w:val="20"/>
              </w:rPr>
            </w:pPr>
            <w:r>
              <w:rPr>
                <w:rFonts w:hint="eastAsia" w:ascii="Arial" w:hAnsi="Arial" w:cs="Arial"/>
                <w:color w:val="auto"/>
                <w:sz w:val="20"/>
              </w:rPr>
              <w:t>42.6</w:t>
            </w:r>
          </w:p>
        </w:tc>
        <w:tc>
          <w:tcPr>
            <w:tcW w:w="521" w:type="dxa"/>
            <w:shd w:val="clear" w:color="auto" w:fill="FFFFFF"/>
            <w:tcMar>
              <w:top w:w="0" w:type="dxa"/>
              <w:left w:w="0" w:type="dxa"/>
              <w:bottom w:w="0" w:type="dxa"/>
              <w:right w:w="0" w:type="dxa"/>
            </w:tcMar>
            <w:vAlign w:val="center"/>
          </w:tcPr>
          <w:p w14:paraId="11F8D6E6">
            <w:pPr>
              <w:jc w:val="center"/>
              <w:rPr>
                <w:rFonts w:ascii="Arial" w:hAnsi="Arial" w:cs="Arial"/>
                <w:color w:val="auto"/>
                <w:sz w:val="20"/>
              </w:rPr>
            </w:pPr>
            <w:r>
              <w:rPr>
                <w:rFonts w:hint="eastAsia" w:ascii="Arial" w:hAnsi="Arial" w:cs="Arial"/>
                <w:color w:val="auto"/>
                <w:sz w:val="20"/>
              </w:rPr>
              <w:t>42.4</w:t>
            </w:r>
          </w:p>
        </w:tc>
        <w:tc>
          <w:tcPr>
            <w:tcW w:w="696" w:type="dxa"/>
            <w:shd w:val="clear" w:color="auto" w:fill="FFFFFF"/>
            <w:tcMar>
              <w:top w:w="0" w:type="dxa"/>
              <w:left w:w="0" w:type="dxa"/>
              <w:bottom w:w="0" w:type="dxa"/>
              <w:right w:w="0" w:type="dxa"/>
            </w:tcMar>
            <w:vAlign w:val="center"/>
          </w:tcPr>
          <w:p w14:paraId="1771B2A8">
            <w:pPr>
              <w:jc w:val="center"/>
              <w:rPr>
                <w:rFonts w:ascii="Arial" w:hAnsi="Arial" w:eastAsia="Arial" w:cs="Arial"/>
                <w:color w:val="auto"/>
                <w:sz w:val="20"/>
              </w:rPr>
            </w:pPr>
            <w:r>
              <w:rPr>
                <w:rFonts w:ascii="Arial" w:hAnsi="Arial" w:eastAsia="Arial" w:cs="Arial"/>
                <w:color w:val="auto"/>
                <w:sz w:val="20"/>
              </w:rPr>
              <w:t>1</w:t>
            </w:r>
          </w:p>
        </w:tc>
      </w:tr>
      <w:tr w14:paraId="6A501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65" w:type="dxa"/>
            <w:shd w:val="clear" w:color="auto" w:fill="FFFFFF"/>
            <w:tcMar>
              <w:top w:w="0" w:type="dxa"/>
              <w:left w:w="0" w:type="dxa"/>
              <w:bottom w:w="0" w:type="dxa"/>
              <w:right w:w="0" w:type="dxa"/>
            </w:tcMar>
            <w:vAlign w:val="center"/>
          </w:tcPr>
          <w:p w14:paraId="74EB497D">
            <w:pPr>
              <w:jc w:val="center"/>
              <w:rPr>
                <w:rFonts w:ascii="Arial" w:hAnsi="Arial" w:eastAsia="Arial" w:cs="Arial"/>
                <w:color w:val="auto"/>
                <w:sz w:val="20"/>
              </w:rPr>
            </w:pPr>
            <w:r>
              <w:rPr>
                <w:rFonts w:ascii="Arial" w:hAnsi="Arial" w:eastAsia="Arial" w:cs="Arial"/>
                <w:color w:val="auto"/>
                <w:sz w:val="20"/>
              </w:rPr>
              <w:t>7</w:t>
            </w:r>
          </w:p>
        </w:tc>
        <w:tc>
          <w:tcPr>
            <w:tcW w:w="909" w:type="dxa"/>
            <w:shd w:val="clear" w:color="auto" w:fill="FFFFFF"/>
            <w:tcMar>
              <w:top w:w="0" w:type="dxa"/>
              <w:left w:w="0" w:type="dxa"/>
              <w:bottom w:w="0" w:type="dxa"/>
              <w:right w:w="0" w:type="dxa"/>
            </w:tcMar>
            <w:vAlign w:val="center"/>
          </w:tcPr>
          <w:p w14:paraId="686EAB89">
            <w:pPr>
              <w:jc w:val="center"/>
              <w:rPr>
                <w:rFonts w:ascii="Arial" w:hAnsi="Arial" w:eastAsia="Arial" w:cs="Arial"/>
                <w:color w:val="auto"/>
                <w:sz w:val="20"/>
              </w:rPr>
            </w:pPr>
            <w:r>
              <w:rPr>
                <w:rFonts w:ascii="Arial" w:hAnsi="Arial" w:eastAsia="Arial" w:cs="Arial"/>
                <w:color w:val="auto"/>
                <w:sz w:val="20"/>
              </w:rPr>
              <w:t>生产厂房</w:t>
            </w:r>
          </w:p>
        </w:tc>
        <w:tc>
          <w:tcPr>
            <w:tcW w:w="1378" w:type="dxa"/>
            <w:shd w:val="clear" w:color="auto" w:fill="FFFFFF"/>
            <w:tcMar>
              <w:top w:w="0" w:type="dxa"/>
              <w:left w:w="0" w:type="dxa"/>
              <w:bottom w:w="0" w:type="dxa"/>
              <w:right w:w="0" w:type="dxa"/>
            </w:tcMar>
            <w:vAlign w:val="center"/>
          </w:tcPr>
          <w:p w14:paraId="3D083CBA">
            <w:pPr>
              <w:jc w:val="center"/>
              <w:rPr>
                <w:rFonts w:ascii="Arial" w:hAnsi="Arial" w:cs="Arial"/>
                <w:color w:val="auto"/>
                <w:sz w:val="20"/>
              </w:rPr>
            </w:pPr>
            <w:r>
              <w:rPr>
                <w:rFonts w:ascii="Arial" w:hAnsi="Arial" w:eastAsia="Arial" w:cs="Arial"/>
                <w:color w:val="auto"/>
                <w:sz w:val="20"/>
              </w:rPr>
              <w:t>叉车</w:t>
            </w:r>
            <w:r>
              <w:rPr>
                <w:rFonts w:hint="eastAsia" w:ascii="Arial" w:hAnsi="Arial" w:cs="Arial"/>
                <w:color w:val="auto"/>
                <w:sz w:val="20"/>
              </w:rPr>
              <w:t>2</w:t>
            </w:r>
          </w:p>
        </w:tc>
        <w:tc>
          <w:tcPr>
            <w:tcW w:w="563" w:type="dxa"/>
            <w:shd w:val="clear" w:color="auto" w:fill="FFFFFF"/>
            <w:tcMar>
              <w:top w:w="0" w:type="dxa"/>
              <w:left w:w="0" w:type="dxa"/>
              <w:bottom w:w="0" w:type="dxa"/>
              <w:right w:w="0" w:type="dxa"/>
            </w:tcMar>
            <w:vAlign w:val="center"/>
          </w:tcPr>
          <w:p w14:paraId="7D4F9E3E">
            <w:pPr>
              <w:jc w:val="center"/>
              <w:rPr>
                <w:rFonts w:ascii="Arial" w:hAnsi="Arial" w:eastAsia="Arial" w:cs="Arial"/>
                <w:color w:val="auto"/>
                <w:sz w:val="20"/>
              </w:rPr>
            </w:pPr>
            <w:r>
              <w:rPr>
                <w:rFonts w:ascii="Arial" w:hAnsi="Arial" w:eastAsia="Arial" w:cs="Arial"/>
                <w:color w:val="auto"/>
                <w:sz w:val="20"/>
              </w:rPr>
              <w:t>80</w:t>
            </w:r>
          </w:p>
        </w:tc>
        <w:tc>
          <w:tcPr>
            <w:tcW w:w="656" w:type="dxa"/>
            <w:vMerge w:val="continue"/>
            <w:shd w:val="clear" w:color="auto" w:fill="FFFFFF"/>
            <w:tcMar>
              <w:top w:w="0" w:type="dxa"/>
              <w:left w:w="0" w:type="dxa"/>
              <w:bottom w:w="0" w:type="dxa"/>
              <w:right w:w="0" w:type="dxa"/>
            </w:tcMar>
            <w:vAlign w:val="center"/>
          </w:tcPr>
          <w:p w14:paraId="37917607">
            <w:pPr>
              <w:jc w:val="center"/>
              <w:rPr>
                <w:rFonts w:ascii="Arial" w:hAnsi="Arial" w:eastAsia="Arial" w:cs="Arial"/>
                <w:color w:val="auto"/>
                <w:sz w:val="20"/>
              </w:rPr>
            </w:pPr>
          </w:p>
        </w:tc>
        <w:tc>
          <w:tcPr>
            <w:tcW w:w="508" w:type="dxa"/>
            <w:shd w:val="clear" w:color="auto" w:fill="FFFFFF"/>
            <w:tcMar>
              <w:top w:w="0" w:type="dxa"/>
              <w:left w:w="0" w:type="dxa"/>
              <w:bottom w:w="0" w:type="dxa"/>
              <w:right w:w="0" w:type="dxa"/>
            </w:tcMar>
            <w:vAlign w:val="center"/>
          </w:tcPr>
          <w:p w14:paraId="43424CB2">
            <w:pPr>
              <w:jc w:val="center"/>
              <w:rPr>
                <w:rFonts w:ascii="Arial" w:hAnsi="Arial" w:eastAsia="Arial" w:cs="Arial"/>
                <w:color w:val="auto"/>
                <w:sz w:val="20"/>
              </w:rPr>
            </w:pPr>
            <w:r>
              <w:rPr>
                <w:rFonts w:ascii="Arial" w:hAnsi="Arial" w:eastAsia="Arial" w:cs="Arial"/>
                <w:color w:val="auto"/>
                <w:sz w:val="20"/>
              </w:rPr>
              <w:t>-1.9</w:t>
            </w:r>
          </w:p>
        </w:tc>
        <w:tc>
          <w:tcPr>
            <w:tcW w:w="522" w:type="dxa"/>
            <w:shd w:val="clear" w:color="auto" w:fill="FFFFFF"/>
            <w:tcMar>
              <w:top w:w="0" w:type="dxa"/>
              <w:left w:w="0" w:type="dxa"/>
              <w:bottom w:w="0" w:type="dxa"/>
              <w:right w:w="0" w:type="dxa"/>
            </w:tcMar>
            <w:vAlign w:val="center"/>
          </w:tcPr>
          <w:p w14:paraId="4FDFA872">
            <w:pPr>
              <w:jc w:val="center"/>
              <w:rPr>
                <w:rFonts w:ascii="Arial" w:hAnsi="Arial" w:eastAsia="Arial" w:cs="Arial"/>
                <w:color w:val="auto"/>
                <w:sz w:val="20"/>
              </w:rPr>
            </w:pPr>
            <w:r>
              <w:rPr>
                <w:rFonts w:ascii="Arial" w:hAnsi="Arial" w:eastAsia="Arial" w:cs="Arial"/>
                <w:color w:val="auto"/>
                <w:sz w:val="20"/>
              </w:rPr>
              <w:t>20.8</w:t>
            </w:r>
          </w:p>
        </w:tc>
        <w:tc>
          <w:tcPr>
            <w:tcW w:w="525" w:type="dxa"/>
            <w:shd w:val="clear" w:color="auto" w:fill="FFFFFF"/>
            <w:tcMar>
              <w:top w:w="0" w:type="dxa"/>
              <w:left w:w="0" w:type="dxa"/>
              <w:bottom w:w="0" w:type="dxa"/>
              <w:right w:w="0" w:type="dxa"/>
            </w:tcMar>
            <w:vAlign w:val="center"/>
          </w:tcPr>
          <w:p w14:paraId="5BEB0E0C">
            <w:pPr>
              <w:jc w:val="center"/>
              <w:rPr>
                <w:rFonts w:ascii="Arial" w:hAnsi="Arial" w:eastAsia="Arial" w:cs="Arial"/>
                <w:color w:val="auto"/>
                <w:sz w:val="20"/>
              </w:rPr>
            </w:pPr>
            <w:r>
              <w:rPr>
                <w:rFonts w:ascii="Arial" w:hAnsi="Arial" w:eastAsia="Arial" w:cs="Arial"/>
                <w:color w:val="auto"/>
                <w:sz w:val="20"/>
              </w:rPr>
              <w:t>1.2</w:t>
            </w:r>
          </w:p>
        </w:tc>
        <w:tc>
          <w:tcPr>
            <w:tcW w:w="473" w:type="dxa"/>
            <w:shd w:val="clear" w:color="auto" w:fill="FFFFFF"/>
            <w:tcMar>
              <w:top w:w="0" w:type="dxa"/>
              <w:left w:w="0" w:type="dxa"/>
              <w:bottom w:w="0" w:type="dxa"/>
              <w:right w:w="0" w:type="dxa"/>
            </w:tcMar>
            <w:vAlign w:val="center"/>
          </w:tcPr>
          <w:p w14:paraId="4091A2FC">
            <w:pPr>
              <w:jc w:val="center"/>
              <w:rPr>
                <w:rFonts w:ascii="Arial" w:hAnsi="Arial" w:eastAsia="Arial" w:cs="Arial"/>
                <w:color w:val="auto"/>
                <w:sz w:val="20"/>
              </w:rPr>
            </w:pPr>
            <w:r>
              <w:rPr>
                <w:rFonts w:ascii="Arial" w:hAnsi="Arial" w:eastAsia="Arial" w:cs="Arial"/>
                <w:color w:val="auto"/>
                <w:sz w:val="20"/>
              </w:rPr>
              <w:t>34.1</w:t>
            </w:r>
          </w:p>
        </w:tc>
        <w:tc>
          <w:tcPr>
            <w:tcW w:w="522" w:type="dxa"/>
            <w:shd w:val="clear" w:color="auto" w:fill="FFFFFF"/>
            <w:tcMar>
              <w:top w:w="0" w:type="dxa"/>
              <w:left w:w="0" w:type="dxa"/>
              <w:bottom w:w="0" w:type="dxa"/>
              <w:right w:w="0" w:type="dxa"/>
            </w:tcMar>
            <w:vAlign w:val="center"/>
          </w:tcPr>
          <w:p w14:paraId="1631CFE2">
            <w:pPr>
              <w:jc w:val="center"/>
              <w:rPr>
                <w:rFonts w:ascii="Arial" w:hAnsi="Arial" w:eastAsia="Arial" w:cs="Arial"/>
                <w:color w:val="auto"/>
                <w:sz w:val="20"/>
              </w:rPr>
            </w:pPr>
            <w:r>
              <w:rPr>
                <w:rFonts w:ascii="Arial" w:hAnsi="Arial" w:eastAsia="Arial" w:cs="Arial"/>
                <w:color w:val="auto"/>
                <w:sz w:val="20"/>
              </w:rPr>
              <w:t>56.9</w:t>
            </w:r>
          </w:p>
        </w:tc>
        <w:tc>
          <w:tcPr>
            <w:tcW w:w="540" w:type="dxa"/>
            <w:shd w:val="clear" w:color="auto" w:fill="FFFFFF"/>
            <w:tcMar>
              <w:top w:w="0" w:type="dxa"/>
              <w:left w:w="0" w:type="dxa"/>
              <w:bottom w:w="0" w:type="dxa"/>
              <w:right w:w="0" w:type="dxa"/>
            </w:tcMar>
            <w:vAlign w:val="center"/>
          </w:tcPr>
          <w:p w14:paraId="0308E3ED">
            <w:pPr>
              <w:jc w:val="center"/>
              <w:rPr>
                <w:rFonts w:ascii="Arial" w:hAnsi="Arial" w:eastAsia="Arial" w:cs="Arial"/>
                <w:color w:val="auto"/>
                <w:sz w:val="20"/>
              </w:rPr>
            </w:pPr>
            <w:r>
              <w:rPr>
                <w:rFonts w:ascii="Arial" w:hAnsi="Arial" w:eastAsia="Arial" w:cs="Arial"/>
                <w:color w:val="auto"/>
                <w:sz w:val="20"/>
              </w:rPr>
              <w:t>14.3</w:t>
            </w:r>
          </w:p>
        </w:tc>
        <w:tc>
          <w:tcPr>
            <w:tcW w:w="440" w:type="dxa"/>
            <w:shd w:val="clear" w:color="auto" w:fill="FFFFFF"/>
            <w:tcMar>
              <w:top w:w="0" w:type="dxa"/>
              <w:left w:w="0" w:type="dxa"/>
              <w:bottom w:w="0" w:type="dxa"/>
              <w:right w:w="0" w:type="dxa"/>
            </w:tcMar>
            <w:vAlign w:val="center"/>
          </w:tcPr>
          <w:p w14:paraId="2EB1AA15">
            <w:pPr>
              <w:jc w:val="center"/>
              <w:rPr>
                <w:rFonts w:ascii="Arial" w:hAnsi="Arial" w:eastAsia="Arial" w:cs="Arial"/>
                <w:color w:val="auto"/>
                <w:sz w:val="20"/>
              </w:rPr>
            </w:pPr>
            <w:r>
              <w:rPr>
                <w:rFonts w:ascii="Arial" w:hAnsi="Arial" w:eastAsia="Arial" w:cs="Arial"/>
                <w:color w:val="auto"/>
                <w:sz w:val="20"/>
              </w:rPr>
              <w:t>13.3</w:t>
            </w:r>
          </w:p>
        </w:tc>
        <w:tc>
          <w:tcPr>
            <w:tcW w:w="472" w:type="dxa"/>
            <w:shd w:val="clear" w:color="auto" w:fill="FFFFFF"/>
            <w:tcMar>
              <w:top w:w="0" w:type="dxa"/>
              <w:left w:w="0" w:type="dxa"/>
              <w:bottom w:w="0" w:type="dxa"/>
              <w:right w:w="0" w:type="dxa"/>
            </w:tcMar>
            <w:vAlign w:val="center"/>
          </w:tcPr>
          <w:p w14:paraId="403292C5">
            <w:pPr>
              <w:jc w:val="center"/>
              <w:rPr>
                <w:rFonts w:ascii="Arial" w:hAnsi="Arial" w:eastAsia="Arial" w:cs="Arial"/>
                <w:color w:val="auto"/>
                <w:sz w:val="20"/>
              </w:rPr>
            </w:pPr>
            <w:r>
              <w:rPr>
                <w:rFonts w:ascii="Arial" w:hAnsi="Arial" w:eastAsia="Arial" w:cs="Arial"/>
                <w:color w:val="auto"/>
                <w:sz w:val="20"/>
              </w:rPr>
              <w:t>62.4</w:t>
            </w:r>
          </w:p>
        </w:tc>
        <w:tc>
          <w:tcPr>
            <w:tcW w:w="472" w:type="dxa"/>
            <w:shd w:val="clear" w:color="auto" w:fill="FFFFFF"/>
            <w:tcMar>
              <w:top w:w="0" w:type="dxa"/>
              <w:left w:w="0" w:type="dxa"/>
              <w:bottom w:w="0" w:type="dxa"/>
              <w:right w:w="0" w:type="dxa"/>
            </w:tcMar>
            <w:vAlign w:val="center"/>
          </w:tcPr>
          <w:p w14:paraId="234EFE6A">
            <w:pPr>
              <w:jc w:val="center"/>
              <w:rPr>
                <w:rFonts w:ascii="Arial" w:hAnsi="Arial" w:eastAsia="Arial" w:cs="Arial"/>
                <w:color w:val="auto"/>
                <w:sz w:val="20"/>
              </w:rPr>
            </w:pPr>
            <w:r>
              <w:rPr>
                <w:rFonts w:ascii="Arial" w:hAnsi="Arial" w:eastAsia="Arial" w:cs="Arial"/>
                <w:color w:val="auto"/>
                <w:sz w:val="20"/>
              </w:rPr>
              <w:t>62.4</w:t>
            </w:r>
          </w:p>
        </w:tc>
        <w:tc>
          <w:tcPr>
            <w:tcW w:w="504" w:type="dxa"/>
            <w:shd w:val="clear" w:color="auto" w:fill="FFFFFF"/>
            <w:tcMar>
              <w:top w:w="0" w:type="dxa"/>
              <w:left w:w="0" w:type="dxa"/>
              <w:bottom w:w="0" w:type="dxa"/>
              <w:right w:w="0" w:type="dxa"/>
            </w:tcMar>
            <w:vAlign w:val="center"/>
          </w:tcPr>
          <w:p w14:paraId="066B4AD3">
            <w:pPr>
              <w:jc w:val="center"/>
              <w:rPr>
                <w:rFonts w:ascii="Arial" w:hAnsi="Arial" w:eastAsia="Arial" w:cs="Arial"/>
                <w:color w:val="auto"/>
                <w:sz w:val="20"/>
              </w:rPr>
            </w:pPr>
            <w:r>
              <w:rPr>
                <w:rFonts w:ascii="Arial" w:hAnsi="Arial" w:eastAsia="Arial" w:cs="Arial"/>
                <w:color w:val="auto"/>
                <w:sz w:val="20"/>
              </w:rPr>
              <w:t>62.5</w:t>
            </w:r>
          </w:p>
        </w:tc>
        <w:tc>
          <w:tcPr>
            <w:tcW w:w="507" w:type="dxa"/>
            <w:shd w:val="clear" w:color="auto" w:fill="FFFFFF"/>
            <w:tcMar>
              <w:top w:w="0" w:type="dxa"/>
              <w:left w:w="0" w:type="dxa"/>
              <w:bottom w:w="0" w:type="dxa"/>
              <w:right w:w="0" w:type="dxa"/>
            </w:tcMar>
            <w:vAlign w:val="center"/>
          </w:tcPr>
          <w:p w14:paraId="1E484F40">
            <w:pPr>
              <w:jc w:val="center"/>
              <w:rPr>
                <w:rFonts w:ascii="Arial" w:hAnsi="Arial" w:eastAsia="Arial" w:cs="Arial"/>
                <w:color w:val="auto"/>
                <w:sz w:val="20"/>
              </w:rPr>
            </w:pPr>
            <w:r>
              <w:rPr>
                <w:rFonts w:ascii="Arial" w:hAnsi="Arial" w:eastAsia="Arial" w:cs="Arial"/>
                <w:color w:val="auto"/>
                <w:sz w:val="20"/>
              </w:rPr>
              <w:t>62.5</w:t>
            </w:r>
          </w:p>
        </w:tc>
        <w:tc>
          <w:tcPr>
            <w:tcW w:w="539" w:type="dxa"/>
            <w:vMerge w:val="continue"/>
            <w:shd w:val="clear" w:color="auto" w:fill="FFFFFF"/>
            <w:tcMar>
              <w:top w:w="0" w:type="dxa"/>
              <w:left w:w="0" w:type="dxa"/>
              <w:bottom w:w="0" w:type="dxa"/>
              <w:right w:w="0" w:type="dxa"/>
            </w:tcMar>
            <w:vAlign w:val="center"/>
          </w:tcPr>
          <w:p w14:paraId="68209E6A">
            <w:pPr>
              <w:jc w:val="center"/>
              <w:rPr>
                <w:rFonts w:ascii="Arial" w:hAnsi="Arial" w:eastAsia="Arial" w:cs="Arial"/>
                <w:color w:val="auto"/>
                <w:sz w:val="20"/>
              </w:rPr>
            </w:pPr>
          </w:p>
        </w:tc>
        <w:tc>
          <w:tcPr>
            <w:tcW w:w="472" w:type="dxa"/>
            <w:shd w:val="clear" w:color="auto" w:fill="FFFFFF"/>
            <w:tcMar>
              <w:top w:w="0" w:type="dxa"/>
              <w:left w:w="0" w:type="dxa"/>
              <w:bottom w:w="0" w:type="dxa"/>
              <w:right w:w="0" w:type="dxa"/>
            </w:tcMar>
            <w:vAlign w:val="center"/>
          </w:tcPr>
          <w:p w14:paraId="1A3EE201">
            <w:pPr>
              <w:jc w:val="center"/>
              <w:rPr>
                <w:rFonts w:ascii="Arial" w:hAnsi="Arial" w:eastAsia="Arial" w:cs="Arial"/>
                <w:color w:val="auto"/>
                <w:sz w:val="20"/>
              </w:rPr>
            </w:pPr>
            <w:r>
              <w:rPr>
                <w:rFonts w:ascii="Arial" w:hAnsi="Arial" w:eastAsia="Arial" w:cs="Arial"/>
                <w:color w:val="auto"/>
                <w:sz w:val="20"/>
              </w:rPr>
              <w:t>2</w:t>
            </w:r>
            <w:r>
              <w:rPr>
                <w:rFonts w:hint="eastAsia" w:ascii="Arial" w:hAnsi="Arial" w:eastAsia="Arial" w:cs="Arial"/>
                <w:color w:val="auto"/>
                <w:sz w:val="20"/>
              </w:rPr>
              <w:t>0.0</w:t>
            </w:r>
          </w:p>
        </w:tc>
        <w:tc>
          <w:tcPr>
            <w:tcW w:w="486" w:type="dxa"/>
            <w:shd w:val="clear" w:color="auto" w:fill="FFFFFF"/>
            <w:tcMar>
              <w:top w:w="0" w:type="dxa"/>
              <w:left w:w="0" w:type="dxa"/>
              <w:bottom w:w="0" w:type="dxa"/>
              <w:right w:w="0" w:type="dxa"/>
            </w:tcMar>
            <w:vAlign w:val="center"/>
          </w:tcPr>
          <w:p w14:paraId="7A62DC58">
            <w:pPr>
              <w:jc w:val="center"/>
              <w:rPr>
                <w:rFonts w:ascii="Arial" w:hAnsi="Arial" w:eastAsia="Arial" w:cs="Arial"/>
                <w:color w:val="auto"/>
                <w:sz w:val="20"/>
              </w:rPr>
            </w:pPr>
            <w:r>
              <w:rPr>
                <w:rFonts w:ascii="Arial" w:hAnsi="Arial" w:eastAsia="Arial" w:cs="Arial"/>
                <w:color w:val="auto"/>
                <w:sz w:val="20"/>
              </w:rPr>
              <w:t>2</w:t>
            </w:r>
            <w:r>
              <w:rPr>
                <w:rFonts w:hint="eastAsia" w:ascii="Arial" w:hAnsi="Arial" w:eastAsia="Arial" w:cs="Arial"/>
                <w:color w:val="auto"/>
                <w:sz w:val="20"/>
              </w:rPr>
              <w:t>0.0</w:t>
            </w:r>
          </w:p>
        </w:tc>
        <w:tc>
          <w:tcPr>
            <w:tcW w:w="472" w:type="dxa"/>
            <w:shd w:val="clear" w:color="auto" w:fill="FFFFFF"/>
            <w:tcMar>
              <w:top w:w="0" w:type="dxa"/>
              <w:left w:w="0" w:type="dxa"/>
              <w:bottom w:w="0" w:type="dxa"/>
              <w:right w:w="0" w:type="dxa"/>
            </w:tcMar>
            <w:vAlign w:val="center"/>
          </w:tcPr>
          <w:p w14:paraId="390C3919">
            <w:pPr>
              <w:jc w:val="center"/>
              <w:rPr>
                <w:rFonts w:ascii="Arial" w:hAnsi="Arial" w:eastAsia="Arial" w:cs="Arial"/>
                <w:color w:val="auto"/>
                <w:sz w:val="20"/>
              </w:rPr>
            </w:pPr>
            <w:r>
              <w:rPr>
                <w:rFonts w:ascii="Arial" w:hAnsi="Arial" w:eastAsia="Arial" w:cs="Arial"/>
                <w:color w:val="auto"/>
                <w:sz w:val="20"/>
              </w:rPr>
              <w:t>2</w:t>
            </w:r>
            <w:r>
              <w:rPr>
                <w:rFonts w:hint="eastAsia" w:ascii="Arial" w:hAnsi="Arial" w:eastAsia="Arial" w:cs="Arial"/>
                <w:color w:val="auto"/>
                <w:sz w:val="20"/>
              </w:rPr>
              <w:t>0.0</w:t>
            </w:r>
          </w:p>
        </w:tc>
        <w:tc>
          <w:tcPr>
            <w:tcW w:w="422" w:type="dxa"/>
            <w:shd w:val="clear" w:color="auto" w:fill="FFFFFF"/>
            <w:tcMar>
              <w:top w:w="0" w:type="dxa"/>
              <w:left w:w="0" w:type="dxa"/>
              <w:bottom w:w="0" w:type="dxa"/>
              <w:right w:w="0" w:type="dxa"/>
            </w:tcMar>
            <w:vAlign w:val="center"/>
          </w:tcPr>
          <w:p w14:paraId="15950D4B">
            <w:pPr>
              <w:jc w:val="center"/>
              <w:rPr>
                <w:rFonts w:ascii="Arial" w:hAnsi="Arial" w:eastAsia="Arial" w:cs="Arial"/>
                <w:color w:val="auto"/>
                <w:sz w:val="20"/>
              </w:rPr>
            </w:pPr>
            <w:r>
              <w:rPr>
                <w:rFonts w:ascii="Arial" w:hAnsi="Arial" w:eastAsia="Arial" w:cs="Arial"/>
                <w:color w:val="auto"/>
                <w:sz w:val="20"/>
              </w:rPr>
              <w:t>2</w:t>
            </w:r>
            <w:r>
              <w:rPr>
                <w:rFonts w:hint="eastAsia" w:ascii="Arial" w:hAnsi="Arial" w:eastAsia="Arial" w:cs="Arial"/>
                <w:color w:val="auto"/>
                <w:sz w:val="20"/>
              </w:rPr>
              <w:t>0.0</w:t>
            </w:r>
          </w:p>
        </w:tc>
        <w:tc>
          <w:tcPr>
            <w:tcW w:w="553" w:type="dxa"/>
            <w:shd w:val="clear" w:color="auto" w:fill="FFFFFF"/>
            <w:tcMar>
              <w:top w:w="0" w:type="dxa"/>
              <w:left w:w="0" w:type="dxa"/>
              <w:bottom w:w="0" w:type="dxa"/>
              <w:right w:w="0" w:type="dxa"/>
            </w:tcMar>
            <w:vAlign w:val="center"/>
          </w:tcPr>
          <w:p w14:paraId="7C880315">
            <w:pPr>
              <w:jc w:val="center"/>
              <w:rPr>
                <w:rFonts w:ascii="Arial" w:hAnsi="Arial" w:cs="Arial"/>
                <w:color w:val="auto"/>
                <w:sz w:val="20"/>
              </w:rPr>
            </w:pPr>
            <w:r>
              <w:rPr>
                <w:rFonts w:hint="eastAsia" w:ascii="Arial" w:hAnsi="Arial" w:cs="Arial"/>
                <w:color w:val="auto"/>
                <w:sz w:val="20"/>
              </w:rPr>
              <w:t>42.4</w:t>
            </w:r>
          </w:p>
        </w:tc>
        <w:tc>
          <w:tcPr>
            <w:tcW w:w="486" w:type="dxa"/>
            <w:shd w:val="clear" w:color="auto" w:fill="FFFFFF"/>
            <w:tcMar>
              <w:top w:w="0" w:type="dxa"/>
              <w:left w:w="0" w:type="dxa"/>
              <w:bottom w:w="0" w:type="dxa"/>
              <w:right w:w="0" w:type="dxa"/>
            </w:tcMar>
            <w:vAlign w:val="center"/>
          </w:tcPr>
          <w:p w14:paraId="57DB400D">
            <w:pPr>
              <w:jc w:val="center"/>
              <w:rPr>
                <w:rFonts w:ascii="Arial" w:hAnsi="Arial" w:cs="Arial"/>
                <w:color w:val="auto"/>
                <w:sz w:val="20"/>
              </w:rPr>
            </w:pPr>
            <w:r>
              <w:rPr>
                <w:rFonts w:hint="eastAsia" w:ascii="Arial" w:hAnsi="Arial" w:cs="Arial"/>
                <w:color w:val="auto"/>
                <w:sz w:val="20"/>
              </w:rPr>
              <w:t>42.4</w:t>
            </w:r>
          </w:p>
        </w:tc>
        <w:tc>
          <w:tcPr>
            <w:tcW w:w="553" w:type="dxa"/>
            <w:shd w:val="clear" w:color="auto" w:fill="FFFFFF"/>
            <w:tcMar>
              <w:top w:w="0" w:type="dxa"/>
              <w:left w:w="0" w:type="dxa"/>
              <w:bottom w:w="0" w:type="dxa"/>
              <w:right w:w="0" w:type="dxa"/>
            </w:tcMar>
            <w:vAlign w:val="center"/>
          </w:tcPr>
          <w:p w14:paraId="1BA59A8E">
            <w:pPr>
              <w:jc w:val="center"/>
              <w:rPr>
                <w:rFonts w:ascii="Arial" w:hAnsi="Arial" w:cs="Arial"/>
                <w:color w:val="auto"/>
                <w:sz w:val="20"/>
              </w:rPr>
            </w:pPr>
            <w:r>
              <w:rPr>
                <w:rFonts w:hint="eastAsia" w:ascii="Arial" w:hAnsi="Arial" w:cs="Arial"/>
                <w:color w:val="auto"/>
                <w:sz w:val="20"/>
              </w:rPr>
              <w:t>42.5</w:t>
            </w:r>
          </w:p>
        </w:tc>
        <w:tc>
          <w:tcPr>
            <w:tcW w:w="521" w:type="dxa"/>
            <w:shd w:val="clear" w:color="auto" w:fill="FFFFFF"/>
            <w:tcMar>
              <w:top w:w="0" w:type="dxa"/>
              <w:left w:w="0" w:type="dxa"/>
              <w:bottom w:w="0" w:type="dxa"/>
              <w:right w:w="0" w:type="dxa"/>
            </w:tcMar>
            <w:vAlign w:val="center"/>
          </w:tcPr>
          <w:p w14:paraId="0E82E54D">
            <w:pPr>
              <w:jc w:val="center"/>
              <w:rPr>
                <w:rFonts w:ascii="Arial" w:hAnsi="Arial" w:cs="Arial"/>
                <w:color w:val="auto"/>
                <w:sz w:val="20"/>
              </w:rPr>
            </w:pPr>
            <w:r>
              <w:rPr>
                <w:rFonts w:hint="eastAsia" w:ascii="Arial" w:hAnsi="Arial" w:cs="Arial"/>
                <w:color w:val="auto"/>
                <w:sz w:val="20"/>
              </w:rPr>
              <w:t>42.5</w:t>
            </w:r>
          </w:p>
        </w:tc>
        <w:tc>
          <w:tcPr>
            <w:tcW w:w="696" w:type="dxa"/>
            <w:shd w:val="clear" w:color="auto" w:fill="FFFFFF"/>
            <w:tcMar>
              <w:top w:w="0" w:type="dxa"/>
              <w:left w:w="0" w:type="dxa"/>
              <w:bottom w:w="0" w:type="dxa"/>
              <w:right w:w="0" w:type="dxa"/>
            </w:tcMar>
            <w:vAlign w:val="center"/>
          </w:tcPr>
          <w:p w14:paraId="6663574A">
            <w:pPr>
              <w:jc w:val="center"/>
              <w:rPr>
                <w:rFonts w:ascii="Arial" w:hAnsi="Arial" w:eastAsia="Arial" w:cs="Arial"/>
                <w:color w:val="auto"/>
                <w:sz w:val="20"/>
              </w:rPr>
            </w:pPr>
            <w:r>
              <w:rPr>
                <w:rFonts w:ascii="Arial" w:hAnsi="Arial" w:eastAsia="Arial" w:cs="Arial"/>
                <w:color w:val="auto"/>
                <w:sz w:val="20"/>
              </w:rPr>
              <w:t>1</w:t>
            </w:r>
          </w:p>
        </w:tc>
      </w:tr>
      <w:tr w14:paraId="26376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65" w:type="dxa"/>
            <w:shd w:val="clear" w:color="auto" w:fill="FFFFFF"/>
            <w:tcMar>
              <w:top w:w="0" w:type="dxa"/>
              <w:left w:w="0" w:type="dxa"/>
              <w:bottom w:w="0" w:type="dxa"/>
              <w:right w:w="0" w:type="dxa"/>
            </w:tcMar>
            <w:vAlign w:val="center"/>
          </w:tcPr>
          <w:p w14:paraId="4309BB04">
            <w:pPr>
              <w:jc w:val="center"/>
              <w:rPr>
                <w:rFonts w:ascii="Arial" w:hAnsi="Arial" w:cs="Arial"/>
                <w:color w:val="auto"/>
                <w:sz w:val="20"/>
              </w:rPr>
            </w:pPr>
            <w:r>
              <w:rPr>
                <w:rFonts w:hint="eastAsia" w:ascii="Arial" w:hAnsi="Arial" w:cs="Arial"/>
                <w:color w:val="auto"/>
                <w:sz w:val="20"/>
              </w:rPr>
              <w:t>8</w:t>
            </w:r>
          </w:p>
        </w:tc>
        <w:tc>
          <w:tcPr>
            <w:tcW w:w="909" w:type="dxa"/>
            <w:shd w:val="clear" w:color="auto" w:fill="FFFFFF"/>
            <w:tcMar>
              <w:top w:w="0" w:type="dxa"/>
              <w:left w:w="0" w:type="dxa"/>
              <w:bottom w:w="0" w:type="dxa"/>
              <w:right w:w="0" w:type="dxa"/>
            </w:tcMar>
            <w:vAlign w:val="center"/>
          </w:tcPr>
          <w:p w14:paraId="02D9BDCB">
            <w:pPr>
              <w:jc w:val="center"/>
              <w:rPr>
                <w:rFonts w:ascii="Arial" w:hAnsi="Arial" w:cs="Arial"/>
                <w:color w:val="auto"/>
                <w:szCs w:val="21"/>
              </w:rPr>
            </w:pPr>
            <w:r>
              <w:rPr>
                <w:rFonts w:ascii="Arial" w:hAnsi="Arial" w:cs="Arial"/>
                <w:color w:val="auto"/>
                <w:szCs w:val="21"/>
              </w:rPr>
              <w:t>生产厂房</w:t>
            </w:r>
          </w:p>
        </w:tc>
        <w:tc>
          <w:tcPr>
            <w:tcW w:w="1378" w:type="dxa"/>
            <w:shd w:val="clear" w:color="auto" w:fill="FFFFFF"/>
            <w:tcMar>
              <w:top w:w="0" w:type="dxa"/>
              <w:left w:w="0" w:type="dxa"/>
              <w:bottom w:w="0" w:type="dxa"/>
              <w:right w:w="0" w:type="dxa"/>
            </w:tcMar>
            <w:vAlign w:val="center"/>
          </w:tcPr>
          <w:p w14:paraId="3D3D6420">
            <w:pPr>
              <w:jc w:val="center"/>
              <w:rPr>
                <w:rFonts w:ascii="Arial" w:hAnsi="Arial" w:cs="Arial"/>
                <w:color w:val="auto"/>
                <w:szCs w:val="21"/>
              </w:rPr>
            </w:pPr>
            <w:r>
              <w:rPr>
                <w:rFonts w:hint="eastAsia" w:ascii="Arial" w:hAnsi="Arial" w:cs="Arial"/>
                <w:color w:val="auto"/>
                <w:szCs w:val="21"/>
              </w:rPr>
              <w:t>螺杆式空压机</w:t>
            </w:r>
          </w:p>
        </w:tc>
        <w:tc>
          <w:tcPr>
            <w:tcW w:w="563" w:type="dxa"/>
            <w:shd w:val="clear" w:color="auto" w:fill="FFFFFF"/>
            <w:tcMar>
              <w:top w:w="0" w:type="dxa"/>
              <w:left w:w="0" w:type="dxa"/>
              <w:bottom w:w="0" w:type="dxa"/>
              <w:right w:w="0" w:type="dxa"/>
            </w:tcMar>
            <w:vAlign w:val="center"/>
          </w:tcPr>
          <w:p w14:paraId="2BD241C4">
            <w:pPr>
              <w:jc w:val="center"/>
              <w:rPr>
                <w:rFonts w:ascii="Arial" w:hAnsi="Arial" w:cs="Arial"/>
                <w:color w:val="auto"/>
                <w:sz w:val="20"/>
              </w:rPr>
            </w:pPr>
            <w:r>
              <w:rPr>
                <w:rFonts w:hint="eastAsia" w:ascii="Arial" w:hAnsi="Arial" w:cs="Arial"/>
                <w:color w:val="auto"/>
                <w:sz w:val="20"/>
              </w:rPr>
              <w:t>100</w:t>
            </w:r>
          </w:p>
        </w:tc>
        <w:tc>
          <w:tcPr>
            <w:tcW w:w="656" w:type="dxa"/>
            <w:vMerge w:val="continue"/>
            <w:shd w:val="clear" w:color="auto" w:fill="FFFFFF"/>
            <w:tcMar>
              <w:top w:w="0" w:type="dxa"/>
              <w:left w:w="0" w:type="dxa"/>
              <w:bottom w:w="0" w:type="dxa"/>
              <w:right w:w="0" w:type="dxa"/>
            </w:tcMar>
            <w:vAlign w:val="center"/>
          </w:tcPr>
          <w:p w14:paraId="3FB828DA">
            <w:pPr>
              <w:jc w:val="center"/>
              <w:rPr>
                <w:rFonts w:ascii="Arial" w:hAnsi="Arial" w:eastAsia="Arial" w:cs="Arial"/>
                <w:color w:val="auto"/>
                <w:sz w:val="20"/>
              </w:rPr>
            </w:pPr>
          </w:p>
        </w:tc>
        <w:tc>
          <w:tcPr>
            <w:tcW w:w="508" w:type="dxa"/>
            <w:shd w:val="clear" w:color="auto" w:fill="FFFFFF"/>
            <w:tcMar>
              <w:top w:w="0" w:type="dxa"/>
              <w:left w:w="0" w:type="dxa"/>
              <w:bottom w:w="0" w:type="dxa"/>
              <w:right w:w="0" w:type="dxa"/>
            </w:tcMar>
            <w:vAlign w:val="center"/>
          </w:tcPr>
          <w:p w14:paraId="4781D9B2">
            <w:pPr>
              <w:jc w:val="center"/>
              <w:rPr>
                <w:rFonts w:ascii="Arial" w:hAnsi="Arial" w:eastAsia="Arial" w:cs="Arial"/>
                <w:color w:val="auto"/>
                <w:sz w:val="20"/>
              </w:rPr>
            </w:pPr>
            <w:r>
              <w:rPr>
                <w:rFonts w:ascii="Arial" w:hAnsi="Arial" w:eastAsia="Arial" w:cs="Arial"/>
                <w:color w:val="auto"/>
                <w:sz w:val="20"/>
              </w:rPr>
              <w:t>21.3</w:t>
            </w:r>
          </w:p>
        </w:tc>
        <w:tc>
          <w:tcPr>
            <w:tcW w:w="522" w:type="dxa"/>
            <w:shd w:val="clear" w:color="auto" w:fill="FFFFFF"/>
            <w:tcMar>
              <w:top w:w="0" w:type="dxa"/>
              <w:left w:w="0" w:type="dxa"/>
              <w:bottom w:w="0" w:type="dxa"/>
              <w:right w:w="0" w:type="dxa"/>
            </w:tcMar>
            <w:vAlign w:val="center"/>
          </w:tcPr>
          <w:p w14:paraId="68E82FDC">
            <w:pPr>
              <w:jc w:val="center"/>
              <w:rPr>
                <w:rFonts w:ascii="Arial" w:hAnsi="Arial" w:eastAsia="Arial" w:cs="Arial"/>
                <w:color w:val="auto"/>
                <w:sz w:val="20"/>
              </w:rPr>
            </w:pPr>
            <w:r>
              <w:rPr>
                <w:rFonts w:ascii="Arial" w:hAnsi="Arial" w:eastAsia="Arial" w:cs="Arial"/>
                <w:color w:val="auto"/>
                <w:sz w:val="20"/>
              </w:rPr>
              <w:t>-26.1</w:t>
            </w:r>
          </w:p>
        </w:tc>
        <w:tc>
          <w:tcPr>
            <w:tcW w:w="525" w:type="dxa"/>
            <w:shd w:val="clear" w:color="auto" w:fill="FFFFFF"/>
            <w:tcMar>
              <w:top w:w="0" w:type="dxa"/>
              <w:left w:w="0" w:type="dxa"/>
              <w:bottom w:w="0" w:type="dxa"/>
              <w:right w:w="0" w:type="dxa"/>
            </w:tcMar>
            <w:vAlign w:val="center"/>
          </w:tcPr>
          <w:p w14:paraId="03A5086C">
            <w:pPr>
              <w:jc w:val="center"/>
              <w:rPr>
                <w:rFonts w:ascii="Arial" w:hAnsi="Arial" w:eastAsia="Arial" w:cs="Arial"/>
                <w:color w:val="auto"/>
                <w:sz w:val="20"/>
              </w:rPr>
            </w:pPr>
            <w:r>
              <w:rPr>
                <w:rFonts w:ascii="Arial" w:hAnsi="Arial" w:eastAsia="Arial" w:cs="Arial"/>
                <w:color w:val="auto"/>
                <w:sz w:val="20"/>
              </w:rPr>
              <w:t>1.2</w:t>
            </w:r>
          </w:p>
        </w:tc>
        <w:tc>
          <w:tcPr>
            <w:tcW w:w="473" w:type="dxa"/>
            <w:shd w:val="clear" w:color="auto" w:fill="FFFFFF"/>
            <w:tcMar>
              <w:top w:w="0" w:type="dxa"/>
              <w:left w:w="0" w:type="dxa"/>
              <w:bottom w:w="0" w:type="dxa"/>
              <w:right w:w="0" w:type="dxa"/>
            </w:tcMar>
            <w:vAlign w:val="center"/>
          </w:tcPr>
          <w:p w14:paraId="7EA8B01C">
            <w:pPr>
              <w:jc w:val="center"/>
              <w:rPr>
                <w:rFonts w:ascii="Arial" w:hAnsi="Arial" w:eastAsia="Arial" w:cs="Arial"/>
                <w:color w:val="auto"/>
                <w:sz w:val="20"/>
              </w:rPr>
            </w:pPr>
            <w:r>
              <w:rPr>
                <w:rFonts w:ascii="Arial" w:hAnsi="Arial" w:eastAsia="Arial" w:cs="Arial"/>
                <w:color w:val="auto"/>
                <w:sz w:val="20"/>
              </w:rPr>
              <w:t>2.8</w:t>
            </w:r>
          </w:p>
        </w:tc>
        <w:tc>
          <w:tcPr>
            <w:tcW w:w="522" w:type="dxa"/>
            <w:shd w:val="clear" w:color="auto" w:fill="FFFFFF"/>
            <w:tcMar>
              <w:top w:w="0" w:type="dxa"/>
              <w:left w:w="0" w:type="dxa"/>
              <w:bottom w:w="0" w:type="dxa"/>
              <w:right w:w="0" w:type="dxa"/>
            </w:tcMar>
            <w:vAlign w:val="center"/>
          </w:tcPr>
          <w:p w14:paraId="25359E4E">
            <w:pPr>
              <w:jc w:val="center"/>
              <w:rPr>
                <w:rFonts w:ascii="Arial" w:hAnsi="Arial" w:eastAsia="Arial" w:cs="Arial"/>
                <w:color w:val="auto"/>
                <w:sz w:val="20"/>
              </w:rPr>
            </w:pPr>
            <w:r>
              <w:rPr>
                <w:rFonts w:ascii="Arial" w:hAnsi="Arial" w:eastAsia="Arial" w:cs="Arial"/>
                <w:color w:val="auto"/>
                <w:sz w:val="20"/>
              </w:rPr>
              <w:t>29.8</w:t>
            </w:r>
          </w:p>
        </w:tc>
        <w:tc>
          <w:tcPr>
            <w:tcW w:w="540" w:type="dxa"/>
            <w:shd w:val="clear" w:color="auto" w:fill="FFFFFF"/>
            <w:tcMar>
              <w:top w:w="0" w:type="dxa"/>
              <w:left w:w="0" w:type="dxa"/>
              <w:bottom w:w="0" w:type="dxa"/>
              <w:right w:w="0" w:type="dxa"/>
            </w:tcMar>
            <w:vAlign w:val="center"/>
          </w:tcPr>
          <w:p w14:paraId="69169B18">
            <w:pPr>
              <w:jc w:val="center"/>
              <w:rPr>
                <w:rFonts w:ascii="Arial" w:hAnsi="Arial" w:eastAsia="Arial" w:cs="Arial"/>
                <w:color w:val="auto"/>
                <w:sz w:val="20"/>
              </w:rPr>
            </w:pPr>
            <w:r>
              <w:rPr>
                <w:rFonts w:ascii="Arial" w:hAnsi="Arial" w:eastAsia="Arial" w:cs="Arial"/>
                <w:color w:val="auto"/>
                <w:sz w:val="20"/>
              </w:rPr>
              <w:t>45.9</w:t>
            </w:r>
          </w:p>
        </w:tc>
        <w:tc>
          <w:tcPr>
            <w:tcW w:w="440" w:type="dxa"/>
            <w:shd w:val="clear" w:color="auto" w:fill="FFFFFF"/>
            <w:tcMar>
              <w:top w:w="0" w:type="dxa"/>
              <w:left w:w="0" w:type="dxa"/>
              <w:bottom w:w="0" w:type="dxa"/>
              <w:right w:w="0" w:type="dxa"/>
            </w:tcMar>
            <w:vAlign w:val="center"/>
          </w:tcPr>
          <w:p w14:paraId="7C34E9A5">
            <w:pPr>
              <w:jc w:val="center"/>
              <w:rPr>
                <w:rFonts w:ascii="Arial" w:hAnsi="Arial" w:eastAsia="Arial" w:cs="Arial"/>
                <w:color w:val="auto"/>
                <w:sz w:val="20"/>
              </w:rPr>
            </w:pPr>
            <w:r>
              <w:rPr>
                <w:rFonts w:ascii="Arial" w:hAnsi="Arial" w:eastAsia="Arial" w:cs="Arial"/>
                <w:color w:val="auto"/>
                <w:sz w:val="20"/>
              </w:rPr>
              <w:t>55.3</w:t>
            </w:r>
          </w:p>
        </w:tc>
        <w:tc>
          <w:tcPr>
            <w:tcW w:w="472" w:type="dxa"/>
            <w:shd w:val="clear" w:color="auto" w:fill="FFFFFF"/>
            <w:tcMar>
              <w:top w:w="0" w:type="dxa"/>
              <w:left w:w="0" w:type="dxa"/>
              <w:bottom w:w="0" w:type="dxa"/>
              <w:right w:w="0" w:type="dxa"/>
            </w:tcMar>
            <w:vAlign w:val="center"/>
          </w:tcPr>
          <w:p w14:paraId="0E4D81A3">
            <w:pPr>
              <w:jc w:val="center"/>
              <w:rPr>
                <w:rFonts w:ascii="Arial" w:hAnsi="Arial" w:cs="Arial"/>
                <w:color w:val="auto"/>
                <w:sz w:val="20"/>
              </w:rPr>
            </w:pPr>
            <w:r>
              <w:rPr>
                <w:rFonts w:hint="eastAsia" w:ascii="Arial" w:hAnsi="Arial" w:cs="Arial"/>
                <w:color w:val="auto"/>
                <w:sz w:val="20"/>
              </w:rPr>
              <w:t>8</w:t>
            </w:r>
            <w:r>
              <w:rPr>
                <w:rFonts w:ascii="Arial" w:hAnsi="Arial" w:eastAsia="Arial" w:cs="Arial"/>
                <w:color w:val="auto"/>
                <w:sz w:val="20"/>
              </w:rPr>
              <w:t>4.</w:t>
            </w:r>
            <w:r>
              <w:rPr>
                <w:rFonts w:hint="eastAsia" w:ascii="Arial" w:hAnsi="Arial" w:cs="Arial"/>
                <w:color w:val="auto"/>
                <w:sz w:val="20"/>
              </w:rPr>
              <w:t>5</w:t>
            </w:r>
          </w:p>
        </w:tc>
        <w:tc>
          <w:tcPr>
            <w:tcW w:w="472" w:type="dxa"/>
            <w:shd w:val="clear" w:color="auto" w:fill="FFFFFF"/>
            <w:tcMar>
              <w:top w:w="0" w:type="dxa"/>
              <w:left w:w="0" w:type="dxa"/>
              <w:bottom w:w="0" w:type="dxa"/>
              <w:right w:w="0" w:type="dxa"/>
            </w:tcMar>
            <w:vAlign w:val="center"/>
          </w:tcPr>
          <w:p w14:paraId="17533059">
            <w:pPr>
              <w:jc w:val="center"/>
              <w:rPr>
                <w:rFonts w:ascii="Arial" w:hAnsi="Arial" w:cs="Arial"/>
                <w:color w:val="auto"/>
                <w:sz w:val="20"/>
              </w:rPr>
            </w:pPr>
            <w:r>
              <w:rPr>
                <w:rFonts w:hint="eastAsia" w:ascii="Arial" w:hAnsi="Arial" w:cs="Arial"/>
                <w:color w:val="auto"/>
                <w:sz w:val="20"/>
              </w:rPr>
              <w:t>8</w:t>
            </w:r>
            <w:r>
              <w:rPr>
                <w:rFonts w:ascii="Arial" w:hAnsi="Arial" w:eastAsia="Arial" w:cs="Arial"/>
                <w:color w:val="auto"/>
                <w:sz w:val="20"/>
              </w:rPr>
              <w:t>2.</w:t>
            </w:r>
            <w:r>
              <w:rPr>
                <w:rFonts w:hint="eastAsia" w:ascii="Arial" w:hAnsi="Arial" w:cs="Arial"/>
                <w:color w:val="auto"/>
                <w:sz w:val="20"/>
              </w:rPr>
              <w:t>5</w:t>
            </w:r>
          </w:p>
        </w:tc>
        <w:tc>
          <w:tcPr>
            <w:tcW w:w="504" w:type="dxa"/>
            <w:shd w:val="clear" w:color="auto" w:fill="FFFFFF"/>
            <w:tcMar>
              <w:top w:w="0" w:type="dxa"/>
              <w:left w:w="0" w:type="dxa"/>
              <w:bottom w:w="0" w:type="dxa"/>
              <w:right w:w="0" w:type="dxa"/>
            </w:tcMar>
            <w:vAlign w:val="center"/>
          </w:tcPr>
          <w:p w14:paraId="69719B7F">
            <w:pPr>
              <w:jc w:val="center"/>
              <w:rPr>
                <w:rFonts w:ascii="Arial" w:hAnsi="Arial" w:cs="Arial"/>
                <w:color w:val="auto"/>
                <w:sz w:val="20"/>
              </w:rPr>
            </w:pPr>
            <w:r>
              <w:rPr>
                <w:rFonts w:hint="eastAsia" w:ascii="Arial" w:hAnsi="Arial" w:cs="Arial"/>
                <w:color w:val="auto"/>
                <w:sz w:val="20"/>
              </w:rPr>
              <w:t>8</w:t>
            </w:r>
            <w:r>
              <w:rPr>
                <w:rFonts w:ascii="Arial" w:hAnsi="Arial" w:eastAsia="Arial" w:cs="Arial"/>
                <w:color w:val="auto"/>
                <w:sz w:val="20"/>
              </w:rPr>
              <w:t>2.</w:t>
            </w:r>
            <w:r>
              <w:rPr>
                <w:rFonts w:hint="eastAsia" w:ascii="Arial" w:hAnsi="Arial" w:cs="Arial"/>
                <w:color w:val="auto"/>
                <w:sz w:val="20"/>
              </w:rPr>
              <w:t>5</w:t>
            </w:r>
          </w:p>
        </w:tc>
        <w:tc>
          <w:tcPr>
            <w:tcW w:w="507" w:type="dxa"/>
            <w:shd w:val="clear" w:color="auto" w:fill="FFFFFF"/>
            <w:tcMar>
              <w:top w:w="0" w:type="dxa"/>
              <w:left w:w="0" w:type="dxa"/>
              <w:bottom w:w="0" w:type="dxa"/>
              <w:right w:w="0" w:type="dxa"/>
            </w:tcMar>
            <w:vAlign w:val="center"/>
          </w:tcPr>
          <w:p w14:paraId="2B0CBA05">
            <w:pPr>
              <w:jc w:val="center"/>
              <w:rPr>
                <w:rFonts w:ascii="Arial" w:hAnsi="Arial" w:eastAsia="Arial" w:cs="Arial"/>
                <w:color w:val="auto"/>
                <w:sz w:val="20"/>
              </w:rPr>
            </w:pPr>
            <w:r>
              <w:rPr>
                <w:rFonts w:hint="eastAsia" w:ascii="Arial" w:hAnsi="Arial" w:cs="Arial"/>
                <w:color w:val="auto"/>
                <w:sz w:val="20"/>
              </w:rPr>
              <w:t>8</w:t>
            </w:r>
            <w:r>
              <w:rPr>
                <w:rFonts w:ascii="Arial" w:hAnsi="Arial" w:eastAsia="Arial" w:cs="Arial"/>
                <w:color w:val="auto"/>
                <w:sz w:val="20"/>
              </w:rPr>
              <w:t>2.4</w:t>
            </w:r>
          </w:p>
        </w:tc>
        <w:tc>
          <w:tcPr>
            <w:tcW w:w="539" w:type="dxa"/>
            <w:vMerge w:val="continue"/>
            <w:shd w:val="clear" w:color="auto" w:fill="FFFFFF"/>
            <w:tcMar>
              <w:top w:w="0" w:type="dxa"/>
              <w:left w:w="0" w:type="dxa"/>
              <w:bottom w:w="0" w:type="dxa"/>
              <w:right w:w="0" w:type="dxa"/>
            </w:tcMar>
            <w:vAlign w:val="center"/>
          </w:tcPr>
          <w:p w14:paraId="40012BA8">
            <w:pPr>
              <w:jc w:val="center"/>
              <w:rPr>
                <w:rFonts w:ascii="Arial" w:hAnsi="Arial" w:eastAsia="Arial" w:cs="Arial"/>
                <w:color w:val="auto"/>
                <w:sz w:val="20"/>
              </w:rPr>
            </w:pPr>
          </w:p>
        </w:tc>
        <w:tc>
          <w:tcPr>
            <w:tcW w:w="472" w:type="dxa"/>
            <w:shd w:val="clear" w:color="auto" w:fill="FFFFFF"/>
            <w:tcMar>
              <w:top w:w="0" w:type="dxa"/>
              <w:left w:w="0" w:type="dxa"/>
              <w:bottom w:w="0" w:type="dxa"/>
              <w:right w:w="0" w:type="dxa"/>
            </w:tcMar>
            <w:vAlign w:val="center"/>
          </w:tcPr>
          <w:p w14:paraId="027E24AD">
            <w:pPr>
              <w:jc w:val="center"/>
              <w:rPr>
                <w:rFonts w:ascii="Arial" w:hAnsi="Arial" w:eastAsia="Arial" w:cs="Arial"/>
                <w:color w:val="auto"/>
                <w:sz w:val="20"/>
              </w:rPr>
            </w:pPr>
            <w:r>
              <w:rPr>
                <w:rFonts w:ascii="Arial" w:hAnsi="Arial" w:eastAsia="Arial" w:cs="Arial"/>
                <w:color w:val="auto"/>
                <w:sz w:val="20"/>
              </w:rPr>
              <w:t>2</w:t>
            </w:r>
            <w:r>
              <w:rPr>
                <w:rFonts w:hint="eastAsia" w:ascii="Arial" w:hAnsi="Arial" w:eastAsia="Arial" w:cs="Arial"/>
                <w:color w:val="auto"/>
                <w:sz w:val="20"/>
              </w:rPr>
              <w:t>0.0</w:t>
            </w:r>
          </w:p>
        </w:tc>
        <w:tc>
          <w:tcPr>
            <w:tcW w:w="486" w:type="dxa"/>
            <w:shd w:val="clear" w:color="auto" w:fill="FFFFFF"/>
            <w:tcMar>
              <w:top w:w="0" w:type="dxa"/>
              <w:left w:w="0" w:type="dxa"/>
              <w:bottom w:w="0" w:type="dxa"/>
              <w:right w:w="0" w:type="dxa"/>
            </w:tcMar>
            <w:vAlign w:val="center"/>
          </w:tcPr>
          <w:p w14:paraId="008CD7B0">
            <w:pPr>
              <w:jc w:val="center"/>
              <w:rPr>
                <w:rFonts w:ascii="Arial" w:hAnsi="Arial" w:eastAsia="Arial" w:cs="Arial"/>
                <w:color w:val="auto"/>
                <w:sz w:val="20"/>
              </w:rPr>
            </w:pPr>
            <w:r>
              <w:rPr>
                <w:rFonts w:ascii="Arial" w:hAnsi="Arial" w:eastAsia="Arial" w:cs="Arial"/>
                <w:color w:val="auto"/>
                <w:sz w:val="20"/>
              </w:rPr>
              <w:t>2</w:t>
            </w:r>
            <w:r>
              <w:rPr>
                <w:rFonts w:hint="eastAsia" w:ascii="Arial" w:hAnsi="Arial" w:eastAsia="Arial" w:cs="Arial"/>
                <w:color w:val="auto"/>
                <w:sz w:val="20"/>
              </w:rPr>
              <w:t>0.0</w:t>
            </w:r>
          </w:p>
        </w:tc>
        <w:tc>
          <w:tcPr>
            <w:tcW w:w="472" w:type="dxa"/>
            <w:shd w:val="clear" w:color="auto" w:fill="FFFFFF"/>
            <w:tcMar>
              <w:top w:w="0" w:type="dxa"/>
              <w:left w:w="0" w:type="dxa"/>
              <w:bottom w:w="0" w:type="dxa"/>
              <w:right w:w="0" w:type="dxa"/>
            </w:tcMar>
            <w:vAlign w:val="center"/>
          </w:tcPr>
          <w:p w14:paraId="6B819498">
            <w:pPr>
              <w:jc w:val="center"/>
              <w:rPr>
                <w:rFonts w:ascii="Arial" w:hAnsi="Arial" w:eastAsia="Arial" w:cs="Arial"/>
                <w:color w:val="auto"/>
                <w:sz w:val="20"/>
              </w:rPr>
            </w:pPr>
            <w:r>
              <w:rPr>
                <w:rFonts w:ascii="Arial" w:hAnsi="Arial" w:eastAsia="Arial" w:cs="Arial"/>
                <w:color w:val="auto"/>
                <w:sz w:val="20"/>
              </w:rPr>
              <w:t>2</w:t>
            </w:r>
            <w:r>
              <w:rPr>
                <w:rFonts w:hint="eastAsia" w:ascii="Arial" w:hAnsi="Arial" w:eastAsia="Arial" w:cs="Arial"/>
                <w:color w:val="auto"/>
                <w:sz w:val="20"/>
              </w:rPr>
              <w:t>0.0</w:t>
            </w:r>
          </w:p>
        </w:tc>
        <w:tc>
          <w:tcPr>
            <w:tcW w:w="422" w:type="dxa"/>
            <w:shd w:val="clear" w:color="auto" w:fill="FFFFFF"/>
            <w:tcMar>
              <w:top w:w="0" w:type="dxa"/>
              <w:left w:w="0" w:type="dxa"/>
              <w:bottom w:w="0" w:type="dxa"/>
              <w:right w:w="0" w:type="dxa"/>
            </w:tcMar>
            <w:vAlign w:val="center"/>
          </w:tcPr>
          <w:p w14:paraId="2226982B">
            <w:pPr>
              <w:jc w:val="center"/>
              <w:rPr>
                <w:rFonts w:ascii="Arial" w:hAnsi="Arial" w:eastAsia="Arial" w:cs="Arial"/>
                <w:color w:val="auto"/>
                <w:sz w:val="20"/>
              </w:rPr>
            </w:pPr>
            <w:r>
              <w:rPr>
                <w:rFonts w:ascii="Arial" w:hAnsi="Arial" w:eastAsia="Arial" w:cs="Arial"/>
                <w:color w:val="auto"/>
                <w:sz w:val="20"/>
              </w:rPr>
              <w:t>2</w:t>
            </w:r>
            <w:r>
              <w:rPr>
                <w:rFonts w:hint="eastAsia" w:ascii="Arial" w:hAnsi="Arial" w:eastAsia="Arial" w:cs="Arial"/>
                <w:color w:val="auto"/>
                <w:sz w:val="20"/>
              </w:rPr>
              <w:t>0.0</w:t>
            </w:r>
          </w:p>
        </w:tc>
        <w:tc>
          <w:tcPr>
            <w:tcW w:w="553" w:type="dxa"/>
            <w:shd w:val="clear" w:color="auto" w:fill="FFFFFF"/>
            <w:tcMar>
              <w:top w:w="0" w:type="dxa"/>
              <w:left w:w="0" w:type="dxa"/>
              <w:bottom w:w="0" w:type="dxa"/>
              <w:right w:w="0" w:type="dxa"/>
            </w:tcMar>
            <w:vAlign w:val="center"/>
          </w:tcPr>
          <w:p w14:paraId="2ABEE2D4">
            <w:pPr>
              <w:jc w:val="center"/>
              <w:rPr>
                <w:rFonts w:ascii="Arial" w:hAnsi="Arial" w:cs="Arial"/>
                <w:color w:val="auto"/>
                <w:sz w:val="20"/>
              </w:rPr>
            </w:pPr>
            <w:r>
              <w:rPr>
                <w:rFonts w:hint="eastAsia" w:ascii="Arial" w:hAnsi="Arial" w:cs="Arial"/>
                <w:color w:val="auto"/>
                <w:sz w:val="20"/>
              </w:rPr>
              <w:t>64.5</w:t>
            </w:r>
          </w:p>
        </w:tc>
        <w:tc>
          <w:tcPr>
            <w:tcW w:w="486" w:type="dxa"/>
            <w:shd w:val="clear" w:color="auto" w:fill="FFFFFF"/>
            <w:tcMar>
              <w:top w:w="0" w:type="dxa"/>
              <w:left w:w="0" w:type="dxa"/>
              <w:bottom w:w="0" w:type="dxa"/>
              <w:right w:w="0" w:type="dxa"/>
            </w:tcMar>
            <w:vAlign w:val="center"/>
          </w:tcPr>
          <w:p w14:paraId="7B7650FA">
            <w:pPr>
              <w:jc w:val="center"/>
              <w:rPr>
                <w:rFonts w:ascii="Arial" w:hAnsi="Arial" w:cs="Arial"/>
                <w:color w:val="auto"/>
                <w:sz w:val="20"/>
              </w:rPr>
            </w:pPr>
            <w:r>
              <w:rPr>
                <w:rFonts w:hint="eastAsia" w:ascii="Arial" w:hAnsi="Arial" w:cs="Arial"/>
                <w:color w:val="auto"/>
                <w:sz w:val="20"/>
              </w:rPr>
              <w:t>62.5</w:t>
            </w:r>
          </w:p>
        </w:tc>
        <w:tc>
          <w:tcPr>
            <w:tcW w:w="553" w:type="dxa"/>
            <w:shd w:val="clear" w:color="auto" w:fill="FFFFFF"/>
            <w:tcMar>
              <w:top w:w="0" w:type="dxa"/>
              <w:left w:w="0" w:type="dxa"/>
              <w:bottom w:w="0" w:type="dxa"/>
              <w:right w:w="0" w:type="dxa"/>
            </w:tcMar>
            <w:vAlign w:val="center"/>
          </w:tcPr>
          <w:p w14:paraId="7F1122F8">
            <w:pPr>
              <w:jc w:val="center"/>
              <w:rPr>
                <w:rFonts w:ascii="Arial" w:hAnsi="Arial" w:cs="Arial"/>
                <w:color w:val="auto"/>
                <w:sz w:val="20"/>
              </w:rPr>
            </w:pPr>
            <w:r>
              <w:rPr>
                <w:rFonts w:hint="eastAsia" w:ascii="Arial" w:hAnsi="Arial" w:cs="Arial"/>
                <w:color w:val="auto"/>
                <w:sz w:val="20"/>
              </w:rPr>
              <w:t>62.5</w:t>
            </w:r>
          </w:p>
        </w:tc>
        <w:tc>
          <w:tcPr>
            <w:tcW w:w="521" w:type="dxa"/>
            <w:shd w:val="clear" w:color="auto" w:fill="FFFFFF"/>
            <w:tcMar>
              <w:top w:w="0" w:type="dxa"/>
              <w:left w:w="0" w:type="dxa"/>
              <w:bottom w:w="0" w:type="dxa"/>
              <w:right w:w="0" w:type="dxa"/>
            </w:tcMar>
            <w:vAlign w:val="center"/>
          </w:tcPr>
          <w:p w14:paraId="3F5D9E37">
            <w:pPr>
              <w:jc w:val="center"/>
              <w:rPr>
                <w:rFonts w:ascii="Arial" w:hAnsi="Arial" w:cs="Arial"/>
                <w:color w:val="auto"/>
                <w:sz w:val="20"/>
              </w:rPr>
            </w:pPr>
            <w:r>
              <w:rPr>
                <w:rFonts w:hint="eastAsia" w:ascii="Arial" w:hAnsi="Arial" w:cs="Arial"/>
                <w:color w:val="auto"/>
                <w:sz w:val="20"/>
              </w:rPr>
              <w:t>62.4</w:t>
            </w:r>
          </w:p>
        </w:tc>
        <w:tc>
          <w:tcPr>
            <w:tcW w:w="696" w:type="dxa"/>
            <w:shd w:val="clear" w:color="auto" w:fill="FFFFFF"/>
            <w:tcMar>
              <w:top w:w="0" w:type="dxa"/>
              <w:left w:w="0" w:type="dxa"/>
              <w:bottom w:w="0" w:type="dxa"/>
              <w:right w:w="0" w:type="dxa"/>
            </w:tcMar>
            <w:vAlign w:val="center"/>
          </w:tcPr>
          <w:p w14:paraId="4D250884">
            <w:pPr>
              <w:jc w:val="center"/>
              <w:rPr>
                <w:rFonts w:ascii="Arial" w:hAnsi="Arial" w:eastAsia="Arial" w:cs="Arial"/>
                <w:color w:val="auto"/>
                <w:sz w:val="20"/>
              </w:rPr>
            </w:pPr>
            <w:r>
              <w:rPr>
                <w:rFonts w:ascii="Arial" w:hAnsi="Arial" w:eastAsia="Arial" w:cs="Arial"/>
                <w:color w:val="auto"/>
                <w:sz w:val="20"/>
              </w:rPr>
              <w:t>1</w:t>
            </w:r>
          </w:p>
        </w:tc>
      </w:tr>
      <w:tr w14:paraId="135F1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65" w:type="dxa"/>
            <w:shd w:val="clear" w:color="auto" w:fill="FFFFFF"/>
            <w:tcMar>
              <w:top w:w="0" w:type="dxa"/>
              <w:left w:w="0" w:type="dxa"/>
              <w:bottom w:w="0" w:type="dxa"/>
              <w:right w:w="0" w:type="dxa"/>
            </w:tcMar>
            <w:vAlign w:val="center"/>
          </w:tcPr>
          <w:p w14:paraId="2953F1B1">
            <w:pPr>
              <w:jc w:val="center"/>
              <w:rPr>
                <w:rFonts w:ascii="Arial" w:hAnsi="Arial" w:cs="Arial"/>
                <w:color w:val="auto"/>
                <w:sz w:val="20"/>
              </w:rPr>
            </w:pPr>
            <w:r>
              <w:rPr>
                <w:rFonts w:hint="eastAsia" w:ascii="Arial" w:hAnsi="Arial" w:cs="Arial"/>
                <w:color w:val="auto"/>
                <w:sz w:val="20"/>
              </w:rPr>
              <w:t>9</w:t>
            </w:r>
          </w:p>
        </w:tc>
        <w:tc>
          <w:tcPr>
            <w:tcW w:w="909" w:type="dxa"/>
            <w:shd w:val="clear" w:color="auto" w:fill="FFFFFF"/>
            <w:tcMar>
              <w:top w:w="0" w:type="dxa"/>
              <w:left w:w="0" w:type="dxa"/>
              <w:bottom w:w="0" w:type="dxa"/>
              <w:right w:w="0" w:type="dxa"/>
            </w:tcMar>
            <w:vAlign w:val="center"/>
          </w:tcPr>
          <w:p w14:paraId="40F62165">
            <w:pPr>
              <w:jc w:val="center"/>
              <w:rPr>
                <w:rFonts w:ascii="Arial" w:hAnsi="Arial" w:cs="Arial"/>
                <w:color w:val="auto"/>
                <w:szCs w:val="21"/>
              </w:rPr>
            </w:pPr>
            <w:r>
              <w:rPr>
                <w:rFonts w:ascii="Arial" w:hAnsi="Arial" w:cs="Arial"/>
                <w:color w:val="auto"/>
                <w:szCs w:val="21"/>
              </w:rPr>
              <w:t>生产厂房</w:t>
            </w:r>
          </w:p>
        </w:tc>
        <w:tc>
          <w:tcPr>
            <w:tcW w:w="1378" w:type="dxa"/>
            <w:shd w:val="clear" w:color="auto" w:fill="FFFFFF"/>
            <w:tcMar>
              <w:top w:w="0" w:type="dxa"/>
              <w:left w:w="0" w:type="dxa"/>
              <w:bottom w:w="0" w:type="dxa"/>
              <w:right w:w="0" w:type="dxa"/>
            </w:tcMar>
            <w:vAlign w:val="center"/>
          </w:tcPr>
          <w:p w14:paraId="4C655209">
            <w:pPr>
              <w:jc w:val="center"/>
              <w:rPr>
                <w:rFonts w:ascii="Arial" w:hAnsi="Arial" w:cs="Arial"/>
                <w:color w:val="auto"/>
                <w:szCs w:val="21"/>
              </w:rPr>
            </w:pPr>
            <w:r>
              <w:rPr>
                <w:rFonts w:hint="eastAsia" w:ascii="Arial" w:hAnsi="Arial" w:cs="Arial"/>
                <w:color w:val="auto"/>
                <w:szCs w:val="21"/>
              </w:rPr>
              <w:t>冷冻式压缩空气干燥器</w:t>
            </w:r>
          </w:p>
        </w:tc>
        <w:tc>
          <w:tcPr>
            <w:tcW w:w="563" w:type="dxa"/>
            <w:shd w:val="clear" w:color="auto" w:fill="FFFFFF"/>
            <w:tcMar>
              <w:top w:w="0" w:type="dxa"/>
              <w:left w:w="0" w:type="dxa"/>
              <w:bottom w:w="0" w:type="dxa"/>
              <w:right w:w="0" w:type="dxa"/>
            </w:tcMar>
            <w:vAlign w:val="center"/>
          </w:tcPr>
          <w:p w14:paraId="135AF375">
            <w:pPr>
              <w:jc w:val="center"/>
              <w:rPr>
                <w:rFonts w:ascii="Arial" w:hAnsi="Arial" w:eastAsia="Arial" w:cs="Arial"/>
                <w:color w:val="auto"/>
                <w:sz w:val="20"/>
              </w:rPr>
            </w:pPr>
            <w:r>
              <w:rPr>
                <w:rFonts w:ascii="Arial" w:hAnsi="Arial" w:eastAsia="Arial" w:cs="Arial"/>
                <w:color w:val="auto"/>
                <w:sz w:val="20"/>
              </w:rPr>
              <w:t>80</w:t>
            </w:r>
          </w:p>
        </w:tc>
        <w:tc>
          <w:tcPr>
            <w:tcW w:w="656" w:type="dxa"/>
            <w:vMerge w:val="continue"/>
            <w:shd w:val="clear" w:color="auto" w:fill="FFFFFF"/>
            <w:tcMar>
              <w:top w:w="0" w:type="dxa"/>
              <w:left w:w="0" w:type="dxa"/>
              <w:bottom w:w="0" w:type="dxa"/>
              <w:right w:w="0" w:type="dxa"/>
            </w:tcMar>
            <w:vAlign w:val="center"/>
          </w:tcPr>
          <w:p w14:paraId="22DE2A09">
            <w:pPr>
              <w:jc w:val="center"/>
              <w:rPr>
                <w:rFonts w:ascii="Arial" w:hAnsi="Arial" w:eastAsia="Arial" w:cs="Arial"/>
                <w:color w:val="auto"/>
                <w:sz w:val="20"/>
              </w:rPr>
            </w:pPr>
          </w:p>
        </w:tc>
        <w:tc>
          <w:tcPr>
            <w:tcW w:w="508" w:type="dxa"/>
            <w:shd w:val="clear" w:color="auto" w:fill="FFFFFF"/>
            <w:tcMar>
              <w:top w:w="0" w:type="dxa"/>
              <w:left w:w="0" w:type="dxa"/>
              <w:bottom w:w="0" w:type="dxa"/>
              <w:right w:w="0" w:type="dxa"/>
            </w:tcMar>
            <w:vAlign w:val="center"/>
          </w:tcPr>
          <w:p w14:paraId="5AAB6C25">
            <w:pPr>
              <w:jc w:val="center"/>
              <w:rPr>
                <w:rFonts w:ascii="Arial" w:hAnsi="Arial" w:eastAsia="Arial" w:cs="Arial"/>
                <w:color w:val="auto"/>
                <w:sz w:val="20"/>
              </w:rPr>
            </w:pPr>
            <w:r>
              <w:rPr>
                <w:rFonts w:ascii="Arial" w:hAnsi="Arial" w:eastAsia="Arial" w:cs="Arial"/>
                <w:color w:val="auto"/>
                <w:sz w:val="20"/>
              </w:rPr>
              <w:t>20.2</w:t>
            </w:r>
          </w:p>
        </w:tc>
        <w:tc>
          <w:tcPr>
            <w:tcW w:w="522" w:type="dxa"/>
            <w:shd w:val="clear" w:color="auto" w:fill="FFFFFF"/>
            <w:tcMar>
              <w:top w:w="0" w:type="dxa"/>
              <w:left w:w="0" w:type="dxa"/>
              <w:bottom w:w="0" w:type="dxa"/>
              <w:right w:w="0" w:type="dxa"/>
            </w:tcMar>
            <w:vAlign w:val="center"/>
          </w:tcPr>
          <w:p w14:paraId="6EDD3E66">
            <w:pPr>
              <w:jc w:val="center"/>
              <w:rPr>
                <w:rFonts w:ascii="Arial" w:hAnsi="Arial" w:eastAsia="Arial" w:cs="Arial"/>
                <w:color w:val="auto"/>
                <w:sz w:val="20"/>
              </w:rPr>
            </w:pPr>
            <w:r>
              <w:rPr>
                <w:rFonts w:ascii="Arial" w:hAnsi="Arial" w:eastAsia="Arial" w:cs="Arial"/>
                <w:color w:val="auto"/>
                <w:sz w:val="20"/>
              </w:rPr>
              <w:t>-30.7</w:t>
            </w:r>
          </w:p>
        </w:tc>
        <w:tc>
          <w:tcPr>
            <w:tcW w:w="525" w:type="dxa"/>
            <w:shd w:val="clear" w:color="auto" w:fill="FFFFFF"/>
            <w:tcMar>
              <w:top w:w="0" w:type="dxa"/>
              <w:left w:w="0" w:type="dxa"/>
              <w:bottom w:w="0" w:type="dxa"/>
              <w:right w:w="0" w:type="dxa"/>
            </w:tcMar>
            <w:vAlign w:val="center"/>
          </w:tcPr>
          <w:p w14:paraId="3F25620B">
            <w:pPr>
              <w:jc w:val="center"/>
              <w:rPr>
                <w:rFonts w:ascii="Arial" w:hAnsi="Arial" w:eastAsia="Arial" w:cs="Arial"/>
                <w:color w:val="auto"/>
                <w:sz w:val="20"/>
              </w:rPr>
            </w:pPr>
            <w:r>
              <w:rPr>
                <w:rFonts w:ascii="Arial" w:hAnsi="Arial" w:eastAsia="Arial" w:cs="Arial"/>
                <w:color w:val="auto"/>
                <w:sz w:val="20"/>
              </w:rPr>
              <w:t>1.2</w:t>
            </w:r>
          </w:p>
        </w:tc>
        <w:tc>
          <w:tcPr>
            <w:tcW w:w="473" w:type="dxa"/>
            <w:shd w:val="clear" w:color="auto" w:fill="FFFFFF"/>
            <w:tcMar>
              <w:top w:w="0" w:type="dxa"/>
              <w:left w:w="0" w:type="dxa"/>
              <w:bottom w:w="0" w:type="dxa"/>
              <w:right w:w="0" w:type="dxa"/>
            </w:tcMar>
            <w:vAlign w:val="center"/>
          </w:tcPr>
          <w:p w14:paraId="160E1AE7">
            <w:pPr>
              <w:jc w:val="center"/>
              <w:rPr>
                <w:rFonts w:ascii="Arial" w:hAnsi="Arial" w:eastAsia="Arial" w:cs="Arial"/>
                <w:color w:val="auto"/>
                <w:sz w:val="20"/>
              </w:rPr>
            </w:pPr>
            <w:r>
              <w:rPr>
                <w:rFonts w:ascii="Arial" w:hAnsi="Arial" w:eastAsia="Arial" w:cs="Arial"/>
                <w:color w:val="auto"/>
                <w:sz w:val="20"/>
              </w:rPr>
              <w:t>3.1</w:t>
            </w:r>
          </w:p>
        </w:tc>
        <w:tc>
          <w:tcPr>
            <w:tcW w:w="522" w:type="dxa"/>
            <w:shd w:val="clear" w:color="auto" w:fill="FFFFFF"/>
            <w:tcMar>
              <w:top w:w="0" w:type="dxa"/>
              <w:left w:w="0" w:type="dxa"/>
              <w:bottom w:w="0" w:type="dxa"/>
              <w:right w:w="0" w:type="dxa"/>
            </w:tcMar>
            <w:vAlign w:val="center"/>
          </w:tcPr>
          <w:p w14:paraId="09F05B53">
            <w:pPr>
              <w:jc w:val="center"/>
              <w:rPr>
                <w:rFonts w:ascii="Arial" w:hAnsi="Arial" w:eastAsia="Arial" w:cs="Arial"/>
                <w:color w:val="auto"/>
                <w:sz w:val="20"/>
              </w:rPr>
            </w:pPr>
            <w:r>
              <w:rPr>
                <w:rFonts w:ascii="Arial" w:hAnsi="Arial" w:eastAsia="Arial" w:cs="Arial"/>
                <w:color w:val="auto"/>
                <w:sz w:val="20"/>
              </w:rPr>
              <w:t>25.3</w:t>
            </w:r>
          </w:p>
        </w:tc>
        <w:tc>
          <w:tcPr>
            <w:tcW w:w="540" w:type="dxa"/>
            <w:shd w:val="clear" w:color="auto" w:fill="FFFFFF"/>
            <w:tcMar>
              <w:top w:w="0" w:type="dxa"/>
              <w:left w:w="0" w:type="dxa"/>
              <w:bottom w:w="0" w:type="dxa"/>
              <w:right w:w="0" w:type="dxa"/>
            </w:tcMar>
            <w:vAlign w:val="center"/>
          </w:tcPr>
          <w:p w14:paraId="1778C131">
            <w:pPr>
              <w:jc w:val="center"/>
              <w:rPr>
                <w:rFonts w:ascii="Arial" w:hAnsi="Arial" w:eastAsia="Arial" w:cs="Arial"/>
                <w:color w:val="auto"/>
                <w:sz w:val="20"/>
              </w:rPr>
            </w:pPr>
            <w:r>
              <w:rPr>
                <w:rFonts w:ascii="Arial" w:hAnsi="Arial" w:eastAsia="Arial" w:cs="Arial"/>
                <w:color w:val="auto"/>
                <w:sz w:val="20"/>
              </w:rPr>
              <w:t>45.7</w:t>
            </w:r>
          </w:p>
        </w:tc>
        <w:tc>
          <w:tcPr>
            <w:tcW w:w="440" w:type="dxa"/>
            <w:shd w:val="clear" w:color="auto" w:fill="FFFFFF"/>
            <w:tcMar>
              <w:top w:w="0" w:type="dxa"/>
              <w:left w:w="0" w:type="dxa"/>
              <w:bottom w:w="0" w:type="dxa"/>
              <w:right w:w="0" w:type="dxa"/>
            </w:tcMar>
            <w:vAlign w:val="center"/>
          </w:tcPr>
          <w:p w14:paraId="25D7EBA1">
            <w:pPr>
              <w:jc w:val="center"/>
              <w:rPr>
                <w:rFonts w:ascii="Arial" w:hAnsi="Arial" w:eastAsia="Arial" w:cs="Arial"/>
                <w:color w:val="auto"/>
                <w:sz w:val="20"/>
              </w:rPr>
            </w:pPr>
            <w:r>
              <w:rPr>
                <w:rFonts w:ascii="Arial" w:hAnsi="Arial" w:eastAsia="Arial" w:cs="Arial"/>
                <w:color w:val="auto"/>
                <w:sz w:val="20"/>
              </w:rPr>
              <w:t>60.0</w:t>
            </w:r>
          </w:p>
        </w:tc>
        <w:tc>
          <w:tcPr>
            <w:tcW w:w="472" w:type="dxa"/>
            <w:shd w:val="clear" w:color="auto" w:fill="FFFFFF"/>
            <w:tcMar>
              <w:top w:w="0" w:type="dxa"/>
              <w:left w:w="0" w:type="dxa"/>
              <w:bottom w:w="0" w:type="dxa"/>
              <w:right w:w="0" w:type="dxa"/>
            </w:tcMar>
            <w:vAlign w:val="center"/>
          </w:tcPr>
          <w:p w14:paraId="13D9DA8B">
            <w:pPr>
              <w:jc w:val="center"/>
              <w:rPr>
                <w:rFonts w:ascii="Arial" w:hAnsi="Arial" w:eastAsia="Arial" w:cs="Arial"/>
                <w:color w:val="auto"/>
                <w:sz w:val="20"/>
              </w:rPr>
            </w:pPr>
            <w:r>
              <w:rPr>
                <w:rFonts w:ascii="Arial" w:hAnsi="Arial" w:eastAsia="Arial" w:cs="Arial"/>
                <w:color w:val="auto"/>
                <w:sz w:val="20"/>
              </w:rPr>
              <w:t>64.1</w:t>
            </w:r>
          </w:p>
        </w:tc>
        <w:tc>
          <w:tcPr>
            <w:tcW w:w="472" w:type="dxa"/>
            <w:shd w:val="clear" w:color="auto" w:fill="FFFFFF"/>
            <w:tcMar>
              <w:top w:w="0" w:type="dxa"/>
              <w:left w:w="0" w:type="dxa"/>
              <w:bottom w:w="0" w:type="dxa"/>
              <w:right w:w="0" w:type="dxa"/>
            </w:tcMar>
            <w:vAlign w:val="center"/>
          </w:tcPr>
          <w:p w14:paraId="1CDCA5C6">
            <w:pPr>
              <w:jc w:val="center"/>
              <w:rPr>
                <w:rFonts w:ascii="Arial" w:hAnsi="Arial" w:eastAsia="Arial" w:cs="Arial"/>
                <w:color w:val="auto"/>
                <w:sz w:val="20"/>
              </w:rPr>
            </w:pPr>
            <w:r>
              <w:rPr>
                <w:rFonts w:ascii="Arial" w:hAnsi="Arial" w:eastAsia="Arial" w:cs="Arial"/>
                <w:color w:val="auto"/>
                <w:sz w:val="20"/>
              </w:rPr>
              <w:t>62.4</w:t>
            </w:r>
          </w:p>
        </w:tc>
        <w:tc>
          <w:tcPr>
            <w:tcW w:w="504" w:type="dxa"/>
            <w:shd w:val="clear" w:color="auto" w:fill="FFFFFF"/>
            <w:tcMar>
              <w:top w:w="0" w:type="dxa"/>
              <w:left w:w="0" w:type="dxa"/>
              <w:bottom w:w="0" w:type="dxa"/>
              <w:right w:w="0" w:type="dxa"/>
            </w:tcMar>
            <w:vAlign w:val="center"/>
          </w:tcPr>
          <w:p w14:paraId="2B020039">
            <w:pPr>
              <w:jc w:val="center"/>
              <w:rPr>
                <w:rFonts w:ascii="Arial" w:hAnsi="Arial" w:eastAsia="Arial" w:cs="Arial"/>
                <w:color w:val="auto"/>
                <w:sz w:val="20"/>
              </w:rPr>
            </w:pPr>
            <w:r>
              <w:rPr>
                <w:rFonts w:ascii="Arial" w:hAnsi="Arial" w:eastAsia="Arial" w:cs="Arial"/>
                <w:color w:val="auto"/>
                <w:sz w:val="20"/>
              </w:rPr>
              <w:t>62.4</w:t>
            </w:r>
          </w:p>
        </w:tc>
        <w:tc>
          <w:tcPr>
            <w:tcW w:w="507" w:type="dxa"/>
            <w:shd w:val="clear" w:color="auto" w:fill="FFFFFF"/>
            <w:tcMar>
              <w:top w:w="0" w:type="dxa"/>
              <w:left w:w="0" w:type="dxa"/>
              <w:bottom w:w="0" w:type="dxa"/>
              <w:right w:w="0" w:type="dxa"/>
            </w:tcMar>
            <w:vAlign w:val="center"/>
          </w:tcPr>
          <w:p w14:paraId="2CB79F19">
            <w:pPr>
              <w:jc w:val="center"/>
              <w:rPr>
                <w:rFonts w:ascii="Arial" w:hAnsi="Arial" w:eastAsia="Arial" w:cs="Arial"/>
                <w:color w:val="auto"/>
                <w:sz w:val="20"/>
              </w:rPr>
            </w:pPr>
            <w:r>
              <w:rPr>
                <w:rFonts w:ascii="Arial" w:hAnsi="Arial" w:eastAsia="Arial" w:cs="Arial"/>
                <w:color w:val="auto"/>
                <w:sz w:val="20"/>
              </w:rPr>
              <w:t>62.4</w:t>
            </w:r>
          </w:p>
        </w:tc>
        <w:tc>
          <w:tcPr>
            <w:tcW w:w="539" w:type="dxa"/>
            <w:vMerge w:val="continue"/>
            <w:shd w:val="clear" w:color="auto" w:fill="FFFFFF"/>
            <w:tcMar>
              <w:top w:w="0" w:type="dxa"/>
              <w:left w:w="0" w:type="dxa"/>
              <w:bottom w:w="0" w:type="dxa"/>
              <w:right w:w="0" w:type="dxa"/>
            </w:tcMar>
            <w:vAlign w:val="center"/>
          </w:tcPr>
          <w:p w14:paraId="18F18094">
            <w:pPr>
              <w:jc w:val="center"/>
              <w:rPr>
                <w:rFonts w:ascii="Arial" w:hAnsi="Arial" w:eastAsia="Arial" w:cs="Arial"/>
                <w:color w:val="auto"/>
                <w:sz w:val="20"/>
              </w:rPr>
            </w:pPr>
          </w:p>
        </w:tc>
        <w:tc>
          <w:tcPr>
            <w:tcW w:w="472" w:type="dxa"/>
            <w:shd w:val="clear" w:color="auto" w:fill="FFFFFF"/>
            <w:tcMar>
              <w:top w:w="0" w:type="dxa"/>
              <w:left w:w="0" w:type="dxa"/>
              <w:bottom w:w="0" w:type="dxa"/>
              <w:right w:w="0" w:type="dxa"/>
            </w:tcMar>
            <w:vAlign w:val="center"/>
          </w:tcPr>
          <w:p w14:paraId="17485A3C">
            <w:pPr>
              <w:jc w:val="center"/>
              <w:rPr>
                <w:rFonts w:ascii="Arial" w:hAnsi="Arial" w:eastAsia="Arial" w:cs="Arial"/>
                <w:color w:val="auto"/>
                <w:sz w:val="20"/>
              </w:rPr>
            </w:pPr>
            <w:r>
              <w:rPr>
                <w:rFonts w:ascii="Arial" w:hAnsi="Arial" w:eastAsia="Arial" w:cs="Arial"/>
                <w:color w:val="auto"/>
                <w:sz w:val="20"/>
              </w:rPr>
              <w:t>2</w:t>
            </w:r>
            <w:r>
              <w:rPr>
                <w:rFonts w:hint="eastAsia" w:ascii="Arial" w:hAnsi="Arial" w:eastAsia="Arial" w:cs="Arial"/>
                <w:color w:val="auto"/>
                <w:sz w:val="20"/>
              </w:rPr>
              <w:t>0.0</w:t>
            </w:r>
          </w:p>
        </w:tc>
        <w:tc>
          <w:tcPr>
            <w:tcW w:w="486" w:type="dxa"/>
            <w:shd w:val="clear" w:color="auto" w:fill="FFFFFF"/>
            <w:tcMar>
              <w:top w:w="0" w:type="dxa"/>
              <w:left w:w="0" w:type="dxa"/>
              <w:bottom w:w="0" w:type="dxa"/>
              <w:right w:w="0" w:type="dxa"/>
            </w:tcMar>
            <w:vAlign w:val="center"/>
          </w:tcPr>
          <w:p w14:paraId="324994F8">
            <w:pPr>
              <w:jc w:val="center"/>
              <w:rPr>
                <w:rFonts w:ascii="Arial" w:hAnsi="Arial" w:eastAsia="Arial" w:cs="Arial"/>
                <w:color w:val="auto"/>
                <w:sz w:val="20"/>
              </w:rPr>
            </w:pPr>
            <w:r>
              <w:rPr>
                <w:rFonts w:ascii="Arial" w:hAnsi="Arial" w:eastAsia="Arial" w:cs="Arial"/>
                <w:color w:val="auto"/>
                <w:sz w:val="20"/>
              </w:rPr>
              <w:t>2</w:t>
            </w:r>
            <w:r>
              <w:rPr>
                <w:rFonts w:hint="eastAsia" w:ascii="Arial" w:hAnsi="Arial" w:eastAsia="Arial" w:cs="Arial"/>
                <w:color w:val="auto"/>
                <w:sz w:val="20"/>
              </w:rPr>
              <w:t>0.0</w:t>
            </w:r>
          </w:p>
        </w:tc>
        <w:tc>
          <w:tcPr>
            <w:tcW w:w="472" w:type="dxa"/>
            <w:shd w:val="clear" w:color="auto" w:fill="FFFFFF"/>
            <w:tcMar>
              <w:top w:w="0" w:type="dxa"/>
              <w:left w:w="0" w:type="dxa"/>
              <w:bottom w:w="0" w:type="dxa"/>
              <w:right w:w="0" w:type="dxa"/>
            </w:tcMar>
            <w:vAlign w:val="center"/>
          </w:tcPr>
          <w:p w14:paraId="7E34931F">
            <w:pPr>
              <w:jc w:val="center"/>
              <w:rPr>
                <w:rFonts w:ascii="Arial" w:hAnsi="Arial" w:eastAsia="Arial" w:cs="Arial"/>
                <w:color w:val="auto"/>
                <w:sz w:val="20"/>
              </w:rPr>
            </w:pPr>
            <w:r>
              <w:rPr>
                <w:rFonts w:ascii="Arial" w:hAnsi="Arial" w:eastAsia="Arial" w:cs="Arial"/>
                <w:color w:val="auto"/>
                <w:sz w:val="20"/>
              </w:rPr>
              <w:t>2</w:t>
            </w:r>
            <w:r>
              <w:rPr>
                <w:rFonts w:hint="eastAsia" w:ascii="Arial" w:hAnsi="Arial" w:eastAsia="Arial" w:cs="Arial"/>
                <w:color w:val="auto"/>
                <w:sz w:val="20"/>
              </w:rPr>
              <w:t>0.0</w:t>
            </w:r>
          </w:p>
        </w:tc>
        <w:tc>
          <w:tcPr>
            <w:tcW w:w="422" w:type="dxa"/>
            <w:shd w:val="clear" w:color="auto" w:fill="FFFFFF"/>
            <w:tcMar>
              <w:top w:w="0" w:type="dxa"/>
              <w:left w:w="0" w:type="dxa"/>
              <w:bottom w:w="0" w:type="dxa"/>
              <w:right w:w="0" w:type="dxa"/>
            </w:tcMar>
            <w:vAlign w:val="center"/>
          </w:tcPr>
          <w:p w14:paraId="6749867E">
            <w:pPr>
              <w:jc w:val="center"/>
              <w:rPr>
                <w:rFonts w:ascii="Arial" w:hAnsi="Arial" w:eastAsia="Arial" w:cs="Arial"/>
                <w:color w:val="auto"/>
                <w:sz w:val="20"/>
              </w:rPr>
            </w:pPr>
            <w:r>
              <w:rPr>
                <w:rFonts w:ascii="Arial" w:hAnsi="Arial" w:eastAsia="Arial" w:cs="Arial"/>
                <w:color w:val="auto"/>
                <w:sz w:val="20"/>
              </w:rPr>
              <w:t>2</w:t>
            </w:r>
            <w:r>
              <w:rPr>
                <w:rFonts w:hint="eastAsia" w:ascii="Arial" w:hAnsi="Arial" w:eastAsia="Arial" w:cs="Arial"/>
                <w:color w:val="auto"/>
                <w:sz w:val="20"/>
              </w:rPr>
              <w:t>0.0</w:t>
            </w:r>
          </w:p>
        </w:tc>
        <w:tc>
          <w:tcPr>
            <w:tcW w:w="553" w:type="dxa"/>
            <w:shd w:val="clear" w:color="auto" w:fill="FFFFFF"/>
            <w:tcMar>
              <w:top w:w="0" w:type="dxa"/>
              <w:left w:w="0" w:type="dxa"/>
              <w:bottom w:w="0" w:type="dxa"/>
              <w:right w:w="0" w:type="dxa"/>
            </w:tcMar>
            <w:vAlign w:val="center"/>
          </w:tcPr>
          <w:p w14:paraId="5977C173">
            <w:pPr>
              <w:jc w:val="center"/>
              <w:rPr>
                <w:rFonts w:ascii="Arial" w:hAnsi="Arial" w:eastAsia="Arial" w:cs="Arial"/>
                <w:color w:val="auto"/>
                <w:sz w:val="20"/>
              </w:rPr>
            </w:pPr>
            <w:r>
              <w:rPr>
                <w:rFonts w:ascii="Arial" w:hAnsi="Arial" w:eastAsia="Arial" w:cs="Arial"/>
                <w:color w:val="auto"/>
                <w:sz w:val="20"/>
              </w:rPr>
              <w:t>39.4</w:t>
            </w:r>
          </w:p>
        </w:tc>
        <w:tc>
          <w:tcPr>
            <w:tcW w:w="486" w:type="dxa"/>
            <w:shd w:val="clear" w:color="auto" w:fill="FFFFFF"/>
            <w:tcMar>
              <w:top w:w="0" w:type="dxa"/>
              <w:left w:w="0" w:type="dxa"/>
              <w:bottom w:w="0" w:type="dxa"/>
              <w:right w:w="0" w:type="dxa"/>
            </w:tcMar>
            <w:vAlign w:val="center"/>
          </w:tcPr>
          <w:p w14:paraId="4A720B7F">
            <w:pPr>
              <w:jc w:val="center"/>
              <w:rPr>
                <w:rFonts w:ascii="Arial" w:hAnsi="Arial" w:cs="Arial"/>
                <w:color w:val="auto"/>
                <w:sz w:val="20"/>
              </w:rPr>
            </w:pPr>
            <w:r>
              <w:rPr>
                <w:rFonts w:hint="eastAsia" w:ascii="Arial" w:hAnsi="Arial" w:cs="Arial"/>
                <w:color w:val="auto"/>
                <w:sz w:val="20"/>
              </w:rPr>
              <w:t>42.4</w:t>
            </w:r>
          </w:p>
        </w:tc>
        <w:tc>
          <w:tcPr>
            <w:tcW w:w="553" w:type="dxa"/>
            <w:shd w:val="clear" w:color="auto" w:fill="FFFFFF"/>
            <w:tcMar>
              <w:top w:w="0" w:type="dxa"/>
              <w:left w:w="0" w:type="dxa"/>
              <w:bottom w:w="0" w:type="dxa"/>
              <w:right w:w="0" w:type="dxa"/>
            </w:tcMar>
            <w:vAlign w:val="center"/>
          </w:tcPr>
          <w:p w14:paraId="36830169">
            <w:pPr>
              <w:jc w:val="center"/>
              <w:rPr>
                <w:rFonts w:ascii="Arial" w:hAnsi="Arial" w:cs="Arial"/>
                <w:color w:val="auto"/>
                <w:sz w:val="20"/>
              </w:rPr>
            </w:pPr>
            <w:r>
              <w:rPr>
                <w:rFonts w:hint="eastAsia" w:ascii="Arial" w:hAnsi="Arial" w:cs="Arial"/>
                <w:color w:val="auto"/>
                <w:sz w:val="20"/>
              </w:rPr>
              <w:t>42.4</w:t>
            </w:r>
          </w:p>
        </w:tc>
        <w:tc>
          <w:tcPr>
            <w:tcW w:w="521" w:type="dxa"/>
            <w:shd w:val="clear" w:color="auto" w:fill="FFFFFF"/>
            <w:tcMar>
              <w:top w:w="0" w:type="dxa"/>
              <w:left w:w="0" w:type="dxa"/>
              <w:bottom w:w="0" w:type="dxa"/>
              <w:right w:w="0" w:type="dxa"/>
            </w:tcMar>
            <w:vAlign w:val="center"/>
          </w:tcPr>
          <w:p w14:paraId="2562DF9A">
            <w:pPr>
              <w:jc w:val="center"/>
              <w:rPr>
                <w:rFonts w:ascii="Arial" w:hAnsi="Arial" w:cs="Arial"/>
                <w:color w:val="auto"/>
                <w:sz w:val="20"/>
              </w:rPr>
            </w:pPr>
            <w:r>
              <w:rPr>
                <w:rFonts w:hint="eastAsia" w:ascii="Arial" w:hAnsi="Arial" w:cs="Arial"/>
                <w:color w:val="auto"/>
                <w:sz w:val="20"/>
              </w:rPr>
              <w:t>42.4</w:t>
            </w:r>
          </w:p>
        </w:tc>
        <w:tc>
          <w:tcPr>
            <w:tcW w:w="696" w:type="dxa"/>
            <w:shd w:val="clear" w:color="auto" w:fill="FFFFFF"/>
            <w:tcMar>
              <w:top w:w="0" w:type="dxa"/>
              <w:left w:w="0" w:type="dxa"/>
              <w:bottom w:w="0" w:type="dxa"/>
              <w:right w:w="0" w:type="dxa"/>
            </w:tcMar>
            <w:vAlign w:val="center"/>
          </w:tcPr>
          <w:p w14:paraId="20E975E5">
            <w:pPr>
              <w:jc w:val="center"/>
              <w:rPr>
                <w:rFonts w:ascii="Arial" w:hAnsi="Arial" w:eastAsia="Arial" w:cs="Arial"/>
                <w:color w:val="auto"/>
                <w:sz w:val="20"/>
              </w:rPr>
            </w:pPr>
            <w:r>
              <w:rPr>
                <w:rFonts w:ascii="Arial" w:hAnsi="Arial" w:eastAsia="Arial" w:cs="Arial"/>
                <w:color w:val="auto"/>
                <w:sz w:val="20"/>
              </w:rPr>
              <w:t>1</w:t>
            </w:r>
          </w:p>
        </w:tc>
      </w:tr>
      <w:bookmarkEnd w:id="34"/>
    </w:tbl>
    <w:p w14:paraId="4DB6B3AF">
      <w:pPr>
        <w:pStyle w:val="41"/>
        <w:rPr>
          <w:color w:val="auto"/>
        </w:rPr>
      </w:pPr>
      <w:r>
        <w:rPr>
          <w:rFonts w:hint="eastAsia"/>
          <w:color w:val="auto"/>
        </w:rPr>
        <w:t>注：表中坐标以厂界中心</w:t>
      </w:r>
      <w:r>
        <w:rPr>
          <w:rFonts w:hint="eastAsia" w:ascii="Times New Roman" w:hAnsi="Times New Roman"/>
          <w:color w:val="auto"/>
          <w:lang w:val="zh-CN" w:bidi="ar"/>
        </w:rPr>
        <w:t>（</w:t>
      </w:r>
      <w:r>
        <w:rPr>
          <w:rFonts w:ascii="Times New Roman" w:hAnsi="Times New Roman" w:eastAsiaTheme="minorEastAsia"/>
          <w:bCs/>
          <w:color w:val="auto"/>
        </w:rPr>
        <w:t>103.15</w:t>
      </w:r>
      <w:r>
        <w:rPr>
          <w:rFonts w:hint="eastAsia" w:eastAsiaTheme="minorEastAsia"/>
          <w:bCs/>
          <w:color w:val="auto"/>
        </w:rPr>
        <w:t>4687</w:t>
      </w:r>
      <w:r>
        <w:rPr>
          <w:rFonts w:ascii="Times New Roman" w:hAnsi="Times New Roman" w:eastAsiaTheme="minorEastAsia"/>
          <w:bCs/>
          <w:color w:val="auto"/>
        </w:rPr>
        <w:t>,25.4</w:t>
      </w:r>
      <w:r>
        <w:rPr>
          <w:rFonts w:hint="eastAsia" w:eastAsiaTheme="minorEastAsia"/>
          <w:bCs/>
          <w:color w:val="auto"/>
        </w:rPr>
        <w:t>70234</w:t>
      </w:r>
      <w:r>
        <w:rPr>
          <w:rFonts w:hint="eastAsia" w:ascii="Times New Roman" w:hAnsi="Times New Roman"/>
          <w:color w:val="auto"/>
          <w:lang w:val="zh-CN" w:bidi="ar"/>
        </w:rPr>
        <w:t>）</w:t>
      </w:r>
      <w:r>
        <w:rPr>
          <w:rFonts w:hint="eastAsia"/>
          <w:color w:val="auto"/>
        </w:rPr>
        <w:t>为坐标原点，正东向为X轴正方向，正北向为Y轴正方向。</w:t>
      </w:r>
    </w:p>
    <w:p w14:paraId="7E756F77">
      <w:pPr>
        <w:pStyle w:val="41"/>
        <w:rPr>
          <w:color w:val="auto"/>
        </w:rPr>
        <w:sectPr>
          <w:pgSz w:w="16840" w:h="11907" w:orient="landscape"/>
          <w:pgMar w:top="1531" w:right="1701" w:bottom="1531" w:left="2127" w:header="851" w:footer="850" w:gutter="0"/>
          <w:cols w:space="0" w:num="1"/>
          <w:docGrid w:linePitch="312" w:charSpace="0"/>
        </w:sectPr>
      </w:pPr>
    </w:p>
    <w:tbl>
      <w:tblPr>
        <w:tblStyle w:val="30"/>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39"/>
        <w:gridCol w:w="8742"/>
      </w:tblGrid>
      <w:tr w14:paraId="291BE0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80" w:hRule="atLeast"/>
          <w:jc w:val="center"/>
        </w:trPr>
        <w:tc>
          <w:tcPr>
            <w:tcW w:w="239" w:type="dxa"/>
            <w:tcMar>
              <w:left w:w="28" w:type="dxa"/>
              <w:right w:w="28" w:type="dxa"/>
            </w:tcMar>
            <w:vAlign w:val="center"/>
          </w:tcPr>
          <w:p w14:paraId="58A93B6B">
            <w:pPr>
              <w:adjustRightInd w:val="0"/>
              <w:snapToGrid w:val="0"/>
              <w:jc w:val="center"/>
              <w:rPr>
                <w:rFonts w:cs="宋体"/>
                <w:bCs/>
                <w:color w:val="auto"/>
                <w:szCs w:val="21"/>
              </w:rPr>
            </w:pPr>
            <w:r>
              <w:rPr>
                <w:rFonts w:hint="eastAsia" w:cs="宋体"/>
                <w:bCs/>
                <w:color w:val="auto"/>
                <w:szCs w:val="21"/>
              </w:rPr>
              <w:t>运营</w:t>
            </w:r>
          </w:p>
          <w:p w14:paraId="71B2550E">
            <w:pPr>
              <w:adjustRightInd w:val="0"/>
              <w:snapToGrid w:val="0"/>
              <w:jc w:val="center"/>
              <w:rPr>
                <w:rFonts w:cs="宋体"/>
                <w:bCs/>
                <w:color w:val="auto"/>
                <w:szCs w:val="21"/>
              </w:rPr>
            </w:pPr>
            <w:r>
              <w:rPr>
                <w:rFonts w:hint="eastAsia" w:cs="宋体"/>
                <w:bCs/>
                <w:color w:val="auto"/>
                <w:szCs w:val="21"/>
              </w:rPr>
              <w:t>期环</w:t>
            </w:r>
          </w:p>
          <w:p w14:paraId="1588B9A2">
            <w:pPr>
              <w:adjustRightInd w:val="0"/>
              <w:snapToGrid w:val="0"/>
              <w:jc w:val="center"/>
              <w:rPr>
                <w:rFonts w:cs="宋体"/>
                <w:bCs/>
                <w:color w:val="auto"/>
                <w:szCs w:val="21"/>
              </w:rPr>
            </w:pPr>
            <w:r>
              <w:rPr>
                <w:rFonts w:hint="eastAsia" w:cs="宋体"/>
                <w:bCs/>
                <w:color w:val="auto"/>
                <w:szCs w:val="21"/>
              </w:rPr>
              <w:t>境影</w:t>
            </w:r>
          </w:p>
          <w:p w14:paraId="1D607727">
            <w:pPr>
              <w:adjustRightInd w:val="0"/>
              <w:snapToGrid w:val="0"/>
              <w:jc w:val="center"/>
              <w:rPr>
                <w:rFonts w:cs="宋体"/>
                <w:bCs/>
                <w:color w:val="auto"/>
                <w:szCs w:val="21"/>
              </w:rPr>
            </w:pPr>
            <w:r>
              <w:rPr>
                <w:rFonts w:hint="eastAsia" w:cs="宋体"/>
                <w:bCs/>
                <w:color w:val="auto"/>
                <w:szCs w:val="21"/>
              </w:rPr>
              <w:t>响和</w:t>
            </w:r>
          </w:p>
          <w:p w14:paraId="011E8DD8">
            <w:pPr>
              <w:adjustRightInd w:val="0"/>
              <w:snapToGrid w:val="0"/>
              <w:jc w:val="center"/>
              <w:rPr>
                <w:rFonts w:cs="宋体"/>
                <w:bCs/>
                <w:color w:val="auto"/>
                <w:szCs w:val="21"/>
              </w:rPr>
            </w:pPr>
            <w:r>
              <w:rPr>
                <w:rFonts w:hint="eastAsia" w:cs="宋体"/>
                <w:bCs/>
                <w:color w:val="auto"/>
                <w:szCs w:val="21"/>
              </w:rPr>
              <w:t>保护</w:t>
            </w:r>
          </w:p>
          <w:p w14:paraId="62CC1926">
            <w:pPr>
              <w:adjustRightInd w:val="0"/>
              <w:snapToGrid w:val="0"/>
              <w:jc w:val="center"/>
              <w:rPr>
                <w:rFonts w:cs="宋体"/>
                <w:bCs/>
                <w:color w:val="auto"/>
                <w:szCs w:val="21"/>
              </w:rPr>
            </w:pPr>
            <w:r>
              <w:rPr>
                <w:rFonts w:hint="eastAsia" w:cs="宋体"/>
                <w:bCs/>
                <w:color w:val="auto"/>
                <w:szCs w:val="21"/>
              </w:rPr>
              <w:t>措施</w:t>
            </w:r>
          </w:p>
        </w:tc>
        <w:tc>
          <w:tcPr>
            <w:tcW w:w="8742" w:type="dxa"/>
            <w:vAlign w:val="center"/>
          </w:tcPr>
          <w:p w14:paraId="5727DDA8">
            <w:pPr>
              <w:adjustRightInd w:val="0"/>
              <w:snapToGrid w:val="0"/>
              <w:spacing w:line="360" w:lineRule="auto"/>
              <w:ind w:firstLine="480" w:firstLineChars="200"/>
              <w:rPr>
                <w:color w:val="auto"/>
                <w:sz w:val="24"/>
                <w:lang w:val="zh-CN" w:bidi="ar"/>
              </w:rPr>
            </w:pPr>
            <w:r>
              <w:rPr>
                <w:rFonts w:hint="eastAsia"/>
                <w:color w:val="auto"/>
                <w:sz w:val="24"/>
                <w:lang w:val="zh-CN" w:bidi="ar"/>
              </w:rPr>
              <w:t>C、环境数据</w:t>
            </w:r>
          </w:p>
          <w:p w14:paraId="050E5B91">
            <w:pPr>
              <w:adjustRightInd w:val="0"/>
              <w:snapToGrid w:val="0"/>
              <w:spacing w:line="360" w:lineRule="auto"/>
              <w:ind w:firstLine="480" w:firstLineChars="200"/>
              <w:rPr>
                <w:color w:val="auto"/>
                <w:sz w:val="24"/>
                <w:lang w:val="zh-CN" w:bidi="ar"/>
              </w:rPr>
            </w:pPr>
            <w:r>
              <w:rPr>
                <w:rFonts w:hint="eastAsia"/>
                <w:color w:val="auto"/>
                <w:sz w:val="24"/>
                <w:lang w:val="zh-CN" w:bidi="ar"/>
              </w:rPr>
              <w:t>项目噪声环境影响预测基础数据见下表。</w:t>
            </w:r>
          </w:p>
          <w:p w14:paraId="4E36E2FC">
            <w:pPr>
              <w:jc w:val="center"/>
              <w:rPr>
                <w:b/>
                <w:bCs/>
                <w:color w:val="auto"/>
                <w:kern w:val="0"/>
                <w:szCs w:val="20"/>
              </w:rPr>
            </w:pPr>
            <w:r>
              <w:rPr>
                <w:rFonts w:hint="eastAsia"/>
                <w:b/>
                <w:bCs/>
                <w:color w:val="auto"/>
                <w:kern w:val="0"/>
                <w:szCs w:val="20"/>
              </w:rPr>
              <w:t>表4-</w:t>
            </w:r>
            <w:r>
              <w:rPr>
                <w:b/>
                <w:bCs/>
                <w:color w:val="auto"/>
                <w:kern w:val="0"/>
                <w:szCs w:val="20"/>
              </w:rPr>
              <w:t>12</w:t>
            </w:r>
            <w:r>
              <w:rPr>
                <w:rFonts w:hint="eastAsia"/>
                <w:b/>
                <w:bCs/>
                <w:color w:val="auto"/>
                <w:kern w:val="0"/>
                <w:szCs w:val="20"/>
              </w:rPr>
              <w:t xml:space="preserve">  项目噪声环境影响预测基础数据表</w:t>
            </w:r>
          </w:p>
          <w:tbl>
            <w:tblPr>
              <w:tblStyle w:val="30"/>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601"/>
              <w:gridCol w:w="1984"/>
              <w:gridCol w:w="1984"/>
            </w:tblGrid>
            <w:tr w14:paraId="2DA97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exact"/>
                <w:jc w:val="center"/>
              </w:trPr>
              <w:tc>
                <w:tcPr>
                  <w:tcW w:w="1368" w:type="dxa"/>
                  <w:tcBorders>
                    <w:top w:val="single" w:color="auto" w:sz="4" w:space="0"/>
                    <w:left w:val="single" w:color="auto" w:sz="4" w:space="0"/>
                    <w:bottom w:val="single" w:color="auto" w:sz="4" w:space="0"/>
                    <w:right w:val="single" w:color="auto" w:sz="4" w:space="0"/>
                  </w:tcBorders>
                  <w:vAlign w:val="center"/>
                </w:tcPr>
                <w:p w14:paraId="2056494D">
                  <w:pPr>
                    <w:pStyle w:val="97"/>
                    <w:rPr>
                      <w:color w:val="auto"/>
                    </w:rPr>
                  </w:pPr>
                  <w:r>
                    <w:rPr>
                      <w:color w:val="auto"/>
                    </w:rPr>
                    <w:t>序号</w:t>
                  </w:r>
                </w:p>
              </w:tc>
              <w:tc>
                <w:tcPr>
                  <w:tcW w:w="2601" w:type="dxa"/>
                  <w:tcBorders>
                    <w:top w:val="single" w:color="auto" w:sz="4" w:space="0"/>
                    <w:left w:val="single" w:color="auto" w:sz="4" w:space="0"/>
                    <w:bottom w:val="single" w:color="auto" w:sz="4" w:space="0"/>
                    <w:right w:val="single" w:color="auto" w:sz="4" w:space="0"/>
                  </w:tcBorders>
                  <w:vAlign w:val="center"/>
                </w:tcPr>
                <w:p w14:paraId="786B9D30">
                  <w:pPr>
                    <w:pStyle w:val="97"/>
                    <w:rPr>
                      <w:color w:val="auto"/>
                    </w:rPr>
                  </w:pPr>
                  <w:r>
                    <w:rPr>
                      <w:color w:val="auto"/>
                    </w:rPr>
                    <w:t>名称</w:t>
                  </w:r>
                </w:p>
              </w:tc>
              <w:tc>
                <w:tcPr>
                  <w:tcW w:w="1984" w:type="dxa"/>
                  <w:tcBorders>
                    <w:top w:val="single" w:color="auto" w:sz="4" w:space="0"/>
                    <w:left w:val="single" w:color="auto" w:sz="4" w:space="0"/>
                    <w:bottom w:val="single" w:color="auto" w:sz="4" w:space="0"/>
                    <w:right w:val="single" w:color="auto" w:sz="4" w:space="0"/>
                  </w:tcBorders>
                  <w:vAlign w:val="center"/>
                </w:tcPr>
                <w:p w14:paraId="052FB8DE">
                  <w:pPr>
                    <w:pStyle w:val="97"/>
                    <w:rPr>
                      <w:color w:val="auto"/>
                    </w:rPr>
                  </w:pPr>
                  <w:r>
                    <w:rPr>
                      <w:color w:val="auto"/>
                    </w:rPr>
                    <w:t>单位</w:t>
                  </w:r>
                </w:p>
              </w:tc>
              <w:tc>
                <w:tcPr>
                  <w:tcW w:w="1984" w:type="dxa"/>
                  <w:tcBorders>
                    <w:top w:val="single" w:color="auto" w:sz="4" w:space="0"/>
                    <w:left w:val="single" w:color="auto" w:sz="4" w:space="0"/>
                    <w:bottom w:val="single" w:color="auto" w:sz="4" w:space="0"/>
                    <w:right w:val="single" w:color="auto" w:sz="4" w:space="0"/>
                  </w:tcBorders>
                  <w:vAlign w:val="center"/>
                </w:tcPr>
                <w:p w14:paraId="6C0288E9">
                  <w:pPr>
                    <w:pStyle w:val="97"/>
                    <w:rPr>
                      <w:color w:val="auto"/>
                    </w:rPr>
                  </w:pPr>
                  <w:r>
                    <w:rPr>
                      <w:color w:val="auto"/>
                    </w:rPr>
                    <w:t>数据</w:t>
                  </w:r>
                </w:p>
              </w:tc>
            </w:tr>
            <w:tr w14:paraId="6BF8D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exact"/>
                <w:jc w:val="center"/>
              </w:trPr>
              <w:tc>
                <w:tcPr>
                  <w:tcW w:w="1368" w:type="dxa"/>
                  <w:tcBorders>
                    <w:top w:val="single" w:color="auto" w:sz="4" w:space="0"/>
                    <w:left w:val="single" w:color="auto" w:sz="4" w:space="0"/>
                    <w:bottom w:val="single" w:color="auto" w:sz="4" w:space="0"/>
                    <w:right w:val="single" w:color="auto" w:sz="4" w:space="0"/>
                  </w:tcBorders>
                  <w:shd w:val="clear" w:color="auto" w:fill="FFFFFF"/>
                  <w:vAlign w:val="center"/>
                </w:tcPr>
                <w:p w14:paraId="34AC01CE">
                  <w:pPr>
                    <w:pStyle w:val="97"/>
                    <w:rPr>
                      <w:color w:val="auto"/>
                    </w:rPr>
                  </w:pPr>
                  <w:r>
                    <w:rPr>
                      <w:color w:val="auto"/>
                    </w:rPr>
                    <w:t>1</w:t>
                  </w:r>
                </w:p>
              </w:tc>
              <w:tc>
                <w:tcPr>
                  <w:tcW w:w="2601" w:type="dxa"/>
                  <w:tcBorders>
                    <w:top w:val="single" w:color="auto" w:sz="4" w:space="0"/>
                    <w:left w:val="single" w:color="auto" w:sz="4" w:space="0"/>
                    <w:bottom w:val="single" w:color="auto" w:sz="4" w:space="0"/>
                    <w:right w:val="single" w:color="auto" w:sz="4" w:space="0"/>
                  </w:tcBorders>
                  <w:shd w:val="clear" w:color="auto" w:fill="FFFFFF"/>
                  <w:vAlign w:val="center"/>
                </w:tcPr>
                <w:p w14:paraId="62B89341">
                  <w:pPr>
                    <w:pStyle w:val="97"/>
                    <w:rPr>
                      <w:color w:val="auto"/>
                    </w:rPr>
                  </w:pPr>
                  <w:r>
                    <w:rPr>
                      <w:color w:val="auto"/>
                    </w:rPr>
                    <w:t>年平均风速</w:t>
                  </w:r>
                </w:p>
              </w:tc>
              <w:tc>
                <w:tcPr>
                  <w:tcW w:w="1984" w:type="dxa"/>
                  <w:tcBorders>
                    <w:top w:val="single" w:color="auto" w:sz="4" w:space="0"/>
                    <w:left w:val="single" w:color="auto" w:sz="4" w:space="0"/>
                    <w:bottom w:val="single" w:color="auto" w:sz="4" w:space="0"/>
                    <w:right w:val="single" w:color="auto" w:sz="4" w:space="0"/>
                  </w:tcBorders>
                  <w:shd w:val="clear" w:color="auto" w:fill="FFFFFF"/>
                  <w:vAlign w:val="center"/>
                </w:tcPr>
                <w:p w14:paraId="7C1A50EE">
                  <w:pPr>
                    <w:pStyle w:val="97"/>
                    <w:rPr>
                      <w:color w:val="auto"/>
                    </w:rPr>
                  </w:pPr>
                  <w:r>
                    <w:rPr>
                      <w:color w:val="auto"/>
                    </w:rPr>
                    <w:t>m/s</w:t>
                  </w:r>
                </w:p>
              </w:tc>
              <w:tc>
                <w:tcPr>
                  <w:tcW w:w="1984" w:type="dxa"/>
                  <w:tcBorders>
                    <w:top w:val="single" w:color="auto" w:sz="4" w:space="0"/>
                    <w:left w:val="single" w:color="auto" w:sz="4" w:space="0"/>
                    <w:bottom w:val="single" w:color="auto" w:sz="4" w:space="0"/>
                    <w:right w:val="single" w:color="auto" w:sz="4" w:space="0"/>
                  </w:tcBorders>
                  <w:shd w:val="clear" w:color="auto" w:fill="FFFFFF"/>
                  <w:vAlign w:val="center"/>
                </w:tcPr>
                <w:p w14:paraId="2F0675FA">
                  <w:pPr>
                    <w:pStyle w:val="97"/>
                    <w:rPr>
                      <w:color w:val="auto"/>
                    </w:rPr>
                  </w:pPr>
                  <w:r>
                    <w:rPr>
                      <w:rFonts w:hint="eastAsia"/>
                      <w:color w:val="auto"/>
                    </w:rPr>
                    <w:t>1.6</w:t>
                  </w:r>
                </w:p>
              </w:tc>
            </w:tr>
            <w:tr w14:paraId="17B8A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exact"/>
                <w:jc w:val="center"/>
              </w:trPr>
              <w:tc>
                <w:tcPr>
                  <w:tcW w:w="1368" w:type="dxa"/>
                  <w:tcBorders>
                    <w:top w:val="single" w:color="auto" w:sz="4" w:space="0"/>
                    <w:left w:val="single" w:color="auto" w:sz="4" w:space="0"/>
                    <w:bottom w:val="single" w:color="auto" w:sz="4" w:space="0"/>
                    <w:right w:val="single" w:color="auto" w:sz="4" w:space="0"/>
                  </w:tcBorders>
                  <w:shd w:val="clear" w:color="auto" w:fill="FFFFFF"/>
                  <w:vAlign w:val="center"/>
                </w:tcPr>
                <w:p w14:paraId="5588D7CD">
                  <w:pPr>
                    <w:pStyle w:val="97"/>
                    <w:rPr>
                      <w:color w:val="auto"/>
                    </w:rPr>
                  </w:pPr>
                  <w:r>
                    <w:rPr>
                      <w:color w:val="auto"/>
                    </w:rPr>
                    <w:t>2</w:t>
                  </w:r>
                </w:p>
              </w:tc>
              <w:tc>
                <w:tcPr>
                  <w:tcW w:w="2601" w:type="dxa"/>
                  <w:tcBorders>
                    <w:top w:val="single" w:color="auto" w:sz="4" w:space="0"/>
                    <w:left w:val="single" w:color="auto" w:sz="4" w:space="0"/>
                    <w:bottom w:val="single" w:color="auto" w:sz="4" w:space="0"/>
                    <w:right w:val="single" w:color="auto" w:sz="4" w:space="0"/>
                  </w:tcBorders>
                  <w:shd w:val="clear" w:color="auto" w:fill="FFFFFF"/>
                  <w:vAlign w:val="center"/>
                </w:tcPr>
                <w:p w14:paraId="1A1007C0">
                  <w:pPr>
                    <w:pStyle w:val="97"/>
                    <w:rPr>
                      <w:color w:val="auto"/>
                    </w:rPr>
                  </w:pPr>
                  <w:r>
                    <w:rPr>
                      <w:color w:val="auto"/>
                    </w:rPr>
                    <w:t>主导风向</w:t>
                  </w:r>
                </w:p>
              </w:tc>
              <w:tc>
                <w:tcPr>
                  <w:tcW w:w="1984" w:type="dxa"/>
                  <w:tcBorders>
                    <w:top w:val="single" w:color="auto" w:sz="4" w:space="0"/>
                    <w:left w:val="single" w:color="auto" w:sz="4" w:space="0"/>
                    <w:bottom w:val="single" w:color="auto" w:sz="4" w:space="0"/>
                    <w:right w:val="single" w:color="auto" w:sz="4" w:space="0"/>
                  </w:tcBorders>
                  <w:shd w:val="clear" w:color="auto" w:fill="FFFFFF"/>
                  <w:vAlign w:val="center"/>
                </w:tcPr>
                <w:p w14:paraId="775B4666">
                  <w:pPr>
                    <w:pStyle w:val="97"/>
                    <w:rPr>
                      <w:color w:val="auto"/>
                    </w:rPr>
                  </w:pPr>
                  <w:r>
                    <w:rPr>
                      <w:color w:val="auto"/>
                    </w:rPr>
                    <w:t>/</w:t>
                  </w:r>
                </w:p>
              </w:tc>
              <w:tc>
                <w:tcPr>
                  <w:tcW w:w="1984" w:type="dxa"/>
                  <w:tcBorders>
                    <w:top w:val="single" w:color="auto" w:sz="4" w:space="0"/>
                    <w:left w:val="single" w:color="auto" w:sz="4" w:space="0"/>
                    <w:bottom w:val="single" w:color="auto" w:sz="4" w:space="0"/>
                    <w:right w:val="single" w:color="auto" w:sz="4" w:space="0"/>
                  </w:tcBorders>
                  <w:shd w:val="clear" w:color="auto" w:fill="FFFFFF"/>
                  <w:vAlign w:val="center"/>
                </w:tcPr>
                <w:p w14:paraId="0257AB4D">
                  <w:pPr>
                    <w:pStyle w:val="97"/>
                    <w:rPr>
                      <w:color w:val="auto"/>
                    </w:rPr>
                  </w:pPr>
                  <w:r>
                    <w:rPr>
                      <w:color w:val="auto"/>
                    </w:rPr>
                    <w:t>西南风</w:t>
                  </w:r>
                </w:p>
              </w:tc>
            </w:tr>
            <w:tr w14:paraId="00007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68" w:type="dxa"/>
                  <w:tcBorders>
                    <w:top w:val="single" w:color="auto" w:sz="4" w:space="0"/>
                    <w:left w:val="single" w:color="auto" w:sz="4" w:space="0"/>
                    <w:bottom w:val="single" w:color="auto" w:sz="4" w:space="0"/>
                    <w:right w:val="single" w:color="auto" w:sz="4" w:space="0"/>
                  </w:tcBorders>
                  <w:shd w:val="clear" w:color="auto" w:fill="FFFFFF"/>
                  <w:vAlign w:val="center"/>
                </w:tcPr>
                <w:p w14:paraId="23A5AC07">
                  <w:pPr>
                    <w:pStyle w:val="97"/>
                    <w:rPr>
                      <w:color w:val="auto"/>
                    </w:rPr>
                  </w:pPr>
                  <w:r>
                    <w:rPr>
                      <w:color w:val="auto"/>
                    </w:rPr>
                    <w:t>3</w:t>
                  </w:r>
                </w:p>
              </w:tc>
              <w:tc>
                <w:tcPr>
                  <w:tcW w:w="2601" w:type="dxa"/>
                  <w:tcBorders>
                    <w:top w:val="single" w:color="auto" w:sz="4" w:space="0"/>
                    <w:left w:val="single" w:color="auto" w:sz="4" w:space="0"/>
                    <w:bottom w:val="single" w:color="auto" w:sz="4" w:space="0"/>
                    <w:right w:val="single" w:color="auto" w:sz="4" w:space="0"/>
                  </w:tcBorders>
                  <w:shd w:val="clear" w:color="auto" w:fill="FFFFFF"/>
                  <w:vAlign w:val="center"/>
                </w:tcPr>
                <w:p w14:paraId="3E2A0454">
                  <w:pPr>
                    <w:pStyle w:val="97"/>
                    <w:rPr>
                      <w:color w:val="auto"/>
                    </w:rPr>
                  </w:pPr>
                  <w:r>
                    <w:rPr>
                      <w:color w:val="auto"/>
                    </w:rPr>
                    <w:t>年平均气温</w:t>
                  </w:r>
                </w:p>
              </w:tc>
              <w:tc>
                <w:tcPr>
                  <w:tcW w:w="1984" w:type="dxa"/>
                  <w:tcBorders>
                    <w:top w:val="single" w:color="auto" w:sz="4" w:space="0"/>
                    <w:left w:val="single" w:color="auto" w:sz="4" w:space="0"/>
                    <w:bottom w:val="single" w:color="auto" w:sz="4" w:space="0"/>
                    <w:right w:val="single" w:color="auto" w:sz="4" w:space="0"/>
                  </w:tcBorders>
                  <w:shd w:val="clear" w:color="auto" w:fill="FFFFFF"/>
                  <w:vAlign w:val="center"/>
                </w:tcPr>
                <w:p w14:paraId="147C2ABC">
                  <w:pPr>
                    <w:pStyle w:val="97"/>
                    <w:rPr>
                      <w:color w:val="auto"/>
                    </w:rPr>
                  </w:pPr>
                  <w:r>
                    <w:rPr>
                      <w:color w:val="auto"/>
                    </w:rPr>
                    <w:t>℃</w:t>
                  </w:r>
                </w:p>
              </w:tc>
              <w:tc>
                <w:tcPr>
                  <w:tcW w:w="1984" w:type="dxa"/>
                  <w:tcBorders>
                    <w:top w:val="single" w:color="auto" w:sz="4" w:space="0"/>
                    <w:left w:val="single" w:color="auto" w:sz="4" w:space="0"/>
                    <w:bottom w:val="single" w:color="auto" w:sz="4" w:space="0"/>
                    <w:right w:val="single" w:color="auto" w:sz="4" w:space="0"/>
                  </w:tcBorders>
                  <w:shd w:val="clear" w:color="auto" w:fill="FFFFFF"/>
                  <w:vAlign w:val="center"/>
                </w:tcPr>
                <w:p w14:paraId="0EBD4755">
                  <w:pPr>
                    <w:pStyle w:val="97"/>
                    <w:rPr>
                      <w:color w:val="auto"/>
                    </w:rPr>
                  </w:pPr>
                  <w:r>
                    <w:rPr>
                      <w:rFonts w:hint="eastAsia"/>
                      <w:color w:val="auto"/>
                    </w:rPr>
                    <w:t>15.0</w:t>
                  </w:r>
                </w:p>
              </w:tc>
            </w:tr>
            <w:tr w14:paraId="4610E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exact"/>
                <w:jc w:val="center"/>
              </w:trPr>
              <w:tc>
                <w:tcPr>
                  <w:tcW w:w="1368" w:type="dxa"/>
                  <w:tcBorders>
                    <w:top w:val="single" w:color="auto" w:sz="4" w:space="0"/>
                    <w:left w:val="single" w:color="auto" w:sz="4" w:space="0"/>
                    <w:bottom w:val="single" w:color="auto" w:sz="4" w:space="0"/>
                    <w:right w:val="single" w:color="auto" w:sz="4" w:space="0"/>
                  </w:tcBorders>
                  <w:shd w:val="clear" w:color="auto" w:fill="FFFFFF"/>
                  <w:vAlign w:val="center"/>
                </w:tcPr>
                <w:p w14:paraId="1D340000">
                  <w:pPr>
                    <w:pStyle w:val="97"/>
                    <w:rPr>
                      <w:color w:val="auto"/>
                    </w:rPr>
                  </w:pPr>
                  <w:r>
                    <w:rPr>
                      <w:color w:val="auto"/>
                    </w:rPr>
                    <w:t>4</w:t>
                  </w:r>
                </w:p>
              </w:tc>
              <w:tc>
                <w:tcPr>
                  <w:tcW w:w="2601" w:type="dxa"/>
                  <w:tcBorders>
                    <w:top w:val="single" w:color="auto" w:sz="4" w:space="0"/>
                    <w:left w:val="single" w:color="auto" w:sz="4" w:space="0"/>
                    <w:bottom w:val="single" w:color="auto" w:sz="4" w:space="0"/>
                    <w:right w:val="single" w:color="auto" w:sz="4" w:space="0"/>
                  </w:tcBorders>
                  <w:shd w:val="clear" w:color="auto" w:fill="FFFFFF"/>
                  <w:vAlign w:val="center"/>
                </w:tcPr>
                <w:p w14:paraId="3FC19264">
                  <w:pPr>
                    <w:pStyle w:val="97"/>
                    <w:rPr>
                      <w:color w:val="auto"/>
                    </w:rPr>
                  </w:pPr>
                  <w:r>
                    <w:rPr>
                      <w:color w:val="auto"/>
                    </w:rPr>
                    <w:t>年平均相对湿度</w:t>
                  </w:r>
                </w:p>
              </w:tc>
              <w:tc>
                <w:tcPr>
                  <w:tcW w:w="1984" w:type="dxa"/>
                  <w:tcBorders>
                    <w:top w:val="single" w:color="auto" w:sz="4" w:space="0"/>
                    <w:left w:val="single" w:color="auto" w:sz="4" w:space="0"/>
                    <w:bottom w:val="single" w:color="auto" w:sz="4" w:space="0"/>
                    <w:right w:val="single" w:color="auto" w:sz="4" w:space="0"/>
                  </w:tcBorders>
                  <w:shd w:val="clear" w:color="auto" w:fill="FFFFFF"/>
                  <w:vAlign w:val="center"/>
                </w:tcPr>
                <w:p w14:paraId="24D930A8">
                  <w:pPr>
                    <w:pStyle w:val="97"/>
                    <w:rPr>
                      <w:color w:val="auto"/>
                    </w:rPr>
                  </w:pPr>
                  <w:r>
                    <w:rPr>
                      <w:color w:val="auto"/>
                    </w:rPr>
                    <w:t>%</w:t>
                  </w:r>
                </w:p>
              </w:tc>
              <w:tc>
                <w:tcPr>
                  <w:tcW w:w="1984" w:type="dxa"/>
                  <w:tcBorders>
                    <w:top w:val="single" w:color="auto" w:sz="4" w:space="0"/>
                    <w:left w:val="single" w:color="auto" w:sz="4" w:space="0"/>
                    <w:bottom w:val="single" w:color="auto" w:sz="4" w:space="0"/>
                    <w:right w:val="single" w:color="auto" w:sz="4" w:space="0"/>
                  </w:tcBorders>
                  <w:shd w:val="clear" w:color="auto" w:fill="FFFFFF"/>
                  <w:vAlign w:val="center"/>
                </w:tcPr>
                <w:p w14:paraId="0CF5B02B">
                  <w:pPr>
                    <w:pStyle w:val="97"/>
                    <w:rPr>
                      <w:color w:val="auto"/>
                    </w:rPr>
                  </w:pPr>
                  <w:r>
                    <w:rPr>
                      <w:color w:val="auto"/>
                    </w:rPr>
                    <w:t>75</w:t>
                  </w:r>
                </w:p>
              </w:tc>
            </w:tr>
            <w:tr w14:paraId="7A150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exact"/>
                <w:jc w:val="center"/>
              </w:trPr>
              <w:tc>
                <w:tcPr>
                  <w:tcW w:w="1368" w:type="dxa"/>
                  <w:tcBorders>
                    <w:top w:val="single" w:color="auto" w:sz="4" w:space="0"/>
                    <w:left w:val="single" w:color="auto" w:sz="4" w:space="0"/>
                    <w:bottom w:val="single" w:color="auto" w:sz="4" w:space="0"/>
                    <w:right w:val="single" w:color="auto" w:sz="4" w:space="0"/>
                  </w:tcBorders>
                  <w:shd w:val="clear" w:color="auto" w:fill="FFFFFF"/>
                  <w:vAlign w:val="center"/>
                </w:tcPr>
                <w:p w14:paraId="44BA3C61">
                  <w:pPr>
                    <w:pStyle w:val="97"/>
                    <w:rPr>
                      <w:color w:val="auto"/>
                    </w:rPr>
                  </w:pPr>
                  <w:r>
                    <w:rPr>
                      <w:color w:val="auto"/>
                    </w:rPr>
                    <w:t>5</w:t>
                  </w:r>
                </w:p>
              </w:tc>
              <w:tc>
                <w:tcPr>
                  <w:tcW w:w="2601" w:type="dxa"/>
                  <w:tcBorders>
                    <w:top w:val="single" w:color="auto" w:sz="4" w:space="0"/>
                    <w:left w:val="single" w:color="auto" w:sz="4" w:space="0"/>
                    <w:bottom w:val="single" w:color="auto" w:sz="4" w:space="0"/>
                    <w:right w:val="single" w:color="auto" w:sz="4" w:space="0"/>
                  </w:tcBorders>
                  <w:shd w:val="clear" w:color="auto" w:fill="FFFFFF"/>
                  <w:vAlign w:val="center"/>
                </w:tcPr>
                <w:p w14:paraId="04434AC7">
                  <w:pPr>
                    <w:pStyle w:val="97"/>
                    <w:rPr>
                      <w:color w:val="auto"/>
                    </w:rPr>
                  </w:pPr>
                  <w:r>
                    <w:rPr>
                      <w:color w:val="auto"/>
                    </w:rPr>
                    <w:t>大气压强</w:t>
                  </w:r>
                </w:p>
              </w:tc>
              <w:tc>
                <w:tcPr>
                  <w:tcW w:w="1984" w:type="dxa"/>
                  <w:tcBorders>
                    <w:top w:val="single" w:color="auto" w:sz="4" w:space="0"/>
                    <w:left w:val="single" w:color="auto" w:sz="4" w:space="0"/>
                    <w:bottom w:val="single" w:color="auto" w:sz="4" w:space="0"/>
                    <w:right w:val="single" w:color="auto" w:sz="4" w:space="0"/>
                  </w:tcBorders>
                  <w:shd w:val="clear" w:color="auto" w:fill="FFFFFF"/>
                  <w:vAlign w:val="center"/>
                </w:tcPr>
                <w:p w14:paraId="3E884D1F">
                  <w:pPr>
                    <w:pStyle w:val="97"/>
                    <w:rPr>
                      <w:color w:val="auto"/>
                    </w:rPr>
                  </w:pPr>
                  <w:r>
                    <w:rPr>
                      <w:color w:val="auto"/>
                    </w:rPr>
                    <w:t>atm</w:t>
                  </w:r>
                </w:p>
              </w:tc>
              <w:tc>
                <w:tcPr>
                  <w:tcW w:w="1984" w:type="dxa"/>
                  <w:tcBorders>
                    <w:top w:val="single" w:color="auto" w:sz="4" w:space="0"/>
                    <w:left w:val="single" w:color="auto" w:sz="4" w:space="0"/>
                    <w:bottom w:val="single" w:color="auto" w:sz="4" w:space="0"/>
                    <w:right w:val="single" w:color="auto" w:sz="4" w:space="0"/>
                  </w:tcBorders>
                  <w:shd w:val="clear" w:color="auto" w:fill="FFFFFF"/>
                  <w:vAlign w:val="center"/>
                </w:tcPr>
                <w:p w14:paraId="0DF4C585">
                  <w:pPr>
                    <w:pStyle w:val="97"/>
                    <w:rPr>
                      <w:color w:val="auto"/>
                    </w:rPr>
                  </w:pPr>
                  <w:r>
                    <w:rPr>
                      <w:color w:val="auto"/>
                    </w:rPr>
                    <w:t>0.94</w:t>
                  </w:r>
                </w:p>
              </w:tc>
            </w:tr>
          </w:tbl>
          <w:p w14:paraId="53009C4F">
            <w:pPr>
              <w:adjustRightInd w:val="0"/>
              <w:snapToGrid w:val="0"/>
              <w:spacing w:line="360" w:lineRule="auto"/>
              <w:ind w:firstLine="480" w:firstLineChars="200"/>
              <w:rPr>
                <w:color w:val="auto"/>
                <w:sz w:val="24"/>
                <w:lang w:val="zh-CN" w:bidi="ar"/>
              </w:rPr>
            </w:pPr>
            <w:r>
              <w:rPr>
                <w:rFonts w:hint="eastAsia"/>
                <w:color w:val="auto"/>
                <w:sz w:val="24"/>
                <w:lang w:val="zh-CN" w:bidi="ar"/>
              </w:rPr>
              <w:t>D、厂界达标分析</w:t>
            </w:r>
          </w:p>
          <w:p w14:paraId="3C28F0FC">
            <w:pPr>
              <w:adjustRightInd w:val="0"/>
              <w:snapToGrid w:val="0"/>
              <w:spacing w:line="360" w:lineRule="auto"/>
              <w:ind w:firstLine="480" w:firstLineChars="200"/>
              <w:rPr>
                <w:color w:val="auto"/>
                <w:sz w:val="24"/>
                <w:lang w:val="zh-CN" w:bidi="ar"/>
              </w:rPr>
            </w:pPr>
            <w:r>
              <w:rPr>
                <w:rFonts w:hint="eastAsia"/>
                <w:color w:val="auto"/>
                <w:sz w:val="24"/>
                <w:lang w:val="zh-CN" w:bidi="ar"/>
              </w:rPr>
              <w:t>通过预测模型计算，项目厂界噪声最大值预测结果与达标分析</w:t>
            </w:r>
            <w:r>
              <w:rPr>
                <w:rFonts w:hint="eastAsia"/>
                <w:color w:val="auto"/>
                <w:sz w:val="24"/>
                <w:lang w:bidi="ar"/>
              </w:rPr>
              <w:t>见下表</w:t>
            </w:r>
            <w:r>
              <w:rPr>
                <w:rFonts w:hint="eastAsia"/>
                <w:color w:val="auto"/>
                <w:sz w:val="24"/>
                <w:lang w:val="zh-CN" w:bidi="ar"/>
              </w:rPr>
              <w:t>。</w:t>
            </w:r>
          </w:p>
          <w:p w14:paraId="404C93FD">
            <w:pPr>
              <w:pStyle w:val="96"/>
              <w:rPr>
                <w:color w:val="auto"/>
              </w:rPr>
            </w:pPr>
            <w:r>
              <w:rPr>
                <w:rFonts w:hint="eastAsia"/>
                <w:color w:val="auto"/>
              </w:rPr>
              <w:t>表4-</w:t>
            </w:r>
            <w:r>
              <w:rPr>
                <w:color w:val="auto"/>
              </w:rPr>
              <w:t>13</w:t>
            </w:r>
            <w:r>
              <w:rPr>
                <w:rFonts w:hint="eastAsia"/>
                <w:color w:val="auto"/>
              </w:rPr>
              <w:t xml:space="preserve">  项目厂界噪声预测结果与达标分析一览表</w:t>
            </w:r>
          </w:p>
          <w:tbl>
            <w:tblPr>
              <w:tblStyle w:val="30"/>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777"/>
              <w:gridCol w:w="777"/>
              <w:gridCol w:w="777"/>
              <w:gridCol w:w="958"/>
              <w:gridCol w:w="1363"/>
              <w:gridCol w:w="1364"/>
              <w:gridCol w:w="1144"/>
            </w:tblGrid>
            <w:tr w14:paraId="4E38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062" w:type="dxa"/>
                  <w:vMerge w:val="restart"/>
                  <w:vAlign w:val="center"/>
                </w:tcPr>
                <w:p w14:paraId="7AD0B1D2">
                  <w:pPr>
                    <w:pStyle w:val="97"/>
                    <w:rPr>
                      <w:color w:val="auto"/>
                    </w:rPr>
                  </w:pPr>
                  <w:r>
                    <w:rPr>
                      <w:color w:val="auto"/>
                    </w:rPr>
                    <w:t>预测方位</w:t>
                  </w:r>
                </w:p>
              </w:tc>
              <w:tc>
                <w:tcPr>
                  <w:tcW w:w="2331" w:type="dxa"/>
                  <w:gridSpan w:val="3"/>
                  <w:vAlign w:val="center"/>
                </w:tcPr>
                <w:p w14:paraId="3A830D54">
                  <w:pPr>
                    <w:pStyle w:val="97"/>
                    <w:rPr>
                      <w:color w:val="auto"/>
                    </w:rPr>
                  </w:pPr>
                  <w:r>
                    <w:rPr>
                      <w:color w:val="auto"/>
                    </w:rPr>
                    <w:t>最大值点空间相对位置/m</w:t>
                  </w:r>
                </w:p>
              </w:tc>
              <w:tc>
                <w:tcPr>
                  <w:tcW w:w="958" w:type="dxa"/>
                  <w:vMerge w:val="restart"/>
                  <w:vAlign w:val="center"/>
                </w:tcPr>
                <w:p w14:paraId="1A255EC8">
                  <w:pPr>
                    <w:pStyle w:val="97"/>
                    <w:rPr>
                      <w:color w:val="auto"/>
                    </w:rPr>
                  </w:pPr>
                  <w:r>
                    <w:rPr>
                      <w:color w:val="auto"/>
                    </w:rPr>
                    <w:t>时段</w:t>
                  </w:r>
                </w:p>
              </w:tc>
              <w:tc>
                <w:tcPr>
                  <w:tcW w:w="1363" w:type="dxa"/>
                  <w:vMerge w:val="restart"/>
                  <w:vAlign w:val="center"/>
                </w:tcPr>
                <w:p w14:paraId="35B6A628">
                  <w:pPr>
                    <w:pStyle w:val="97"/>
                    <w:rPr>
                      <w:color w:val="auto"/>
                    </w:rPr>
                  </w:pPr>
                  <w:r>
                    <w:rPr>
                      <w:color w:val="auto"/>
                    </w:rPr>
                    <w:t>贡献值（dB(A)）</w:t>
                  </w:r>
                </w:p>
              </w:tc>
              <w:tc>
                <w:tcPr>
                  <w:tcW w:w="1364" w:type="dxa"/>
                  <w:vMerge w:val="restart"/>
                  <w:vAlign w:val="center"/>
                </w:tcPr>
                <w:p w14:paraId="6F10C537">
                  <w:pPr>
                    <w:pStyle w:val="97"/>
                    <w:rPr>
                      <w:color w:val="auto"/>
                    </w:rPr>
                  </w:pPr>
                  <w:r>
                    <w:rPr>
                      <w:color w:val="auto"/>
                    </w:rPr>
                    <w:t>标准限值（dB(A)）</w:t>
                  </w:r>
                </w:p>
              </w:tc>
              <w:tc>
                <w:tcPr>
                  <w:tcW w:w="1144" w:type="dxa"/>
                  <w:vMerge w:val="restart"/>
                  <w:vAlign w:val="center"/>
                </w:tcPr>
                <w:p w14:paraId="65307566">
                  <w:pPr>
                    <w:pStyle w:val="97"/>
                    <w:rPr>
                      <w:color w:val="auto"/>
                    </w:rPr>
                  </w:pPr>
                  <w:r>
                    <w:rPr>
                      <w:color w:val="auto"/>
                    </w:rPr>
                    <w:t>达标情况</w:t>
                  </w:r>
                </w:p>
              </w:tc>
            </w:tr>
            <w:tr w14:paraId="3A5BC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062" w:type="dxa"/>
                  <w:vMerge w:val="continue"/>
                  <w:shd w:val="clear" w:color="auto" w:fill="FFFFFF"/>
                  <w:vAlign w:val="center"/>
                </w:tcPr>
                <w:p w14:paraId="571C831F">
                  <w:pPr>
                    <w:pStyle w:val="97"/>
                    <w:rPr>
                      <w:color w:val="auto"/>
                    </w:rPr>
                  </w:pPr>
                </w:p>
              </w:tc>
              <w:tc>
                <w:tcPr>
                  <w:tcW w:w="777" w:type="dxa"/>
                  <w:shd w:val="clear" w:color="auto" w:fill="FFFFFF"/>
                  <w:vAlign w:val="center"/>
                </w:tcPr>
                <w:p w14:paraId="4A9C24D7">
                  <w:pPr>
                    <w:pStyle w:val="97"/>
                    <w:rPr>
                      <w:color w:val="auto"/>
                    </w:rPr>
                  </w:pPr>
                  <w:r>
                    <w:rPr>
                      <w:color w:val="auto"/>
                    </w:rPr>
                    <w:t>X</w:t>
                  </w:r>
                </w:p>
              </w:tc>
              <w:tc>
                <w:tcPr>
                  <w:tcW w:w="777" w:type="dxa"/>
                  <w:shd w:val="clear" w:color="auto" w:fill="FFFFFF"/>
                  <w:vAlign w:val="center"/>
                </w:tcPr>
                <w:p w14:paraId="57289DA2">
                  <w:pPr>
                    <w:pStyle w:val="97"/>
                    <w:rPr>
                      <w:color w:val="auto"/>
                    </w:rPr>
                  </w:pPr>
                  <w:r>
                    <w:rPr>
                      <w:color w:val="auto"/>
                    </w:rPr>
                    <w:t>Y</w:t>
                  </w:r>
                </w:p>
              </w:tc>
              <w:tc>
                <w:tcPr>
                  <w:tcW w:w="777" w:type="dxa"/>
                  <w:shd w:val="clear" w:color="auto" w:fill="FFFFFF"/>
                  <w:vAlign w:val="center"/>
                </w:tcPr>
                <w:p w14:paraId="5D6F870A">
                  <w:pPr>
                    <w:pStyle w:val="97"/>
                    <w:rPr>
                      <w:color w:val="auto"/>
                    </w:rPr>
                  </w:pPr>
                  <w:r>
                    <w:rPr>
                      <w:color w:val="auto"/>
                    </w:rPr>
                    <w:t>Z</w:t>
                  </w:r>
                </w:p>
              </w:tc>
              <w:tc>
                <w:tcPr>
                  <w:tcW w:w="958" w:type="dxa"/>
                  <w:vMerge w:val="continue"/>
                  <w:shd w:val="clear" w:color="auto" w:fill="FFFFFF"/>
                  <w:vAlign w:val="center"/>
                </w:tcPr>
                <w:p w14:paraId="1FA3F0C5">
                  <w:pPr>
                    <w:pStyle w:val="97"/>
                    <w:rPr>
                      <w:color w:val="auto"/>
                    </w:rPr>
                  </w:pPr>
                </w:p>
              </w:tc>
              <w:tc>
                <w:tcPr>
                  <w:tcW w:w="1363" w:type="dxa"/>
                  <w:vMerge w:val="continue"/>
                  <w:shd w:val="clear" w:color="auto" w:fill="FFFFFF"/>
                  <w:vAlign w:val="center"/>
                </w:tcPr>
                <w:p w14:paraId="6ED24C45">
                  <w:pPr>
                    <w:pStyle w:val="97"/>
                    <w:rPr>
                      <w:color w:val="auto"/>
                    </w:rPr>
                  </w:pPr>
                </w:p>
              </w:tc>
              <w:tc>
                <w:tcPr>
                  <w:tcW w:w="1364" w:type="dxa"/>
                  <w:vMerge w:val="continue"/>
                  <w:shd w:val="clear" w:color="auto" w:fill="FFFFFF"/>
                  <w:vAlign w:val="center"/>
                </w:tcPr>
                <w:p w14:paraId="655BE619">
                  <w:pPr>
                    <w:pStyle w:val="97"/>
                    <w:rPr>
                      <w:color w:val="auto"/>
                    </w:rPr>
                  </w:pPr>
                </w:p>
              </w:tc>
              <w:tc>
                <w:tcPr>
                  <w:tcW w:w="1144" w:type="dxa"/>
                  <w:vMerge w:val="continue"/>
                  <w:shd w:val="clear" w:color="auto" w:fill="FFFFFF"/>
                  <w:vAlign w:val="center"/>
                </w:tcPr>
                <w:p w14:paraId="12E86CB9">
                  <w:pPr>
                    <w:pStyle w:val="97"/>
                    <w:rPr>
                      <w:color w:val="auto"/>
                    </w:rPr>
                  </w:pPr>
                </w:p>
              </w:tc>
            </w:tr>
            <w:tr w14:paraId="17F80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62" w:type="dxa"/>
                  <w:vMerge w:val="restart"/>
                  <w:shd w:val="clear" w:color="auto" w:fill="FFFFFF"/>
                  <w:vAlign w:val="center"/>
                </w:tcPr>
                <w:p w14:paraId="550D10D3">
                  <w:pPr>
                    <w:pStyle w:val="97"/>
                    <w:rPr>
                      <w:color w:val="auto"/>
                    </w:rPr>
                  </w:pPr>
                  <w:r>
                    <w:rPr>
                      <w:color w:val="auto"/>
                    </w:rPr>
                    <w:t>东侧</w:t>
                  </w:r>
                </w:p>
              </w:tc>
              <w:tc>
                <w:tcPr>
                  <w:tcW w:w="777" w:type="dxa"/>
                  <w:shd w:val="clear" w:color="auto" w:fill="FFFFFF"/>
                  <w:vAlign w:val="center"/>
                </w:tcPr>
                <w:p w14:paraId="2610DDD6">
                  <w:pPr>
                    <w:jc w:val="center"/>
                    <w:rPr>
                      <w:rFonts w:cs="宋体"/>
                      <w:color w:val="auto"/>
                      <w:kern w:val="0"/>
                      <w:szCs w:val="21"/>
                    </w:rPr>
                  </w:pPr>
                  <w:r>
                    <w:rPr>
                      <w:rFonts w:hint="eastAsia" w:cs="宋体"/>
                      <w:color w:val="auto"/>
                      <w:kern w:val="0"/>
                      <w:szCs w:val="21"/>
                    </w:rPr>
                    <w:t>30</w:t>
                  </w:r>
                </w:p>
              </w:tc>
              <w:tc>
                <w:tcPr>
                  <w:tcW w:w="777" w:type="dxa"/>
                  <w:shd w:val="clear" w:color="auto" w:fill="FFFFFF"/>
                  <w:vAlign w:val="center"/>
                </w:tcPr>
                <w:p w14:paraId="22FD5806">
                  <w:pPr>
                    <w:jc w:val="center"/>
                    <w:rPr>
                      <w:rFonts w:cs="宋体"/>
                      <w:color w:val="auto"/>
                      <w:kern w:val="0"/>
                      <w:szCs w:val="21"/>
                    </w:rPr>
                  </w:pPr>
                  <w:r>
                    <w:rPr>
                      <w:rFonts w:hint="eastAsia" w:cs="宋体"/>
                      <w:color w:val="auto"/>
                      <w:kern w:val="0"/>
                      <w:szCs w:val="21"/>
                    </w:rPr>
                    <w:t>-25.6</w:t>
                  </w:r>
                </w:p>
              </w:tc>
              <w:tc>
                <w:tcPr>
                  <w:tcW w:w="777" w:type="dxa"/>
                  <w:shd w:val="clear" w:color="auto" w:fill="FFFFFF"/>
                  <w:vAlign w:val="center"/>
                </w:tcPr>
                <w:p w14:paraId="5F01FD89">
                  <w:pPr>
                    <w:jc w:val="center"/>
                    <w:rPr>
                      <w:rFonts w:cs="宋体"/>
                      <w:color w:val="auto"/>
                      <w:kern w:val="0"/>
                      <w:szCs w:val="21"/>
                    </w:rPr>
                  </w:pPr>
                  <w:r>
                    <w:rPr>
                      <w:rFonts w:hint="eastAsia" w:cs="宋体"/>
                      <w:color w:val="auto"/>
                      <w:kern w:val="0"/>
                      <w:szCs w:val="21"/>
                    </w:rPr>
                    <w:t>1.2</w:t>
                  </w:r>
                </w:p>
              </w:tc>
              <w:tc>
                <w:tcPr>
                  <w:tcW w:w="958" w:type="dxa"/>
                  <w:shd w:val="clear" w:color="auto" w:fill="FFFFFF"/>
                  <w:vAlign w:val="center"/>
                </w:tcPr>
                <w:p w14:paraId="0DFE65E7">
                  <w:pPr>
                    <w:pStyle w:val="97"/>
                    <w:rPr>
                      <w:color w:val="auto"/>
                    </w:rPr>
                  </w:pPr>
                  <w:r>
                    <w:rPr>
                      <w:color w:val="auto"/>
                    </w:rPr>
                    <w:t>昼间</w:t>
                  </w:r>
                </w:p>
              </w:tc>
              <w:tc>
                <w:tcPr>
                  <w:tcW w:w="1363" w:type="dxa"/>
                  <w:shd w:val="clear" w:color="auto" w:fill="FFFFFF"/>
                  <w:vAlign w:val="center"/>
                </w:tcPr>
                <w:p w14:paraId="1398CC9A">
                  <w:pPr>
                    <w:pStyle w:val="97"/>
                    <w:rPr>
                      <w:color w:val="auto"/>
                    </w:rPr>
                  </w:pPr>
                  <w:r>
                    <w:rPr>
                      <w:rFonts w:hint="eastAsia"/>
                      <w:color w:val="auto"/>
                    </w:rPr>
                    <w:t>52.2</w:t>
                  </w:r>
                </w:p>
              </w:tc>
              <w:tc>
                <w:tcPr>
                  <w:tcW w:w="1364" w:type="dxa"/>
                  <w:shd w:val="clear" w:color="auto" w:fill="FFFFFF"/>
                  <w:vAlign w:val="center"/>
                </w:tcPr>
                <w:p w14:paraId="1EF16E2C">
                  <w:pPr>
                    <w:pStyle w:val="97"/>
                    <w:rPr>
                      <w:color w:val="auto"/>
                    </w:rPr>
                  </w:pPr>
                  <w:r>
                    <w:rPr>
                      <w:rFonts w:hint="eastAsia"/>
                      <w:color w:val="auto"/>
                    </w:rPr>
                    <w:t>65</w:t>
                  </w:r>
                </w:p>
              </w:tc>
              <w:tc>
                <w:tcPr>
                  <w:tcW w:w="1144" w:type="dxa"/>
                  <w:shd w:val="clear" w:color="auto" w:fill="FFFFFF"/>
                  <w:vAlign w:val="center"/>
                </w:tcPr>
                <w:p w14:paraId="4CE02E45">
                  <w:pPr>
                    <w:pStyle w:val="97"/>
                    <w:rPr>
                      <w:color w:val="auto"/>
                    </w:rPr>
                  </w:pPr>
                  <w:r>
                    <w:rPr>
                      <w:color w:val="auto"/>
                    </w:rPr>
                    <w:t>达标</w:t>
                  </w:r>
                </w:p>
              </w:tc>
            </w:tr>
            <w:tr w14:paraId="0234C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62" w:type="dxa"/>
                  <w:vMerge w:val="continue"/>
                  <w:shd w:val="clear" w:color="auto" w:fill="FFFFFF"/>
                  <w:vAlign w:val="center"/>
                </w:tcPr>
                <w:p w14:paraId="74943BC7">
                  <w:pPr>
                    <w:pStyle w:val="97"/>
                    <w:rPr>
                      <w:color w:val="auto"/>
                    </w:rPr>
                  </w:pPr>
                  <w:r>
                    <w:rPr>
                      <w:color w:val="auto"/>
                    </w:rPr>
                    <w:t>东侧</w:t>
                  </w:r>
                </w:p>
              </w:tc>
              <w:tc>
                <w:tcPr>
                  <w:tcW w:w="777" w:type="dxa"/>
                  <w:shd w:val="clear" w:color="auto" w:fill="FFFFFF"/>
                  <w:vAlign w:val="center"/>
                </w:tcPr>
                <w:p w14:paraId="1C4F31D8">
                  <w:pPr>
                    <w:jc w:val="center"/>
                    <w:rPr>
                      <w:rFonts w:cs="宋体"/>
                      <w:color w:val="auto"/>
                      <w:kern w:val="0"/>
                      <w:szCs w:val="21"/>
                    </w:rPr>
                  </w:pPr>
                  <w:r>
                    <w:rPr>
                      <w:rFonts w:hint="eastAsia" w:cs="宋体"/>
                      <w:color w:val="auto"/>
                      <w:kern w:val="0"/>
                      <w:szCs w:val="21"/>
                    </w:rPr>
                    <w:t>30</w:t>
                  </w:r>
                </w:p>
              </w:tc>
              <w:tc>
                <w:tcPr>
                  <w:tcW w:w="777" w:type="dxa"/>
                  <w:shd w:val="clear" w:color="auto" w:fill="FFFFFF"/>
                  <w:vAlign w:val="center"/>
                </w:tcPr>
                <w:p w14:paraId="47000C92">
                  <w:pPr>
                    <w:jc w:val="center"/>
                    <w:rPr>
                      <w:rFonts w:cs="宋体"/>
                      <w:color w:val="auto"/>
                      <w:kern w:val="0"/>
                      <w:szCs w:val="21"/>
                    </w:rPr>
                  </w:pPr>
                  <w:r>
                    <w:rPr>
                      <w:rFonts w:hint="eastAsia" w:cs="宋体"/>
                      <w:color w:val="auto"/>
                      <w:kern w:val="0"/>
                      <w:szCs w:val="21"/>
                    </w:rPr>
                    <w:t>-25.6</w:t>
                  </w:r>
                </w:p>
              </w:tc>
              <w:tc>
                <w:tcPr>
                  <w:tcW w:w="777" w:type="dxa"/>
                  <w:shd w:val="clear" w:color="auto" w:fill="FFFFFF"/>
                  <w:vAlign w:val="center"/>
                </w:tcPr>
                <w:p w14:paraId="5405F7C6">
                  <w:pPr>
                    <w:jc w:val="center"/>
                    <w:rPr>
                      <w:rFonts w:cs="宋体"/>
                      <w:color w:val="auto"/>
                      <w:kern w:val="0"/>
                      <w:szCs w:val="21"/>
                    </w:rPr>
                  </w:pPr>
                  <w:r>
                    <w:rPr>
                      <w:rFonts w:hint="eastAsia" w:cs="宋体"/>
                      <w:color w:val="auto"/>
                      <w:kern w:val="0"/>
                      <w:szCs w:val="21"/>
                    </w:rPr>
                    <w:t>1.2</w:t>
                  </w:r>
                </w:p>
              </w:tc>
              <w:tc>
                <w:tcPr>
                  <w:tcW w:w="958" w:type="dxa"/>
                  <w:shd w:val="clear" w:color="auto" w:fill="FFFFFF"/>
                  <w:vAlign w:val="center"/>
                </w:tcPr>
                <w:p w14:paraId="354A4736">
                  <w:pPr>
                    <w:pStyle w:val="97"/>
                    <w:rPr>
                      <w:color w:val="auto"/>
                    </w:rPr>
                  </w:pPr>
                  <w:r>
                    <w:rPr>
                      <w:color w:val="auto"/>
                    </w:rPr>
                    <w:t>夜间</w:t>
                  </w:r>
                </w:p>
              </w:tc>
              <w:tc>
                <w:tcPr>
                  <w:tcW w:w="1363" w:type="dxa"/>
                  <w:shd w:val="clear" w:color="auto" w:fill="FFFFFF"/>
                  <w:vAlign w:val="center"/>
                </w:tcPr>
                <w:p w14:paraId="0AA57E36">
                  <w:pPr>
                    <w:pStyle w:val="97"/>
                    <w:rPr>
                      <w:color w:val="auto"/>
                    </w:rPr>
                  </w:pPr>
                  <w:r>
                    <w:rPr>
                      <w:rFonts w:hint="eastAsia"/>
                      <w:color w:val="auto"/>
                    </w:rPr>
                    <w:t>/</w:t>
                  </w:r>
                </w:p>
              </w:tc>
              <w:tc>
                <w:tcPr>
                  <w:tcW w:w="1364" w:type="dxa"/>
                  <w:shd w:val="clear" w:color="auto" w:fill="FFFFFF"/>
                  <w:vAlign w:val="center"/>
                </w:tcPr>
                <w:p w14:paraId="07FC554F">
                  <w:pPr>
                    <w:pStyle w:val="97"/>
                    <w:rPr>
                      <w:color w:val="auto"/>
                    </w:rPr>
                  </w:pPr>
                  <w:r>
                    <w:rPr>
                      <w:rFonts w:hint="eastAsia"/>
                      <w:color w:val="auto"/>
                    </w:rPr>
                    <w:t>/</w:t>
                  </w:r>
                </w:p>
              </w:tc>
              <w:tc>
                <w:tcPr>
                  <w:tcW w:w="1144" w:type="dxa"/>
                  <w:shd w:val="clear" w:color="auto" w:fill="FFFFFF"/>
                  <w:vAlign w:val="center"/>
                </w:tcPr>
                <w:p w14:paraId="574061E2">
                  <w:pPr>
                    <w:pStyle w:val="97"/>
                    <w:rPr>
                      <w:color w:val="auto"/>
                    </w:rPr>
                  </w:pPr>
                  <w:r>
                    <w:rPr>
                      <w:rFonts w:hint="eastAsia"/>
                      <w:color w:val="auto"/>
                    </w:rPr>
                    <w:t>/</w:t>
                  </w:r>
                </w:p>
              </w:tc>
            </w:tr>
            <w:tr w14:paraId="6AC3B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62" w:type="dxa"/>
                  <w:vMerge w:val="restart"/>
                  <w:shd w:val="clear" w:color="auto" w:fill="FFFFFF"/>
                  <w:vAlign w:val="center"/>
                </w:tcPr>
                <w:p w14:paraId="3A279344">
                  <w:pPr>
                    <w:pStyle w:val="97"/>
                    <w:rPr>
                      <w:color w:val="auto"/>
                    </w:rPr>
                  </w:pPr>
                  <w:r>
                    <w:rPr>
                      <w:color w:val="auto"/>
                    </w:rPr>
                    <w:t>南侧</w:t>
                  </w:r>
                </w:p>
              </w:tc>
              <w:tc>
                <w:tcPr>
                  <w:tcW w:w="777" w:type="dxa"/>
                  <w:shd w:val="clear" w:color="auto" w:fill="FFFFFF"/>
                  <w:vAlign w:val="center"/>
                </w:tcPr>
                <w:p w14:paraId="659FBE4D">
                  <w:pPr>
                    <w:jc w:val="center"/>
                    <w:rPr>
                      <w:rFonts w:cs="宋体"/>
                      <w:color w:val="auto"/>
                      <w:kern w:val="0"/>
                      <w:szCs w:val="21"/>
                    </w:rPr>
                  </w:pPr>
                  <w:r>
                    <w:rPr>
                      <w:rFonts w:hint="eastAsia" w:cs="宋体"/>
                      <w:color w:val="auto"/>
                      <w:kern w:val="0"/>
                      <w:szCs w:val="21"/>
                    </w:rPr>
                    <w:t>28.9</w:t>
                  </w:r>
                </w:p>
              </w:tc>
              <w:tc>
                <w:tcPr>
                  <w:tcW w:w="777" w:type="dxa"/>
                  <w:shd w:val="clear" w:color="auto" w:fill="FFFFFF"/>
                  <w:vAlign w:val="center"/>
                </w:tcPr>
                <w:p w14:paraId="284F128A">
                  <w:pPr>
                    <w:jc w:val="center"/>
                    <w:rPr>
                      <w:rFonts w:cs="宋体"/>
                      <w:color w:val="auto"/>
                      <w:kern w:val="0"/>
                      <w:szCs w:val="21"/>
                    </w:rPr>
                  </w:pPr>
                  <w:r>
                    <w:rPr>
                      <w:rFonts w:hint="eastAsia" w:cs="宋体"/>
                      <w:color w:val="auto"/>
                      <w:kern w:val="0"/>
                      <w:szCs w:val="21"/>
                    </w:rPr>
                    <w:t>-31.5</w:t>
                  </w:r>
                </w:p>
              </w:tc>
              <w:tc>
                <w:tcPr>
                  <w:tcW w:w="777" w:type="dxa"/>
                  <w:shd w:val="clear" w:color="auto" w:fill="FFFFFF"/>
                  <w:vAlign w:val="center"/>
                </w:tcPr>
                <w:p w14:paraId="1AF692A5">
                  <w:pPr>
                    <w:jc w:val="center"/>
                    <w:rPr>
                      <w:rFonts w:cs="宋体"/>
                      <w:color w:val="auto"/>
                      <w:kern w:val="0"/>
                      <w:szCs w:val="21"/>
                    </w:rPr>
                  </w:pPr>
                  <w:r>
                    <w:rPr>
                      <w:rFonts w:hint="eastAsia" w:cs="宋体"/>
                      <w:color w:val="auto"/>
                      <w:kern w:val="0"/>
                      <w:szCs w:val="21"/>
                    </w:rPr>
                    <w:t>1.2</w:t>
                  </w:r>
                </w:p>
              </w:tc>
              <w:tc>
                <w:tcPr>
                  <w:tcW w:w="958" w:type="dxa"/>
                  <w:shd w:val="clear" w:color="auto" w:fill="FFFFFF"/>
                  <w:vAlign w:val="center"/>
                </w:tcPr>
                <w:p w14:paraId="3D24CA83">
                  <w:pPr>
                    <w:pStyle w:val="97"/>
                    <w:rPr>
                      <w:color w:val="auto"/>
                    </w:rPr>
                  </w:pPr>
                  <w:r>
                    <w:rPr>
                      <w:color w:val="auto"/>
                    </w:rPr>
                    <w:t>昼间</w:t>
                  </w:r>
                </w:p>
              </w:tc>
              <w:tc>
                <w:tcPr>
                  <w:tcW w:w="1363" w:type="dxa"/>
                  <w:shd w:val="clear" w:color="auto" w:fill="FFFFFF"/>
                  <w:vAlign w:val="center"/>
                </w:tcPr>
                <w:p w14:paraId="40665606">
                  <w:pPr>
                    <w:pStyle w:val="97"/>
                    <w:rPr>
                      <w:color w:val="auto"/>
                    </w:rPr>
                  </w:pPr>
                  <w:r>
                    <w:rPr>
                      <w:rFonts w:hint="eastAsia"/>
                      <w:color w:val="auto"/>
                    </w:rPr>
                    <w:t>49.1</w:t>
                  </w:r>
                </w:p>
              </w:tc>
              <w:tc>
                <w:tcPr>
                  <w:tcW w:w="1364" w:type="dxa"/>
                  <w:shd w:val="clear" w:color="auto" w:fill="FFFFFF"/>
                  <w:vAlign w:val="center"/>
                </w:tcPr>
                <w:p w14:paraId="3C08431F">
                  <w:pPr>
                    <w:pStyle w:val="97"/>
                    <w:rPr>
                      <w:rFonts w:hint="default" w:eastAsia="宋体"/>
                      <w:color w:val="auto"/>
                      <w:lang w:val="en-US" w:eastAsia="zh-CN"/>
                    </w:rPr>
                  </w:pPr>
                  <w:r>
                    <w:rPr>
                      <w:rFonts w:hint="eastAsia"/>
                      <w:color w:val="auto"/>
                      <w:lang w:val="en-US" w:eastAsia="zh-CN"/>
                    </w:rPr>
                    <w:t>70</w:t>
                  </w:r>
                </w:p>
              </w:tc>
              <w:tc>
                <w:tcPr>
                  <w:tcW w:w="1144" w:type="dxa"/>
                  <w:shd w:val="clear" w:color="auto" w:fill="FFFFFF"/>
                  <w:vAlign w:val="center"/>
                </w:tcPr>
                <w:p w14:paraId="32BE0B47">
                  <w:pPr>
                    <w:pStyle w:val="97"/>
                    <w:rPr>
                      <w:color w:val="auto"/>
                    </w:rPr>
                  </w:pPr>
                  <w:r>
                    <w:rPr>
                      <w:color w:val="auto"/>
                    </w:rPr>
                    <w:t>达标</w:t>
                  </w:r>
                </w:p>
              </w:tc>
            </w:tr>
            <w:tr w14:paraId="56A5F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62" w:type="dxa"/>
                  <w:vMerge w:val="continue"/>
                  <w:shd w:val="clear" w:color="auto" w:fill="FFFFFF"/>
                  <w:vAlign w:val="center"/>
                </w:tcPr>
                <w:p w14:paraId="27CB78D9">
                  <w:pPr>
                    <w:pStyle w:val="97"/>
                    <w:rPr>
                      <w:color w:val="auto"/>
                    </w:rPr>
                  </w:pPr>
                  <w:r>
                    <w:rPr>
                      <w:color w:val="auto"/>
                    </w:rPr>
                    <w:t>南侧</w:t>
                  </w:r>
                </w:p>
              </w:tc>
              <w:tc>
                <w:tcPr>
                  <w:tcW w:w="777" w:type="dxa"/>
                  <w:shd w:val="clear" w:color="auto" w:fill="FFFFFF"/>
                  <w:vAlign w:val="center"/>
                </w:tcPr>
                <w:p w14:paraId="574101D5">
                  <w:pPr>
                    <w:jc w:val="center"/>
                    <w:rPr>
                      <w:rFonts w:cs="宋体"/>
                      <w:color w:val="auto"/>
                      <w:kern w:val="0"/>
                      <w:szCs w:val="21"/>
                    </w:rPr>
                  </w:pPr>
                  <w:r>
                    <w:rPr>
                      <w:rFonts w:hint="eastAsia" w:cs="宋体"/>
                      <w:color w:val="auto"/>
                      <w:kern w:val="0"/>
                      <w:szCs w:val="21"/>
                    </w:rPr>
                    <w:t>28.9</w:t>
                  </w:r>
                </w:p>
              </w:tc>
              <w:tc>
                <w:tcPr>
                  <w:tcW w:w="777" w:type="dxa"/>
                  <w:shd w:val="clear" w:color="auto" w:fill="FFFFFF"/>
                  <w:vAlign w:val="center"/>
                </w:tcPr>
                <w:p w14:paraId="2EC10E9C">
                  <w:pPr>
                    <w:jc w:val="center"/>
                    <w:rPr>
                      <w:rFonts w:cs="宋体"/>
                      <w:color w:val="auto"/>
                      <w:kern w:val="0"/>
                      <w:szCs w:val="21"/>
                    </w:rPr>
                  </w:pPr>
                  <w:r>
                    <w:rPr>
                      <w:rFonts w:hint="eastAsia" w:cs="宋体"/>
                      <w:color w:val="auto"/>
                      <w:kern w:val="0"/>
                      <w:szCs w:val="21"/>
                    </w:rPr>
                    <w:t>-31.5</w:t>
                  </w:r>
                </w:p>
              </w:tc>
              <w:tc>
                <w:tcPr>
                  <w:tcW w:w="777" w:type="dxa"/>
                  <w:shd w:val="clear" w:color="auto" w:fill="FFFFFF"/>
                  <w:vAlign w:val="center"/>
                </w:tcPr>
                <w:p w14:paraId="4A481D3A">
                  <w:pPr>
                    <w:jc w:val="center"/>
                    <w:rPr>
                      <w:rFonts w:cs="宋体"/>
                      <w:color w:val="auto"/>
                      <w:kern w:val="0"/>
                      <w:szCs w:val="21"/>
                    </w:rPr>
                  </w:pPr>
                  <w:r>
                    <w:rPr>
                      <w:rFonts w:hint="eastAsia" w:cs="宋体"/>
                      <w:color w:val="auto"/>
                      <w:kern w:val="0"/>
                      <w:szCs w:val="21"/>
                    </w:rPr>
                    <w:t>1.2</w:t>
                  </w:r>
                </w:p>
              </w:tc>
              <w:tc>
                <w:tcPr>
                  <w:tcW w:w="958" w:type="dxa"/>
                  <w:shd w:val="clear" w:color="auto" w:fill="FFFFFF"/>
                  <w:vAlign w:val="center"/>
                </w:tcPr>
                <w:p w14:paraId="3AA640C9">
                  <w:pPr>
                    <w:pStyle w:val="97"/>
                    <w:rPr>
                      <w:color w:val="auto"/>
                    </w:rPr>
                  </w:pPr>
                  <w:r>
                    <w:rPr>
                      <w:color w:val="auto"/>
                    </w:rPr>
                    <w:t>夜间</w:t>
                  </w:r>
                </w:p>
              </w:tc>
              <w:tc>
                <w:tcPr>
                  <w:tcW w:w="1363" w:type="dxa"/>
                  <w:shd w:val="clear" w:color="auto" w:fill="FFFFFF"/>
                  <w:vAlign w:val="center"/>
                </w:tcPr>
                <w:p w14:paraId="389A83CD">
                  <w:pPr>
                    <w:pStyle w:val="97"/>
                    <w:rPr>
                      <w:color w:val="auto"/>
                    </w:rPr>
                  </w:pPr>
                  <w:r>
                    <w:rPr>
                      <w:rFonts w:hint="eastAsia"/>
                      <w:color w:val="auto"/>
                    </w:rPr>
                    <w:t>/</w:t>
                  </w:r>
                </w:p>
              </w:tc>
              <w:tc>
                <w:tcPr>
                  <w:tcW w:w="1364" w:type="dxa"/>
                  <w:shd w:val="clear" w:color="auto" w:fill="FFFFFF"/>
                  <w:vAlign w:val="center"/>
                </w:tcPr>
                <w:p w14:paraId="5969E039">
                  <w:pPr>
                    <w:pStyle w:val="97"/>
                    <w:rPr>
                      <w:color w:val="auto"/>
                    </w:rPr>
                  </w:pPr>
                  <w:r>
                    <w:rPr>
                      <w:rFonts w:hint="eastAsia"/>
                      <w:color w:val="auto"/>
                    </w:rPr>
                    <w:t>/</w:t>
                  </w:r>
                </w:p>
              </w:tc>
              <w:tc>
                <w:tcPr>
                  <w:tcW w:w="1144" w:type="dxa"/>
                  <w:shd w:val="clear" w:color="auto" w:fill="FFFFFF"/>
                  <w:vAlign w:val="center"/>
                </w:tcPr>
                <w:p w14:paraId="7FDDF8C5">
                  <w:pPr>
                    <w:pStyle w:val="97"/>
                    <w:rPr>
                      <w:color w:val="auto"/>
                    </w:rPr>
                  </w:pPr>
                  <w:r>
                    <w:rPr>
                      <w:rFonts w:hint="eastAsia"/>
                      <w:color w:val="auto"/>
                    </w:rPr>
                    <w:t>/</w:t>
                  </w:r>
                </w:p>
              </w:tc>
            </w:tr>
            <w:tr w14:paraId="129CC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62" w:type="dxa"/>
                  <w:vMerge w:val="restart"/>
                  <w:shd w:val="clear" w:color="auto" w:fill="FFFFFF"/>
                  <w:vAlign w:val="center"/>
                </w:tcPr>
                <w:p w14:paraId="6BB36413">
                  <w:pPr>
                    <w:pStyle w:val="97"/>
                    <w:rPr>
                      <w:color w:val="auto"/>
                    </w:rPr>
                  </w:pPr>
                  <w:r>
                    <w:rPr>
                      <w:color w:val="auto"/>
                    </w:rPr>
                    <w:t>西侧</w:t>
                  </w:r>
                </w:p>
              </w:tc>
              <w:tc>
                <w:tcPr>
                  <w:tcW w:w="777" w:type="dxa"/>
                  <w:shd w:val="clear" w:color="auto" w:fill="FFFFFF"/>
                  <w:vAlign w:val="center"/>
                </w:tcPr>
                <w:p w14:paraId="2985572B">
                  <w:pPr>
                    <w:jc w:val="center"/>
                    <w:rPr>
                      <w:rFonts w:cs="宋体"/>
                      <w:color w:val="auto"/>
                      <w:kern w:val="0"/>
                      <w:szCs w:val="21"/>
                    </w:rPr>
                  </w:pPr>
                  <w:r>
                    <w:rPr>
                      <w:rFonts w:hint="eastAsia" w:cs="宋体"/>
                      <w:color w:val="auto"/>
                      <w:kern w:val="0"/>
                      <w:szCs w:val="21"/>
                    </w:rPr>
                    <w:t>-31.2</w:t>
                  </w:r>
                </w:p>
              </w:tc>
              <w:tc>
                <w:tcPr>
                  <w:tcW w:w="777" w:type="dxa"/>
                  <w:shd w:val="clear" w:color="auto" w:fill="FFFFFF"/>
                  <w:vAlign w:val="center"/>
                </w:tcPr>
                <w:p w14:paraId="51BA799C">
                  <w:pPr>
                    <w:jc w:val="center"/>
                    <w:rPr>
                      <w:rFonts w:cs="宋体"/>
                      <w:color w:val="auto"/>
                      <w:kern w:val="0"/>
                      <w:szCs w:val="21"/>
                    </w:rPr>
                  </w:pPr>
                  <w:r>
                    <w:rPr>
                      <w:rFonts w:hint="eastAsia" w:cs="宋体"/>
                      <w:color w:val="auto"/>
                      <w:kern w:val="0"/>
                      <w:szCs w:val="21"/>
                    </w:rPr>
                    <w:t>29.7</w:t>
                  </w:r>
                </w:p>
              </w:tc>
              <w:tc>
                <w:tcPr>
                  <w:tcW w:w="777" w:type="dxa"/>
                  <w:shd w:val="clear" w:color="auto" w:fill="FFFFFF"/>
                  <w:vAlign w:val="center"/>
                </w:tcPr>
                <w:p w14:paraId="3B1AA83C">
                  <w:pPr>
                    <w:jc w:val="center"/>
                    <w:rPr>
                      <w:rFonts w:cs="宋体"/>
                      <w:color w:val="auto"/>
                      <w:kern w:val="0"/>
                      <w:szCs w:val="21"/>
                    </w:rPr>
                  </w:pPr>
                  <w:r>
                    <w:rPr>
                      <w:rFonts w:hint="eastAsia" w:cs="宋体"/>
                      <w:color w:val="auto"/>
                      <w:kern w:val="0"/>
                      <w:szCs w:val="21"/>
                    </w:rPr>
                    <w:t>1.2</w:t>
                  </w:r>
                </w:p>
              </w:tc>
              <w:tc>
                <w:tcPr>
                  <w:tcW w:w="958" w:type="dxa"/>
                  <w:shd w:val="clear" w:color="auto" w:fill="FFFFFF"/>
                  <w:vAlign w:val="center"/>
                </w:tcPr>
                <w:p w14:paraId="060E55D8">
                  <w:pPr>
                    <w:pStyle w:val="97"/>
                    <w:rPr>
                      <w:color w:val="auto"/>
                    </w:rPr>
                  </w:pPr>
                  <w:r>
                    <w:rPr>
                      <w:color w:val="auto"/>
                    </w:rPr>
                    <w:t>昼间</w:t>
                  </w:r>
                </w:p>
              </w:tc>
              <w:tc>
                <w:tcPr>
                  <w:tcW w:w="1363" w:type="dxa"/>
                  <w:shd w:val="clear" w:color="auto" w:fill="FFFFFF"/>
                  <w:vAlign w:val="center"/>
                </w:tcPr>
                <w:p w14:paraId="27767BF6">
                  <w:pPr>
                    <w:pStyle w:val="97"/>
                    <w:rPr>
                      <w:color w:val="auto"/>
                    </w:rPr>
                  </w:pPr>
                  <w:r>
                    <w:rPr>
                      <w:rFonts w:hint="eastAsia"/>
                      <w:color w:val="auto"/>
                    </w:rPr>
                    <w:t>44.5</w:t>
                  </w:r>
                </w:p>
              </w:tc>
              <w:tc>
                <w:tcPr>
                  <w:tcW w:w="1364" w:type="dxa"/>
                  <w:shd w:val="clear" w:color="auto" w:fill="FFFFFF"/>
                  <w:vAlign w:val="center"/>
                </w:tcPr>
                <w:p w14:paraId="2DFBCB7C">
                  <w:pPr>
                    <w:pStyle w:val="97"/>
                    <w:rPr>
                      <w:rFonts w:hint="default" w:eastAsia="宋体"/>
                      <w:color w:val="auto"/>
                      <w:lang w:val="en-US" w:eastAsia="zh-CN"/>
                    </w:rPr>
                  </w:pPr>
                  <w:r>
                    <w:rPr>
                      <w:rFonts w:hint="eastAsia"/>
                      <w:color w:val="auto"/>
                      <w:lang w:val="en-US" w:eastAsia="zh-CN"/>
                    </w:rPr>
                    <w:t>70</w:t>
                  </w:r>
                </w:p>
              </w:tc>
              <w:tc>
                <w:tcPr>
                  <w:tcW w:w="1144" w:type="dxa"/>
                  <w:shd w:val="clear" w:color="auto" w:fill="FFFFFF"/>
                  <w:vAlign w:val="center"/>
                </w:tcPr>
                <w:p w14:paraId="5189AAD1">
                  <w:pPr>
                    <w:pStyle w:val="97"/>
                    <w:rPr>
                      <w:color w:val="auto"/>
                    </w:rPr>
                  </w:pPr>
                  <w:r>
                    <w:rPr>
                      <w:color w:val="auto"/>
                    </w:rPr>
                    <w:t>达标</w:t>
                  </w:r>
                </w:p>
              </w:tc>
            </w:tr>
            <w:tr w14:paraId="11A1E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62" w:type="dxa"/>
                  <w:vMerge w:val="continue"/>
                  <w:shd w:val="clear" w:color="auto" w:fill="FFFFFF"/>
                  <w:vAlign w:val="center"/>
                </w:tcPr>
                <w:p w14:paraId="21FFFCCE">
                  <w:pPr>
                    <w:pStyle w:val="97"/>
                    <w:rPr>
                      <w:color w:val="auto"/>
                    </w:rPr>
                  </w:pPr>
                  <w:r>
                    <w:rPr>
                      <w:color w:val="auto"/>
                    </w:rPr>
                    <w:t>西侧</w:t>
                  </w:r>
                </w:p>
              </w:tc>
              <w:tc>
                <w:tcPr>
                  <w:tcW w:w="777" w:type="dxa"/>
                  <w:shd w:val="clear" w:color="auto" w:fill="FFFFFF"/>
                  <w:vAlign w:val="center"/>
                </w:tcPr>
                <w:p w14:paraId="62185716">
                  <w:pPr>
                    <w:jc w:val="center"/>
                    <w:rPr>
                      <w:rFonts w:cs="宋体"/>
                      <w:color w:val="auto"/>
                      <w:kern w:val="0"/>
                      <w:szCs w:val="21"/>
                    </w:rPr>
                  </w:pPr>
                  <w:r>
                    <w:rPr>
                      <w:rFonts w:hint="eastAsia" w:cs="宋体"/>
                      <w:color w:val="auto"/>
                      <w:kern w:val="0"/>
                      <w:szCs w:val="21"/>
                    </w:rPr>
                    <w:t>-31.2</w:t>
                  </w:r>
                </w:p>
              </w:tc>
              <w:tc>
                <w:tcPr>
                  <w:tcW w:w="777" w:type="dxa"/>
                  <w:shd w:val="clear" w:color="auto" w:fill="FFFFFF"/>
                  <w:vAlign w:val="center"/>
                </w:tcPr>
                <w:p w14:paraId="3D0A1903">
                  <w:pPr>
                    <w:jc w:val="center"/>
                    <w:rPr>
                      <w:rFonts w:cs="宋体"/>
                      <w:color w:val="auto"/>
                      <w:kern w:val="0"/>
                      <w:szCs w:val="21"/>
                    </w:rPr>
                  </w:pPr>
                  <w:r>
                    <w:rPr>
                      <w:rFonts w:hint="eastAsia" w:cs="宋体"/>
                      <w:color w:val="auto"/>
                      <w:kern w:val="0"/>
                      <w:szCs w:val="21"/>
                    </w:rPr>
                    <w:t>29.7</w:t>
                  </w:r>
                </w:p>
              </w:tc>
              <w:tc>
                <w:tcPr>
                  <w:tcW w:w="777" w:type="dxa"/>
                  <w:shd w:val="clear" w:color="auto" w:fill="FFFFFF"/>
                  <w:vAlign w:val="center"/>
                </w:tcPr>
                <w:p w14:paraId="78A5CACE">
                  <w:pPr>
                    <w:jc w:val="center"/>
                    <w:rPr>
                      <w:rFonts w:cs="宋体"/>
                      <w:color w:val="auto"/>
                      <w:kern w:val="0"/>
                      <w:szCs w:val="21"/>
                    </w:rPr>
                  </w:pPr>
                  <w:r>
                    <w:rPr>
                      <w:rFonts w:hint="eastAsia" w:cs="宋体"/>
                      <w:color w:val="auto"/>
                      <w:kern w:val="0"/>
                      <w:szCs w:val="21"/>
                    </w:rPr>
                    <w:t>1.2</w:t>
                  </w:r>
                </w:p>
              </w:tc>
              <w:tc>
                <w:tcPr>
                  <w:tcW w:w="958" w:type="dxa"/>
                  <w:shd w:val="clear" w:color="auto" w:fill="FFFFFF"/>
                  <w:vAlign w:val="center"/>
                </w:tcPr>
                <w:p w14:paraId="0DC5C10C">
                  <w:pPr>
                    <w:pStyle w:val="97"/>
                    <w:rPr>
                      <w:color w:val="auto"/>
                    </w:rPr>
                  </w:pPr>
                  <w:r>
                    <w:rPr>
                      <w:color w:val="auto"/>
                    </w:rPr>
                    <w:t>夜间</w:t>
                  </w:r>
                </w:p>
              </w:tc>
              <w:tc>
                <w:tcPr>
                  <w:tcW w:w="1363" w:type="dxa"/>
                  <w:shd w:val="clear" w:color="auto" w:fill="FFFFFF"/>
                  <w:vAlign w:val="center"/>
                </w:tcPr>
                <w:p w14:paraId="5590B46E">
                  <w:pPr>
                    <w:pStyle w:val="97"/>
                    <w:rPr>
                      <w:color w:val="auto"/>
                    </w:rPr>
                  </w:pPr>
                  <w:r>
                    <w:rPr>
                      <w:rFonts w:hint="eastAsia"/>
                      <w:color w:val="auto"/>
                    </w:rPr>
                    <w:t>/</w:t>
                  </w:r>
                </w:p>
              </w:tc>
              <w:tc>
                <w:tcPr>
                  <w:tcW w:w="1364" w:type="dxa"/>
                  <w:shd w:val="clear" w:color="auto" w:fill="FFFFFF"/>
                  <w:vAlign w:val="center"/>
                </w:tcPr>
                <w:p w14:paraId="674272AE">
                  <w:pPr>
                    <w:pStyle w:val="97"/>
                    <w:rPr>
                      <w:color w:val="auto"/>
                    </w:rPr>
                  </w:pPr>
                  <w:r>
                    <w:rPr>
                      <w:rFonts w:hint="eastAsia"/>
                      <w:color w:val="auto"/>
                    </w:rPr>
                    <w:t>/</w:t>
                  </w:r>
                </w:p>
              </w:tc>
              <w:tc>
                <w:tcPr>
                  <w:tcW w:w="1144" w:type="dxa"/>
                  <w:shd w:val="clear" w:color="auto" w:fill="FFFFFF"/>
                  <w:vAlign w:val="center"/>
                </w:tcPr>
                <w:p w14:paraId="6A4CE93E">
                  <w:pPr>
                    <w:pStyle w:val="97"/>
                    <w:rPr>
                      <w:color w:val="auto"/>
                    </w:rPr>
                  </w:pPr>
                  <w:r>
                    <w:rPr>
                      <w:rFonts w:hint="eastAsia"/>
                      <w:color w:val="auto"/>
                    </w:rPr>
                    <w:t>/</w:t>
                  </w:r>
                </w:p>
              </w:tc>
            </w:tr>
            <w:tr w14:paraId="1AEB4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62" w:type="dxa"/>
                  <w:vMerge w:val="restart"/>
                  <w:shd w:val="clear" w:color="auto" w:fill="FFFFFF"/>
                  <w:vAlign w:val="center"/>
                </w:tcPr>
                <w:p w14:paraId="50ABA1E4">
                  <w:pPr>
                    <w:pStyle w:val="97"/>
                    <w:rPr>
                      <w:color w:val="auto"/>
                    </w:rPr>
                  </w:pPr>
                  <w:r>
                    <w:rPr>
                      <w:color w:val="auto"/>
                    </w:rPr>
                    <w:t>北侧</w:t>
                  </w:r>
                </w:p>
              </w:tc>
              <w:tc>
                <w:tcPr>
                  <w:tcW w:w="777" w:type="dxa"/>
                  <w:shd w:val="clear" w:color="auto" w:fill="FFFFFF"/>
                  <w:vAlign w:val="center"/>
                </w:tcPr>
                <w:p w14:paraId="66B4305A">
                  <w:pPr>
                    <w:jc w:val="center"/>
                    <w:rPr>
                      <w:rFonts w:cs="宋体"/>
                      <w:color w:val="auto"/>
                      <w:kern w:val="0"/>
                      <w:szCs w:val="21"/>
                    </w:rPr>
                  </w:pPr>
                  <w:r>
                    <w:rPr>
                      <w:rFonts w:hint="eastAsia" w:cs="宋体"/>
                      <w:color w:val="auto"/>
                      <w:kern w:val="0"/>
                      <w:szCs w:val="21"/>
                    </w:rPr>
                    <w:t>1.8</w:t>
                  </w:r>
                </w:p>
              </w:tc>
              <w:tc>
                <w:tcPr>
                  <w:tcW w:w="777" w:type="dxa"/>
                  <w:shd w:val="clear" w:color="auto" w:fill="FFFFFF"/>
                  <w:vAlign w:val="center"/>
                </w:tcPr>
                <w:p w14:paraId="086C7076">
                  <w:pPr>
                    <w:jc w:val="center"/>
                    <w:rPr>
                      <w:rFonts w:cs="宋体"/>
                      <w:color w:val="auto"/>
                      <w:kern w:val="0"/>
                      <w:szCs w:val="21"/>
                    </w:rPr>
                  </w:pPr>
                  <w:r>
                    <w:rPr>
                      <w:rFonts w:hint="eastAsia" w:cs="宋体"/>
                      <w:color w:val="auto"/>
                      <w:kern w:val="0"/>
                      <w:szCs w:val="21"/>
                    </w:rPr>
                    <w:t>57.1</w:t>
                  </w:r>
                </w:p>
              </w:tc>
              <w:tc>
                <w:tcPr>
                  <w:tcW w:w="777" w:type="dxa"/>
                  <w:shd w:val="clear" w:color="auto" w:fill="FFFFFF"/>
                  <w:vAlign w:val="center"/>
                </w:tcPr>
                <w:p w14:paraId="51A7A2F1">
                  <w:pPr>
                    <w:jc w:val="center"/>
                    <w:rPr>
                      <w:rFonts w:cs="宋体"/>
                      <w:color w:val="auto"/>
                      <w:kern w:val="0"/>
                      <w:szCs w:val="21"/>
                    </w:rPr>
                  </w:pPr>
                  <w:r>
                    <w:rPr>
                      <w:rFonts w:hint="eastAsia" w:cs="宋体"/>
                      <w:color w:val="auto"/>
                      <w:kern w:val="0"/>
                      <w:szCs w:val="21"/>
                    </w:rPr>
                    <w:t>1.2</w:t>
                  </w:r>
                </w:p>
              </w:tc>
              <w:tc>
                <w:tcPr>
                  <w:tcW w:w="958" w:type="dxa"/>
                  <w:shd w:val="clear" w:color="auto" w:fill="FFFFFF"/>
                  <w:vAlign w:val="center"/>
                </w:tcPr>
                <w:p w14:paraId="4CCF2929">
                  <w:pPr>
                    <w:pStyle w:val="97"/>
                    <w:rPr>
                      <w:color w:val="auto"/>
                    </w:rPr>
                  </w:pPr>
                  <w:r>
                    <w:rPr>
                      <w:color w:val="auto"/>
                    </w:rPr>
                    <w:t>昼间</w:t>
                  </w:r>
                </w:p>
              </w:tc>
              <w:tc>
                <w:tcPr>
                  <w:tcW w:w="1363" w:type="dxa"/>
                  <w:shd w:val="clear" w:color="auto" w:fill="FFFFFF"/>
                  <w:vAlign w:val="center"/>
                </w:tcPr>
                <w:p w14:paraId="7E5BF115">
                  <w:pPr>
                    <w:pStyle w:val="97"/>
                    <w:rPr>
                      <w:color w:val="auto"/>
                    </w:rPr>
                  </w:pPr>
                  <w:r>
                    <w:rPr>
                      <w:rFonts w:hint="eastAsia"/>
                      <w:color w:val="auto"/>
                    </w:rPr>
                    <w:t>51.1</w:t>
                  </w:r>
                </w:p>
              </w:tc>
              <w:tc>
                <w:tcPr>
                  <w:tcW w:w="1364" w:type="dxa"/>
                  <w:shd w:val="clear" w:color="auto" w:fill="FFFFFF"/>
                  <w:vAlign w:val="center"/>
                </w:tcPr>
                <w:p w14:paraId="6EE282CA">
                  <w:pPr>
                    <w:pStyle w:val="97"/>
                    <w:rPr>
                      <w:color w:val="auto"/>
                    </w:rPr>
                  </w:pPr>
                  <w:r>
                    <w:rPr>
                      <w:rFonts w:hint="eastAsia"/>
                      <w:color w:val="auto"/>
                    </w:rPr>
                    <w:t>65</w:t>
                  </w:r>
                </w:p>
              </w:tc>
              <w:tc>
                <w:tcPr>
                  <w:tcW w:w="1144" w:type="dxa"/>
                  <w:shd w:val="clear" w:color="auto" w:fill="FFFFFF"/>
                  <w:vAlign w:val="center"/>
                </w:tcPr>
                <w:p w14:paraId="07095999">
                  <w:pPr>
                    <w:pStyle w:val="97"/>
                    <w:rPr>
                      <w:color w:val="auto"/>
                    </w:rPr>
                  </w:pPr>
                  <w:r>
                    <w:rPr>
                      <w:color w:val="auto"/>
                    </w:rPr>
                    <w:t>达标</w:t>
                  </w:r>
                </w:p>
              </w:tc>
            </w:tr>
            <w:tr w14:paraId="5B596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62" w:type="dxa"/>
                  <w:vMerge w:val="continue"/>
                  <w:shd w:val="clear" w:color="auto" w:fill="FFFFFF"/>
                  <w:vAlign w:val="center"/>
                </w:tcPr>
                <w:p w14:paraId="1682F2C5">
                  <w:pPr>
                    <w:pStyle w:val="97"/>
                    <w:rPr>
                      <w:color w:val="auto"/>
                    </w:rPr>
                  </w:pPr>
                  <w:r>
                    <w:rPr>
                      <w:color w:val="auto"/>
                    </w:rPr>
                    <w:t>北侧</w:t>
                  </w:r>
                </w:p>
              </w:tc>
              <w:tc>
                <w:tcPr>
                  <w:tcW w:w="777" w:type="dxa"/>
                  <w:shd w:val="clear" w:color="auto" w:fill="FFFFFF"/>
                  <w:vAlign w:val="center"/>
                </w:tcPr>
                <w:p w14:paraId="5DD5E20E">
                  <w:pPr>
                    <w:jc w:val="center"/>
                    <w:rPr>
                      <w:rFonts w:cs="宋体"/>
                      <w:color w:val="auto"/>
                      <w:kern w:val="0"/>
                      <w:szCs w:val="21"/>
                    </w:rPr>
                  </w:pPr>
                  <w:r>
                    <w:rPr>
                      <w:rFonts w:hint="eastAsia" w:cs="宋体"/>
                      <w:color w:val="auto"/>
                      <w:kern w:val="0"/>
                      <w:szCs w:val="21"/>
                    </w:rPr>
                    <w:t>1.8</w:t>
                  </w:r>
                </w:p>
              </w:tc>
              <w:tc>
                <w:tcPr>
                  <w:tcW w:w="777" w:type="dxa"/>
                  <w:shd w:val="clear" w:color="auto" w:fill="FFFFFF"/>
                  <w:vAlign w:val="center"/>
                </w:tcPr>
                <w:p w14:paraId="551405A9">
                  <w:pPr>
                    <w:jc w:val="center"/>
                    <w:rPr>
                      <w:rFonts w:cs="宋体"/>
                      <w:color w:val="auto"/>
                      <w:kern w:val="0"/>
                      <w:szCs w:val="21"/>
                    </w:rPr>
                  </w:pPr>
                  <w:r>
                    <w:rPr>
                      <w:rFonts w:hint="eastAsia" w:cs="宋体"/>
                      <w:color w:val="auto"/>
                      <w:kern w:val="0"/>
                      <w:szCs w:val="21"/>
                    </w:rPr>
                    <w:t>57.1</w:t>
                  </w:r>
                </w:p>
              </w:tc>
              <w:tc>
                <w:tcPr>
                  <w:tcW w:w="777" w:type="dxa"/>
                  <w:shd w:val="clear" w:color="auto" w:fill="FFFFFF"/>
                  <w:vAlign w:val="center"/>
                </w:tcPr>
                <w:p w14:paraId="55DCAC51">
                  <w:pPr>
                    <w:jc w:val="center"/>
                    <w:rPr>
                      <w:rFonts w:cs="宋体"/>
                      <w:color w:val="auto"/>
                      <w:kern w:val="0"/>
                      <w:szCs w:val="21"/>
                    </w:rPr>
                  </w:pPr>
                  <w:r>
                    <w:rPr>
                      <w:rFonts w:hint="eastAsia" w:cs="宋体"/>
                      <w:color w:val="auto"/>
                      <w:kern w:val="0"/>
                      <w:szCs w:val="21"/>
                    </w:rPr>
                    <w:t>1.2</w:t>
                  </w:r>
                </w:p>
              </w:tc>
              <w:tc>
                <w:tcPr>
                  <w:tcW w:w="958" w:type="dxa"/>
                  <w:shd w:val="clear" w:color="auto" w:fill="FFFFFF"/>
                  <w:vAlign w:val="center"/>
                </w:tcPr>
                <w:p w14:paraId="04650C36">
                  <w:pPr>
                    <w:pStyle w:val="97"/>
                    <w:rPr>
                      <w:color w:val="auto"/>
                    </w:rPr>
                  </w:pPr>
                  <w:r>
                    <w:rPr>
                      <w:color w:val="auto"/>
                    </w:rPr>
                    <w:t>夜间</w:t>
                  </w:r>
                </w:p>
              </w:tc>
              <w:tc>
                <w:tcPr>
                  <w:tcW w:w="1363" w:type="dxa"/>
                  <w:shd w:val="clear" w:color="auto" w:fill="FFFFFF"/>
                  <w:vAlign w:val="center"/>
                </w:tcPr>
                <w:p w14:paraId="3BD4CA5A">
                  <w:pPr>
                    <w:pStyle w:val="97"/>
                    <w:rPr>
                      <w:color w:val="auto"/>
                    </w:rPr>
                  </w:pPr>
                  <w:r>
                    <w:rPr>
                      <w:rFonts w:hint="eastAsia"/>
                      <w:color w:val="auto"/>
                    </w:rPr>
                    <w:t>/</w:t>
                  </w:r>
                </w:p>
              </w:tc>
              <w:tc>
                <w:tcPr>
                  <w:tcW w:w="1364" w:type="dxa"/>
                  <w:shd w:val="clear" w:color="auto" w:fill="FFFFFF"/>
                  <w:vAlign w:val="center"/>
                </w:tcPr>
                <w:p w14:paraId="574A1B0C">
                  <w:pPr>
                    <w:pStyle w:val="97"/>
                    <w:rPr>
                      <w:color w:val="auto"/>
                    </w:rPr>
                  </w:pPr>
                  <w:r>
                    <w:rPr>
                      <w:rFonts w:hint="eastAsia"/>
                      <w:color w:val="auto"/>
                    </w:rPr>
                    <w:t>/</w:t>
                  </w:r>
                </w:p>
              </w:tc>
              <w:tc>
                <w:tcPr>
                  <w:tcW w:w="1144" w:type="dxa"/>
                  <w:shd w:val="clear" w:color="auto" w:fill="FFFFFF"/>
                  <w:vAlign w:val="center"/>
                </w:tcPr>
                <w:p w14:paraId="070F9DE8">
                  <w:pPr>
                    <w:pStyle w:val="97"/>
                    <w:rPr>
                      <w:color w:val="auto"/>
                    </w:rPr>
                  </w:pPr>
                  <w:r>
                    <w:rPr>
                      <w:rFonts w:hint="eastAsia"/>
                      <w:color w:val="auto"/>
                    </w:rPr>
                    <w:t>/</w:t>
                  </w:r>
                </w:p>
              </w:tc>
            </w:tr>
          </w:tbl>
          <w:p w14:paraId="270FE9E9">
            <w:pPr>
              <w:snapToGrid w:val="0"/>
              <w:spacing w:line="360" w:lineRule="auto"/>
              <w:ind w:firstLine="480" w:firstLineChars="200"/>
              <w:rPr>
                <w:rFonts w:eastAsiaTheme="minorEastAsia"/>
                <w:color w:val="auto"/>
                <w:sz w:val="24"/>
              </w:rPr>
            </w:pPr>
            <w:r>
              <w:rPr>
                <w:rFonts w:eastAsiaTheme="minorEastAsia"/>
                <w:color w:val="auto"/>
                <w:sz w:val="24"/>
              </w:rPr>
              <w:t>由上表可知，正常工况下，项目</w:t>
            </w:r>
            <w:r>
              <w:rPr>
                <w:rFonts w:hint="eastAsia"/>
                <w:color w:val="auto"/>
                <w:sz w:val="24"/>
              </w:rPr>
              <w:t>南、西厂界噪声满足《工业企业厂界环境噪声排放标准》（GB12348-2008）</w:t>
            </w:r>
            <w:r>
              <w:rPr>
                <w:color w:val="auto"/>
                <w:sz w:val="24"/>
              </w:rPr>
              <w:t>4</w:t>
            </w:r>
            <w:r>
              <w:rPr>
                <w:rFonts w:hint="eastAsia"/>
                <w:color w:val="auto"/>
                <w:sz w:val="24"/>
              </w:rPr>
              <w:t>类标准，其他厂界满足3类标准</w:t>
            </w:r>
            <w:r>
              <w:rPr>
                <w:color w:val="auto"/>
                <w:sz w:val="24"/>
              </w:rPr>
              <w:t>。</w:t>
            </w:r>
          </w:p>
          <w:p w14:paraId="06D16590">
            <w:pPr>
              <w:adjustRightInd w:val="0"/>
              <w:snapToGrid w:val="0"/>
              <w:spacing w:line="360" w:lineRule="auto"/>
              <w:ind w:firstLine="480" w:firstLineChars="200"/>
              <w:textAlignment w:val="baseline"/>
              <w:rPr>
                <w:b/>
                <w:bCs/>
                <w:color w:val="auto"/>
                <w:sz w:val="24"/>
                <w:szCs w:val="28"/>
              </w:rPr>
            </w:pPr>
            <w:r>
              <w:rPr>
                <w:rFonts w:eastAsiaTheme="minorEastAsia"/>
                <w:color w:val="auto"/>
                <w:sz w:val="24"/>
              </w:rPr>
              <w:t>项目正常工况声环境影响预测等值线见图</w:t>
            </w:r>
            <w:r>
              <w:rPr>
                <w:rFonts w:hint="eastAsia" w:eastAsiaTheme="minorEastAsia"/>
                <w:color w:val="auto"/>
                <w:sz w:val="24"/>
              </w:rPr>
              <w:t>4-1</w:t>
            </w:r>
            <w:r>
              <w:rPr>
                <w:rFonts w:eastAsiaTheme="minorEastAsia"/>
                <w:color w:val="auto"/>
                <w:sz w:val="24"/>
              </w:rPr>
              <w:t>。</w:t>
            </w:r>
          </w:p>
          <w:p w14:paraId="0DFF0FF8">
            <w:pPr>
              <w:adjustRightInd w:val="0"/>
              <w:snapToGrid w:val="0"/>
              <w:spacing w:line="360" w:lineRule="auto"/>
              <w:ind w:firstLine="482" w:firstLineChars="200"/>
              <w:textAlignment w:val="baseline"/>
              <w:rPr>
                <w:b/>
                <w:bCs/>
                <w:color w:val="auto"/>
                <w:sz w:val="24"/>
                <w:szCs w:val="28"/>
              </w:rPr>
            </w:pPr>
          </w:p>
          <w:p w14:paraId="673DA1D9">
            <w:pPr>
              <w:spacing w:line="360" w:lineRule="auto"/>
              <w:ind w:firstLine="420" w:firstLineChars="200"/>
              <w:rPr>
                <w:color w:val="auto"/>
              </w:rPr>
            </w:pPr>
          </w:p>
          <w:p w14:paraId="57124769">
            <w:pPr>
              <w:spacing w:line="360" w:lineRule="auto"/>
              <w:ind w:firstLine="420" w:firstLineChars="200"/>
              <w:rPr>
                <w:color w:val="auto"/>
              </w:rPr>
            </w:pPr>
          </w:p>
          <w:p w14:paraId="4F86797C">
            <w:pPr>
              <w:spacing w:line="360" w:lineRule="auto"/>
              <w:ind w:firstLine="420" w:firstLineChars="200"/>
              <w:rPr>
                <w:rFonts w:hint="eastAsia"/>
                <w:color w:val="auto"/>
              </w:rPr>
            </w:pPr>
          </w:p>
          <w:p w14:paraId="323B9B41">
            <w:pPr>
              <w:spacing w:line="360" w:lineRule="auto"/>
              <w:ind w:firstLine="420" w:firstLineChars="200"/>
              <w:rPr>
                <w:color w:val="auto"/>
              </w:rPr>
            </w:pPr>
          </w:p>
          <w:p w14:paraId="52F3CBCB">
            <w:pPr>
              <w:spacing w:line="360" w:lineRule="auto"/>
              <w:ind w:firstLine="420" w:firstLineChars="200"/>
              <w:rPr>
                <w:color w:val="auto"/>
              </w:rPr>
            </w:pPr>
          </w:p>
          <w:p w14:paraId="7601C4CE">
            <w:pPr>
              <w:spacing w:line="360" w:lineRule="auto"/>
              <w:ind w:firstLine="420" w:firstLineChars="200"/>
              <w:rPr>
                <w:color w:val="auto"/>
              </w:rPr>
            </w:pPr>
          </w:p>
          <w:p w14:paraId="2DA8E0F7">
            <w:pPr>
              <w:spacing w:line="360" w:lineRule="auto"/>
              <w:ind w:firstLine="420" w:firstLineChars="200"/>
              <w:rPr>
                <w:color w:val="auto"/>
              </w:rPr>
            </w:pPr>
            <w:r>
              <w:rPr>
                <w:color w:val="auto"/>
              </w:rPr>
              <w:drawing>
                <wp:anchor distT="0" distB="0" distL="114300" distR="114300" simplePos="0" relativeHeight="251659264" behindDoc="1" locked="0" layoutInCell="1" allowOverlap="1">
                  <wp:simplePos x="0" y="0"/>
                  <wp:positionH relativeFrom="column">
                    <wp:posOffset>447675</wp:posOffset>
                  </wp:positionH>
                  <wp:positionV relativeFrom="paragraph">
                    <wp:posOffset>37465</wp:posOffset>
                  </wp:positionV>
                  <wp:extent cx="4688840" cy="2915920"/>
                  <wp:effectExtent l="0" t="0" r="16510" b="17780"/>
                  <wp:wrapNone/>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5"/>
                          <a:stretch>
                            <a:fillRect/>
                          </a:stretch>
                        </pic:blipFill>
                        <pic:spPr>
                          <a:xfrm>
                            <a:off x="0" y="0"/>
                            <a:ext cx="4688840" cy="2915920"/>
                          </a:xfrm>
                          <a:prstGeom prst="rect">
                            <a:avLst/>
                          </a:prstGeom>
                          <a:noFill/>
                          <a:ln>
                            <a:noFill/>
                          </a:ln>
                        </pic:spPr>
                      </pic:pic>
                    </a:graphicData>
                  </a:graphic>
                </wp:anchor>
              </w:drawing>
            </w:r>
          </w:p>
          <w:p w14:paraId="2C1061A4">
            <w:pPr>
              <w:spacing w:line="360" w:lineRule="auto"/>
              <w:ind w:firstLine="420" w:firstLineChars="200"/>
              <w:rPr>
                <w:color w:val="auto"/>
              </w:rPr>
            </w:pPr>
          </w:p>
          <w:p w14:paraId="685DB43A">
            <w:pPr>
              <w:spacing w:line="360" w:lineRule="auto"/>
              <w:ind w:firstLine="420" w:firstLineChars="200"/>
              <w:rPr>
                <w:color w:val="auto"/>
              </w:rPr>
            </w:pPr>
          </w:p>
          <w:p w14:paraId="647B0B9E">
            <w:pPr>
              <w:spacing w:line="360" w:lineRule="auto"/>
              <w:ind w:firstLine="420" w:firstLineChars="200"/>
              <w:rPr>
                <w:color w:val="auto"/>
              </w:rPr>
            </w:pPr>
          </w:p>
          <w:p w14:paraId="780A78F1">
            <w:pPr>
              <w:spacing w:line="360" w:lineRule="auto"/>
              <w:ind w:firstLine="420" w:firstLineChars="200"/>
              <w:rPr>
                <w:color w:val="auto"/>
              </w:rPr>
            </w:pPr>
          </w:p>
          <w:p w14:paraId="23CCD9DB">
            <w:pPr>
              <w:spacing w:line="360" w:lineRule="auto"/>
              <w:ind w:firstLine="420" w:firstLineChars="200"/>
              <w:rPr>
                <w:color w:val="auto"/>
              </w:rPr>
            </w:pPr>
          </w:p>
          <w:p w14:paraId="0C3BEFF1">
            <w:pPr>
              <w:spacing w:line="360" w:lineRule="auto"/>
              <w:ind w:firstLine="420" w:firstLineChars="200"/>
              <w:rPr>
                <w:color w:val="auto"/>
              </w:rPr>
            </w:pPr>
          </w:p>
          <w:p w14:paraId="6BF0ABA7">
            <w:pPr>
              <w:spacing w:line="360" w:lineRule="auto"/>
              <w:ind w:firstLine="420" w:firstLineChars="200"/>
              <w:rPr>
                <w:color w:val="auto"/>
              </w:rPr>
            </w:pPr>
          </w:p>
          <w:p w14:paraId="03056A28">
            <w:pPr>
              <w:spacing w:line="360" w:lineRule="auto"/>
              <w:ind w:firstLine="420" w:firstLineChars="200"/>
              <w:rPr>
                <w:color w:val="auto"/>
              </w:rPr>
            </w:pPr>
          </w:p>
          <w:p w14:paraId="15F5F0DD">
            <w:pPr>
              <w:spacing w:line="360" w:lineRule="auto"/>
              <w:ind w:firstLine="420" w:firstLineChars="200"/>
              <w:rPr>
                <w:color w:val="auto"/>
              </w:rPr>
            </w:pPr>
          </w:p>
          <w:p w14:paraId="7438377F">
            <w:pPr>
              <w:spacing w:line="360" w:lineRule="auto"/>
              <w:ind w:firstLine="420" w:firstLineChars="200"/>
              <w:rPr>
                <w:color w:val="auto"/>
              </w:rPr>
            </w:pPr>
          </w:p>
          <w:p w14:paraId="0C2B6A54">
            <w:pPr>
              <w:spacing w:line="360" w:lineRule="auto"/>
              <w:ind w:firstLine="420" w:firstLineChars="200"/>
              <w:rPr>
                <w:color w:val="auto"/>
              </w:rPr>
            </w:pPr>
          </w:p>
          <w:p w14:paraId="54B8E14D">
            <w:pPr>
              <w:spacing w:line="360" w:lineRule="auto"/>
              <w:ind w:firstLine="420" w:firstLineChars="200"/>
              <w:rPr>
                <w:color w:val="auto"/>
              </w:rPr>
            </w:pPr>
          </w:p>
          <w:p w14:paraId="4048F66F">
            <w:pPr>
              <w:pStyle w:val="96"/>
              <w:rPr>
                <w:color w:val="auto"/>
                <w:sz w:val="24"/>
              </w:rPr>
            </w:pPr>
            <w:r>
              <w:rPr>
                <w:rFonts w:hint="eastAsia"/>
                <w:color w:val="auto"/>
                <w:sz w:val="24"/>
              </w:rPr>
              <w:t>图4-1 项目噪声预测等声值线图</w:t>
            </w:r>
          </w:p>
          <w:p w14:paraId="4ABE3211">
            <w:pPr>
              <w:adjustRightInd w:val="0"/>
              <w:snapToGrid w:val="0"/>
              <w:spacing w:line="360" w:lineRule="auto"/>
              <w:ind w:firstLine="480" w:firstLineChars="200"/>
              <w:textAlignment w:val="baseline"/>
              <w:rPr>
                <w:color w:val="auto"/>
                <w:kern w:val="0"/>
                <w:sz w:val="24"/>
              </w:rPr>
            </w:pPr>
            <w:r>
              <w:rPr>
                <w:rFonts w:hint="eastAsia"/>
                <w:color w:val="auto"/>
                <w:sz w:val="24"/>
              </w:rPr>
              <w:t>根据以上数据可知，项目夜间不生产，昼间南、西厂界噪声满足《工业企业厂界环境噪声排放标准》（GB12348-2008）</w:t>
            </w:r>
            <w:r>
              <w:rPr>
                <w:color w:val="auto"/>
                <w:sz w:val="24"/>
              </w:rPr>
              <w:t>4</w:t>
            </w:r>
            <w:r>
              <w:rPr>
                <w:rFonts w:hint="eastAsia"/>
                <w:color w:val="auto"/>
                <w:sz w:val="24"/>
              </w:rPr>
              <w:t>类标准，其他厂界满足3类标准</w:t>
            </w:r>
            <w:r>
              <w:rPr>
                <w:rFonts w:hint="eastAsia"/>
                <w:color w:val="auto"/>
                <w:kern w:val="0"/>
                <w:sz w:val="24"/>
              </w:rPr>
              <w:t>，</w:t>
            </w:r>
            <w:r>
              <w:rPr>
                <w:color w:val="auto"/>
                <w:kern w:val="0"/>
                <w:sz w:val="24"/>
              </w:rPr>
              <w:t>环评提出</w:t>
            </w:r>
            <w:r>
              <w:rPr>
                <w:rFonts w:hint="eastAsia"/>
                <w:color w:val="auto"/>
                <w:kern w:val="0"/>
                <w:sz w:val="24"/>
              </w:rPr>
              <w:t>加强设备的维护，确保设备处于良好的运转状态，杜绝因设备不正常运转时产生的高噪声现象；确保夜间不生产、不作业；加强管理培训，确保工人文明操作，装卸货物时轻拿轻放，避免因野蛮操作产生的突发性噪声等措施，使项目噪声对周围环境影响减小。</w:t>
            </w:r>
          </w:p>
          <w:p w14:paraId="60B4AF8B">
            <w:pPr>
              <w:adjustRightInd w:val="0"/>
              <w:snapToGrid w:val="0"/>
              <w:spacing w:line="360" w:lineRule="auto"/>
              <w:ind w:firstLine="480" w:firstLineChars="200"/>
              <w:textAlignment w:val="baseline"/>
              <w:rPr>
                <w:color w:val="auto"/>
                <w:kern w:val="0"/>
                <w:sz w:val="24"/>
              </w:rPr>
            </w:pPr>
            <w:r>
              <w:rPr>
                <w:rFonts w:hint="eastAsia"/>
                <w:color w:val="auto"/>
                <w:kern w:val="0"/>
                <w:sz w:val="24"/>
              </w:rPr>
              <w:t>E、保护目标影响分析</w:t>
            </w:r>
          </w:p>
          <w:p w14:paraId="2FB189BB">
            <w:pPr>
              <w:adjustRightInd w:val="0"/>
              <w:snapToGrid w:val="0"/>
              <w:spacing w:line="360" w:lineRule="auto"/>
              <w:ind w:firstLine="480" w:firstLineChars="200"/>
              <w:textAlignment w:val="baseline"/>
              <w:rPr>
                <w:color w:val="auto"/>
                <w:kern w:val="0"/>
                <w:sz w:val="24"/>
              </w:rPr>
            </w:pPr>
            <w:r>
              <w:rPr>
                <w:rFonts w:hint="eastAsia"/>
                <w:color w:val="auto"/>
                <w:kern w:val="0"/>
                <w:sz w:val="24"/>
              </w:rPr>
              <w:t>根据现场勘查，项目厂界外周边</w:t>
            </w:r>
            <w:r>
              <w:rPr>
                <w:color w:val="auto"/>
                <w:kern w:val="0"/>
                <w:sz w:val="24"/>
              </w:rPr>
              <w:t>50m</w:t>
            </w:r>
            <w:r>
              <w:rPr>
                <w:rFonts w:hint="eastAsia"/>
                <w:color w:val="auto"/>
                <w:kern w:val="0"/>
                <w:sz w:val="24"/>
              </w:rPr>
              <w:t>范围内均没有声环境保护目标。</w:t>
            </w:r>
          </w:p>
          <w:p w14:paraId="09BD14B2">
            <w:pPr>
              <w:adjustRightInd w:val="0"/>
              <w:snapToGrid w:val="0"/>
              <w:spacing w:line="360" w:lineRule="auto"/>
              <w:ind w:firstLine="482" w:firstLineChars="200"/>
              <w:textAlignment w:val="baseline"/>
              <w:rPr>
                <w:b/>
                <w:bCs/>
                <w:color w:val="auto"/>
                <w:kern w:val="0"/>
                <w:sz w:val="24"/>
              </w:rPr>
            </w:pPr>
            <w:r>
              <w:rPr>
                <w:rFonts w:hint="eastAsia"/>
                <w:b/>
                <w:bCs/>
                <w:color w:val="auto"/>
                <w:kern w:val="0"/>
                <w:sz w:val="24"/>
              </w:rPr>
              <w:t>3、噪声防治措施</w:t>
            </w:r>
          </w:p>
          <w:p w14:paraId="25C385D9">
            <w:pPr>
              <w:adjustRightInd w:val="0"/>
              <w:snapToGrid w:val="0"/>
              <w:spacing w:line="360" w:lineRule="auto"/>
              <w:ind w:firstLine="480" w:firstLineChars="200"/>
              <w:textAlignment w:val="baseline"/>
              <w:rPr>
                <w:color w:val="auto"/>
                <w:kern w:val="0"/>
                <w:sz w:val="24"/>
              </w:rPr>
            </w:pPr>
            <w:r>
              <w:rPr>
                <w:rFonts w:hint="eastAsia"/>
                <w:color w:val="auto"/>
                <w:kern w:val="0"/>
                <w:sz w:val="24"/>
              </w:rPr>
              <w:t>为进一步减少项目设备噪声对周围环境的影响，环评要求做到以下几点：</w:t>
            </w:r>
          </w:p>
          <w:p w14:paraId="21385A48">
            <w:pPr>
              <w:adjustRightInd w:val="0"/>
              <w:snapToGrid w:val="0"/>
              <w:spacing w:line="360" w:lineRule="auto"/>
              <w:ind w:firstLine="480" w:firstLineChars="200"/>
              <w:textAlignment w:val="baseline"/>
              <w:rPr>
                <w:color w:val="auto"/>
                <w:kern w:val="0"/>
                <w:sz w:val="24"/>
              </w:rPr>
            </w:pPr>
            <w:r>
              <w:rPr>
                <w:rFonts w:hint="eastAsia"/>
                <w:color w:val="auto"/>
                <w:kern w:val="0"/>
                <w:sz w:val="24"/>
              </w:rPr>
              <w:t>①加强管理培训，确保工人文明操作，装卸货物时轻拿轻放，避免因野蛮操作</w:t>
            </w:r>
          </w:p>
          <w:p w14:paraId="1982F4DA">
            <w:pPr>
              <w:adjustRightInd w:val="0"/>
              <w:snapToGrid w:val="0"/>
              <w:spacing w:line="360" w:lineRule="auto"/>
              <w:textAlignment w:val="baseline"/>
              <w:rPr>
                <w:color w:val="auto"/>
                <w:kern w:val="0"/>
                <w:sz w:val="24"/>
              </w:rPr>
            </w:pPr>
            <w:r>
              <w:rPr>
                <w:rFonts w:hint="eastAsia"/>
                <w:color w:val="auto"/>
                <w:kern w:val="0"/>
                <w:sz w:val="24"/>
              </w:rPr>
              <w:t>产生的突发性噪声。</w:t>
            </w:r>
          </w:p>
          <w:p w14:paraId="1082EF8E">
            <w:pPr>
              <w:adjustRightInd w:val="0"/>
              <w:snapToGrid w:val="0"/>
              <w:spacing w:line="360" w:lineRule="auto"/>
              <w:ind w:firstLine="480" w:firstLineChars="200"/>
              <w:textAlignment w:val="baseline"/>
              <w:rPr>
                <w:color w:val="auto"/>
                <w:kern w:val="0"/>
                <w:sz w:val="24"/>
              </w:rPr>
            </w:pPr>
            <w:r>
              <w:rPr>
                <w:rFonts w:hint="eastAsia"/>
                <w:color w:val="auto"/>
                <w:kern w:val="0"/>
                <w:sz w:val="24"/>
              </w:rPr>
              <w:t>②加强设备的维护，确保设备处于良好的运转状态，杜绝因设备不正常运转时产生的高噪声现象。</w:t>
            </w:r>
          </w:p>
          <w:p w14:paraId="3C049CE0">
            <w:pPr>
              <w:adjustRightInd w:val="0"/>
              <w:snapToGrid w:val="0"/>
              <w:spacing w:line="360" w:lineRule="auto"/>
              <w:ind w:firstLine="480" w:firstLineChars="200"/>
              <w:textAlignment w:val="baseline"/>
              <w:rPr>
                <w:color w:val="auto"/>
                <w:kern w:val="0"/>
                <w:sz w:val="24"/>
              </w:rPr>
            </w:pPr>
            <w:r>
              <w:rPr>
                <w:rFonts w:hint="eastAsia"/>
                <w:color w:val="auto"/>
                <w:kern w:val="0"/>
                <w:sz w:val="24"/>
              </w:rPr>
              <w:t>③确保夜间不生产、不作业。</w:t>
            </w:r>
          </w:p>
          <w:p w14:paraId="40FA6365">
            <w:pPr>
              <w:adjustRightInd w:val="0"/>
              <w:snapToGrid w:val="0"/>
              <w:spacing w:line="360" w:lineRule="auto"/>
              <w:ind w:firstLine="480" w:firstLineChars="200"/>
              <w:textAlignment w:val="baseline"/>
              <w:rPr>
                <w:color w:val="auto"/>
                <w:kern w:val="0"/>
                <w:sz w:val="24"/>
              </w:rPr>
            </w:pPr>
            <w:r>
              <w:rPr>
                <w:rFonts w:hint="eastAsia"/>
                <w:color w:val="auto"/>
                <w:kern w:val="0"/>
                <w:sz w:val="24"/>
              </w:rPr>
              <w:t>经采取上述措施后进一步减小本项目噪声对周围环境的影响。</w:t>
            </w:r>
          </w:p>
          <w:p w14:paraId="4E4F16A2">
            <w:pPr>
              <w:adjustRightInd w:val="0"/>
              <w:snapToGrid w:val="0"/>
              <w:spacing w:line="360" w:lineRule="auto"/>
              <w:ind w:firstLine="482" w:firstLineChars="200"/>
              <w:textAlignment w:val="baseline"/>
              <w:rPr>
                <w:b/>
                <w:bCs/>
                <w:color w:val="auto"/>
                <w:kern w:val="0"/>
                <w:sz w:val="24"/>
              </w:rPr>
            </w:pPr>
            <w:r>
              <w:rPr>
                <w:rFonts w:hint="eastAsia"/>
                <w:b/>
                <w:bCs/>
                <w:color w:val="auto"/>
                <w:kern w:val="0"/>
                <w:sz w:val="24"/>
              </w:rPr>
              <w:t>4、噪声环境影响分析</w:t>
            </w:r>
          </w:p>
          <w:p w14:paraId="54FF89D8">
            <w:pPr>
              <w:adjustRightInd w:val="0"/>
              <w:snapToGrid w:val="0"/>
              <w:spacing w:line="360" w:lineRule="auto"/>
              <w:ind w:firstLine="480" w:firstLineChars="200"/>
              <w:textAlignment w:val="baseline"/>
              <w:rPr>
                <w:color w:val="auto"/>
                <w:kern w:val="0"/>
                <w:sz w:val="24"/>
              </w:rPr>
            </w:pPr>
            <w:r>
              <w:rPr>
                <w:rFonts w:hint="eastAsia"/>
                <w:color w:val="auto"/>
                <w:kern w:val="0"/>
                <w:sz w:val="24"/>
              </w:rPr>
              <w:t>项目运营期采取的噪声防治措施主要是</w:t>
            </w:r>
            <w:r>
              <w:rPr>
                <w:rFonts w:hint="eastAsia"/>
                <w:color w:val="auto"/>
                <w:kern w:val="0"/>
                <w:sz w:val="24"/>
                <w:lang w:eastAsia="zh-CN"/>
              </w:rPr>
              <w:t>声源</w:t>
            </w:r>
            <w:r>
              <w:rPr>
                <w:rFonts w:hint="eastAsia"/>
                <w:color w:val="auto"/>
                <w:kern w:val="0"/>
                <w:sz w:val="24"/>
              </w:rPr>
              <w:t>控制措施及噪声隔声措施，在做好措施后，可有效降低噪声值。本次评价</w:t>
            </w:r>
            <w:r>
              <w:rPr>
                <w:rFonts w:hint="eastAsia"/>
                <w:color w:val="auto"/>
                <w:sz w:val="24"/>
              </w:rPr>
              <w:t>南、西厂界噪声执行《工业企业厂界环境噪声排放标准》（GB12348-2008）</w:t>
            </w:r>
            <w:r>
              <w:rPr>
                <w:color w:val="auto"/>
                <w:sz w:val="24"/>
              </w:rPr>
              <w:t>4</w:t>
            </w:r>
            <w:r>
              <w:rPr>
                <w:rFonts w:hint="eastAsia"/>
                <w:color w:val="auto"/>
                <w:sz w:val="24"/>
              </w:rPr>
              <w:t>类标准，其他厂界执行3类标准</w:t>
            </w:r>
            <w:r>
              <w:rPr>
                <w:rFonts w:hint="eastAsia"/>
                <w:color w:val="auto"/>
                <w:kern w:val="0"/>
                <w:sz w:val="24"/>
              </w:rPr>
              <w:t>，在采取了本次评价提出噪声防治措施后，项目</w:t>
            </w:r>
            <w:r>
              <w:rPr>
                <w:rFonts w:hint="eastAsia"/>
                <w:color w:val="auto"/>
                <w:sz w:val="24"/>
              </w:rPr>
              <w:t>南、西厂界噪声满足《工业企业厂界环境噪声排放标准》（GB12348-2008）</w:t>
            </w:r>
            <w:r>
              <w:rPr>
                <w:color w:val="auto"/>
                <w:sz w:val="24"/>
              </w:rPr>
              <w:t>4</w:t>
            </w:r>
            <w:r>
              <w:rPr>
                <w:rFonts w:hint="eastAsia"/>
                <w:color w:val="auto"/>
                <w:sz w:val="24"/>
              </w:rPr>
              <w:t>类标准，其他厂界满足3类标准</w:t>
            </w:r>
            <w:r>
              <w:rPr>
                <w:rFonts w:hint="eastAsia"/>
                <w:color w:val="auto"/>
                <w:kern w:val="0"/>
                <w:sz w:val="24"/>
              </w:rPr>
              <w:t>。</w:t>
            </w:r>
          </w:p>
          <w:p w14:paraId="7141D310">
            <w:pPr>
              <w:pStyle w:val="67"/>
              <w:adjustRightInd w:val="0"/>
              <w:snapToGrid w:val="0"/>
              <w:spacing w:line="360" w:lineRule="auto"/>
              <w:ind w:firstLine="482" w:firstLineChars="200"/>
              <w:jc w:val="both"/>
              <w:rPr>
                <w:b/>
                <w:bCs/>
                <w:color w:val="auto"/>
                <w:sz w:val="24"/>
              </w:rPr>
            </w:pPr>
            <w:r>
              <w:rPr>
                <w:b/>
                <w:bCs/>
                <w:color w:val="auto"/>
                <w:sz w:val="24"/>
              </w:rPr>
              <w:t>5、监测要求</w:t>
            </w:r>
          </w:p>
          <w:p w14:paraId="25BD788B">
            <w:pPr>
              <w:pStyle w:val="67"/>
              <w:adjustRightInd w:val="0"/>
              <w:snapToGrid w:val="0"/>
              <w:spacing w:line="360" w:lineRule="auto"/>
              <w:ind w:firstLine="480" w:firstLineChars="200"/>
              <w:jc w:val="both"/>
              <w:rPr>
                <w:b/>
                <w:bCs/>
                <w:color w:val="auto"/>
                <w:szCs w:val="21"/>
              </w:rPr>
            </w:pPr>
            <w:r>
              <w:rPr>
                <w:color w:val="auto"/>
                <w:sz w:val="24"/>
                <w:szCs w:val="24"/>
              </w:rPr>
              <w:t>根据《排污单位自行监测技术指南 总则》（HJ 819-2017）可知，本项目</w:t>
            </w:r>
            <w:r>
              <w:rPr>
                <w:rFonts w:hint="eastAsia"/>
                <w:color w:val="auto"/>
                <w:sz w:val="24"/>
                <w:szCs w:val="24"/>
              </w:rPr>
              <w:t>噪声</w:t>
            </w:r>
            <w:r>
              <w:rPr>
                <w:color w:val="auto"/>
                <w:sz w:val="24"/>
              </w:rPr>
              <w:t>监测要求详见下表。</w:t>
            </w:r>
          </w:p>
          <w:p w14:paraId="078DCC23">
            <w:pPr>
              <w:pStyle w:val="67"/>
              <w:adjustRightInd w:val="0"/>
              <w:snapToGrid w:val="0"/>
              <w:rPr>
                <w:color w:val="auto"/>
                <w:sz w:val="24"/>
              </w:rPr>
            </w:pPr>
            <w:r>
              <w:rPr>
                <w:b/>
                <w:bCs/>
                <w:color w:val="auto"/>
                <w:szCs w:val="21"/>
              </w:rPr>
              <w:t>表4-</w:t>
            </w:r>
            <w:r>
              <w:rPr>
                <w:rFonts w:hint="eastAsia"/>
                <w:b/>
                <w:bCs/>
                <w:color w:val="auto"/>
                <w:szCs w:val="21"/>
              </w:rPr>
              <w:t>14</w:t>
            </w:r>
            <w:r>
              <w:rPr>
                <w:b/>
                <w:bCs/>
                <w:color w:val="auto"/>
                <w:szCs w:val="21"/>
              </w:rPr>
              <w:t xml:space="preserve">   噪声监测计划一览表</w:t>
            </w:r>
          </w:p>
          <w:tbl>
            <w:tblPr>
              <w:tblStyle w:val="31"/>
              <w:tblW w:w="8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5"/>
              <w:gridCol w:w="2227"/>
              <w:gridCol w:w="1331"/>
            </w:tblGrid>
            <w:tr w14:paraId="55F65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5" w:type="dxa"/>
                  <w:vAlign w:val="center"/>
                </w:tcPr>
                <w:p w14:paraId="0409B629">
                  <w:pPr>
                    <w:pStyle w:val="67"/>
                    <w:adjustRightInd w:val="0"/>
                    <w:snapToGrid w:val="0"/>
                    <w:rPr>
                      <w:b/>
                      <w:bCs/>
                      <w:color w:val="auto"/>
                      <w:szCs w:val="21"/>
                    </w:rPr>
                  </w:pPr>
                  <w:r>
                    <w:rPr>
                      <w:b/>
                      <w:bCs/>
                      <w:color w:val="auto"/>
                      <w:szCs w:val="21"/>
                    </w:rPr>
                    <w:t>监测点位</w:t>
                  </w:r>
                </w:p>
              </w:tc>
              <w:tc>
                <w:tcPr>
                  <w:tcW w:w="2227" w:type="dxa"/>
                  <w:vAlign w:val="center"/>
                </w:tcPr>
                <w:p w14:paraId="401008CA">
                  <w:pPr>
                    <w:pStyle w:val="67"/>
                    <w:adjustRightInd w:val="0"/>
                    <w:snapToGrid w:val="0"/>
                    <w:rPr>
                      <w:b/>
                      <w:bCs/>
                      <w:color w:val="auto"/>
                      <w:szCs w:val="21"/>
                    </w:rPr>
                  </w:pPr>
                  <w:r>
                    <w:rPr>
                      <w:b/>
                      <w:bCs/>
                      <w:color w:val="auto"/>
                      <w:szCs w:val="21"/>
                    </w:rPr>
                    <w:t>监测项目</w:t>
                  </w:r>
                </w:p>
              </w:tc>
              <w:tc>
                <w:tcPr>
                  <w:tcW w:w="1331" w:type="dxa"/>
                  <w:vAlign w:val="center"/>
                </w:tcPr>
                <w:p w14:paraId="1B91EC2D">
                  <w:pPr>
                    <w:pStyle w:val="67"/>
                    <w:adjustRightInd w:val="0"/>
                    <w:snapToGrid w:val="0"/>
                    <w:rPr>
                      <w:b/>
                      <w:bCs/>
                      <w:color w:val="auto"/>
                      <w:szCs w:val="21"/>
                    </w:rPr>
                  </w:pPr>
                  <w:r>
                    <w:rPr>
                      <w:b/>
                      <w:bCs/>
                      <w:color w:val="auto"/>
                      <w:szCs w:val="21"/>
                    </w:rPr>
                    <w:t>时间、频次</w:t>
                  </w:r>
                </w:p>
              </w:tc>
            </w:tr>
            <w:tr w14:paraId="70641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955" w:type="dxa"/>
                  <w:vAlign w:val="center"/>
                </w:tcPr>
                <w:p w14:paraId="73A84363">
                  <w:pPr>
                    <w:snapToGrid w:val="0"/>
                    <w:jc w:val="center"/>
                    <w:rPr>
                      <w:color w:val="auto"/>
                      <w:szCs w:val="21"/>
                    </w:rPr>
                  </w:pPr>
                  <w:r>
                    <w:rPr>
                      <w:color w:val="auto"/>
                      <w:szCs w:val="21"/>
                    </w:rPr>
                    <w:t>项目区厂界东、南、西、北界外1m 处布点监测</w:t>
                  </w:r>
                </w:p>
              </w:tc>
              <w:tc>
                <w:tcPr>
                  <w:tcW w:w="2227" w:type="dxa"/>
                  <w:vAlign w:val="center"/>
                </w:tcPr>
                <w:p w14:paraId="2D3ED875">
                  <w:pPr>
                    <w:pStyle w:val="67"/>
                    <w:adjustRightInd w:val="0"/>
                    <w:snapToGrid w:val="0"/>
                    <w:rPr>
                      <w:color w:val="auto"/>
                      <w:szCs w:val="21"/>
                    </w:rPr>
                  </w:pPr>
                  <w:r>
                    <w:rPr>
                      <w:color w:val="auto"/>
                      <w:szCs w:val="21"/>
                    </w:rPr>
                    <w:t>等效声级Leq(dB (A))</w:t>
                  </w:r>
                </w:p>
              </w:tc>
              <w:tc>
                <w:tcPr>
                  <w:tcW w:w="1331" w:type="dxa"/>
                  <w:vAlign w:val="center"/>
                </w:tcPr>
                <w:p w14:paraId="24FC122B">
                  <w:pPr>
                    <w:pStyle w:val="67"/>
                    <w:adjustRightInd w:val="0"/>
                    <w:snapToGrid w:val="0"/>
                    <w:rPr>
                      <w:color w:val="auto"/>
                      <w:szCs w:val="21"/>
                    </w:rPr>
                  </w:pPr>
                  <w:r>
                    <w:rPr>
                      <w:color w:val="auto"/>
                      <w:szCs w:val="21"/>
                    </w:rPr>
                    <w:t>1次/季度</w:t>
                  </w:r>
                </w:p>
              </w:tc>
            </w:tr>
          </w:tbl>
          <w:p w14:paraId="3E4FFDF8">
            <w:pPr>
              <w:pStyle w:val="16"/>
              <w:adjustRightInd w:val="0"/>
              <w:snapToGrid w:val="0"/>
              <w:spacing w:after="0" w:line="360" w:lineRule="auto"/>
              <w:ind w:firstLine="0" w:firstLineChars="0"/>
              <w:rPr>
                <w:b/>
                <w:bCs/>
                <w:color w:val="auto"/>
                <w:szCs w:val="28"/>
              </w:rPr>
            </w:pPr>
            <w:r>
              <w:rPr>
                <w:rFonts w:hint="eastAsia"/>
                <w:b/>
                <w:bCs/>
                <w:color w:val="auto"/>
                <w:szCs w:val="28"/>
              </w:rPr>
              <w:t>四、运营期固体废物影响分析</w:t>
            </w:r>
          </w:p>
          <w:p w14:paraId="70D92276">
            <w:pPr>
              <w:pStyle w:val="16"/>
              <w:adjustRightInd w:val="0"/>
              <w:snapToGrid w:val="0"/>
              <w:spacing w:after="0" w:line="360" w:lineRule="auto"/>
              <w:ind w:firstLine="0" w:firstLineChars="0"/>
              <w:rPr>
                <w:b/>
                <w:bCs/>
                <w:color w:val="auto"/>
                <w:szCs w:val="28"/>
              </w:rPr>
            </w:pPr>
            <w:r>
              <w:rPr>
                <w:rFonts w:hint="eastAsia"/>
                <w:b/>
                <w:bCs/>
                <w:color w:val="auto"/>
                <w:szCs w:val="28"/>
              </w:rPr>
              <w:t>（1）固体废物核算</w:t>
            </w:r>
          </w:p>
          <w:p w14:paraId="48A8C4BF">
            <w:pPr>
              <w:adjustRightInd w:val="0"/>
              <w:snapToGrid w:val="0"/>
              <w:spacing w:line="360" w:lineRule="auto"/>
              <w:ind w:firstLine="480" w:firstLineChars="200"/>
              <w:jc w:val="left"/>
              <w:rPr>
                <w:color w:val="auto"/>
                <w:sz w:val="24"/>
                <w:szCs w:val="28"/>
              </w:rPr>
            </w:pPr>
            <w:r>
              <w:rPr>
                <w:rFonts w:hint="eastAsia"/>
                <w:color w:val="auto"/>
                <w:sz w:val="24"/>
                <w:szCs w:val="28"/>
              </w:rPr>
              <w:t>项目固体废物主要为不合格品、废包装材料、废边角料、生活垃圾、</w:t>
            </w:r>
            <w:r>
              <w:rPr>
                <w:rFonts w:hint="eastAsia"/>
                <w:color w:val="auto"/>
                <w:sz w:val="24"/>
              </w:rPr>
              <w:t>化粪池及污水处理站污泥、废胶水桶、废活性炭、</w:t>
            </w:r>
            <w:r>
              <w:rPr>
                <w:color w:val="auto"/>
                <w:sz w:val="24"/>
              </w:rPr>
              <w:t>废UV灯管</w:t>
            </w:r>
            <w:r>
              <w:rPr>
                <w:rFonts w:hint="eastAsia"/>
                <w:color w:val="auto"/>
                <w:sz w:val="24"/>
              </w:rPr>
              <w:t>、</w:t>
            </w:r>
            <w:r>
              <w:rPr>
                <w:rFonts w:hint="eastAsia"/>
                <w:snapToGrid w:val="0"/>
                <w:color w:val="auto"/>
                <w:kern w:val="21"/>
                <w:sz w:val="24"/>
              </w:rPr>
              <w:t>废矿物油</w:t>
            </w:r>
            <w:r>
              <w:rPr>
                <w:rFonts w:hint="eastAsia"/>
                <w:color w:val="auto"/>
                <w:sz w:val="24"/>
              </w:rPr>
              <w:t>。</w:t>
            </w:r>
          </w:p>
          <w:p w14:paraId="1E54DA11">
            <w:pPr>
              <w:adjustRightInd w:val="0"/>
              <w:snapToGrid w:val="0"/>
              <w:spacing w:line="360" w:lineRule="auto"/>
              <w:ind w:firstLine="480" w:firstLineChars="200"/>
              <w:jc w:val="left"/>
              <w:rPr>
                <w:color w:val="auto"/>
                <w:sz w:val="24"/>
                <w:szCs w:val="28"/>
              </w:rPr>
            </w:pPr>
            <w:r>
              <w:rPr>
                <w:rFonts w:hint="eastAsia"/>
                <w:color w:val="auto"/>
                <w:sz w:val="24"/>
                <w:szCs w:val="28"/>
              </w:rPr>
              <w:t>1）一般固废</w:t>
            </w:r>
          </w:p>
          <w:p w14:paraId="2040F05F">
            <w:pPr>
              <w:adjustRightInd w:val="0"/>
              <w:snapToGrid w:val="0"/>
              <w:spacing w:line="360" w:lineRule="auto"/>
              <w:ind w:firstLine="480" w:firstLineChars="200"/>
              <w:jc w:val="left"/>
              <w:rPr>
                <w:color w:val="auto"/>
                <w:sz w:val="24"/>
                <w:szCs w:val="28"/>
              </w:rPr>
            </w:pPr>
            <w:r>
              <w:rPr>
                <w:rFonts w:hint="eastAsia"/>
                <w:color w:val="auto"/>
                <w:sz w:val="24"/>
                <w:szCs w:val="28"/>
              </w:rPr>
              <w:t>①不合格产品</w:t>
            </w:r>
          </w:p>
          <w:p w14:paraId="7D834DAF">
            <w:pPr>
              <w:spacing w:line="360" w:lineRule="auto"/>
              <w:ind w:firstLine="480"/>
              <w:rPr>
                <w:color w:val="auto"/>
                <w:sz w:val="24"/>
                <w:szCs w:val="30"/>
              </w:rPr>
            </w:pPr>
            <w:r>
              <w:rPr>
                <w:rFonts w:hint="eastAsia"/>
                <w:color w:val="auto"/>
                <w:sz w:val="24"/>
                <w:szCs w:val="30"/>
              </w:rPr>
              <w:t>项目人工</w:t>
            </w:r>
            <w:r>
              <w:rPr>
                <w:rFonts w:hint="eastAsia"/>
                <w:color w:val="auto"/>
                <w:sz w:val="24"/>
                <w:szCs w:val="30"/>
                <w:lang w:eastAsia="zh-CN"/>
              </w:rPr>
              <w:t>分拣</w:t>
            </w:r>
            <w:r>
              <w:rPr>
                <w:rFonts w:hint="eastAsia"/>
                <w:color w:val="auto"/>
                <w:sz w:val="24"/>
                <w:szCs w:val="30"/>
              </w:rPr>
              <w:t>过程会产生极少不合格品。经类比同类型项目，不合格品产生量约为产品产量的0.01%，产品年产量为450万张，折合约</w:t>
            </w:r>
            <w:r>
              <w:rPr>
                <w:rFonts w:hint="eastAsia"/>
                <w:color w:val="auto"/>
                <w:sz w:val="24"/>
                <w:szCs w:val="30"/>
                <w:lang w:val="en-US" w:eastAsia="zh-CN"/>
              </w:rPr>
              <w:t>149.08</w:t>
            </w:r>
            <w:r>
              <w:rPr>
                <w:rFonts w:hint="eastAsia"/>
                <w:color w:val="auto"/>
                <w:sz w:val="24"/>
                <w:szCs w:val="30"/>
              </w:rPr>
              <w:t>t，则</w:t>
            </w:r>
            <w:r>
              <w:rPr>
                <w:rFonts w:hint="eastAsia"/>
                <w:color w:val="auto"/>
                <w:sz w:val="24"/>
                <w:szCs w:val="28"/>
              </w:rPr>
              <w:t>不合格品量约为0.0</w:t>
            </w:r>
            <w:r>
              <w:rPr>
                <w:rFonts w:hint="eastAsia"/>
                <w:color w:val="auto"/>
                <w:sz w:val="24"/>
                <w:szCs w:val="28"/>
                <w:lang w:val="en-US" w:eastAsia="zh-CN"/>
              </w:rPr>
              <w:t>15</w:t>
            </w:r>
            <w:r>
              <w:rPr>
                <w:rFonts w:hint="eastAsia"/>
                <w:color w:val="auto"/>
                <w:sz w:val="24"/>
                <w:szCs w:val="30"/>
              </w:rPr>
              <w:t>t/a，收集暂存于一般固废暂存间，定期出售给废品收购商</w:t>
            </w:r>
            <w:r>
              <w:rPr>
                <w:rFonts w:hint="eastAsia"/>
                <w:color w:val="auto"/>
                <w:sz w:val="24"/>
              </w:rPr>
              <w:t>。</w:t>
            </w:r>
          </w:p>
          <w:p w14:paraId="3669EBB6">
            <w:pPr>
              <w:adjustRightInd w:val="0"/>
              <w:snapToGrid w:val="0"/>
              <w:spacing w:line="360" w:lineRule="auto"/>
              <w:ind w:firstLine="480" w:firstLineChars="200"/>
              <w:jc w:val="left"/>
              <w:rPr>
                <w:color w:val="auto"/>
                <w:sz w:val="24"/>
                <w:szCs w:val="28"/>
              </w:rPr>
            </w:pPr>
            <w:r>
              <w:rPr>
                <w:rFonts w:hint="eastAsia"/>
                <w:color w:val="auto"/>
                <w:sz w:val="24"/>
                <w:szCs w:val="28"/>
              </w:rPr>
              <w:t>②废包装材料</w:t>
            </w:r>
          </w:p>
          <w:p w14:paraId="713CA8CF">
            <w:pPr>
              <w:pStyle w:val="41"/>
              <w:rPr>
                <w:color w:val="auto"/>
                <w:szCs w:val="28"/>
              </w:rPr>
            </w:pPr>
            <w:r>
              <w:rPr>
                <w:rFonts w:hint="eastAsia"/>
                <w:color w:val="auto"/>
              </w:rPr>
              <w:t>项目原辅料</w:t>
            </w:r>
            <w:r>
              <w:rPr>
                <w:rFonts w:hint="default" w:ascii="Times New Roman" w:hAnsi="Times New Roman" w:cs="Times New Roman"/>
                <w:color w:val="auto"/>
              </w:rPr>
              <w:t>拆卸及产品包装过程会产生废包装材料，根据建设单位提供资料，项目废包装材料产生量约0.5t/a，</w:t>
            </w:r>
            <w:r>
              <w:rPr>
                <w:rFonts w:hint="eastAsia"/>
                <w:color w:val="auto"/>
                <w:kern w:val="2"/>
                <w:szCs w:val="30"/>
              </w:rPr>
              <w:t>收集暂存于一般固废暂存间，定期出售给废品收购商</w:t>
            </w:r>
            <w:r>
              <w:rPr>
                <w:rFonts w:hint="eastAsia"/>
                <w:color w:val="auto"/>
              </w:rPr>
              <w:t>。</w:t>
            </w:r>
          </w:p>
          <w:p w14:paraId="61075BC2">
            <w:pPr>
              <w:adjustRightInd w:val="0"/>
              <w:snapToGrid w:val="0"/>
              <w:spacing w:line="360" w:lineRule="auto"/>
              <w:ind w:firstLine="480" w:firstLineChars="200"/>
              <w:jc w:val="left"/>
              <w:rPr>
                <w:b/>
                <w:bCs/>
                <w:color w:val="auto"/>
                <w:sz w:val="24"/>
              </w:rPr>
            </w:pPr>
            <w:r>
              <w:rPr>
                <w:rFonts w:hint="eastAsia"/>
                <w:color w:val="auto"/>
                <w:sz w:val="24"/>
                <w:szCs w:val="28"/>
              </w:rPr>
              <w:t>③化粪池及污水处理站污泥</w:t>
            </w:r>
          </w:p>
          <w:p w14:paraId="20F8F183">
            <w:pPr>
              <w:widowControl/>
              <w:adjustRightInd w:val="0"/>
              <w:snapToGrid w:val="0"/>
              <w:spacing w:line="360" w:lineRule="auto"/>
              <w:ind w:firstLine="480" w:firstLineChars="200"/>
              <w:rPr>
                <w:bCs/>
                <w:color w:val="auto"/>
                <w:kern w:val="0"/>
                <w:sz w:val="24"/>
              </w:rPr>
            </w:pPr>
            <w:r>
              <w:rPr>
                <w:bCs/>
                <w:color w:val="auto"/>
                <w:kern w:val="0"/>
                <w:sz w:val="24"/>
              </w:rPr>
              <w:t>项目劳动定员</w:t>
            </w:r>
            <w:r>
              <w:rPr>
                <w:rFonts w:hint="eastAsia"/>
                <w:bCs/>
                <w:color w:val="auto"/>
                <w:kern w:val="0"/>
                <w:sz w:val="24"/>
              </w:rPr>
              <w:t>16</w:t>
            </w:r>
            <w:r>
              <w:rPr>
                <w:bCs/>
                <w:color w:val="auto"/>
                <w:kern w:val="0"/>
                <w:sz w:val="24"/>
              </w:rPr>
              <w:t>人，化粪池污泥以每人每天0.1kg计，化粪池污泥产生量为</w:t>
            </w:r>
            <w:r>
              <w:rPr>
                <w:rFonts w:hint="eastAsia"/>
                <w:bCs/>
                <w:color w:val="auto"/>
                <w:kern w:val="0"/>
                <w:sz w:val="24"/>
              </w:rPr>
              <w:t>1.6</w:t>
            </w:r>
            <w:r>
              <w:rPr>
                <w:bCs/>
                <w:color w:val="auto"/>
                <w:kern w:val="0"/>
                <w:sz w:val="24"/>
              </w:rPr>
              <w:t>kg/d，</w:t>
            </w:r>
            <w:r>
              <w:rPr>
                <w:rFonts w:hint="eastAsia"/>
                <w:bCs/>
                <w:color w:val="auto"/>
                <w:kern w:val="0"/>
                <w:sz w:val="24"/>
              </w:rPr>
              <w:t>0.48</w:t>
            </w:r>
            <w:r>
              <w:rPr>
                <w:bCs/>
                <w:color w:val="auto"/>
                <w:kern w:val="0"/>
                <w:sz w:val="24"/>
              </w:rPr>
              <w:t>t/a，委托当地环卫部门清掏清运处置。</w:t>
            </w:r>
          </w:p>
          <w:p w14:paraId="0F9E18CC">
            <w:pPr>
              <w:widowControl/>
              <w:adjustRightInd w:val="0"/>
              <w:snapToGrid w:val="0"/>
              <w:spacing w:line="360" w:lineRule="auto"/>
              <w:ind w:firstLine="480" w:firstLineChars="200"/>
              <w:rPr>
                <w:color w:val="auto"/>
                <w:sz w:val="24"/>
              </w:rPr>
            </w:pPr>
            <w:r>
              <w:rPr>
                <w:bCs/>
                <w:color w:val="auto"/>
                <w:kern w:val="0"/>
                <w:sz w:val="24"/>
              </w:rPr>
              <w:t>项目进入污水处理站处理的生活污水量为</w:t>
            </w:r>
            <w:r>
              <w:rPr>
                <w:rFonts w:hint="eastAsia"/>
                <w:bCs/>
                <w:color w:val="auto"/>
                <w:kern w:val="0"/>
                <w:sz w:val="24"/>
              </w:rPr>
              <w:t>307.2</w:t>
            </w:r>
            <w:r>
              <w:rPr>
                <w:bCs/>
                <w:color w:val="auto"/>
                <w:kern w:val="0"/>
                <w:sz w:val="24"/>
              </w:rPr>
              <w:t>m</w:t>
            </w:r>
            <w:r>
              <w:rPr>
                <w:bCs/>
                <w:color w:val="auto"/>
                <w:kern w:val="0"/>
                <w:sz w:val="24"/>
                <w:vertAlign w:val="superscript"/>
              </w:rPr>
              <w:t>3</w:t>
            </w:r>
            <w:r>
              <w:rPr>
                <w:bCs/>
                <w:color w:val="auto"/>
                <w:kern w:val="0"/>
                <w:sz w:val="24"/>
              </w:rPr>
              <w:t>/a，污水处理站污泥（90%含水率）产生量约为废水量的0.1%，则污水处理站污泥产生量为</w:t>
            </w:r>
            <w:r>
              <w:rPr>
                <w:rFonts w:hint="eastAsia"/>
                <w:bCs/>
                <w:color w:val="auto"/>
                <w:kern w:val="0"/>
                <w:sz w:val="24"/>
              </w:rPr>
              <w:t>0.307</w:t>
            </w:r>
            <w:r>
              <w:rPr>
                <w:bCs/>
                <w:color w:val="auto"/>
                <w:kern w:val="0"/>
                <w:sz w:val="24"/>
              </w:rPr>
              <w:t>t/a，委托当地环卫部门清掏清运处置</w:t>
            </w:r>
            <w:r>
              <w:rPr>
                <w:rFonts w:hint="eastAsia"/>
                <w:color w:val="auto"/>
                <w:sz w:val="24"/>
              </w:rPr>
              <w:t>。</w:t>
            </w:r>
          </w:p>
          <w:p w14:paraId="5048E338">
            <w:pPr>
              <w:spacing w:line="360" w:lineRule="auto"/>
              <w:ind w:firstLine="480"/>
              <w:rPr>
                <w:b/>
                <w:bCs/>
                <w:color w:val="auto"/>
                <w:sz w:val="24"/>
                <w:szCs w:val="30"/>
              </w:rPr>
            </w:pPr>
            <w:r>
              <w:rPr>
                <w:rFonts w:hint="eastAsia"/>
                <w:color w:val="auto"/>
                <w:sz w:val="24"/>
                <w:szCs w:val="28"/>
              </w:rPr>
              <w:t>④</w:t>
            </w:r>
            <w:r>
              <w:rPr>
                <w:rFonts w:hint="eastAsia"/>
                <w:color w:val="auto"/>
                <w:sz w:val="24"/>
                <w:szCs w:val="30"/>
              </w:rPr>
              <w:t>生活垃圾</w:t>
            </w:r>
          </w:p>
          <w:p w14:paraId="699CCEB1">
            <w:pPr>
              <w:adjustRightInd w:val="0"/>
              <w:snapToGrid w:val="0"/>
              <w:spacing w:line="360" w:lineRule="auto"/>
              <w:ind w:firstLine="480" w:firstLineChars="200"/>
              <w:jc w:val="left"/>
              <w:rPr>
                <w:color w:val="auto"/>
                <w:sz w:val="24"/>
                <w:szCs w:val="28"/>
                <w:lang w:val="zh-CN"/>
              </w:rPr>
            </w:pPr>
            <w:r>
              <w:rPr>
                <w:rFonts w:hint="eastAsia"/>
                <w:color w:val="auto"/>
                <w:sz w:val="24"/>
                <w:szCs w:val="28"/>
              </w:rPr>
              <w:t>项目劳动定员16人，按每人每天产生垃圾0.5kg计，生活垃圾产生量为8kg/d，2.4t/a，集中收集于垃圾桶内，定期委托环卫部门清运处置</w:t>
            </w:r>
            <w:r>
              <w:rPr>
                <w:color w:val="auto"/>
                <w:sz w:val="24"/>
                <w:szCs w:val="28"/>
                <w:lang w:val="zh-CN"/>
              </w:rPr>
              <w:t>。</w:t>
            </w:r>
          </w:p>
          <w:p w14:paraId="33752176">
            <w:pPr>
              <w:adjustRightInd w:val="0"/>
              <w:snapToGrid w:val="0"/>
              <w:spacing w:line="360" w:lineRule="auto"/>
              <w:ind w:firstLine="480" w:firstLineChars="200"/>
              <w:jc w:val="left"/>
              <w:rPr>
                <w:color w:val="auto"/>
                <w:sz w:val="24"/>
                <w:szCs w:val="28"/>
              </w:rPr>
            </w:pPr>
            <w:r>
              <w:rPr>
                <w:rFonts w:hint="eastAsia"/>
                <w:color w:val="auto"/>
                <w:sz w:val="24"/>
                <w:szCs w:val="28"/>
              </w:rPr>
              <w:t>⑤废边角料</w:t>
            </w:r>
          </w:p>
          <w:p w14:paraId="60B655E7">
            <w:pPr>
              <w:adjustRightInd w:val="0"/>
              <w:snapToGrid w:val="0"/>
              <w:spacing w:line="360" w:lineRule="auto"/>
              <w:ind w:firstLine="480" w:firstLineChars="200"/>
              <w:jc w:val="left"/>
              <w:rPr>
                <w:color w:val="auto"/>
                <w:sz w:val="24"/>
                <w:szCs w:val="28"/>
              </w:rPr>
            </w:pPr>
            <w:r>
              <w:rPr>
                <w:rFonts w:hint="eastAsia"/>
                <w:color w:val="auto"/>
                <w:sz w:val="24"/>
                <w:szCs w:val="28"/>
              </w:rPr>
              <w:t>废边角料主要来源于浸渍纸生产过程中切纸工序，根据建设单位提供的资料，废边角料</w:t>
            </w:r>
            <w:r>
              <w:rPr>
                <w:rFonts w:hint="eastAsia"/>
                <w:color w:val="auto"/>
                <w:sz w:val="24"/>
                <w:szCs w:val="28"/>
                <w:lang w:eastAsia="zh-CN"/>
              </w:rPr>
              <w:t>产生量</w:t>
            </w:r>
            <w:r>
              <w:rPr>
                <w:rFonts w:hint="eastAsia"/>
                <w:color w:val="auto"/>
                <w:sz w:val="24"/>
                <w:szCs w:val="28"/>
              </w:rPr>
              <w:t>为2t/a，</w:t>
            </w:r>
            <w:r>
              <w:rPr>
                <w:rFonts w:hint="eastAsia"/>
                <w:color w:val="auto"/>
                <w:sz w:val="24"/>
                <w:szCs w:val="30"/>
              </w:rPr>
              <w:t>收集暂存于一般固废暂存间，定期出售给废品收购商</w:t>
            </w:r>
            <w:r>
              <w:rPr>
                <w:rFonts w:hint="eastAsia"/>
                <w:color w:val="auto"/>
                <w:sz w:val="24"/>
              </w:rPr>
              <w:t>。</w:t>
            </w:r>
          </w:p>
          <w:p w14:paraId="511998AA">
            <w:pPr>
              <w:adjustRightInd w:val="0"/>
              <w:snapToGrid w:val="0"/>
              <w:spacing w:line="360" w:lineRule="auto"/>
              <w:ind w:firstLine="480" w:firstLineChars="200"/>
              <w:jc w:val="left"/>
              <w:rPr>
                <w:color w:val="auto"/>
                <w:sz w:val="24"/>
                <w:szCs w:val="28"/>
              </w:rPr>
            </w:pPr>
            <w:r>
              <w:rPr>
                <w:rFonts w:hint="eastAsia"/>
                <w:color w:val="auto"/>
                <w:sz w:val="24"/>
                <w:szCs w:val="28"/>
              </w:rPr>
              <w:t>2）危险固废</w:t>
            </w:r>
          </w:p>
          <w:p w14:paraId="43ED5662">
            <w:pPr>
              <w:adjustRightInd w:val="0"/>
              <w:snapToGrid w:val="0"/>
              <w:spacing w:line="360" w:lineRule="auto"/>
              <w:ind w:firstLine="480" w:firstLineChars="200"/>
              <w:jc w:val="left"/>
              <w:rPr>
                <w:color w:val="auto"/>
                <w:sz w:val="24"/>
                <w:szCs w:val="28"/>
              </w:rPr>
            </w:pPr>
            <w:r>
              <w:rPr>
                <w:rFonts w:hint="eastAsia"/>
                <w:color w:val="auto"/>
                <w:sz w:val="24"/>
                <w:szCs w:val="28"/>
              </w:rPr>
              <w:t>①废胶水桶</w:t>
            </w:r>
          </w:p>
          <w:p w14:paraId="01AE6892">
            <w:pPr>
              <w:adjustRightInd w:val="0"/>
              <w:snapToGrid w:val="0"/>
              <w:spacing w:line="360" w:lineRule="auto"/>
              <w:ind w:firstLine="480" w:firstLineChars="200"/>
              <w:jc w:val="left"/>
              <w:rPr>
                <w:color w:val="auto"/>
                <w:sz w:val="24"/>
                <w:szCs w:val="28"/>
              </w:rPr>
            </w:pPr>
            <w:r>
              <w:rPr>
                <w:rFonts w:hint="eastAsia"/>
                <w:color w:val="auto"/>
                <w:sz w:val="24"/>
                <w:szCs w:val="28"/>
              </w:rPr>
              <w:t>项目外购成品胶，拆包使用后会产生废胶水桶，</w:t>
            </w:r>
            <w:r>
              <w:rPr>
                <w:rFonts w:hint="eastAsia"/>
                <w:color w:val="auto"/>
                <w:sz w:val="24"/>
              </w:rPr>
              <w:t>根据建设单位提供资料，项目使用三聚氰胺甲醛树脂单桶重100kg，其中空桶重约1kg；项目年使用胶水190.6t，约为1906桶，则项目废胶水桶年产生量为1906kg，为1.906t/a。</w:t>
            </w:r>
            <w:r>
              <w:rPr>
                <w:bCs/>
                <w:color w:val="auto"/>
                <w:kern w:val="0"/>
                <w:sz w:val="24"/>
              </w:rPr>
              <w:t>根据《国家危险废物名录（2021年版）》，</w:t>
            </w:r>
            <w:r>
              <w:rPr>
                <w:rFonts w:hint="eastAsia"/>
                <w:color w:val="auto"/>
                <w:kern w:val="0"/>
                <w:sz w:val="24"/>
              </w:rPr>
              <w:t>废胶水桶</w:t>
            </w:r>
            <w:r>
              <w:rPr>
                <w:bCs/>
                <w:color w:val="auto"/>
                <w:kern w:val="0"/>
                <w:sz w:val="24"/>
              </w:rPr>
              <w:t>属HW</w:t>
            </w:r>
            <w:r>
              <w:rPr>
                <w:rFonts w:hint="eastAsia"/>
                <w:bCs/>
                <w:color w:val="auto"/>
                <w:kern w:val="0"/>
                <w:sz w:val="24"/>
              </w:rPr>
              <w:t xml:space="preserve">49其他废物 </w:t>
            </w:r>
            <w:r>
              <w:rPr>
                <w:bCs/>
                <w:color w:val="auto"/>
                <w:kern w:val="0"/>
                <w:sz w:val="24"/>
              </w:rPr>
              <w:t>中的900-</w:t>
            </w:r>
            <w:r>
              <w:rPr>
                <w:rFonts w:hint="eastAsia"/>
                <w:bCs/>
                <w:color w:val="auto"/>
                <w:kern w:val="0"/>
                <w:sz w:val="24"/>
              </w:rPr>
              <w:t>041</w:t>
            </w:r>
            <w:r>
              <w:rPr>
                <w:bCs/>
                <w:color w:val="auto"/>
                <w:kern w:val="0"/>
                <w:sz w:val="24"/>
              </w:rPr>
              <w:t>-</w:t>
            </w:r>
            <w:r>
              <w:rPr>
                <w:rFonts w:hint="eastAsia"/>
                <w:bCs/>
                <w:color w:val="auto"/>
                <w:kern w:val="0"/>
                <w:sz w:val="24"/>
              </w:rPr>
              <w:t>49。</w:t>
            </w:r>
            <w:r>
              <w:rPr>
                <w:bCs/>
                <w:color w:val="auto"/>
                <w:kern w:val="0"/>
                <w:sz w:val="24"/>
              </w:rPr>
              <w:t>环评提出，</w:t>
            </w:r>
            <w:r>
              <w:rPr>
                <w:rFonts w:hint="eastAsia"/>
                <w:bCs/>
                <w:color w:val="auto"/>
                <w:kern w:val="0"/>
                <w:sz w:val="24"/>
              </w:rPr>
              <w:t>将</w:t>
            </w:r>
            <w:r>
              <w:rPr>
                <w:rFonts w:hint="eastAsia"/>
                <w:color w:val="auto"/>
                <w:kern w:val="0"/>
                <w:sz w:val="24"/>
              </w:rPr>
              <w:t>废胶水桶使用专用密闭容器收集、</w:t>
            </w:r>
            <w:r>
              <w:rPr>
                <w:bCs/>
                <w:color w:val="auto"/>
                <w:kern w:val="0"/>
                <w:sz w:val="24"/>
              </w:rPr>
              <w:t>暂存于危险废物暂存间，定期委托</w:t>
            </w:r>
            <w:r>
              <w:rPr>
                <w:rFonts w:hint="eastAsia"/>
                <w:bCs/>
                <w:color w:val="auto"/>
                <w:kern w:val="0"/>
                <w:sz w:val="24"/>
              </w:rPr>
              <w:t>有资质的单位</w:t>
            </w:r>
            <w:r>
              <w:rPr>
                <w:bCs/>
                <w:color w:val="auto"/>
                <w:kern w:val="0"/>
                <w:sz w:val="24"/>
              </w:rPr>
              <w:t>清运处置</w:t>
            </w:r>
            <w:r>
              <w:rPr>
                <w:rFonts w:hint="eastAsia"/>
                <w:bCs/>
                <w:color w:val="auto"/>
                <w:kern w:val="0"/>
                <w:sz w:val="24"/>
              </w:rPr>
              <w:t>。</w:t>
            </w:r>
          </w:p>
          <w:p w14:paraId="7CB87F3B">
            <w:pPr>
              <w:adjustRightInd w:val="0"/>
              <w:snapToGrid w:val="0"/>
              <w:spacing w:line="360" w:lineRule="auto"/>
              <w:ind w:firstLine="480" w:firstLineChars="200"/>
              <w:jc w:val="left"/>
              <w:rPr>
                <w:color w:val="auto"/>
                <w:sz w:val="24"/>
                <w:szCs w:val="28"/>
              </w:rPr>
            </w:pPr>
            <w:r>
              <w:rPr>
                <w:rFonts w:hint="eastAsia"/>
                <w:color w:val="auto"/>
                <w:sz w:val="24"/>
                <w:szCs w:val="28"/>
              </w:rPr>
              <w:t>②废活性炭</w:t>
            </w:r>
          </w:p>
          <w:p w14:paraId="2F269DB7">
            <w:pPr>
              <w:spacing w:line="360" w:lineRule="auto"/>
              <w:ind w:firstLine="480" w:firstLineChars="200"/>
              <w:rPr>
                <w:color w:val="auto"/>
                <w:sz w:val="24"/>
                <w:szCs w:val="28"/>
              </w:rPr>
            </w:pPr>
            <w:r>
              <w:rPr>
                <w:color w:val="auto"/>
                <w:sz w:val="24"/>
              </w:rPr>
              <w:t>项目有机废气处理设置</w:t>
            </w:r>
            <w:r>
              <w:rPr>
                <w:rFonts w:hint="eastAsia"/>
                <w:color w:val="auto"/>
                <w:sz w:val="24"/>
              </w:rPr>
              <w:t>UV光氧+</w:t>
            </w:r>
            <w:r>
              <w:rPr>
                <w:color w:val="auto"/>
                <w:sz w:val="24"/>
              </w:rPr>
              <w:t>活性炭吸附。每三个月更换一次，更换量为50kg，则项目废活性炭产生量为0.2t/a。根据《国家危险废物名录》(</w:t>
            </w:r>
            <w:r>
              <w:rPr>
                <w:rFonts w:hint="eastAsia"/>
                <w:color w:val="auto"/>
                <w:sz w:val="24"/>
              </w:rPr>
              <w:t>2021年</w:t>
            </w:r>
            <w:r>
              <w:rPr>
                <w:color w:val="auto"/>
                <w:sz w:val="24"/>
              </w:rPr>
              <w:t>版)，</w:t>
            </w:r>
            <w:r>
              <w:rPr>
                <w:rFonts w:hint="eastAsia"/>
                <w:color w:val="auto"/>
                <w:sz w:val="24"/>
              </w:rPr>
              <w:t>废活性炭属于危险废物，废物类别</w:t>
            </w:r>
            <w:r>
              <w:rPr>
                <w:color w:val="auto"/>
                <w:sz w:val="24"/>
              </w:rPr>
              <w:t>为HW49</w:t>
            </w:r>
            <w:r>
              <w:rPr>
                <w:rFonts w:hint="eastAsia"/>
                <w:color w:val="auto"/>
                <w:sz w:val="24"/>
              </w:rPr>
              <w:t>，废物代码为</w:t>
            </w:r>
            <w:r>
              <w:rPr>
                <w:color w:val="auto"/>
                <w:sz w:val="24"/>
              </w:rPr>
              <w:t>900-</w:t>
            </w:r>
            <w:r>
              <w:rPr>
                <w:rFonts w:hint="eastAsia"/>
                <w:color w:val="auto"/>
                <w:sz w:val="24"/>
              </w:rPr>
              <w:t>039</w:t>
            </w:r>
            <w:r>
              <w:rPr>
                <w:color w:val="auto"/>
                <w:sz w:val="24"/>
              </w:rPr>
              <w:t>-49</w:t>
            </w:r>
            <w:r>
              <w:rPr>
                <w:rFonts w:hint="eastAsia"/>
                <w:color w:val="auto"/>
                <w:sz w:val="24"/>
              </w:rPr>
              <w:t>“VOCs（以非甲烷总烃计）治理过程产生的废活性炭”</w:t>
            </w:r>
            <w:r>
              <w:rPr>
                <w:color w:val="auto"/>
                <w:sz w:val="24"/>
              </w:rPr>
              <w:t>。经收集后暂存于危废暂存间，委托</w:t>
            </w:r>
            <w:r>
              <w:rPr>
                <w:rFonts w:hint="eastAsia"/>
                <w:color w:val="auto"/>
                <w:sz w:val="24"/>
              </w:rPr>
              <w:t>有资质的单位</w:t>
            </w:r>
            <w:r>
              <w:rPr>
                <w:color w:val="auto"/>
                <w:sz w:val="24"/>
              </w:rPr>
              <w:t>定期清运处置</w:t>
            </w:r>
            <w:r>
              <w:rPr>
                <w:rFonts w:hint="eastAsia"/>
                <w:color w:val="auto"/>
                <w:sz w:val="24"/>
              </w:rPr>
              <w:t>，对环境影响较小</w:t>
            </w:r>
            <w:r>
              <w:rPr>
                <w:color w:val="auto"/>
                <w:sz w:val="24"/>
              </w:rPr>
              <w:t>。</w:t>
            </w:r>
          </w:p>
          <w:p w14:paraId="6A8BE401">
            <w:pPr>
              <w:adjustRightInd w:val="0"/>
              <w:snapToGrid w:val="0"/>
              <w:spacing w:line="360" w:lineRule="auto"/>
              <w:ind w:firstLine="480" w:firstLineChars="200"/>
              <w:jc w:val="left"/>
              <w:rPr>
                <w:color w:val="auto"/>
                <w:sz w:val="24"/>
                <w:szCs w:val="28"/>
              </w:rPr>
            </w:pPr>
            <w:r>
              <w:rPr>
                <w:rFonts w:hint="eastAsia"/>
                <w:color w:val="auto"/>
                <w:sz w:val="24"/>
                <w:szCs w:val="28"/>
              </w:rPr>
              <w:t>②废UV灯管</w:t>
            </w:r>
          </w:p>
          <w:p w14:paraId="17D43374">
            <w:pPr>
              <w:widowControl/>
              <w:adjustRightInd w:val="0"/>
              <w:snapToGrid w:val="0"/>
              <w:spacing w:line="360" w:lineRule="auto"/>
              <w:ind w:firstLine="480" w:firstLineChars="200"/>
              <w:rPr>
                <w:color w:val="auto"/>
                <w:sz w:val="24"/>
                <w:szCs w:val="28"/>
              </w:rPr>
            </w:pPr>
            <w:r>
              <w:rPr>
                <w:bCs/>
                <w:color w:val="auto"/>
                <w:kern w:val="0"/>
                <w:sz w:val="24"/>
              </w:rPr>
              <w:t>项目有机废气采用UV光解装置处理，UV光解装置运行过程中会产生废UV灯管，为保证处理效率，平均</w:t>
            </w:r>
            <w:r>
              <w:rPr>
                <w:rFonts w:hint="eastAsia"/>
                <w:bCs/>
                <w:color w:val="auto"/>
                <w:kern w:val="0"/>
                <w:sz w:val="24"/>
              </w:rPr>
              <w:t>半</w:t>
            </w:r>
            <w:r>
              <w:rPr>
                <w:bCs/>
                <w:color w:val="auto"/>
                <w:kern w:val="0"/>
                <w:sz w:val="24"/>
              </w:rPr>
              <w:t>年</w:t>
            </w:r>
            <w:r>
              <w:rPr>
                <w:rFonts w:hint="eastAsia"/>
                <w:bCs/>
                <w:color w:val="auto"/>
                <w:kern w:val="0"/>
                <w:sz w:val="24"/>
              </w:rPr>
              <w:t>更</w:t>
            </w:r>
            <w:r>
              <w:rPr>
                <w:bCs/>
                <w:color w:val="auto"/>
                <w:kern w:val="0"/>
                <w:sz w:val="24"/>
              </w:rPr>
              <w:t>换一次，</w:t>
            </w:r>
            <w:r>
              <w:rPr>
                <w:rFonts w:hint="eastAsia"/>
                <w:bCs/>
                <w:color w:val="auto"/>
                <w:kern w:val="0"/>
                <w:sz w:val="24"/>
              </w:rPr>
              <w:t>更换一次</w:t>
            </w:r>
            <w:r>
              <w:rPr>
                <w:bCs/>
                <w:color w:val="auto"/>
                <w:kern w:val="0"/>
                <w:sz w:val="24"/>
              </w:rPr>
              <w:t>废UV灯管产生量约为</w:t>
            </w:r>
            <w:r>
              <w:rPr>
                <w:rFonts w:hint="eastAsia"/>
                <w:bCs/>
                <w:color w:val="auto"/>
                <w:kern w:val="0"/>
                <w:sz w:val="24"/>
              </w:rPr>
              <w:t>40kg，则废UV灯管产生量为0.08t/a。</w:t>
            </w:r>
            <w:r>
              <w:rPr>
                <w:bCs/>
                <w:color w:val="auto"/>
                <w:kern w:val="0"/>
                <w:sz w:val="24"/>
              </w:rPr>
              <w:t>根据《国家危险废物名录（2021年版）》，</w:t>
            </w:r>
            <w:r>
              <w:rPr>
                <w:rFonts w:hint="eastAsia"/>
                <w:color w:val="auto"/>
                <w:kern w:val="0"/>
                <w:sz w:val="24"/>
              </w:rPr>
              <w:t>废UV灯管</w:t>
            </w:r>
            <w:r>
              <w:rPr>
                <w:bCs/>
                <w:color w:val="auto"/>
                <w:kern w:val="0"/>
                <w:sz w:val="24"/>
              </w:rPr>
              <w:t>属HW</w:t>
            </w:r>
            <w:r>
              <w:rPr>
                <w:rFonts w:hint="eastAsia"/>
                <w:bCs/>
                <w:color w:val="auto"/>
                <w:kern w:val="0"/>
                <w:sz w:val="24"/>
              </w:rPr>
              <w:t>29含汞废物</w:t>
            </w:r>
            <w:r>
              <w:rPr>
                <w:bCs/>
                <w:color w:val="auto"/>
                <w:kern w:val="0"/>
                <w:sz w:val="24"/>
              </w:rPr>
              <w:t>中的900-</w:t>
            </w:r>
            <w:r>
              <w:rPr>
                <w:rFonts w:hint="eastAsia"/>
                <w:bCs/>
                <w:color w:val="auto"/>
                <w:kern w:val="0"/>
                <w:sz w:val="24"/>
              </w:rPr>
              <w:t>023</w:t>
            </w:r>
            <w:r>
              <w:rPr>
                <w:bCs/>
                <w:color w:val="auto"/>
                <w:kern w:val="0"/>
                <w:sz w:val="24"/>
              </w:rPr>
              <w:t>-</w:t>
            </w:r>
            <w:r>
              <w:rPr>
                <w:rFonts w:hint="eastAsia"/>
                <w:bCs/>
                <w:color w:val="auto"/>
                <w:kern w:val="0"/>
                <w:sz w:val="24"/>
              </w:rPr>
              <w:t>29。</w:t>
            </w:r>
            <w:r>
              <w:rPr>
                <w:bCs/>
                <w:color w:val="auto"/>
                <w:kern w:val="0"/>
                <w:sz w:val="24"/>
              </w:rPr>
              <w:t>环评提出，</w:t>
            </w:r>
            <w:r>
              <w:rPr>
                <w:rFonts w:hint="eastAsia"/>
                <w:bCs/>
                <w:color w:val="auto"/>
                <w:kern w:val="0"/>
                <w:sz w:val="24"/>
              </w:rPr>
              <w:t>将</w:t>
            </w:r>
            <w:r>
              <w:rPr>
                <w:rFonts w:hint="eastAsia"/>
                <w:color w:val="auto"/>
                <w:kern w:val="0"/>
                <w:sz w:val="24"/>
              </w:rPr>
              <w:t>废UV灯管使用专用密闭容器收集、</w:t>
            </w:r>
            <w:r>
              <w:rPr>
                <w:bCs/>
                <w:color w:val="auto"/>
                <w:kern w:val="0"/>
                <w:sz w:val="24"/>
              </w:rPr>
              <w:t>暂存于危险废物暂存间，定期委托</w:t>
            </w:r>
            <w:r>
              <w:rPr>
                <w:rFonts w:hint="eastAsia"/>
                <w:bCs/>
                <w:color w:val="auto"/>
                <w:kern w:val="0"/>
                <w:sz w:val="24"/>
              </w:rPr>
              <w:t>有资质的单位</w:t>
            </w:r>
            <w:r>
              <w:rPr>
                <w:bCs/>
                <w:color w:val="auto"/>
                <w:kern w:val="0"/>
                <w:sz w:val="24"/>
              </w:rPr>
              <w:t>清运处置</w:t>
            </w:r>
            <w:r>
              <w:rPr>
                <w:rFonts w:hint="eastAsia"/>
                <w:bCs/>
                <w:color w:val="auto"/>
                <w:kern w:val="0"/>
                <w:sz w:val="24"/>
              </w:rPr>
              <w:t>。</w:t>
            </w:r>
          </w:p>
          <w:p w14:paraId="67C0A15B">
            <w:pPr>
              <w:adjustRightInd w:val="0"/>
              <w:snapToGrid w:val="0"/>
              <w:spacing w:line="360" w:lineRule="auto"/>
              <w:ind w:firstLine="480" w:firstLineChars="200"/>
              <w:jc w:val="left"/>
              <w:rPr>
                <w:color w:val="auto"/>
                <w:sz w:val="24"/>
                <w:szCs w:val="28"/>
              </w:rPr>
            </w:pPr>
            <w:r>
              <w:rPr>
                <w:rFonts w:hint="eastAsia"/>
                <w:color w:val="auto"/>
                <w:sz w:val="24"/>
                <w:szCs w:val="28"/>
              </w:rPr>
              <w:fldChar w:fldCharType="begin"/>
            </w:r>
            <w:r>
              <w:rPr>
                <w:rFonts w:hint="eastAsia"/>
                <w:color w:val="auto"/>
                <w:sz w:val="24"/>
                <w:szCs w:val="28"/>
              </w:rPr>
              <w:instrText xml:space="preserve"> = 3 \* GB3 \* MERGEFORMAT </w:instrText>
            </w:r>
            <w:r>
              <w:rPr>
                <w:rFonts w:hint="eastAsia"/>
                <w:color w:val="auto"/>
                <w:sz w:val="24"/>
                <w:szCs w:val="28"/>
              </w:rPr>
              <w:fldChar w:fldCharType="separate"/>
            </w:r>
            <w:r>
              <w:rPr>
                <w:color w:val="auto"/>
              </w:rPr>
              <w:t>③</w:t>
            </w:r>
            <w:r>
              <w:rPr>
                <w:rFonts w:hint="eastAsia"/>
                <w:color w:val="auto"/>
                <w:sz w:val="24"/>
                <w:szCs w:val="28"/>
              </w:rPr>
              <w:fldChar w:fldCharType="end"/>
            </w:r>
            <w:r>
              <w:rPr>
                <w:rFonts w:hint="eastAsia"/>
                <w:color w:val="auto"/>
                <w:sz w:val="24"/>
                <w:szCs w:val="28"/>
              </w:rPr>
              <w:t>废矿物油</w:t>
            </w:r>
          </w:p>
          <w:p w14:paraId="70EE2D9C">
            <w:pPr>
              <w:spacing w:before="38" w:line="390" w:lineRule="auto"/>
              <w:ind w:left="109" w:right="110" w:firstLine="480" w:firstLineChars="200"/>
              <w:rPr>
                <w:color w:val="auto"/>
                <w:sz w:val="24"/>
              </w:rPr>
            </w:pPr>
            <w:r>
              <w:rPr>
                <w:color w:val="auto"/>
                <w:sz w:val="24"/>
                <w:lang w:val="zh-CN"/>
              </w:rPr>
              <w:t>项目</w:t>
            </w:r>
            <w:r>
              <w:rPr>
                <w:rFonts w:hint="eastAsia"/>
                <w:color w:val="auto"/>
                <w:sz w:val="24"/>
                <w:lang w:val="zh-CN"/>
              </w:rPr>
              <w:t>设备维修保养过程产生废机油。</w:t>
            </w:r>
            <w:r>
              <w:rPr>
                <w:color w:val="auto"/>
                <w:sz w:val="24"/>
                <w:lang w:val="zh-CN"/>
              </w:rPr>
              <w:t>根据建设单位提供资料，</w:t>
            </w:r>
            <w:r>
              <w:rPr>
                <w:rFonts w:hint="eastAsia"/>
                <w:color w:val="auto"/>
                <w:sz w:val="24"/>
                <w:lang w:val="zh-CN"/>
              </w:rPr>
              <w:t>废机油</w:t>
            </w:r>
            <w:r>
              <w:rPr>
                <w:color w:val="auto"/>
                <w:sz w:val="24"/>
                <w:lang w:val="zh-CN"/>
              </w:rPr>
              <w:t>产生量约</w:t>
            </w:r>
            <w:r>
              <w:rPr>
                <w:rFonts w:hint="eastAsia"/>
                <w:color w:val="auto"/>
                <w:sz w:val="24"/>
                <w:lang w:val="zh-CN"/>
              </w:rPr>
              <w:t>为</w:t>
            </w:r>
            <w:r>
              <w:rPr>
                <w:color w:val="auto"/>
                <w:sz w:val="24"/>
                <w:lang w:val="zh-CN"/>
              </w:rPr>
              <w:t>0.</w:t>
            </w:r>
            <w:r>
              <w:rPr>
                <w:rFonts w:hint="eastAsia"/>
                <w:color w:val="auto"/>
                <w:sz w:val="24"/>
                <w:lang w:val="zh-CN"/>
              </w:rPr>
              <w:t>1</w:t>
            </w:r>
            <w:r>
              <w:rPr>
                <w:color w:val="auto"/>
                <w:sz w:val="24"/>
                <w:lang w:val="zh-CN"/>
              </w:rPr>
              <w:t>t/a</w:t>
            </w:r>
            <w:r>
              <w:rPr>
                <w:rFonts w:hint="eastAsia"/>
                <w:color w:val="auto"/>
                <w:sz w:val="24"/>
                <w:lang w:val="zh-CN"/>
              </w:rPr>
              <w:t>；项目使用的导热油按每2年更换一次，更换一次产生量为0.5t，则废导热油产生量为0.25t/a；废机油</w:t>
            </w:r>
            <w:r>
              <w:rPr>
                <w:rFonts w:hint="eastAsia"/>
                <w:color w:val="auto"/>
                <w:sz w:val="24"/>
              </w:rPr>
              <w:t>和废导热油均</w:t>
            </w:r>
            <w:r>
              <w:rPr>
                <w:rFonts w:hint="eastAsia"/>
                <w:color w:val="auto"/>
                <w:sz w:val="24"/>
                <w:lang w:val="zh-CN"/>
              </w:rPr>
              <w:t>属于废矿物油，</w:t>
            </w:r>
            <w:r>
              <w:rPr>
                <w:rFonts w:hint="eastAsia"/>
                <w:color w:val="auto"/>
                <w:sz w:val="24"/>
              </w:rPr>
              <w:t>共计产生量为0.35t/a。</w:t>
            </w:r>
            <w:r>
              <w:rPr>
                <w:color w:val="auto"/>
                <w:sz w:val="24"/>
                <w:lang w:val="zh-CN"/>
              </w:rPr>
              <w:t>根据《国家危险废物名录（2021年版）》，</w:t>
            </w:r>
            <w:r>
              <w:rPr>
                <w:rFonts w:hint="eastAsia"/>
                <w:color w:val="auto"/>
                <w:sz w:val="24"/>
                <w:lang w:val="zh-CN"/>
              </w:rPr>
              <w:t>废矿物油</w:t>
            </w:r>
            <w:r>
              <w:rPr>
                <w:color w:val="auto"/>
                <w:sz w:val="24"/>
                <w:lang w:val="zh-CN"/>
              </w:rPr>
              <w:t>属HW</w:t>
            </w:r>
            <w:r>
              <w:rPr>
                <w:rFonts w:hint="eastAsia"/>
                <w:color w:val="auto"/>
                <w:sz w:val="24"/>
                <w:lang w:val="zh-CN"/>
              </w:rPr>
              <w:t>08废矿物油与含矿物油废物</w:t>
            </w:r>
            <w:r>
              <w:rPr>
                <w:color w:val="auto"/>
                <w:sz w:val="24"/>
                <w:lang w:val="zh-CN"/>
              </w:rPr>
              <w:t>中的900-</w:t>
            </w:r>
            <w:r>
              <w:rPr>
                <w:rFonts w:hint="eastAsia"/>
                <w:color w:val="auto"/>
                <w:sz w:val="24"/>
                <w:lang w:val="zh-CN"/>
              </w:rPr>
              <w:t>249</w:t>
            </w:r>
            <w:r>
              <w:rPr>
                <w:color w:val="auto"/>
                <w:sz w:val="24"/>
                <w:lang w:val="zh-CN"/>
              </w:rPr>
              <w:t>-</w:t>
            </w:r>
            <w:r>
              <w:rPr>
                <w:rFonts w:hint="eastAsia"/>
                <w:color w:val="auto"/>
                <w:sz w:val="24"/>
                <w:lang w:val="zh-CN"/>
              </w:rPr>
              <w:t>08</w:t>
            </w:r>
            <w:r>
              <w:rPr>
                <w:rFonts w:hint="eastAsia"/>
                <w:color w:val="auto"/>
                <w:sz w:val="24"/>
              </w:rPr>
              <w:t>。.</w:t>
            </w:r>
            <w:r>
              <w:rPr>
                <w:color w:val="auto"/>
                <w:sz w:val="24"/>
                <w:lang w:val="zh-CN"/>
              </w:rPr>
              <w:t>环评提出，</w:t>
            </w:r>
            <w:r>
              <w:rPr>
                <w:rFonts w:hint="eastAsia"/>
                <w:color w:val="auto"/>
                <w:sz w:val="24"/>
                <w:lang w:val="zh-CN"/>
              </w:rPr>
              <w:t>将废矿物油使用专用密闭容器收集、</w:t>
            </w:r>
            <w:r>
              <w:rPr>
                <w:color w:val="auto"/>
                <w:sz w:val="24"/>
                <w:lang w:val="zh-CN"/>
              </w:rPr>
              <w:t>暂存于危险废物暂存间，定期委托</w:t>
            </w:r>
            <w:r>
              <w:rPr>
                <w:rFonts w:hint="eastAsia"/>
                <w:color w:val="auto"/>
                <w:sz w:val="24"/>
                <w:lang w:val="zh-CN"/>
              </w:rPr>
              <w:t>有资质的单位</w:t>
            </w:r>
            <w:r>
              <w:rPr>
                <w:color w:val="auto"/>
                <w:sz w:val="24"/>
                <w:lang w:val="zh-CN"/>
              </w:rPr>
              <w:t>清运处置</w:t>
            </w:r>
            <w:r>
              <w:rPr>
                <w:rFonts w:hint="eastAsia"/>
                <w:color w:val="auto"/>
                <w:sz w:val="24"/>
                <w:lang w:val="zh-CN"/>
              </w:rPr>
              <w:t>。</w:t>
            </w:r>
          </w:p>
          <w:p w14:paraId="2C5FB9D9">
            <w:pPr>
              <w:pStyle w:val="16"/>
              <w:adjustRightInd w:val="0"/>
              <w:snapToGrid w:val="0"/>
              <w:spacing w:after="0" w:line="360" w:lineRule="auto"/>
              <w:ind w:firstLine="0" w:firstLineChars="0"/>
              <w:rPr>
                <w:b/>
                <w:bCs/>
                <w:color w:val="auto"/>
                <w:szCs w:val="28"/>
              </w:rPr>
            </w:pPr>
            <w:r>
              <w:rPr>
                <w:rFonts w:hint="eastAsia"/>
                <w:b/>
                <w:bCs/>
                <w:color w:val="auto"/>
                <w:szCs w:val="28"/>
              </w:rPr>
              <w:t>（2）固体废物环境影响分析</w:t>
            </w:r>
          </w:p>
          <w:p w14:paraId="071B8C2C">
            <w:pPr>
              <w:adjustRightInd w:val="0"/>
              <w:snapToGrid w:val="0"/>
              <w:spacing w:line="360" w:lineRule="auto"/>
              <w:ind w:firstLine="480" w:firstLineChars="200"/>
              <w:jc w:val="left"/>
              <w:rPr>
                <w:color w:val="auto"/>
                <w:sz w:val="24"/>
                <w:szCs w:val="28"/>
              </w:rPr>
            </w:pPr>
            <w:r>
              <w:rPr>
                <w:color w:val="auto"/>
                <w:sz w:val="24"/>
                <w:szCs w:val="28"/>
              </w:rPr>
              <w:t>本项目主要固废包括</w:t>
            </w:r>
            <w:r>
              <w:rPr>
                <w:rFonts w:hint="eastAsia"/>
                <w:color w:val="auto"/>
                <w:sz w:val="24"/>
                <w:szCs w:val="28"/>
              </w:rPr>
              <w:t>不合格品、废边角料、废包装材料、生活垃圾、化粪池及污水处理站污泥、废活性炭、废胶水桶、废UV灯管、废矿物油</w:t>
            </w:r>
            <w:r>
              <w:rPr>
                <w:color w:val="auto"/>
                <w:sz w:val="24"/>
                <w:szCs w:val="28"/>
              </w:rPr>
              <w:t>。</w:t>
            </w:r>
          </w:p>
          <w:p w14:paraId="694B3CEA">
            <w:pPr>
              <w:autoSpaceDE w:val="0"/>
              <w:autoSpaceDN w:val="0"/>
              <w:adjustRightInd w:val="0"/>
              <w:snapToGrid w:val="0"/>
              <w:spacing w:line="360" w:lineRule="auto"/>
              <w:ind w:firstLine="480" w:firstLineChars="200"/>
              <w:rPr>
                <w:color w:val="auto"/>
                <w:sz w:val="24"/>
                <w:szCs w:val="28"/>
              </w:rPr>
            </w:pPr>
            <w:r>
              <w:rPr>
                <w:rFonts w:hint="eastAsia"/>
                <w:color w:val="auto"/>
                <w:sz w:val="24"/>
                <w:szCs w:val="30"/>
              </w:rPr>
              <w:t>项目</w:t>
            </w:r>
            <w:r>
              <w:rPr>
                <w:rFonts w:hint="eastAsia"/>
                <w:color w:val="auto"/>
                <w:sz w:val="24"/>
                <w:szCs w:val="28"/>
              </w:rPr>
              <w:t>不合格品、废三聚氰胺纸</w:t>
            </w:r>
            <w:r>
              <w:rPr>
                <w:rFonts w:hint="eastAsia"/>
                <w:color w:val="auto"/>
                <w:sz w:val="24"/>
                <w:szCs w:val="30"/>
              </w:rPr>
              <w:t>收集于垃圾桶内，与生活垃圾一并委托环卫部门清运处置</w:t>
            </w:r>
            <w:r>
              <w:rPr>
                <w:rFonts w:hint="eastAsia"/>
                <w:color w:val="auto"/>
                <w:sz w:val="24"/>
              </w:rPr>
              <w:t>。</w:t>
            </w:r>
            <w:r>
              <w:rPr>
                <w:rFonts w:hint="eastAsia"/>
                <w:color w:val="auto"/>
                <w:sz w:val="24"/>
                <w:szCs w:val="28"/>
              </w:rPr>
              <w:t>废包装材料</w:t>
            </w:r>
            <w:r>
              <w:rPr>
                <w:rFonts w:hint="eastAsia"/>
                <w:color w:val="auto"/>
                <w:sz w:val="24"/>
                <w:szCs w:val="30"/>
              </w:rPr>
              <w:t>收集暂存于一般固废暂存间，定期出售给废品收购商</w:t>
            </w:r>
            <w:r>
              <w:rPr>
                <w:rFonts w:hint="eastAsia"/>
                <w:color w:val="auto"/>
                <w:sz w:val="24"/>
              </w:rPr>
              <w:t>。</w:t>
            </w:r>
            <w:r>
              <w:rPr>
                <w:rFonts w:hint="eastAsia"/>
                <w:color w:val="auto"/>
                <w:sz w:val="24"/>
                <w:szCs w:val="28"/>
              </w:rPr>
              <w:t>化粪池及污水处理站污泥</w:t>
            </w:r>
            <w:r>
              <w:rPr>
                <w:bCs/>
                <w:color w:val="auto"/>
                <w:kern w:val="0"/>
                <w:sz w:val="24"/>
              </w:rPr>
              <w:t>委托当地环卫部门清掏清运处置。</w:t>
            </w:r>
            <w:r>
              <w:rPr>
                <w:rFonts w:hint="eastAsia"/>
                <w:color w:val="auto"/>
                <w:sz w:val="24"/>
                <w:szCs w:val="30"/>
              </w:rPr>
              <w:t>生活垃圾</w:t>
            </w:r>
            <w:r>
              <w:rPr>
                <w:rFonts w:hint="eastAsia"/>
                <w:color w:val="auto"/>
                <w:sz w:val="24"/>
                <w:szCs w:val="28"/>
              </w:rPr>
              <w:t>集中收集于垃圾桶内，定期委托环卫部门清运处置</w:t>
            </w:r>
            <w:r>
              <w:rPr>
                <w:color w:val="auto"/>
                <w:sz w:val="24"/>
                <w:szCs w:val="30"/>
                <w:lang w:val="zh-CN"/>
              </w:rPr>
              <w:t>。</w:t>
            </w:r>
            <w:r>
              <w:rPr>
                <w:rFonts w:hint="eastAsia"/>
                <w:color w:val="auto"/>
                <w:sz w:val="24"/>
                <w:szCs w:val="28"/>
              </w:rPr>
              <w:t>废活性炭、废UV灯管、废矿物油分类收集后</w:t>
            </w:r>
            <w:r>
              <w:rPr>
                <w:color w:val="auto"/>
                <w:sz w:val="24"/>
                <w:szCs w:val="28"/>
              </w:rPr>
              <w:t>暂存于</w:t>
            </w:r>
            <w:r>
              <w:rPr>
                <w:rFonts w:hint="eastAsia"/>
                <w:color w:val="auto"/>
                <w:sz w:val="24"/>
              </w:rPr>
              <w:t>危险废物暂存间内</w:t>
            </w:r>
            <w:r>
              <w:rPr>
                <w:color w:val="auto"/>
                <w:sz w:val="24"/>
                <w:szCs w:val="28"/>
              </w:rPr>
              <w:t>，定期委托有资质</w:t>
            </w:r>
            <w:r>
              <w:rPr>
                <w:rFonts w:hint="eastAsia"/>
                <w:color w:val="auto"/>
                <w:sz w:val="24"/>
                <w:szCs w:val="28"/>
              </w:rPr>
              <w:t>的</w:t>
            </w:r>
            <w:r>
              <w:rPr>
                <w:color w:val="auto"/>
                <w:sz w:val="24"/>
                <w:szCs w:val="28"/>
              </w:rPr>
              <w:t>单位</w:t>
            </w:r>
            <w:r>
              <w:rPr>
                <w:rFonts w:hint="eastAsia"/>
                <w:color w:val="auto"/>
                <w:sz w:val="24"/>
                <w:szCs w:val="28"/>
              </w:rPr>
              <w:t>清运处置。</w:t>
            </w:r>
          </w:p>
          <w:p w14:paraId="43E39B60">
            <w:pPr>
              <w:autoSpaceDE w:val="0"/>
              <w:autoSpaceDN w:val="0"/>
              <w:adjustRightInd w:val="0"/>
              <w:snapToGrid w:val="0"/>
              <w:spacing w:line="351" w:lineRule="auto"/>
              <w:ind w:firstLine="360" w:firstLineChars="150"/>
              <w:rPr>
                <w:rStyle w:val="68"/>
                <w:b/>
                <w:color w:val="auto"/>
                <w:szCs w:val="21"/>
              </w:rPr>
            </w:pPr>
            <w:r>
              <w:rPr>
                <w:color w:val="auto"/>
                <w:sz w:val="24"/>
              </w:rPr>
              <w:t>项目运营期固体废物处置措施见</w:t>
            </w:r>
            <w:r>
              <w:rPr>
                <w:rFonts w:hint="eastAsia"/>
                <w:color w:val="auto"/>
                <w:sz w:val="24"/>
              </w:rPr>
              <w:t>下表</w:t>
            </w:r>
            <w:r>
              <w:rPr>
                <w:color w:val="auto"/>
                <w:sz w:val="24"/>
              </w:rPr>
              <w:t>。</w:t>
            </w:r>
          </w:p>
          <w:p w14:paraId="3FBDE5B6">
            <w:pPr>
              <w:pStyle w:val="67"/>
              <w:adjustRightInd w:val="0"/>
              <w:snapToGrid w:val="0"/>
              <w:rPr>
                <w:rStyle w:val="68"/>
                <w:b/>
                <w:color w:val="auto"/>
                <w:szCs w:val="21"/>
              </w:rPr>
            </w:pPr>
            <w:r>
              <w:rPr>
                <w:rStyle w:val="68"/>
                <w:b/>
                <w:color w:val="auto"/>
                <w:szCs w:val="21"/>
              </w:rPr>
              <w:t>表</w:t>
            </w:r>
            <w:r>
              <w:rPr>
                <w:rStyle w:val="68"/>
                <w:rFonts w:hint="eastAsia"/>
                <w:b/>
                <w:color w:val="auto"/>
                <w:szCs w:val="21"/>
              </w:rPr>
              <w:t>4-15</w:t>
            </w:r>
            <w:r>
              <w:rPr>
                <w:rStyle w:val="68"/>
                <w:b/>
                <w:color w:val="auto"/>
                <w:szCs w:val="21"/>
              </w:rPr>
              <w:t xml:space="preserve">  本项目固体废弃物处置情况</w:t>
            </w:r>
          </w:p>
          <w:tbl>
            <w:tblPr>
              <w:tblStyle w:val="31"/>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
              <w:gridCol w:w="268"/>
              <w:gridCol w:w="703"/>
              <w:gridCol w:w="690"/>
              <w:gridCol w:w="615"/>
              <w:gridCol w:w="690"/>
              <w:gridCol w:w="688"/>
              <w:gridCol w:w="1114"/>
              <w:gridCol w:w="1114"/>
              <w:gridCol w:w="1114"/>
              <w:gridCol w:w="1114"/>
            </w:tblGrid>
            <w:tr w14:paraId="2336A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gridSpan w:val="2"/>
                  <w:vAlign w:val="center"/>
                </w:tcPr>
                <w:p w14:paraId="70FCF883">
                  <w:pPr>
                    <w:pStyle w:val="67"/>
                    <w:adjustRightInd w:val="0"/>
                    <w:snapToGrid w:val="0"/>
                    <w:rPr>
                      <w:rStyle w:val="68"/>
                      <w:bCs/>
                      <w:color w:val="auto"/>
                      <w:szCs w:val="21"/>
                    </w:rPr>
                  </w:pPr>
                  <w:r>
                    <w:rPr>
                      <w:rStyle w:val="68"/>
                      <w:bCs/>
                      <w:color w:val="auto"/>
                      <w:szCs w:val="21"/>
                    </w:rPr>
                    <w:t>产污环节</w:t>
                  </w:r>
                </w:p>
              </w:tc>
              <w:tc>
                <w:tcPr>
                  <w:tcW w:w="703" w:type="dxa"/>
                  <w:vAlign w:val="center"/>
                </w:tcPr>
                <w:p w14:paraId="6098FD0B">
                  <w:pPr>
                    <w:pStyle w:val="67"/>
                    <w:adjustRightInd w:val="0"/>
                    <w:snapToGrid w:val="0"/>
                    <w:rPr>
                      <w:rStyle w:val="68"/>
                      <w:bCs/>
                      <w:color w:val="auto"/>
                      <w:szCs w:val="21"/>
                    </w:rPr>
                  </w:pPr>
                  <w:r>
                    <w:rPr>
                      <w:rStyle w:val="68"/>
                      <w:rFonts w:hint="eastAsia"/>
                      <w:bCs/>
                      <w:color w:val="auto"/>
                      <w:szCs w:val="21"/>
                    </w:rPr>
                    <w:t>切纸工序</w:t>
                  </w:r>
                </w:p>
                <w:p w14:paraId="0514343F">
                  <w:pPr>
                    <w:pStyle w:val="67"/>
                    <w:adjustRightInd w:val="0"/>
                    <w:snapToGrid w:val="0"/>
                    <w:rPr>
                      <w:rStyle w:val="68"/>
                      <w:bCs/>
                      <w:color w:val="auto"/>
                      <w:szCs w:val="21"/>
                    </w:rPr>
                  </w:pPr>
                </w:p>
              </w:tc>
              <w:tc>
                <w:tcPr>
                  <w:tcW w:w="690" w:type="dxa"/>
                  <w:vAlign w:val="center"/>
                </w:tcPr>
                <w:p w14:paraId="2EECB8E6">
                  <w:pPr>
                    <w:pStyle w:val="67"/>
                    <w:adjustRightInd w:val="0"/>
                    <w:snapToGrid w:val="0"/>
                    <w:rPr>
                      <w:rStyle w:val="68"/>
                      <w:bCs/>
                      <w:color w:val="auto"/>
                      <w:szCs w:val="21"/>
                    </w:rPr>
                  </w:pPr>
                  <w:r>
                    <w:rPr>
                      <w:rStyle w:val="68"/>
                      <w:rFonts w:hint="eastAsia"/>
                      <w:bCs/>
                      <w:color w:val="auto"/>
                      <w:szCs w:val="21"/>
                    </w:rPr>
                    <w:t>化粪池、污水处理站</w:t>
                  </w:r>
                </w:p>
              </w:tc>
              <w:tc>
                <w:tcPr>
                  <w:tcW w:w="615" w:type="dxa"/>
                  <w:vAlign w:val="center"/>
                </w:tcPr>
                <w:p w14:paraId="193CB008">
                  <w:pPr>
                    <w:pStyle w:val="67"/>
                    <w:adjustRightInd w:val="0"/>
                    <w:snapToGrid w:val="0"/>
                    <w:rPr>
                      <w:rStyle w:val="68"/>
                      <w:bCs/>
                      <w:color w:val="auto"/>
                      <w:szCs w:val="21"/>
                    </w:rPr>
                  </w:pPr>
                  <w:r>
                    <w:rPr>
                      <w:rStyle w:val="68"/>
                      <w:bCs/>
                      <w:color w:val="auto"/>
                      <w:szCs w:val="21"/>
                    </w:rPr>
                    <w:t>员工生活</w:t>
                  </w:r>
                </w:p>
              </w:tc>
              <w:tc>
                <w:tcPr>
                  <w:tcW w:w="690" w:type="dxa"/>
                  <w:vAlign w:val="center"/>
                </w:tcPr>
                <w:p w14:paraId="3BB4966F">
                  <w:pPr>
                    <w:pStyle w:val="67"/>
                    <w:adjustRightInd w:val="0"/>
                    <w:snapToGrid w:val="0"/>
                    <w:rPr>
                      <w:rStyle w:val="68"/>
                      <w:bCs/>
                      <w:color w:val="auto"/>
                      <w:szCs w:val="21"/>
                    </w:rPr>
                  </w:pPr>
                  <w:r>
                    <w:rPr>
                      <w:rStyle w:val="68"/>
                      <w:rFonts w:hint="eastAsia"/>
                      <w:bCs/>
                      <w:color w:val="auto"/>
                      <w:szCs w:val="21"/>
                    </w:rPr>
                    <w:t>检验</w:t>
                  </w:r>
                </w:p>
              </w:tc>
              <w:tc>
                <w:tcPr>
                  <w:tcW w:w="688" w:type="dxa"/>
                  <w:vAlign w:val="center"/>
                </w:tcPr>
                <w:p w14:paraId="10FC5A6E">
                  <w:pPr>
                    <w:pStyle w:val="67"/>
                    <w:adjustRightInd w:val="0"/>
                    <w:snapToGrid w:val="0"/>
                    <w:rPr>
                      <w:rStyle w:val="68"/>
                      <w:bCs/>
                      <w:color w:val="auto"/>
                      <w:szCs w:val="21"/>
                    </w:rPr>
                  </w:pPr>
                  <w:r>
                    <w:rPr>
                      <w:rStyle w:val="68"/>
                      <w:rFonts w:hint="eastAsia"/>
                      <w:bCs/>
                      <w:color w:val="auto"/>
                      <w:szCs w:val="21"/>
                    </w:rPr>
                    <w:t>拆包和包装</w:t>
                  </w:r>
                </w:p>
              </w:tc>
              <w:tc>
                <w:tcPr>
                  <w:tcW w:w="1114" w:type="dxa"/>
                  <w:vAlign w:val="center"/>
                </w:tcPr>
                <w:p w14:paraId="1A920C19">
                  <w:pPr>
                    <w:pStyle w:val="67"/>
                    <w:adjustRightInd w:val="0"/>
                    <w:snapToGrid w:val="0"/>
                    <w:rPr>
                      <w:rStyle w:val="68"/>
                      <w:bCs/>
                      <w:color w:val="auto"/>
                      <w:szCs w:val="21"/>
                    </w:rPr>
                  </w:pPr>
                  <w:r>
                    <w:rPr>
                      <w:rStyle w:val="68"/>
                      <w:rFonts w:hint="eastAsia"/>
                      <w:bCs/>
                      <w:color w:val="auto"/>
                      <w:szCs w:val="21"/>
                    </w:rPr>
                    <w:t>调胶</w:t>
                  </w:r>
                </w:p>
              </w:tc>
              <w:tc>
                <w:tcPr>
                  <w:tcW w:w="1114" w:type="dxa"/>
                  <w:vAlign w:val="center"/>
                </w:tcPr>
                <w:p w14:paraId="0EC14320">
                  <w:pPr>
                    <w:pStyle w:val="67"/>
                    <w:adjustRightInd w:val="0"/>
                    <w:snapToGrid w:val="0"/>
                    <w:rPr>
                      <w:rStyle w:val="68"/>
                      <w:bCs/>
                      <w:color w:val="auto"/>
                      <w:szCs w:val="21"/>
                    </w:rPr>
                  </w:pPr>
                  <w:r>
                    <w:rPr>
                      <w:rStyle w:val="68"/>
                      <w:rFonts w:hint="eastAsia"/>
                      <w:bCs/>
                      <w:color w:val="auto"/>
                      <w:szCs w:val="21"/>
                    </w:rPr>
                    <w:t>有机废气处理</w:t>
                  </w:r>
                </w:p>
              </w:tc>
              <w:tc>
                <w:tcPr>
                  <w:tcW w:w="1114" w:type="dxa"/>
                  <w:vAlign w:val="center"/>
                </w:tcPr>
                <w:p w14:paraId="5AF97124">
                  <w:pPr>
                    <w:pStyle w:val="67"/>
                    <w:adjustRightInd w:val="0"/>
                    <w:snapToGrid w:val="0"/>
                    <w:rPr>
                      <w:rStyle w:val="68"/>
                      <w:bCs/>
                      <w:color w:val="auto"/>
                      <w:szCs w:val="21"/>
                    </w:rPr>
                  </w:pPr>
                  <w:r>
                    <w:rPr>
                      <w:rStyle w:val="68"/>
                      <w:rFonts w:hint="eastAsia"/>
                      <w:bCs/>
                      <w:color w:val="auto"/>
                      <w:szCs w:val="21"/>
                    </w:rPr>
                    <w:t>有机废气处理</w:t>
                  </w:r>
                </w:p>
              </w:tc>
              <w:tc>
                <w:tcPr>
                  <w:tcW w:w="1114" w:type="dxa"/>
                  <w:vAlign w:val="center"/>
                </w:tcPr>
                <w:p w14:paraId="1D7891AA">
                  <w:pPr>
                    <w:pStyle w:val="67"/>
                    <w:adjustRightInd w:val="0"/>
                    <w:snapToGrid w:val="0"/>
                    <w:rPr>
                      <w:rStyle w:val="68"/>
                      <w:bCs/>
                      <w:color w:val="auto"/>
                      <w:szCs w:val="21"/>
                    </w:rPr>
                  </w:pPr>
                  <w:r>
                    <w:rPr>
                      <w:rStyle w:val="68"/>
                      <w:rFonts w:hint="eastAsia"/>
                      <w:bCs/>
                      <w:color w:val="auto"/>
                      <w:szCs w:val="21"/>
                    </w:rPr>
                    <w:t>设备维修保养、导热油更换</w:t>
                  </w:r>
                </w:p>
              </w:tc>
            </w:tr>
            <w:tr w14:paraId="14C0C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gridSpan w:val="2"/>
                  <w:vAlign w:val="center"/>
                </w:tcPr>
                <w:p w14:paraId="7B2EFC53">
                  <w:pPr>
                    <w:pStyle w:val="67"/>
                    <w:adjustRightInd w:val="0"/>
                    <w:snapToGrid w:val="0"/>
                    <w:rPr>
                      <w:rStyle w:val="68"/>
                      <w:bCs/>
                      <w:color w:val="auto"/>
                      <w:szCs w:val="21"/>
                    </w:rPr>
                  </w:pPr>
                  <w:r>
                    <w:rPr>
                      <w:rStyle w:val="68"/>
                      <w:bCs/>
                      <w:color w:val="auto"/>
                      <w:szCs w:val="21"/>
                    </w:rPr>
                    <w:t>名称</w:t>
                  </w:r>
                </w:p>
              </w:tc>
              <w:tc>
                <w:tcPr>
                  <w:tcW w:w="703" w:type="dxa"/>
                  <w:vAlign w:val="center"/>
                </w:tcPr>
                <w:p w14:paraId="504E74D4">
                  <w:pPr>
                    <w:pStyle w:val="67"/>
                    <w:adjustRightInd w:val="0"/>
                    <w:snapToGrid w:val="0"/>
                    <w:rPr>
                      <w:rStyle w:val="68"/>
                      <w:bCs/>
                      <w:color w:val="auto"/>
                      <w:szCs w:val="21"/>
                    </w:rPr>
                  </w:pPr>
                  <w:r>
                    <w:rPr>
                      <w:rStyle w:val="68"/>
                      <w:bCs/>
                      <w:color w:val="auto"/>
                      <w:szCs w:val="21"/>
                    </w:rPr>
                    <w:t>废边角料</w:t>
                  </w:r>
                </w:p>
                <w:p w14:paraId="4BDC154F">
                  <w:pPr>
                    <w:pStyle w:val="67"/>
                    <w:adjustRightInd w:val="0"/>
                    <w:snapToGrid w:val="0"/>
                    <w:rPr>
                      <w:rStyle w:val="68"/>
                      <w:bCs/>
                      <w:color w:val="auto"/>
                      <w:szCs w:val="21"/>
                    </w:rPr>
                  </w:pPr>
                </w:p>
              </w:tc>
              <w:tc>
                <w:tcPr>
                  <w:tcW w:w="690" w:type="dxa"/>
                  <w:vAlign w:val="center"/>
                </w:tcPr>
                <w:p w14:paraId="0DF85AC8">
                  <w:pPr>
                    <w:pStyle w:val="67"/>
                    <w:adjustRightInd w:val="0"/>
                    <w:snapToGrid w:val="0"/>
                    <w:rPr>
                      <w:rStyle w:val="68"/>
                      <w:bCs/>
                      <w:color w:val="auto"/>
                      <w:szCs w:val="21"/>
                    </w:rPr>
                  </w:pPr>
                  <w:r>
                    <w:rPr>
                      <w:rStyle w:val="68"/>
                      <w:bCs/>
                      <w:color w:val="auto"/>
                      <w:szCs w:val="21"/>
                    </w:rPr>
                    <w:t>污泥</w:t>
                  </w:r>
                </w:p>
              </w:tc>
              <w:tc>
                <w:tcPr>
                  <w:tcW w:w="615" w:type="dxa"/>
                  <w:vAlign w:val="center"/>
                </w:tcPr>
                <w:p w14:paraId="49588A7C">
                  <w:pPr>
                    <w:pStyle w:val="67"/>
                    <w:adjustRightInd w:val="0"/>
                    <w:snapToGrid w:val="0"/>
                    <w:rPr>
                      <w:rStyle w:val="68"/>
                      <w:bCs/>
                      <w:color w:val="auto"/>
                      <w:szCs w:val="21"/>
                    </w:rPr>
                  </w:pPr>
                  <w:r>
                    <w:rPr>
                      <w:rStyle w:val="68"/>
                      <w:bCs/>
                      <w:color w:val="auto"/>
                      <w:szCs w:val="21"/>
                    </w:rPr>
                    <w:t>生活垃圾</w:t>
                  </w:r>
                </w:p>
              </w:tc>
              <w:tc>
                <w:tcPr>
                  <w:tcW w:w="690" w:type="dxa"/>
                  <w:vAlign w:val="center"/>
                </w:tcPr>
                <w:p w14:paraId="54946572">
                  <w:pPr>
                    <w:pStyle w:val="67"/>
                    <w:adjustRightInd w:val="0"/>
                    <w:snapToGrid w:val="0"/>
                    <w:rPr>
                      <w:rStyle w:val="68"/>
                      <w:bCs/>
                      <w:color w:val="auto"/>
                      <w:szCs w:val="21"/>
                    </w:rPr>
                  </w:pPr>
                  <w:r>
                    <w:rPr>
                      <w:rStyle w:val="68"/>
                      <w:rFonts w:hint="eastAsia"/>
                      <w:bCs/>
                      <w:color w:val="auto"/>
                      <w:szCs w:val="21"/>
                    </w:rPr>
                    <w:t>不合格产品</w:t>
                  </w:r>
                </w:p>
              </w:tc>
              <w:tc>
                <w:tcPr>
                  <w:tcW w:w="688" w:type="dxa"/>
                  <w:vAlign w:val="center"/>
                </w:tcPr>
                <w:p w14:paraId="3ADF8352">
                  <w:pPr>
                    <w:pStyle w:val="67"/>
                    <w:adjustRightInd w:val="0"/>
                    <w:snapToGrid w:val="0"/>
                    <w:rPr>
                      <w:rStyle w:val="68"/>
                      <w:bCs/>
                      <w:color w:val="auto"/>
                      <w:szCs w:val="21"/>
                    </w:rPr>
                  </w:pPr>
                  <w:r>
                    <w:rPr>
                      <w:rStyle w:val="68"/>
                      <w:bCs/>
                      <w:color w:val="auto"/>
                      <w:szCs w:val="21"/>
                    </w:rPr>
                    <w:t>废</w:t>
                  </w:r>
                  <w:r>
                    <w:rPr>
                      <w:rStyle w:val="68"/>
                      <w:rFonts w:hint="eastAsia"/>
                      <w:bCs/>
                      <w:color w:val="auto"/>
                      <w:szCs w:val="21"/>
                    </w:rPr>
                    <w:t>包装材料</w:t>
                  </w:r>
                </w:p>
              </w:tc>
              <w:tc>
                <w:tcPr>
                  <w:tcW w:w="1114" w:type="dxa"/>
                  <w:vAlign w:val="center"/>
                </w:tcPr>
                <w:p w14:paraId="684DADDD">
                  <w:pPr>
                    <w:pStyle w:val="67"/>
                    <w:adjustRightInd w:val="0"/>
                    <w:snapToGrid w:val="0"/>
                    <w:rPr>
                      <w:rStyle w:val="68"/>
                      <w:bCs/>
                      <w:color w:val="auto"/>
                      <w:szCs w:val="21"/>
                    </w:rPr>
                  </w:pPr>
                  <w:r>
                    <w:rPr>
                      <w:rStyle w:val="68"/>
                      <w:rFonts w:hint="eastAsia"/>
                      <w:bCs/>
                      <w:color w:val="auto"/>
                      <w:szCs w:val="21"/>
                    </w:rPr>
                    <w:t>废胶水桶</w:t>
                  </w:r>
                </w:p>
              </w:tc>
              <w:tc>
                <w:tcPr>
                  <w:tcW w:w="1114" w:type="dxa"/>
                  <w:vAlign w:val="center"/>
                </w:tcPr>
                <w:p w14:paraId="4B802DD6">
                  <w:pPr>
                    <w:pStyle w:val="67"/>
                    <w:adjustRightInd w:val="0"/>
                    <w:snapToGrid w:val="0"/>
                    <w:rPr>
                      <w:rStyle w:val="68"/>
                      <w:bCs/>
                      <w:color w:val="auto"/>
                      <w:szCs w:val="21"/>
                    </w:rPr>
                  </w:pPr>
                  <w:r>
                    <w:rPr>
                      <w:rStyle w:val="68"/>
                      <w:rFonts w:hint="eastAsia"/>
                      <w:bCs/>
                      <w:color w:val="auto"/>
                      <w:szCs w:val="21"/>
                    </w:rPr>
                    <w:t>废活性炭</w:t>
                  </w:r>
                </w:p>
              </w:tc>
              <w:tc>
                <w:tcPr>
                  <w:tcW w:w="1114" w:type="dxa"/>
                  <w:vAlign w:val="center"/>
                </w:tcPr>
                <w:p w14:paraId="46642B0E">
                  <w:pPr>
                    <w:pStyle w:val="67"/>
                    <w:adjustRightInd w:val="0"/>
                    <w:snapToGrid w:val="0"/>
                    <w:rPr>
                      <w:rStyle w:val="68"/>
                      <w:bCs/>
                      <w:color w:val="auto"/>
                      <w:szCs w:val="21"/>
                    </w:rPr>
                  </w:pPr>
                  <w:r>
                    <w:rPr>
                      <w:rStyle w:val="68"/>
                      <w:bCs/>
                      <w:color w:val="auto"/>
                      <w:szCs w:val="21"/>
                    </w:rPr>
                    <w:t>废UV灯管</w:t>
                  </w:r>
                </w:p>
              </w:tc>
              <w:tc>
                <w:tcPr>
                  <w:tcW w:w="1114" w:type="dxa"/>
                  <w:vAlign w:val="center"/>
                </w:tcPr>
                <w:p w14:paraId="391061B7">
                  <w:pPr>
                    <w:pStyle w:val="67"/>
                    <w:adjustRightInd w:val="0"/>
                    <w:snapToGrid w:val="0"/>
                    <w:rPr>
                      <w:rStyle w:val="68"/>
                      <w:bCs/>
                      <w:color w:val="auto"/>
                      <w:szCs w:val="21"/>
                    </w:rPr>
                  </w:pPr>
                  <w:r>
                    <w:rPr>
                      <w:rStyle w:val="68"/>
                      <w:rFonts w:hint="eastAsia"/>
                      <w:bCs/>
                      <w:color w:val="auto"/>
                      <w:szCs w:val="21"/>
                    </w:rPr>
                    <w:t>废矿物油</w:t>
                  </w:r>
                </w:p>
              </w:tc>
            </w:tr>
            <w:tr w14:paraId="547AA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dxa"/>
                  <w:vMerge w:val="restart"/>
                  <w:vAlign w:val="center"/>
                </w:tcPr>
                <w:p w14:paraId="19F00D8E">
                  <w:pPr>
                    <w:pStyle w:val="67"/>
                    <w:adjustRightInd w:val="0"/>
                    <w:snapToGrid w:val="0"/>
                    <w:rPr>
                      <w:rStyle w:val="68"/>
                      <w:bCs/>
                      <w:color w:val="auto"/>
                      <w:szCs w:val="21"/>
                    </w:rPr>
                  </w:pPr>
                  <w:r>
                    <w:rPr>
                      <w:rStyle w:val="68"/>
                      <w:bCs/>
                      <w:color w:val="auto"/>
                      <w:szCs w:val="21"/>
                    </w:rPr>
                    <w:t>属性</w:t>
                  </w:r>
                </w:p>
              </w:tc>
              <w:tc>
                <w:tcPr>
                  <w:tcW w:w="268" w:type="dxa"/>
                  <w:vAlign w:val="center"/>
                </w:tcPr>
                <w:p w14:paraId="1CA883F3">
                  <w:pPr>
                    <w:pStyle w:val="67"/>
                    <w:adjustRightInd w:val="0"/>
                    <w:snapToGrid w:val="0"/>
                    <w:rPr>
                      <w:rStyle w:val="68"/>
                      <w:bCs/>
                      <w:color w:val="auto"/>
                      <w:szCs w:val="21"/>
                    </w:rPr>
                  </w:pPr>
                  <w:r>
                    <w:rPr>
                      <w:rStyle w:val="68"/>
                      <w:bCs/>
                      <w:color w:val="auto"/>
                      <w:szCs w:val="21"/>
                    </w:rPr>
                    <w:t>属性</w:t>
                  </w:r>
                </w:p>
              </w:tc>
              <w:tc>
                <w:tcPr>
                  <w:tcW w:w="703" w:type="dxa"/>
                  <w:vAlign w:val="center"/>
                </w:tcPr>
                <w:p w14:paraId="1D25B45B">
                  <w:pPr>
                    <w:adjustRightInd w:val="0"/>
                    <w:snapToGrid w:val="0"/>
                    <w:jc w:val="center"/>
                    <w:rPr>
                      <w:rStyle w:val="68"/>
                      <w:bCs/>
                      <w:color w:val="auto"/>
                      <w:szCs w:val="21"/>
                    </w:rPr>
                  </w:pPr>
                  <w:r>
                    <w:rPr>
                      <w:rStyle w:val="68"/>
                      <w:bCs/>
                      <w:color w:val="auto"/>
                      <w:szCs w:val="21"/>
                    </w:rPr>
                    <w:t>一般工业固废</w:t>
                  </w:r>
                </w:p>
                <w:p w14:paraId="5675D5D0">
                  <w:pPr>
                    <w:adjustRightInd w:val="0"/>
                    <w:snapToGrid w:val="0"/>
                    <w:jc w:val="center"/>
                    <w:rPr>
                      <w:rStyle w:val="68"/>
                      <w:bCs/>
                      <w:color w:val="auto"/>
                      <w:szCs w:val="21"/>
                    </w:rPr>
                  </w:pPr>
                </w:p>
              </w:tc>
              <w:tc>
                <w:tcPr>
                  <w:tcW w:w="690" w:type="dxa"/>
                  <w:vAlign w:val="center"/>
                </w:tcPr>
                <w:p w14:paraId="18F765D3">
                  <w:pPr>
                    <w:adjustRightInd w:val="0"/>
                    <w:snapToGrid w:val="0"/>
                    <w:jc w:val="center"/>
                    <w:rPr>
                      <w:rStyle w:val="68"/>
                      <w:bCs/>
                      <w:color w:val="auto"/>
                      <w:szCs w:val="21"/>
                    </w:rPr>
                  </w:pPr>
                  <w:r>
                    <w:rPr>
                      <w:rStyle w:val="68"/>
                      <w:rFonts w:hint="eastAsia"/>
                      <w:bCs/>
                      <w:color w:val="auto"/>
                      <w:szCs w:val="21"/>
                    </w:rPr>
                    <w:t>生活固废</w:t>
                  </w:r>
                </w:p>
              </w:tc>
              <w:tc>
                <w:tcPr>
                  <w:tcW w:w="615" w:type="dxa"/>
                  <w:vAlign w:val="center"/>
                </w:tcPr>
                <w:p w14:paraId="3A74DAA6">
                  <w:pPr>
                    <w:pStyle w:val="67"/>
                    <w:adjustRightInd w:val="0"/>
                    <w:snapToGrid w:val="0"/>
                    <w:rPr>
                      <w:rStyle w:val="68"/>
                      <w:bCs/>
                      <w:color w:val="auto"/>
                      <w:szCs w:val="21"/>
                    </w:rPr>
                  </w:pPr>
                  <w:r>
                    <w:rPr>
                      <w:rStyle w:val="68"/>
                      <w:rFonts w:hint="eastAsia"/>
                      <w:bCs/>
                      <w:color w:val="auto"/>
                      <w:szCs w:val="21"/>
                    </w:rPr>
                    <w:t>生活固废</w:t>
                  </w:r>
                </w:p>
              </w:tc>
              <w:tc>
                <w:tcPr>
                  <w:tcW w:w="690" w:type="dxa"/>
                  <w:vAlign w:val="center"/>
                </w:tcPr>
                <w:p w14:paraId="6A2B56A9">
                  <w:pPr>
                    <w:adjustRightInd w:val="0"/>
                    <w:snapToGrid w:val="0"/>
                    <w:jc w:val="center"/>
                    <w:rPr>
                      <w:rStyle w:val="68"/>
                      <w:bCs/>
                      <w:color w:val="auto"/>
                      <w:szCs w:val="21"/>
                    </w:rPr>
                  </w:pPr>
                  <w:r>
                    <w:rPr>
                      <w:rStyle w:val="68"/>
                      <w:bCs/>
                      <w:color w:val="auto"/>
                      <w:szCs w:val="21"/>
                    </w:rPr>
                    <w:t>一般工业固废</w:t>
                  </w:r>
                </w:p>
                <w:p w14:paraId="49DE8C18">
                  <w:pPr>
                    <w:adjustRightInd w:val="0"/>
                    <w:snapToGrid w:val="0"/>
                    <w:jc w:val="center"/>
                    <w:rPr>
                      <w:rStyle w:val="68"/>
                      <w:bCs/>
                      <w:color w:val="auto"/>
                      <w:szCs w:val="21"/>
                    </w:rPr>
                  </w:pPr>
                </w:p>
              </w:tc>
              <w:tc>
                <w:tcPr>
                  <w:tcW w:w="688" w:type="dxa"/>
                  <w:vAlign w:val="center"/>
                </w:tcPr>
                <w:p w14:paraId="43FBCC34">
                  <w:pPr>
                    <w:adjustRightInd w:val="0"/>
                    <w:snapToGrid w:val="0"/>
                    <w:jc w:val="center"/>
                    <w:rPr>
                      <w:rStyle w:val="68"/>
                      <w:bCs/>
                      <w:color w:val="auto"/>
                      <w:szCs w:val="21"/>
                    </w:rPr>
                  </w:pPr>
                  <w:r>
                    <w:rPr>
                      <w:rStyle w:val="68"/>
                      <w:bCs/>
                      <w:color w:val="auto"/>
                      <w:szCs w:val="21"/>
                    </w:rPr>
                    <w:t>一般工业固废</w:t>
                  </w:r>
                </w:p>
                <w:p w14:paraId="18B5940C">
                  <w:pPr>
                    <w:adjustRightInd w:val="0"/>
                    <w:snapToGrid w:val="0"/>
                    <w:jc w:val="center"/>
                    <w:rPr>
                      <w:rStyle w:val="68"/>
                      <w:bCs/>
                      <w:color w:val="auto"/>
                      <w:szCs w:val="21"/>
                    </w:rPr>
                  </w:pPr>
                </w:p>
              </w:tc>
              <w:tc>
                <w:tcPr>
                  <w:tcW w:w="1114" w:type="dxa"/>
                  <w:vAlign w:val="center"/>
                </w:tcPr>
                <w:p w14:paraId="530D5A48">
                  <w:pPr>
                    <w:pStyle w:val="67"/>
                    <w:adjustRightInd w:val="0"/>
                    <w:snapToGrid w:val="0"/>
                    <w:rPr>
                      <w:rStyle w:val="68"/>
                      <w:bCs/>
                      <w:color w:val="auto"/>
                      <w:szCs w:val="21"/>
                    </w:rPr>
                  </w:pPr>
                  <w:r>
                    <w:rPr>
                      <w:rStyle w:val="68"/>
                      <w:rFonts w:hint="eastAsia"/>
                      <w:bCs/>
                      <w:color w:val="auto"/>
                      <w:szCs w:val="21"/>
                    </w:rPr>
                    <w:t>HW49其他废物</w:t>
                  </w:r>
                </w:p>
              </w:tc>
              <w:tc>
                <w:tcPr>
                  <w:tcW w:w="1114" w:type="dxa"/>
                  <w:vAlign w:val="center"/>
                </w:tcPr>
                <w:p w14:paraId="39508ABF">
                  <w:pPr>
                    <w:adjustRightInd w:val="0"/>
                    <w:snapToGrid w:val="0"/>
                    <w:jc w:val="center"/>
                    <w:rPr>
                      <w:rStyle w:val="68"/>
                      <w:bCs/>
                      <w:color w:val="auto"/>
                      <w:szCs w:val="21"/>
                    </w:rPr>
                  </w:pPr>
                  <w:r>
                    <w:rPr>
                      <w:rStyle w:val="68"/>
                      <w:rFonts w:hint="eastAsia"/>
                      <w:bCs/>
                      <w:color w:val="auto"/>
                      <w:szCs w:val="21"/>
                    </w:rPr>
                    <w:t>HW49其他废物</w:t>
                  </w:r>
                </w:p>
              </w:tc>
              <w:tc>
                <w:tcPr>
                  <w:tcW w:w="1114" w:type="dxa"/>
                  <w:vAlign w:val="center"/>
                </w:tcPr>
                <w:p w14:paraId="149104B3">
                  <w:pPr>
                    <w:adjustRightInd w:val="0"/>
                    <w:snapToGrid w:val="0"/>
                    <w:jc w:val="center"/>
                    <w:rPr>
                      <w:rStyle w:val="68"/>
                      <w:bCs/>
                      <w:color w:val="auto"/>
                      <w:szCs w:val="21"/>
                    </w:rPr>
                  </w:pPr>
                  <w:r>
                    <w:rPr>
                      <w:rStyle w:val="68"/>
                      <w:bCs/>
                      <w:color w:val="auto"/>
                      <w:szCs w:val="21"/>
                    </w:rPr>
                    <w:t>HW29含汞废物</w:t>
                  </w:r>
                </w:p>
              </w:tc>
              <w:tc>
                <w:tcPr>
                  <w:tcW w:w="1114" w:type="dxa"/>
                  <w:vAlign w:val="center"/>
                </w:tcPr>
                <w:p w14:paraId="2881E613">
                  <w:pPr>
                    <w:adjustRightInd w:val="0"/>
                    <w:snapToGrid w:val="0"/>
                    <w:jc w:val="center"/>
                    <w:rPr>
                      <w:rStyle w:val="68"/>
                      <w:bCs/>
                      <w:color w:val="auto"/>
                      <w:szCs w:val="21"/>
                    </w:rPr>
                  </w:pPr>
                  <w:r>
                    <w:rPr>
                      <w:rStyle w:val="68"/>
                      <w:rFonts w:hint="eastAsia"/>
                      <w:bCs/>
                      <w:color w:val="auto"/>
                      <w:szCs w:val="21"/>
                    </w:rPr>
                    <w:t>HW08废矿物油</w:t>
                  </w:r>
                </w:p>
              </w:tc>
            </w:tr>
            <w:tr w14:paraId="4FDEA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dxa"/>
                  <w:vMerge w:val="continue"/>
                  <w:vAlign w:val="center"/>
                </w:tcPr>
                <w:p w14:paraId="7ACF57BD">
                  <w:pPr>
                    <w:pStyle w:val="67"/>
                    <w:adjustRightInd w:val="0"/>
                    <w:snapToGrid w:val="0"/>
                    <w:rPr>
                      <w:rStyle w:val="68"/>
                      <w:bCs/>
                      <w:color w:val="auto"/>
                      <w:szCs w:val="21"/>
                    </w:rPr>
                  </w:pPr>
                </w:p>
              </w:tc>
              <w:tc>
                <w:tcPr>
                  <w:tcW w:w="268" w:type="dxa"/>
                  <w:vAlign w:val="center"/>
                </w:tcPr>
                <w:p w14:paraId="7E2E9891">
                  <w:pPr>
                    <w:pStyle w:val="67"/>
                    <w:adjustRightInd w:val="0"/>
                    <w:snapToGrid w:val="0"/>
                    <w:rPr>
                      <w:rStyle w:val="68"/>
                      <w:bCs/>
                      <w:color w:val="auto"/>
                      <w:szCs w:val="21"/>
                    </w:rPr>
                  </w:pPr>
                  <w:r>
                    <w:rPr>
                      <w:rStyle w:val="68"/>
                      <w:bCs/>
                      <w:color w:val="auto"/>
                      <w:szCs w:val="21"/>
                    </w:rPr>
                    <w:t>危险废物代码</w:t>
                  </w:r>
                </w:p>
              </w:tc>
              <w:tc>
                <w:tcPr>
                  <w:tcW w:w="703" w:type="dxa"/>
                  <w:vAlign w:val="center"/>
                </w:tcPr>
                <w:p w14:paraId="2B3C96BC">
                  <w:pPr>
                    <w:pStyle w:val="67"/>
                    <w:adjustRightInd w:val="0"/>
                    <w:snapToGrid w:val="0"/>
                    <w:rPr>
                      <w:rStyle w:val="68"/>
                      <w:bCs/>
                      <w:color w:val="auto"/>
                      <w:szCs w:val="21"/>
                    </w:rPr>
                  </w:pPr>
                  <w:r>
                    <w:rPr>
                      <w:rStyle w:val="68"/>
                      <w:bCs/>
                      <w:color w:val="auto"/>
                      <w:szCs w:val="21"/>
                    </w:rPr>
                    <w:t>/</w:t>
                  </w:r>
                </w:p>
              </w:tc>
              <w:tc>
                <w:tcPr>
                  <w:tcW w:w="690" w:type="dxa"/>
                  <w:vAlign w:val="center"/>
                </w:tcPr>
                <w:p w14:paraId="7E2FF55F">
                  <w:pPr>
                    <w:pStyle w:val="67"/>
                    <w:adjustRightInd w:val="0"/>
                    <w:snapToGrid w:val="0"/>
                    <w:rPr>
                      <w:rStyle w:val="68"/>
                      <w:bCs/>
                      <w:color w:val="auto"/>
                      <w:szCs w:val="21"/>
                    </w:rPr>
                  </w:pPr>
                  <w:r>
                    <w:rPr>
                      <w:rStyle w:val="68"/>
                      <w:bCs/>
                      <w:color w:val="auto"/>
                      <w:szCs w:val="21"/>
                    </w:rPr>
                    <w:t>/</w:t>
                  </w:r>
                </w:p>
              </w:tc>
              <w:tc>
                <w:tcPr>
                  <w:tcW w:w="615" w:type="dxa"/>
                  <w:vAlign w:val="center"/>
                </w:tcPr>
                <w:p w14:paraId="4D500DDB">
                  <w:pPr>
                    <w:pStyle w:val="67"/>
                    <w:adjustRightInd w:val="0"/>
                    <w:snapToGrid w:val="0"/>
                    <w:rPr>
                      <w:rStyle w:val="68"/>
                      <w:bCs/>
                      <w:color w:val="auto"/>
                      <w:szCs w:val="21"/>
                    </w:rPr>
                  </w:pPr>
                  <w:r>
                    <w:rPr>
                      <w:rStyle w:val="68"/>
                      <w:bCs/>
                      <w:color w:val="auto"/>
                      <w:szCs w:val="21"/>
                    </w:rPr>
                    <w:t>/</w:t>
                  </w:r>
                </w:p>
              </w:tc>
              <w:tc>
                <w:tcPr>
                  <w:tcW w:w="690" w:type="dxa"/>
                  <w:vAlign w:val="center"/>
                </w:tcPr>
                <w:p w14:paraId="0EA77909">
                  <w:pPr>
                    <w:pStyle w:val="67"/>
                    <w:adjustRightInd w:val="0"/>
                    <w:snapToGrid w:val="0"/>
                    <w:rPr>
                      <w:bCs/>
                      <w:color w:val="auto"/>
                      <w:szCs w:val="21"/>
                    </w:rPr>
                  </w:pPr>
                  <w:r>
                    <w:rPr>
                      <w:rStyle w:val="68"/>
                      <w:bCs/>
                      <w:color w:val="auto"/>
                      <w:szCs w:val="21"/>
                    </w:rPr>
                    <w:t>/</w:t>
                  </w:r>
                </w:p>
              </w:tc>
              <w:tc>
                <w:tcPr>
                  <w:tcW w:w="688" w:type="dxa"/>
                  <w:vAlign w:val="center"/>
                </w:tcPr>
                <w:p w14:paraId="572431CC">
                  <w:pPr>
                    <w:pStyle w:val="67"/>
                    <w:adjustRightInd w:val="0"/>
                    <w:snapToGrid w:val="0"/>
                    <w:rPr>
                      <w:bCs/>
                      <w:color w:val="auto"/>
                      <w:szCs w:val="21"/>
                    </w:rPr>
                  </w:pPr>
                  <w:r>
                    <w:rPr>
                      <w:rStyle w:val="68"/>
                      <w:bCs/>
                      <w:color w:val="auto"/>
                      <w:szCs w:val="21"/>
                    </w:rPr>
                    <w:t>/</w:t>
                  </w:r>
                </w:p>
              </w:tc>
              <w:tc>
                <w:tcPr>
                  <w:tcW w:w="1114" w:type="dxa"/>
                  <w:vAlign w:val="center"/>
                </w:tcPr>
                <w:p w14:paraId="391A105F">
                  <w:pPr>
                    <w:pStyle w:val="67"/>
                    <w:adjustRightInd w:val="0"/>
                    <w:snapToGrid w:val="0"/>
                    <w:rPr>
                      <w:bCs/>
                      <w:color w:val="auto"/>
                      <w:szCs w:val="21"/>
                    </w:rPr>
                  </w:pPr>
                  <w:r>
                    <w:rPr>
                      <w:rFonts w:hint="eastAsia"/>
                      <w:bCs/>
                      <w:color w:val="auto"/>
                      <w:szCs w:val="21"/>
                    </w:rPr>
                    <w:t>900-041-49</w:t>
                  </w:r>
                </w:p>
              </w:tc>
              <w:tc>
                <w:tcPr>
                  <w:tcW w:w="1114" w:type="dxa"/>
                  <w:vAlign w:val="center"/>
                </w:tcPr>
                <w:p w14:paraId="46C01BE9">
                  <w:pPr>
                    <w:adjustRightInd w:val="0"/>
                    <w:snapToGrid w:val="0"/>
                    <w:jc w:val="center"/>
                    <w:rPr>
                      <w:bCs/>
                      <w:color w:val="auto"/>
                      <w:szCs w:val="21"/>
                    </w:rPr>
                  </w:pPr>
                  <w:r>
                    <w:rPr>
                      <w:rFonts w:hint="eastAsia"/>
                      <w:bCs/>
                      <w:color w:val="auto"/>
                      <w:szCs w:val="21"/>
                    </w:rPr>
                    <w:t>900-041-49</w:t>
                  </w:r>
                </w:p>
              </w:tc>
              <w:tc>
                <w:tcPr>
                  <w:tcW w:w="1114" w:type="dxa"/>
                  <w:vAlign w:val="center"/>
                </w:tcPr>
                <w:p w14:paraId="4B0B00F0">
                  <w:pPr>
                    <w:adjustRightInd w:val="0"/>
                    <w:snapToGrid w:val="0"/>
                    <w:jc w:val="center"/>
                    <w:rPr>
                      <w:bCs/>
                      <w:color w:val="auto"/>
                      <w:szCs w:val="21"/>
                    </w:rPr>
                  </w:pPr>
                  <w:r>
                    <w:rPr>
                      <w:bCs/>
                      <w:color w:val="auto"/>
                      <w:szCs w:val="21"/>
                    </w:rPr>
                    <w:t>900-023-29</w:t>
                  </w:r>
                </w:p>
              </w:tc>
              <w:tc>
                <w:tcPr>
                  <w:tcW w:w="1114" w:type="dxa"/>
                  <w:vAlign w:val="center"/>
                </w:tcPr>
                <w:p w14:paraId="3FA4CC00">
                  <w:pPr>
                    <w:adjustRightInd w:val="0"/>
                    <w:snapToGrid w:val="0"/>
                    <w:jc w:val="center"/>
                    <w:rPr>
                      <w:bCs/>
                      <w:color w:val="auto"/>
                      <w:szCs w:val="21"/>
                    </w:rPr>
                  </w:pPr>
                  <w:r>
                    <w:rPr>
                      <w:rFonts w:hint="eastAsia"/>
                      <w:bCs/>
                      <w:color w:val="auto"/>
                      <w:szCs w:val="21"/>
                    </w:rPr>
                    <w:t>900-249-08</w:t>
                  </w:r>
                </w:p>
              </w:tc>
            </w:tr>
            <w:tr w14:paraId="5572D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gridSpan w:val="2"/>
                  <w:vAlign w:val="center"/>
                </w:tcPr>
                <w:p w14:paraId="17E3EFD7">
                  <w:pPr>
                    <w:widowControl/>
                    <w:adjustRightInd w:val="0"/>
                    <w:snapToGrid w:val="0"/>
                    <w:jc w:val="center"/>
                    <w:rPr>
                      <w:bCs/>
                      <w:color w:val="auto"/>
                      <w:szCs w:val="21"/>
                    </w:rPr>
                  </w:pPr>
                  <w:r>
                    <w:rPr>
                      <w:bCs/>
                      <w:color w:val="auto"/>
                      <w:kern w:val="0"/>
                      <w:szCs w:val="21"/>
                    </w:rPr>
                    <w:t>主要有毒有害物质名称</w:t>
                  </w:r>
                </w:p>
              </w:tc>
              <w:tc>
                <w:tcPr>
                  <w:tcW w:w="703" w:type="dxa"/>
                  <w:vAlign w:val="center"/>
                </w:tcPr>
                <w:p w14:paraId="7D600622">
                  <w:pPr>
                    <w:pStyle w:val="67"/>
                    <w:adjustRightInd w:val="0"/>
                    <w:snapToGrid w:val="0"/>
                    <w:rPr>
                      <w:rStyle w:val="68"/>
                      <w:bCs/>
                      <w:color w:val="auto"/>
                      <w:szCs w:val="21"/>
                    </w:rPr>
                  </w:pPr>
                  <w:r>
                    <w:rPr>
                      <w:rStyle w:val="68"/>
                      <w:bCs/>
                      <w:color w:val="auto"/>
                      <w:szCs w:val="21"/>
                    </w:rPr>
                    <w:t>/</w:t>
                  </w:r>
                </w:p>
              </w:tc>
              <w:tc>
                <w:tcPr>
                  <w:tcW w:w="690" w:type="dxa"/>
                  <w:vAlign w:val="center"/>
                </w:tcPr>
                <w:p w14:paraId="6B9F95E9">
                  <w:pPr>
                    <w:pStyle w:val="67"/>
                    <w:adjustRightInd w:val="0"/>
                    <w:snapToGrid w:val="0"/>
                    <w:rPr>
                      <w:rStyle w:val="68"/>
                      <w:bCs/>
                      <w:color w:val="auto"/>
                      <w:szCs w:val="21"/>
                    </w:rPr>
                  </w:pPr>
                  <w:r>
                    <w:rPr>
                      <w:rStyle w:val="68"/>
                      <w:bCs/>
                      <w:color w:val="auto"/>
                      <w:szCs w:val="21"/>
                    </w:rPr>
                    <w:t>/</w:t>
                  </w:r>
                </w:p>
              </w:tc>
              <w:tc>
                <w:tcPr>
                  <w:tcW w:w="615" w:type="dxa"/>
                  <w:vAlign w:val="center"/>
                </w:tcPr>
                <w:p w14:paraId="6273C72C">
                  <w:pPr>
                    <w:pStyle w:val="67"/>
                    <w:adjustRightInd w:val="0"/>
                    <w:snapToGrid w:val="0"/>
                    <w:rPr>
                      <w:rStyle w:val="68"/>
                      <w:bCs/>
                      <w:color w:val="auto"/>
                      <w:szCs w:val="21"/>
                    </w:rPr>
                  </w:pPr>
                  <w:r>
                    <w:rPr>
                      <w:rStyle w:val="68"/>
                      <w:bCs/>
                      <w:color w:val="auto"/>
                      <w:szCs w:val="21"/>
                    </w:rPr>
                    <w:t>/</w:t>
                  </w:r>
                </w:p>
              </w:tc>
              <w:tc>
                <w:tcPr>
                  <w:tcW w:w="690" w:type="dxa"/>
                  <w:vAlign w:val="center"/>
                </w:tcPr>
                <w:p w14:paraId="4F633B8D">
                  <w:pPr>
                    <w:adjustRightInd w:val="0"/>
                    <w:snapToGrid w:val="0"/>
                    <w:jc w:val="center"/>
                    <w:rPr>
                      <w:rStyle w:val="68"/>
                      <w:bCs/>
                      <w:color w:val="auto"/>
                      <w:szCs w:val="21"/>
                    </w:rPr>
                  </w:pPr>
                  <w:r>
                    <w:rPr>
                      <w:rStyle w:val="68"/>
                      <w:bCs/>
                      <w:color w:val="auto"/>
                      <w:szCs w:val="21"/>
                    </w:rPr>
                    <w:t>/</w:t>
                  </w:r>
                </w:p>
              </w:tc>
              <w:tc>
                <w:tcPr>
                  <w:tcW w:w="688" w:type="dxa"/>
                  <w:vAlign w:val="center"/>
                </w:tcPr>
                <w:p w14:paraId="697CACB5">
                  <w:pPr>
                    <w:adjustRightInd w:val="0"/>
                    <w:snapToGrid w:val="0"/>
                    <w:jc w:val="center"/>
                    <w:rPr>
                      <w:rStyle w:val="68"/>
                      <w:bCs/>
                      <w:color w:val="auto"/>
                      <w:szCs w:val="21"/>
                    </w:rPr>
                  </w:pPr>
                  <w:r>
                    <w:rPr>
                      <w:rStyle w:val="68"/>
                      <w:bCs/>
                      <w:color w:val="auto"/>
                      <w:szCs w:val="21"/>
                    </w:rPr>
                    <w:t>/</w:t>
                  </w:r>
                </w:p>
              </w:tc>
              <w:tc>
                <w:tcPr>
                  <w:tcW w:w="1114" w:type="dxa"/>
                  <w:vAlign w:val="center"/>
                </w:tcPr>
                <w:p w14:paraId="1C37E8AE">
                  <w:pPr>
                    <w:pStyle w:val="67"/>
                    <w:adjustRightInd w:val="0"/>
                    <w:snapToGrid w:val="0"/>
                    <w:rPr>
                      <w:rStyle w:val="68"/>
                      <w:bCs/>
                      <w:color w:val="auto"/>
                      <w:szCs w:val="21"/>
                    </w:rPr>
                  </w:pPr>
                  <w:r>
                    <w:rPr>
                      <w:rStyle w:val="68"/>
                      <w:bCs/>
                      <w:color w:val="auto"/>
                      <w:szCs w:val="21"/>
                    </w:rPr>
                    <w:t>三聚氰</w:t>
                  </w:r>
                </w:p>
                <w:p w14:paraId="5301084D">
                  <w:pPr>
                    <w:pStyle w:val="67"/>
                    <w:adjustRightInd w:val="0"/>
                    <w:snapToGrid w:val="0"/>
                    <w:rPr>
                      <w:rStyle w:val="68"/>
                      <w:bCs/>
                      <w:color w:val="auto"/>
                      <w:szCs w:val="21"/>
                    </w:rPr>
                  </w:pPr>
                  <w:r>
                    <w:rPr>
                      <w:rStyle w:val="68"/>
                      <w:bCs/>
                      <w:color w:val="auto"/>
                      <w:szCs w:val="21"/>
                    </w:rPr>
                    <w:t>胺胶</w:t>
                  </w:r>
                </w:p>
              </w:tc>
              <w:tc>
                <w:tcPr>
                  <w:tcW w:w="1114" w:type="dxa"/>
                  <w:vAlign w:val="center"/>
                </w:tcPr>
                <w:p w14:paraId="523DB089">
                  <w:pPr>
                    <w:pStyle w:val="67"/>
                    <w:adjustRightInd w:val="0"/>
                    <w:snapToGrid w:val="0"/>
                    <w:rPr>
                      <w:rStyle w:val="68"/>
                      <w:bCs/>
                      <w:color w:val="auto"/>
                      <w:szCs w:val="21"/>
                    </w:rPr>
                  </w:pPr>
                  <w:r>
                    <w:rPr>
                      <w:rStyle w:val="68"/>
                      <w:rFonts w:hint="eastAsia"/>
                      <w:bCs/>
                      <w:color w:val="auto"/>
                      <w:szCs w:val="21"/>
                    </w:rPr>
                    <w:t>活性炭</w:t>
                  </w:r>
                </w:p>
              </w:tc>
              <w:tc>
                <w:tcPr>
                  <w:tcW w:w="1114" w:type="dxa"/>
                  <w:vAlign w:val="center"/>
                </w:tcPr>
                <w:p w14:paraId="234646E3">
                  <w:pPr>
                    <w:pStyle w:val="67"/>
                    <w:adjustRightInd w:val="0"/>
                    <w:snapToGrid w:val="0"/>
                    <w:rPr>
                      <w:rStyle w:val="68"/>
                      <w:bCs/>
                      <w:color w:val="auto"/>
                      <w:szCs w:val="21"/>
                    </w:rPr>
                  </w:pPr>
                  <w:r>
                    <w:rPr>
                      <w:rStyle w:val="68"/>
                      <w:rFonts w:hint="eastAsia"/>
                      <w:bCs/>
                      <w:color w:val="auto"/>
                      <w:szCs w:val="21"/>
                    </w:rPr>
                    <w:t>UV灯管</w:t>
                  </w:r>
                </w:p>
              </w:tc>
              <w:tc>
                <w:tcPr>
                  <w:tcW w:w="1114" w:type="dxa"/>
                  <w:vAlign w:val="center"/>
                </w:tcPr>
                <w:p w14:paraId="40BE8BA5">
                  <w:pPr>
                    <w:pStyle w:val="67"/>
                    <w:adjustRightInd w:val="0"/>
                    <w:snapToGrid w:val="0"/>
                    <w:rPr>
                      <w:rStyle w:val="68"/>
                      <w:bCs/>
                      <w:color w:val="auto"/>
                      <w:szCs w:val="21"/>
                    </w:rPr>
                  </w:pPr>
                  <w:r>
                    <w:rPr>
                      <w:rStyle w:val="68"/>
                      <w:rFonts w:hint="eastAsia"/>
                      <w:bCs/>
                      <w:color w:val="auto"/>
                      <w:szCs w:val="21"/>
                    </w:rPr>
                    <w:t>废矿物油</w:t>
                  </w:r>
                </w:p>
              </w:tc>
            </w:tr>
            <w:tr w14:paraId="7069A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gridSpan w:val="2"/>
                  <w:vAlign w:val="center"/>
                </w:tcPr>
                <w:p w14:paraId="080F79C8">
                  <w:pPr>
                    <w:widowControl/>
                    <w:adjustRightInd w:val="0"/>
                    <w:snapToGrid w:val="0"/>
                    <w:jc w:val="center"/>
                    <w:rPr>
                      <w:bCs/>
                      <w:color w:val="auto"/>
                      <w:szCs w:val="21"/>
                    </w:rPr>
                  </w:pPr>
                  <w:r>
                    <w:rPr>
                      <w:bCs/>
                      <w:color w:val="auto"/>
                      <w:kern w:val="0"/>
                      <w:szCs w:val="21"/>
                    </w:rPr>
                    <w:t>物理性状</w:t>
                  </w:r>
                </w:p>
              </w:tc>
              <w:tc>
                <w:tcPr>
                  <w:tcW w:w="703" w:type="dxa"/>
                  <w:vAlign w:val="center"/>
                </w:tcPr>
                <w:p w14:paraId="685AC6BA">
                  <w:pPr>
                    <w:pStyle w:val="67"/>
                    <w:adjustRightInd w:val="0"/>
                    <w:snapToGrid w:val="0"/>
                    <w:rPr>
                      <w:rStyle w:val="68"/>
                      <w:bCs/>
                      <w:color w:val="auto"/>
                      <w:szCs w:val="21"/>
                    </w:rPr>
                  </w:pPr>
                  <w:r>
                    <w:rPr>
                      <w:rStyle w:val="68"/>
                      <w:bCs/>
                      <w:color w:val="auto"/>
                      <w:szCs w:val="21"/>
                    </w:rPr>
                    <w:t>固体</w:t>
                  </w:r>
                </w:p>
              </w:tc>
              <w:tc>
                <w:tcPr>
                  <w:tcW w:w="690" w:type="dxa"/>
                  <w:vAlign w:val="center"/>
                </w:tcPr>
                <w:p w14:paraId="5D56DCA8">
                  <w:pPr>
                    <w:pStyle w:val="67"/>
                    <w:adjustRightInd w:val="0"/>
                    <w:snapToGrid w:val="0"/>
                    <w:rPr>
                      <w:rStyle w:val="68"/>
                      <w:bCs/>
                      <w:color w:val="auto"/>
                      <w:szCs w:val="21"/>
                    </w:rPr>
                  </w:pPr>
                  <w:r>
                    <w:rPr>
                      <w:rStyle w:val="68"/>
                      <w:bCs/>
                      <w:color w:val="auto"/>
                      <w:szCs w:val="21"/>
                    </w:rPr>
                    <w:t>固体</w:t>
                  </w:r>
                </w:p>
              </w:tc>
              <w:tc>
                <w:tcPr>
                  <w:tcW w:w="615" w:type="dxa"/>
                  <w:vAlign w:val="center"/>
                </w:tcPr>
                <w:p w14:paraId="437D72B5">
                  <w:pPr>
                    <w:pStyle w:val="67"/>
                    <w:adjustRightInd w:val="0"/>
                    <w:snapToGrid w:val="0"/>
                    <w:rPr>
                      <w:rStyle w:val="68"/>
                      <w:bCs/>
                      <w:color w:val="auto"/>
                      <w:szCs w:val="21"/>
                    </w:rPr>
                  </w:pPr>
                  <w:r>
                    <w:rPr>
                      <w:rStyle w:val="68"/>
                      <w:bCs/>
                      <w:color w:val="auto"/>
                      <w:szCs w:val="21"/>
                    </w:rPr>
                    <w:t>固体</w:t>
                  </w:r>
                </w:p>
              </w:tc>
              <w:tc>
                <w:tcPr>
                  <w:tcW w:w="690" w:type="dxa"/>
                  <w:vAlign w:val="center"/>
                </w:tcPr>
                <w:p w14:paraId="7E35DCF7">
                  <w:pPr>
                    <w:pStyle w:val="67"/>
                    <w:adjustRightInd w:val="0"/>
                    <w:snapToGrid w:val="0"/>
                    <w:rPr>
                      <w:rStyle w:val="68"/>
                      <w:bCs/>
                      <w:color w:val="auto"/>
                      <w:szCs w:val="21"/>
                    </w:rPr>
                  </w:pPr>
                  <w:r>
                    <w:rPr>
                      <w:rStyle w:val="68"/>
                      <w:bCs/>
                      <w:color w:val="auto"/>
                      <w:szCs w:val="21"/>
                    </w:rPr>
                    <w:t>固体</w:t>
                  </w:r>
                </w:p>
              </w:tc>
              <w:tc>
                <w:tcPr>
                  <w:tcW w:w="688" w:type="dxa"/>
                  <w:vAlign w:val="center"/>
                </w:tcPr>
                <w:p w14:paraId="5EF4F863">
                  <w:pPr>
                    <w:pStyle w:val="67"/>
                    <w:adjustRightInd w:val="0"/>
                    <w:snapToGrid w:val="0"/>
                    <w:rPr>
                      <w:rStyle w:val="68"/>
                      <w:bCs/>
                      <w:color w:val="auto"/>
                      <w:szCs w:val="21"/>
                    </w:rPr>
                  </w:pPr>
                  <w:r>
                    <w:rPr>
                      <w:rStyle w:val="68"/>
                      <w:bCs/>
                      <w:color w:val="auto"/>
                      <w:szCs w:val="21"/>
                    </w:rPr>
                    <w:t>固体</w:t>
                  </w:r>
                </w:p>
              </w:tc>
              <w:tc>
                <w:tcPr>
                  <w:tcW w:w="1114" w:type="dxa"/>
                  <w:vAlign w:val="center"/>
                </w:tcPr>
                <w:p w14:paraId="5C14E1B4">
                  <w:pPr>
                    <w:pStyle w:val="67"/>
                    <w:adjustRightInd w:val="0"/>
                    <w:snapToGrid w:val="0"/>
                    <w:rPr>
                      <w:rStyle w:val="68"/>
                      <w:bCs/>
                      <w:color w:val="auto"/>
                      <w:szCs w:val="21"/>
                    </w:rPr>
                  </w:pPr>
                  <w:r>
                    <w:rPr>
                      <w:rStyle w:val="68"/>
                      <w:rFonts w:hint="eastAsia"/>
                      <w:bCs/>
                      <w:color w:val="auto"/>
                      <w:szCs w:val="21"/>
                    </w:rPr>
                    <w:t>固态</w:t>
                  </w:r>
                </w:p>
              </w:tc>
              <w:tc>
                <w:tcPr>
                  <w:tcW w:w="1114" w:type="dxa"/>
                  <w:vAlign w:val="center"/>
                </w:tcPr>
                <w:p w14:paraId="7AEC914A">
                  <w:pPr>
                    <w:pStyle w:val="67"/>
                    <w:adjustRightInd w:val="0"/>
                    <w:snapToGrid w:val="0"/>
                    <w:rPr>
                      <w:rStyle w:val="68"/>
                      <w:bCs/>
                      <w:color w:val="auto"/>
                      <w:szCs w:val="21"/>
                    </w:rPr>
                  </w:pPr>
                  <w:r>
                    <w:rPr>
                      <w:rStyle w:val="68"/>
                      <w:rFonts w:hint="eastAsia"/>
                      <w:bCs/>
                      <w:color w:val="auto"/>
                      <w:szCs w:val="21"/>
                    </w:rPr>
                    <w:t>固态</w:t>
                  </w:r>
                </w:p>
              </w:tc>
              <w:tc>
                <w:tcPr>
                  <w:tcW w:w="1114" w:type="dxa"/>
                  <w:vAlign w:val="center"/>
                </w:tcPr>
                <w:p w14:paraId="6E940A7E">
                  <w:pPr>
                    <w:pStyle w:val="67"/>
                    <w:adjustRightInd w:val="0"/>
                    <w:snapToGrid w:val="0"/>
                    <w:rPr>
                      <w:rStyle w:val="68"/>
                      <w:bCs/>
                      <w:color w:val="auto"/>
                      <w:szCs w:val="21"/>
                    </w:rPr>
                  </w:pPr>
                  <w:r>
                    <w:rPr>
                      <w:rStyle w:val="68"/>
                      <w:rFonts w:hint="eastAsia"/>
                      <w:bCs/>
                      <w:color w:val="auto"/>
                      <w:szCs w:val="21"/>
                    </w:rPr>
                    <w:t>固态</w:t>
                  </w:r>
                </w:p>
              </w:tc>
              <w:tc>
                <w:tcPr>
                  <w:tcW w:w="1114" w:type="dxa"/>
                  <w:vAlign w:val="center"/>
                </w:tcPr>
                <w:p w14:paraId="78C2480A">
                  <w:pPr>
                    <w:pStyle w:val="67"/>
                    <w:adjustRightInd w:val="0"/>
                    <w:snapToGrid w:val="0"/>
                    <w:rPr>
                      <w:rStyle w:val="68"/>
                      <w:bCs/>
                      <w:color w:val="auto"/>
                      <w:szCs w:val="21"/>
                    </w:rPr>
                  </w:pPr>
                  <w:r>
                    <w:rPr>
                      <w:rStyle w:val="68"/>
                      <w:rFonts w:hint="eastAsia"/>
                      <w:bCs/>
                      <w:color w:val="auto"/>
                      <w:szCs w:val="21"/>
                    </w:rPr>
                    <w:t>液态</w:t>
                  </w:r>
                </w:p>
              </w:tc>
            </w:tr>
            <w:tr w14:paraId="7E657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gridSpan w:val="2"/>
                  <w:vAlign w:val="center"/>
                </w:tcPr>
                <w:p w14:paraId="0CF069EB">
                  <w:pPr>
                    <w:widowControl/>
                    <w:adjustRightInd w:val="0"/>
                    <w:snapToGrid w:val="0"/>
                    <w:jc w:val="center"/>
                    <w:rPr>
                      <w:rStyle w:val="68"/>
                      <w:bCs/>
                      <w:color w:val="auto"/>
                      <w:szCs w:val="21"/>
                    </w:rPr>
                  </w:pPr>
                  <w:r>
                    <w:rPr>
                      <w:bCs/>
                      <w:color w:val="auto"/>
                      <w:kern w:val="0"/>
                      <w:szCs w:val="21"/>
                    </w:rPr>
                    <w:t>环境危险特性</w:t>
                  </w:r>
                </w:p>
              </w:tc>
              <w:tc>
                <w:tcPr>
                  <w:tcW w:w="703" w:type="dxa"/>
                  <w:vAlign w:val="center"/>
                </w:tcPr>
                <w:p w14:paraId="210C4139">
                  <w:pPr>
                    <w:pStyle w:val="67"/>
                    <w:adjustRightInd w:val="0"/>
                    <w:snapToGrid w:val="0"/>
                    <w:rPr>
                      <w:rStyle w:val="68"/>
                      <w:bCs/>
                      <w:color w:val="auto"/>
                      <w:szCs w:val="21"/>
                    </w:rPr>
                  </w:pPr>
                  <w:r>
                    <w:rPr>
                      <w:rStyle w:val="68"/>
                      <w:bCs/>
                      <w:color w:val="auto"/>
                      <w:szCs w:val="21"/>
                    </w:rPr>
                    <w:t>/</w:t>
                  </w:r>
                </w:p>
              </w:tc>
              <w:tc>
                <w:tcPr>
                  <w:tcW w:w="690" w:type="dxa"/>
                  <w:vAlign w:val="center"/>
                </w:tcPr>
                <w:p w14:paraId="0462E0AB">
                  <w:pPr>
                    <w:pStyle w:val="67"/>
                    <w:adjustRightInd w:val="0"/>
                    <w:snapToGrid w:val="0"/>
                    <w:rPr>
                      <w:rStyle w:val="68"/>
                      <w:bCs/>
                      <w:color w:val="auto"/>
                      <w:szCs w:val="21"/>
                    </w:rPr>
                  </w:pPr>
                  <w:r>
                    <w:rPr>
                      <w:rStyle w:val="68"/>
                      <w:bCs/>
                      <w:color w:val="auto"/>
                      <w:szCs w:val="21"/>
                    </w:rPr>
                    <w:t>/</w:t>
                  </w:r>
                </w:p>
              </w:tc>
              <w:tc>
                <w:tcPr>
                  <w:tcW w:w="615" w:type="dxa"/>
                  <w:vAlign w:val="center"/>
                </w:tcPr>
                <w:p w14:paraId="550B155C">
                  <w:pPr>
                    <w:pStyle w:val="67"/>
                    <w:adjustRightInd w:val="0"/>
                    <w:snapToGrid w:val="0"/>
                    <w:rPr>
                      <w:rStyle w:val="68"/>
                      <w:bCs/>
                      <w:color w:val="auto"/>
                      <w:szCs w:val="21"/>
                    </w:rPr>
                  </w:pPr>
                  <w:r>
                    <w:rPr>
                      <w:rStyle w:val="68"/>
                      <w:bCs/>
                      <w:color w:val="auto"/>
                      <w:szCs w:val="21"/>
                    </w:rPr>
                    <w:t>/</w:t>
                  </w:r>
                </w:p>
              </w:tc>
              <w:tc>
                <w:tcPr>
                  <w:tcW w:w="690" w:type="dxa"/>
                  <w:vAlign w:val="center"/>
                </w:tcPr>
                <w:p w14:paraId="6C560877">
                  <w:pPr>
                    <w:pStyle w:val="67"/>
                    <w:adjustRightInd w:val="0"/>
                    <w:snapToGrid w:val="0"/>
                    <w:rPr>
                      <w:rStyle w:val="68"/>
                      <w:bCs/>
                      <w:color w:val="auto"/>
                      <w:szCs w:val="21"/>
                    </w:rPr>
                  </w:pPr>
                  <w:r>
                    <w:rPr>
                      <w:rStyle w:val="68"/>
                      <w:bCs/>
                      <w:color w:val="auto"/>
                      <w:szCs w:val="21"/>
                    </w:rPr>
                    <w:t>/</w:t>
                  </w:r>
                </w:p>
              </w:tc>
              <w:tc>
                <w:tcPr>
                  <w:tcW w:w="688" w:type="dxa"/>
                  <w:vAlign w:val="center"/>
                </w:tcPr>
                <w:p w14:paraId="7F50F622">
                  <w:pPr>
                    <w:pStyle w:val="67"/>
                    <w:adjustRightInd w:val="0"/>
                    <w:snapToGrid w:val="0"/>
                    <w:rPr>
                      <w:rStyle w:val="68"/>
                      <w:bCs/>
                      <w:color w:val="auto"/>
                      <w:szCs w:val="21"/>
                    </w:rPr>
                  </w:pPr>
                  <w:r>
                    <w:rPr>
                      <w:rStyle w:val="68"/>
                      <w:bCs/>
                      <w:color w:val="auto"/>
                      <w:szCs w:val="21"/>
                    </w:rPr>
                    <w:t>/</w:t>
                  </w:r>
                </w:p>
              </w:tc>
              <w:tc>
                <w:tcPr>
                  <w:tcW w:w="1114" w:type="dxa"/>
                  <w:vAlign w:val="center"/>
                </w:tcPr>
                <w:p w14:paraId="2A28CEF2">
                  <w:pPr>
                    <w:pStyle w:val="67"/>
                    <w:adjustRightInd w:val="0"/>
                    <w:snapToGrid w:val="0"/>
                    <w:rPr>
                      <w:rStyle w:val="68"/>
                      <w:bCs/>
                      <w:color w:val="auto"/>
                      <w:szCs w:val="21"/>
                    </w:rPr>
                  </w:pPr>
                  <w:r>
                    <w:rPr>
                      <w:rStyle w:val="68"/>
                      <w:rFonts w:hint="eastAsia"/>
                      <w:bCs/>
                      <w:color w:val="auto"/>
                      <w:szCs w:val="21"/>
                    </w:rPr>
                    <w:t>T/In</w:t>
                  </w:r>
                </w:p>
              </w:tc>
              <w:tc>
                <w:tcPr>
                  <w:tcW w:w="1114" w:type="dxa"/>
                  <w:vAlign w:val="center"/>
                </w:tcPr>
                <w:p w14:paraId="60C209F0">
                  <w:pPr>
                    <w:pStyle w:val="67"/>
                    <w:adjustRightInd w:val="0"/>
                    <w:snapToGrid w:val="0"/>
                    <w:rPr>
                      <w:rStyle w:val="68"/>
                      <w:bCs/>
                      <w:color w:val="auto"/>
                      <w:szCs w:val="21"/>
                    </w:rPr>
                  </w:pPr>
                  <w:r>
                    <w:rPr>
                      <w:rStyle w:val="68"/>
                      <w:rFonts w:hint="eastAsia"/>
                      <w:bCs/>
                      <w:color w:val="auto"/>
                      <w:szCs w:val="21"/>
                    </w:rPr>
                    <w:t>T/In</w:t>
                  </w:r>
                </w:p>
              </w:tc>
              <w:tc>
                <w:tcPr>
                  <w:tcW w:w="1114" w:type="dxa"/>
                  <w:vAlign w:val="center"/>
                </w:tcPr>
                <w:p w14:paraId="6CF16613">
                  <w:pPr>
                    <w:pStyle w:val="67"/>
                    <w:adjustRightInd w:val="0"/>
                    <w:snapToGrid w:val="0"/>
                    <w:rPr>
                      <w:rStyle w:val="68"/>
                      <w:bCs/>
                      <w:color w:val="auto"/>
                      <w:szCs w:val="21"/>
                    </w:rPr>
                  </w:pPr>
                  <w:r>
                    <w:rPr>
                      <w:rStyle w:val="68"/>
                      <w:rFonts w:hint="eastAsia"/>
                      <w:bCs/>
                      <w:color w:val="auto"/>
                      <w:szCs w:val="21"/>
                    </w:rPr>
                    <w:t>T</w:t>
                  </w:r>
                </w:p>
              </w:tc>
              <w:tc>
                <w:tcPr>
                  <w:tcW w:w="1114" w:type="dxa"/>
                  <w:vAlign w:val="center"/>
                </w:tcPr>
                <w:p w14:paraId="6F84CF94">
                  <w:pPr>
                    <w:pStyle w:val="67"/>
                    <w:adjustRightInd w:val="0"/>
                    <w:snapToGrid w:val="0"/>
                    <w:rPr>
                      <w:rStyle w:val="68"/>
                      <w:bCs/>
                      <w:color w:val="auto"/>
                      <w:szCs w:val="21"/>
                    </w:rPr>
                  </w:pPr>
                  <w:r>
                    <w:rPr>
                      <w:rStyle w:val="68"/>
                      <w:rFonts w:hint="eastAsia"/>
                      <w:bCs/>
                      <w:color w:val="auto"/>
                      <w:szCs w:val="21"/>
                    </w:rPr>
                    <w:t>T，I</w:t>
                  </w:r>
                </w:p>
              </w:tc>
            </w:tr>
            <w:tr w14:paraId="67608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gridSpan w:val="2"/>
                  <w:vAlign w:val="center"/>
                </w:tcPr>
                <w:p w14:paraId="70A35EAC">
                  <w:pPr>
                    <w:widowControl/>
                    <w:adjustRightInd w:val="0"/>
                    <w:snapToGrid w:val="0"/>
                    <w:jc w:val="center"/>
                    <w:rPr>
                      <w:rStyle w:val="68"/>
                      <w:bCs/>
                      <w:color w:val="auto"/>
                      <w:szCs w:val="21"/>
                    </w:rPr>
                  </w:pPr>
                  <w:r>
                    <w:rPr>
                      <w:bCs/>
                      <w:color w:val="auto"/>
                      <w:kern w:val="0"/>
                      <w:szCs w:val="21"/>
                    </w:rPr>
                    <w:t>年度产生量</w:t>
                  </w:r>
                </w:p>
              </w:tc>
              <w:tc>
                <w:tcPr>
                  <w:tcW w:w="703" w:type="dxa"/>
                  <w:vAlign w:val="center"/>
                </w:tcPr>
                <w:p w14:paraId="57771C9F">
                  <w:pPr>
                    <w:pStyle w:val="67"/>
                    <w:adjustRightInd w:val="0"/>
                    <w:snapToGrid w:val="0"/>
                    <w:rPr>
                      <w:rStyle w:val="68"/>
                      <w:bCs/>
                      <w:color w:val="auto"/>
                      <w:szCs w:val="21"/>
                    </w:rPr>
                  </w:pPr>
                  <w:r>
                    <w:rPr>
                      <w:rStyle w:val="68"/>
                      <w:rFonts w:hint="eastAsia"/>
                      <w:bCs/>
                      <w:color w:val="auto"/>
                      <w:szCs w:val="21"/>
                    </w:rPr>
                    <w:t>2t/a</w:t>
                  </w:r>
                </w:p>
              </w:tc>
              <w:tc>
                <w:tcPr>
                  <w:tcW w:w="690" w:type="dxa"/>
                  <w:vAlign w:val="center"/>
                </w:tcPr>
                <w:p w14:paraId="29E2F95B">
                  <w:pPr>
                    <w:pStyle w:val="67"/>
                    <w:adjustRightInd w:val="0"/>
                    <w:snapToGrid w:val="0"/>
                    <w:rPr>
                      <w:rStyle w:val="68"/>
                      <w:bCs/>
                      <w:color w:val="auto"/>
                      <w:szCs w:val="21"/>
                    </w:rPr>
                  </w:pPr>
                  <w:r>
                    <w:rPr>
                      <w:rStyle w:val="68"/>
                      <w:rFonts w:hint="eastAsia"/>
                      <w:bCs/>
                      <w:color w:val="auto"/>
                      <w:szCs w:val="21"/>
                    </w:rPr>
                    <w:t>0.787t/a</w:t>
                  </w:r>
                </w:p>
              </w:tc>
              <w:tc>
                <w:tcPr>
                  <w:tcW w:w="615" w:type="dxa"/>
                  <w:vAlign w:val="center"/>
                </w:tcPr>
                <w:p w14:paraId="7C12E5B1">
                  <w:pPr>
                    <w:pStyle w:val="67"/>
                    <w:adjustRightInd w:val="0"/>
                    <w:snapToGrid w:val="0"/>
                    <w:rPr>
                      <w:rStyle w:val="68"/>
                      <w:bCs/>
                      <w:color w:val="auto"/>
                      <w:szCs w:val="21"/>
                    </w:rPr>
                  </w:pPr>
                  <w:r>
                    <w:rPr>
                      <w:rStyle w:val="68"/>
                      <w:rFonts w:hint="eastAsia"/>
                      <w:bCs/>
                      <w:color w:val="auto"/>
                      <w:szCs w:val="21"/>
                    </w:rPr>
                    <w:t>2.4t/a</w:t>
                  </w:r>
                </w:p>
              </w:tc>
              <w:tc>
                <w:tcPr>
                  <w:tcW w:w="690" w:type="dxa"/>
                  <w:vAlign w:val="center"/>
                </w:tcPr>
                <w:p w14:paraId="741E92CA">
                  <w:pPr>
                    <w:pStyle w:val="67"/>
                    <w:adjustRightInd w:val="0"/>
                    <w:snapToGrid w:val="0"/>
                    <w:rPr>
                      <w:rStyle w:val="68"/>
                      <w:bCs/>
                      <w:color w:val="auto"/>
                      <w:szCs w:val="21"/>
                    </w:rPr>
                  </w:pPr>
                  <w:r>
                    <w:rPr>
                      <w:rStyle w:val="68"/>
                      <w:rFonts w:hint="eastAsia"/>
                      <w:bCs/>
                      <w:color w:val="auto"/>
                      <w:szCs w:val="21"/>
                    </w:rPr>
                    <w:t>0.0</w:t>
                  </w:r>
                  <w:r>
                    <w:rPr>
                      <w:rStyle w:val="68"/>
                      <w:rFonts w:hint="eastAsia"/>
                      <w:bCs/>
                      <w:color w:val="auto"/>
                      <w:szCs w:val="21"/>
                      <w:lang w:val="en-US" w:eastAsia="zh-CN"/>
                    </w:rPr>
                    <w:t>15</w:t>
                  </w:r>
                  <w:r>
                    <w:rPr>
                      <w:rStyle w:val="68"/>
                      <w:rFonts w:hint="eastAsia"/>
                      <w:bCs/>
                      <w:color w:val="auto"/>
                      <w:szCs w:val="21"/>
                    </w:rPr>
                    <w:t>t/a</w:t>
                  </w:r>
                </w:p>
              </w:tc>
              <w:tc>
                <w:tcPr>
                  <w:tcW w:w="688" w:type="dxa"/>
                  <w:vAlign w:val="center"/>
                </w:tcPr>
                <w:p w14:paraId="4126DD00">
                  <w:pPr>
                    <w:pStyle w:val="67"/>
                    <w:adjustRightInd w:val="0"/>
                    <w:snapToGrid w:val="0"/>
                    <w:rPr>
                      <w:rStyle w:val="68"/>
                      <w:bCs/>
                      <w:color w:val="auto"/>
                      <w:szCs w:val="21"/>
                    </w:rPr>
                  </w:pPr>
                  <w:r>
                    <w:rPr>
                      <w:rStyle w:val="68"/>
                      <w:rFonts w:hint="eastAsia"/>
                      <w:bCs/>
                      <w:color w:val="auto"/>
                      <w:szCs w:val="21"/>
                    </w:rPr>
                    <w:t>0.5t/a</w:t>
                  </w:r>
                </w:p>
              </w:tc>
              <w:tc>
                <w:tcPr>
                  <w:tcW w:w="1114" w:type="dxa"/>
                  <w:vAlign w:val="center"/>
                </w:tcPr>
                <w:p w14:paraId="27DD6498">
                  <w:pPr>
                    <w:pStyle w:val="67"/>
                    <w:adjustRightInd w:val="0"/>
                    <w:snapToGrid w:val="0"/>
                    <w:rPr>
                      <w:rStyle w:val="68"/>
                      <w:bCs/>
                      <w:color w:val="auto"/>
                      <w:szCs w:val="21"/>
                    </w:rPr>
                  </w:pPr>
                  <w:r>
                    <w:rPr>
                      <w:rStyle w:val="68"/>
                      <w:rFonts w:hint="eastAsia"/>
                      <w:bCs/>
                      <w:color w:val="auto"/>
                      <w:szCs w:val="21"/>
                    </w:rPr>
                    <w:t>1.906t/a</w:t>
                  </w:r>
                </w:p>
              </w:tc>
              <w:tc>
                <w:tcPr>
                  <w:tcW w:w="1114" w:type="dxa"/>
                  <w:vAlign w:val="center"/>
                </w:tcPr>
                <w:p w14:paraId="179ACBF0">
                  <w:pPr>
                    <w:pStyle w:val="67"/>
                    <w:adjustRightInd w:val="0"/>
                    <w:snapToGrid w:val="0"/>
                    <w:rPr>
                      <w:rStyle w:val="68"/>
                      <w:bCs/>
                      <w:color w:val="auto"/>
                      <w:szCs w:val="21"/>
                    </w:rPr>
                  </w:pPr>
                  <w:r>
                    <w:rPr>
                      <w:rStyle w:val="68"/>
                      <w:rFonts w:hint="eastAsia"/>
                      <w:bCs/>
                      <w:color w:val="auto"/>
                      <w:szCs w:val="21"/>
                    </w:rPr>
                    <w:t>0.2t/a</w:t>
                  </w:r>
                </w:p>
              </w:tc>
              <w:tc>
                <w:tcPr>
                  <w:tcW w:w="1114" w:type="dxa"/>
                  <w:vAlign w:val="center"/>
                </w:tcPr>
                <w:p w14:paraId="71197111">
                  <w:pPr>
                    <w:pStyle w:val="67"/>
                    <w:adjustRightInd w:val="0"/>
                    <w:snapToGrid w:val="0"/>
                    <w:rPr>
                      <w:rStyle w:val="68"/>
                      <w:bCs/>
                      <w:color w:val="auto"/>
                      <w:szCs w:val="21"/>
                    </w:rPr>
                  </w:pPr>
                  <w:r>
                    <w:rPr>
                      <w:rStyle w:val="68"/>
                      <w:rFonts w:hint="eastAsia"/>
                      <w:bCs/>
                      <w:color w:val="auto"/>
                      <w:szCs w:val="21"/>
                    </w:rPr>
                    <w:t>0.08t/a</w:t>
                  </w:r>
                </w:p>
              </w:tc>
              <w:tc>
                <w:tcPr>
                  <w:tcW w:w="1114" w:type="dxa"/>
                  <w:vAlign w:val="center"/>
                </w:tcPr>
                <w:p w14:paraId="2F41D5F3">
                  <w:pPr>
                    <w:pStyle w:val="67"/>
                    <w:adjustRightInd w:val="0"/>
                    <w:snapToGrid w:val="0"/>
                    <w:rPr>
                      <w:rStyle w:val="68"/>
                      <w:bCs/>
                      <w:color w:val="auto"/>
                      <w:szCs w:val="21"/>
                    </w:rPr>
                  </w:pPr>
                  <w:r>
                    <w:rPr>
                      <w:rStyle w:val="68"/>
                      <w:rFonts w:hint="eastAsia"/>
                      <w:bCs/>
                      <w:color w:val="auto"/>
                      <w:szCs w:val="21"/>
                    </w:rPr>
                    <w:t>0.35t/a</w:t>
                  </w:r>
                </w:p>
              </w:tc>
            </w:tr>
            <w:tr w14:paraId="3967E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gridSpan w:val="2"/>
                  <w:vAlign w:val="center"/>
                </w:tcPr>
                <w:p w14:paraId="317EF720">
                  <w:pPr>
                    <w:pStyle w:val="67"/>
                    <w:adjustRightInd w:val="0"/>
                    <w:snapToGrid w:val="0"/>
                    <w:rPr>
                      <w:rStyle w:val="68"/>
                      <w:bCs/>
                      <w:color w:val="auto"/>
                      <w:szCs w:val="21"/>
                    </w:rPr>
                  </w:pPr>
                  <w:r>
                    <w:rPr>
                      <w:bCs/>
                      <w:color w:val="auto"/>
                      <w:szCs w:val="21"/>
                    </w:rPr>
                    <w:t>贮存方式</w:t>
                  </w:r>
                </w:p>
              </w:tc>
              <w:tc>
                <w:tcPr>
                  <w:tcW w:w="703" w:type="dxa"/>
                  <w:vAlign w:val="center"/>
                </w:tcPr>
                <w:p w14:paraId="3B909B11">
                  <w:pPr>
                    <w:pStyle w:val="67"/>
                    <w:adjustRightInd w:val="0"/>
                    <w:snapToGrid w:val="0"/>
                    <w:rPr>
                      <w:rStyle w:val="68"/>
                      <w:bCs/>
                      <w:color w:val="auto"/>
                      <w:szCs w:val="21"/>
                    </w:rPr>
                  </w:pPr>
                  <w:r>
                    <w:rPr>
                      <w:rStyle w:val="68"/>
                      <w:rFonts w:hint="eastAsia"/>
                      <w:bCs/>
                      <w:color w:val="auto"/>
                      <w:szCs w:val="21"/>
                    </w:rPr>
                    <w:t>袋装</w:t>
                  </w:r>
                </w:p>
              </w:tc>
              <w:tc>
                <w:tcPr>
                  <w:tcW w:w="690" w:type="dxa"/>
                  <w:vAlign w:val="center"/>
                </w:tcPr>
                <w:p w14:paraId="17B59104">
                  <w:pPr>
                    <w:pStyle w:val="67"/>
                    <w:adjustRightInd w:val="0"/>
                    <w:snapToGrid w:val="0"/>
                    <w:rPr>
                      <w:rStyle w:val="68"/>
                      <w:bCs/>
                      <w:color w:val="auto"/>
                      <w:szCs w:val="21"/>
                    </w:rPr>
                  </w:pPr>
                  <w:r>
                    <w:rPr>
                      <w:rStyle w:val="68"/>
                      <w:rFonts w:hint="eastAsia"/>
                      <w:bCs/>
                      <w:color w:val="auto"/>
                      <w:szCs w:val="21"/>
                    </w:rPr>
                    <w:t>桶装</w:t>
                  </w:r>
                </w:p>
              </w:tc>
              <w:tc>
                <w:tcPr>
                  <w:tcW w:w="615" w:type="dxa"/>
                  <w:vAlign w:val="center"/>
                </w:tcPr>
                <w:p w14:paraId="09AD7858">
                  <w:pPr>
                    <w:pStyle w:val="67"/>
                    <w:adjustRightInd w:val="0"/>
                    <w:snapToGrid w:val="0"/>
                    <w:rPr>
                      <w:rStyle w:val="68"/>
                      <w:bCs/>
                      <w:color w:val="auto"/>
                      <w:szCs w:val="21"/>
                    </w:rPr>
                  </w:pPr>
                  <w:r>
                    <w:rPr>
                      <w:rStyle w:val="68"/>
                      <w:rFonts w:hint="eastAsia"/>
                      <w:bCs/>
                      <w:color w:val="auto"/>
                      <w:szCs w:val="21"/>
                    </w:rPr>
                    <w:t>袋装</w:t>
                  </w:r>
                </w:p>
              </w:tc>
              <w:tc>
                <w:tcPr>
                  <w:tcW w:w="690" w:type="dxa"/>
                  <w:vAlign w:val="center"/>
                </w:tcPr>
                <w:p w14:paraId="06DD2B4E">
                  <w:pPr>
                    <w:pStyle w:val="67"/>
                    <w:adjustRightInd w:val="0"/>
                    <w:snapToGrid w:val="0"/>
                    <w:rPr>
                      <w:rStyle w:val="68"/>
                      <w:bCs/>
                      <w:color w:val="auto"/>
                      <w:szCs w:val="21"/>
                    </w:rPr>
                  </w:pPr>
                  <w:r>
                    <w:rPr>
                      <w:rStyle w:val="68"/>
                      <w:rFonts w:hint="eastAsia"/>
                      <w:bCs/>
                      <w:color w:val="auto"/>
                      <w:szCs w:val="21"/>
                    </w:rPr>
                    <w:t>袋装</w:t>
                  </w:r>
                </w:p>
              </w:tc>
              <w:tc>
                <w:tcPr>
                  <w:tcW w:w="688" w:type="dxa"/>
                  <w:vAlign w:val="center"/>
                </w:tcPr>
                <w:p w14:paraId="0BB49BFF">
                  <w:pPr>
                    <w:pStyle w:val="67"/>
                    <w:adjustRightInd w:val="0"/>
                    <w:snapToGrid w:val="0"/>
                    <w:rPr>
                      <w:rStyle w:val="68"/>
                      <w:bCs/>
                      <w:color w:val="auto"/>
                      <w:szCs w:val="21"/>
                    </w:rPr>
                  </w:pPr>
                  <w:r>
                    <w:rPr>
                      <w:rStyle w:val="68"/>
                      <w:rFonts w:hint="eastAsia"/>
                      <w:bCs/>
                      <w:color w:val="auto"/>
                      <w:szCs w:val="21"/>
                    </w:rPr>
                    <w:t>袋装</w:t>
                  </w:r>
                </w:p>
              </w:tc>
              <w:tc>
                <w:tcPr>
                  <w:tcW w:w="4456" w:type="dxa"/>
                  <w:gridSpan w:val="4"/>
                  <w:vAlign w:val="center"/>
                </w:tcPr>
                <w:p w14:paraId="1BAF7FE8">
                  <w:pPr>
                    <w:pStyle w:val="67"/>
                    <w:adjustRightInd w:val="0"/>
                    <w:snapToGrid w:val="0"/>
                    <w:rPr>
                      <w:rStyle w:val="68"/>
                      <w:bCs/>
                      <w:color w:val="auto"/>
                      <w:szCs w:val="21"/>
                    </w:rPr>
                  </w:pPr>
                  <w:r>
                    <w:rPr>
                      <w:rStyle w:val="68"/>
                      <w:rFonts w:hint="eastAsia"/>
                      <w:bCs/>
                      <w:color w:val="auto"/>
                      <w:szCs w:val="21"/>
                    </w:rPr>
                    <w:t>可密闭容器收集，危废暂存间贮存</w:t>
                  </w:r>
                </w:p>
              </w:tc>
            </w:tr>
            <w:tr w14:paraId="78406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gridSpan w:val="2"/>
                  <w:vAlign w:val="center"/>
                </w:tcPr>
                <w:p w14:paraId="0B164D23">
                  <w:pPr>
                    <w:widowControl/>
                    <w:adjustRightInd w:val="0"/>
                    <w:snapToGrid w:val="0"/>
                    <w:jc w:val="center"/>
                    <w:rPr>
                      <w:bCs/>
                      <w:color w:val="auto"/>
                      <w:kern w:val="0"/>
                      <w:szCs w:val="21"/>
                    </w:rPr>
                  </w:pPr>
                  <w:r>
                    <w:rPr>
                      <w:bCs/>
                      <w:color w:val="auto"/>
                      <w:kern w:val="0"/>
                      <w:szCs w:val="21"/>
                    </w:rPr>
                    <w:t>利用处置方式和去向</w:t>
                  </w:r>
                </w:p>
              </w:tc>
              <w:tc>
                <w:tcPr>
                  <w:tcW w:w="703" w:type="dxa"/>
                  <w:vAlign w:val="center"/>
                </w:tcPr>
                <w:p w14:paraId="4303545A">
                  <w:pPr>
                    <w:pStyle w:val="67"/>
                    <w:adjustRightInd w:val="0"/>
                    <w:snapToGrid w:val="0"/>
                    <w:rPr>
                      <w:rStyle w:val="68"/>
                      <w:bCs/>
                      <w:color w:val="auto"/>
                      <w:szCs w:val="21"/>
                    </w:rPr>
                  </w:pPr>
                  <w:r>
                    <w:rPr>
                      <w:rStyle w:val="68"/>
                      <w:rFonts w:hint="eastAsia"/>
                      <w:bCs/>
                      <w:color w:val="auto"/>
                      <w:szCs w:val="21"/>
                    </w:rPr>
                    <w:t>外售给废品收购站</w:t>
                  </w:r>
                </w:p>
              </w:tc>
              <w:tc>
                <w:tcPr>
                  <w:tcW w:w="690" w:type="dxa"/>
                  <w:vAlign w:val="center"/>
                </w:tcPr>
                <w:p w14:paraId="36201254">
                  <w:pPr>
                    <w:pStyle w:val="67"/>
                    <w:adjustRightInd w:val="0"/>
                    <w:snapToGrid w:val="0"/>
                    <w:rPr>
                      <w:rStyle w:val="68"/>
                      <w:bCs/>
                      <w:color w:val="auto"/>
                      <w:szCs w:val="21"/>
                    </w:rPr>
                  </w:pPr>
                  <w:r>
                    <w:rPr>
                      <w:rStyle w:val="68"/>
                      <w:bCs/>
                      <w:color w:val="auto"/>
                      <w:szCs w:val="21"/>
                    </w:rPr>
                    <w:t>委托有资质的单位</w:t>
                  </w:r>
                  <w:r>
                    <w:rPr>
                      <w:rStyle w:val="68"/>
                      <w:rFonts w:hint="eastAsia"/>
                      <w:bCs/>
                      <w:color w:val="auto"/>
                      <w:szCs w:val="21"/>
                    </w:rPr>
                    <w:t>清掏</w:t>
                  </w:r>
                  <w:r>
                    <w:rPr>
                      <w:rStyle w:val="68"/>
                      <w:bCs/>
                      <w:color w:val="auto"/>
                      <w:szCs w:val="21"/>
                    </w:rPr>
                    <w:t>清运处置</w:t>
                  </w:r>
                </w:p>
              </w:tc>
              <w:tc>
                <w:tcPr>
                  <w:tcW w:w="615" w:type="dxa"/>
                  <w:vAlign w:val="center"/>
                </w:tcPr>
                <w:p w14:paraId="1E1E5F4D">
                  <w:pPr>
                    <w:pStyle w:val="67"/>
                    <w:adjustRightInd w:val="0"/>
                    <w:snapToGrid w:val="0"/>
                    <w:rPr>
                      <w:rStyle w:val="68"/>
                      <w:bCs/>
                      <w:color w:val="auto"/>
                      <w:szCs w:val="21"/>
                    </w:rPr>
                  </w:pPr>
                  <w:r>
                    <w:rPr>
                      <w:rStyle w:val="68"/>
                      <w:bCs/>
                      <w:color w:val="auto"/>
                      <w:szCs w:val="21"/>
                    </w:rPr>
                    <w:t>委托环卫部门清运处置</w:t>
                  </w:r>
                </w:p>
              </w:tc>
              <w:tc>
                <w:tcPr>
                  <w:tcW w:w="690" w:type="dxa"/>
                  <w:vAlign w:val="center"/>
                </w:tcPr>
                <w:p w14:paraId="1F768D3E">
                  <w:pPr>
                    <w:pStyle w:val="67"/>
                    <w:adjustRightInd w:val="0"/>
                    <w:snapToGrid w:val="0"/>
                    <w:rPr>
                      <w:rStyle w:val="68"/>
                      <w:bCs/>
                      <w:color w:val="auto"/>
                      <w:szCs w:val="21"/>
                    </w:rPr>
                  </w:pPr>
                  <w:r>
                    <w:rPr>
                      <w:rStyle w:val="68"/>
                      <w:rFonts w:hint="eastAsia"/>
                      <w:bCs/>
                      <w:color w:val="auto"/>
                      <w:szCs w:val="21"/>
                    </w:rPr>
                    <w:t>外售给废品收购站</w:t>
                  </w:r>
                </w:p>
              </w:tc>
              <w:tc>
                <w:tcPr>
                  <w:tcW w:w="688" w:type="dxa"/>
                  <w:vAlign w:val="center"/>
                </w:tcPr>
                <w:p w14:paraId="78597A62">
                  <w:pPr>
                    <w:pStyle w:val="67"/>
                    <w:adjustRightInd w:val="0"/>
                    <w:snapToGrid w:val="0"/>
                    <w:rPr>
                      <w:rStyle w:val="68"/>
                      <w:bCs/>
                      <w:color w:val="auto"/>
                      <w:szCs w:val="21"/>
                    </w:rPr>
                  </w:pPr>
                  <w:r>
                    <w:rPr>
                      <w:rStyle w:val="68"/>
                      <w:rFonts w:hint="eastAsia"/>
                      <w:bCs/>
                      <w:color w:val="auto"/>
                      <w:szCs w:val="21"/>
                    </w:rPr>
                    <w:t>外售给废品收购站</w:t>
                  </w:r>
                </w:p>
              </w:tc>
              <w:tc>
                <w:tcPr>
                  <w:tcW w:w="4456" w:type="dxa"/>
                  <w:gridSpan w:val="4"/>
                  <w:vAlign w:val="center"/>
                </w:tcPr>
                <w:p w14:paraId="43C75D9B">
                  <w:pPr>
                    <w:pStyle w:val="67"/>
                    <w:adjustRightInd w:val="0"/>
                    <w:snapToGrid w:val="0"/>
                    <w:rPr>
                      <w:rStyle w:val="68"/>
                      <w:bCs/>
                      <w:color w:val="auto"/>
                      <w:szCs w:val="21"/>
                    </w:rPr>
                  </w:pPr>
                  <w:r>
                    <w:rPr>
                      <w:rStyle w:val="68"/>
                      <w:bCs/>
                      <w:color w:val="auto"/>
                      <w:szCs w:val="21"/>
                    </w:rPr>
                    <w:t>委托</w:t>
                  </w:r>
                  <w:r>
                    <w:rPr>
                      <w:rStyle w:val="68"/>
                      <w:rFonts w:hint="eastAsia"/>
                      <w:bCs/>
                      <w:color w:val="auto"/>
                      <w:szCs w:val="21"/>
                    </w:rPr>
                    <w:t>有资质的单位</w:t>
                  </w:r>
                  <w:r>
                    <w:rPr>
                      <w:rStyle w:val="68"/>
                      <w:bCs/>
                      <w:color w:val="auto"/>
                      <w:szCs w:val="21"/>
                    </w:rPr>
                    <w:t>清运处置</w:t>
                  </w:r>
                </w:p>
              </w:tc>
            </w:tr>
            <w:tr w14:paraId="4185D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gridSpan w:val="2"/>
                  <w:vAlign w:val="center"/>
                </w:tcPr>
                <w:p w14:paraId="79C7C07D">
                  <w:pPr>
                    <w:widowControl/>
                    <w:adjustRightInd w:val="0"/>
                    <w:snapToGrid w:val="0"/>
                    <w:jc w:val="center"/>
                    <w:rPr>
                      <w:bCs/>
                      <w:color w:val="auto"/>
                      <w:kern w:val="0"/>
                      <w:szCs w:val="21"/>
                    </w:rPr>
                  </w:pPr>
                  <w:r>
                    <w:rPr>
                      <w:bCs/>
                      <w:color w:val="auto"/>
                      <w:kern w:val="0"/>
                      <w:szCs w:val="21"/>
                    </w:rPr>
                    <w:t>利用或处置量</w:t>
                  </w:r>
                </w:p>
              </w:tc>
              <w:tc>
                <w:tcPr>
                  <w:tcW w:w="703" w:type="dxa"/>
                  <w:vAlign w:val="center"/>
                </w:tcPr>
                <w:p w14:paraId="1193593E">
                  <w:pPr>
                    <w:pStyle w:val="67"/>
                    <w:adjustRightInd w:val="0"/>
                    <w:snapToGrid w:val="0"/>
                    <w:rPr>
                      <w:bCs/>
                      <w:color w:val="auto"/>
                      <w:szCs w:val="21"/>
                    </w:rPr>
                  </w:pPr>
                  <w:r>
                    <w:rPr>
                      <w:rStyle w:val="68"/>
                      <w:rFonts w:hint="eastAsia"/>
                      <w:bCs/>
                      <w:color w:val="auto"/>
                      <w:szCs w:val="21"/>
                    </w:rPr>
                    <w:t>2t/a</w:t>
                  </w:r>
                </w:p>
              </w:tc>
              <w:tc>
                <w:tcPr>
                  <w:tcW w:w="690" w:type="dxa"/>
                  <w:vAlign w:val="center"/>
                </w:tcPr>
                <w:p w14:paraId="76449C92">
                  <w:pPr>
                    <w:pStyle w:val="67"/>
                    <w:adjustRightInd w:val="0"/>
                    <w:snapToGrid w:val="0"/>
                    <w:rPr>
                      <w:bCs/>
                      <w:color w:val="auto"/>
                      <w:szCs w:val="21"/>
                    </w:rPr>
                  </w:pPr>
                  <w:r>
                    <w:rPr>
                      <w:rStyle w:val="68"/>
                      <w:rFonts w:hint="eastAsia"/>
                      <w:bCs/>
                      <w:color w:val="auto"/>
                      <w:szCs w:val="21"/>
                    </w:rPr>
                    <w:t>0.787t/a</w:t>
                  </w:r>
                </w:p>
              </w:tc>
              <w:tc>
                <w:tcPr>
                  <w:tcW w:w="615" w:type="dxa"/>
                  <w:vAlign w:val="center"/>
                </w:tcPr>
                <w:p w14:paraId="44A15F60">
                  <w:pPr>
                    <w:pStyle w:val="67"/>
                    <w:adjustRightInd w:val="0"/>
                    <w:snapToGrid w:val="0"/>
                    <w:rPr>
                      <w:bCs/>
                      <w:color w:val="auto"/>
                      <w:szCs w:val="21"/>
                    </w:rPr>
                  </w:pPr>
                  <w:r>
                    <w:rPr>
                      <w:rStyle w:val="68"/>
                      <w:rFonts w:hint="eastAsia"/>
                      <w:bCs/>
                      <w:color w:val="auto"/>
                      <w:szCs w:val="21"/>
                    </w:rPr>
                    <w:t>2.4t/a</w:t>
                  </w:r>
                </w:p>
              </w:tc>
              <w:tc>
                <w:tcPr>
                  <w:tcW w:w="690" w:type="dxa"/>
                  <w:vAlign w:val="center"/>
                </w:tcPr>
                <w:p w14:paraId="6730835E">
                  <w:pPr>
                    <w:pStyle w:val="67"/>
                    <w:adjustRightInd w:val="0"/>
                    <w:snapToGrid w:val="0"/>
                    <w:rPr>
                      <w:bCs/>
                      <w:color w:val="auto"/>
                      <w:szCs w:val="21"/>
                    </w:rPr>
                  </w:pPr>
                  <w:r>
                    <w:rPr>
                      <w:rStyle w:val="68"/>
                      <w:rFonts w:hint="eastAsia"/>
                      <w:bCs/>
                      <w:color w:val="auto"/>
                      <w:szCs w:val="21"/>
                    </w:rPr>
                    <w:t>0.0</w:t>
                  </w:r>
                  <w:r>
                    <w:rPr>
                      <w:rStyle w:val="68"/>
                      <w:rFonts w:hint="eastAsia"/>
                      <w:bCs/>
                      <w:color w:val="auto"/>
                      <w:szCs w:val="21"/>
                      <w:lang w:val="en-US" w:eastAsia="zh-CN"/>
                    </w:rPr>
                    <w:t>15</w:t>
                  </w:r>
                  <w:r>
                    <w:rPr>
                      <w:rStyle w:val="68"/>
                      <w:rFonts w:hint="eastAsia"/>
                      <w:bCs/>
                      <w:color w:val="auto"/>
                      <w:szCs w:val="21"/>
                    </w:rPr>
                    <w:t>t/a</w:t>
                  </w:r>
                </w:p>
              </w:tc>
              <w:tc>
                <w:tcPr>
                  <w:tcW w:w="688" w:type="dxa"/>
                  <w:vAlign w:val="center"/>
                </w:tcPr>
                <w:p w14:paraId="352CE486">
                  <w:pPr>
                    <w:pStyle w:val="67"/>
                    <w:adjustRightInd w:val="0"/>
                    <w:snapToGrid w:val="0"/>
                    <w:rPr>
                      <w:rStyle w:val="68"/>
                      <w:bCs/>
                      <w:color w:val="auto"/>
                      <w:szCs w:val="21"/>
                    </w:rPr>
                  </w:pPr>
                  <w:r>
                    <w:rPr>
                      <w:rStyle w:val="68"/>
                      <w:rFonts w:hint="eastAsia"/>
                      <w:bCs/>
                      <w:color w:val="auto"/>
                      <w:szCs w:val="21"/>
                    </w:rPr>
                    <w:t>0.5t/a</w:t>
                  </w:r>
                </w:p>
              </w:tc>
              <w:tc>
                <w:tcPr>
                  <w:tcW w:w="1114" w:type="dxa"/>
                  <w:vAlign w:val="center"/>
                </w:tcPr>
                <w:p w14:paraId="57636409">
                  <w:pPr>
                    <w:pStyle w:val="67"/>
                    <w:adjustRightInd w:val="0"/>
                    <w:snapToGrid w:val="0"/>
                    <w:rPr>
                      <w:rStyle w:val="68"/>
                      <w:bCs/>
                      <w:color w:val="auto"/>
                      <w:szCs w:val="21"/>
                    </w:rPr>
                  </w:pPr>
                  <w:r>
                    <w:rPr>
                      <w:rStyle w:val="68"/>
                      <w:rFonts w:hint="eastAsia"/>
                      <w:bCs/>
                      <w:color w:val="auto"/>
                      <w:szCs w:val="21"/>
                    </w:rPr>
                    <w:t>1.906t/a</w:t>
                  </w:r>
                </w:p>
              </w:tc>
              <w:tc>
                <w:tcPr>
                  <w:tcW w:w="1114" w:type="dxa"/>
                  <w:vAlign w:val="center"/>
                </w:tcPr>
                <w:p w14:paraId="3BF03569">
                  <w:pPr>
                    <w:pStyle w:val="67"/>
                    <w:adjustRightInd w:val="0"/>
                    <w:snapToGrid w:val="0"/>
                    <w:rPr>
                      <w:rStyle w:val="68"/>
                      <w:bCs/>
                      <w:color w:val="auto"/>
                      <w:szCs w:val="21"/>
                    </w:rPr>
                  </w:pPr>
                  <w:r>
                    <w:rPr>
                      <w:rStyle w:val="68"/>
                      <w:rFonts w:hint="eastAsia"/>
                      <w:bCs/>
                      <w:color w:val="auto"/>
                      <w:szCs w:val="21"/>
                    </w:rPr>
                    <w:t>0.2t/a</w:t>
                  </w:r>
                </w:p>
              </w:tc>
              <w:tc>
                <w:tcPr>
                  <w:tcW w:w="1114" w:type="dxa"/>
                  <w:vAlign w:val="center"/>
                </w:tcPr>
                <w:p w14:paraId="3042F825">
                  <w:pPr>
                    <w:pStyle w:val="67"/>
                    <w:adjustRightInd w:val="0"/>
                    <w:snapToGrid w:val="0"/>
                    <w:rPr>
                      <w:rStyle w:val="68"/>
                      <w:bCs/>
                      <w:color w:val="auto"/>
                      <w:szCs w:val="21"/>
                    </w:rPr>
                  </w:pPr>
                  <w:r>
                    <w:rPr>
                      <w:rStyle w:val="68"/>
                      <w:rFonts w:hint="eastAsia"/>
                      <w:bCs/>
                      <w:color w:val="auto"/>
                      <w:szCs w:val="21"/>
                    </w:rPr>
                    <w:t>0.08t/a</w:t>
                  </w:r>
                </w:p>
              </w:tc>
              <w:tc>
                <w:tcPr>
                  <w:tcW w:w="1114" w:type="dxa"/>
                  <w:vAlign w:val="center"/>
                </w:tcPr>
                <w:p w14:paraId="1883FD4D">
                  <w:pPr>
                    <w:pStyle w:val="67"/>
                    <w:adjustRightInd w:val="0"/>
                    <w:snapToGrid w:val="0"/>
                    <w:rPr>
                      <w:rStyle w:val="68"/>
                      <w:bCs/>
                      <w:color w:val="auto"/>
                      <w:szCs w:val="21"/>
                    </w:rPr>
                  </w:pPr>
                  <w:r>
                    <w:rPr>
                      <w:rStyle w:val="68"/>
                      <w:rFonts w:hint="eastAsia"/>
                      <w:bCs/>
                      <w:color w:val="auto"/>
                      <w:szCs w:val="21"/>
                    </w:rPr>
                    <w:t>0.35t/a</w:t>
                  </w:r>
                </w:p>
              </w:tc>
            </w:tr>
            <w:tr w14:paraId="77739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gridSpan w:val="2"/>
                  <w:vAlign w:val="center"/>
                </w:tcPr>
                <w:p w14:paraId="5F96F19A">
                  <w:pPr>
                    <w:widowControl/>
                    <w:adjustRightInd w:val="0"/>
                    <w:snapToGrid w:val="0"/>
                    <w:jc w:val="center"/>
                    <w:rPr>
                      <w:bCs/>
                      <w:color w:val="auto"/>
                      <w:kern w:val="0"/>
                      <w:szCs w:val="21"/>
                    </w:rPr>
                  </w:pPr>
                  <w:r>
                    <w:rPr>
                      <w:rStyle w:val="68"/>
                      <w:bCs/>
                      <w:color w:val="auto"/>
                      <w:szCs w:val="21"/>
                    </w:rPr>
                    <w:t>环境管理要求</w:t>
                  </w:r>
                </w:p>
              </w:tc>
              <w:tc>
                <w:tcPr>
                  <w:tcW w:w="3386" w:type="dxa"/>
                  <w:gridSpan w:val="5"/>
                  <w:vAlign w:val="center"/>
                </w:tcPr>
                <w:p w14:paraId="6AA837DF">
                  <w:pPr>
                    <w:adjustRightInd w:val="0"/>
                    <w:snapToGrid w:val="0"/>
                    <w:jc w:val="center"/>
                    <w:rPr>
                      <w:rStyle w:val="68"/>
                      <w:bCs/>
                      <w:color w:val="auto"/>
                      <w:szCs w:val="21"/>
                    </w:rPr>
                  </w:pPr>
                  <w:r>
                    <w:rPr>
                      <w:rStyle w:val="68"/>
                      <w:bCs/>
                      <w:color w:val="auto"/>
                      <w:szCs w:val="21"/>
                    </w:rPr>
                    <w:t>100%处置</w:t>
                  </w:r>
                </w:p>
              </w:tc>
              <w:tc>
                <w:tcPr>
                  <w:tcW w:w="4456" w:type="dxa"/>
                  <w:gridSpan w:val="4"/>
                  <w:vAlign w:val="center"/>
                </w:tcPr>
                <w:p w14:paraId="3496F49A">
                  <w:pPr>
                    <w:pStyle w:val="67"/>
                    <w:adjustRightInd w:val="0"/>
                    <w:snapToGrid w:val="0"/>
                    <w:rPr>
                      <w:rStyle w:val="68"/>
                      <w:bCs/>
                      <w:color w:val="auto"/>
                      <w:szCs w:val="21"/>
                    </w:rPr>
                  </w:pPr>
                  <w:r>
                    <w:rPr>
                      <w:rStyle w:val="68"/>
                      <w:bCs/>
                      <w:color w:val="auto"/>
                      <w:szCs w:val="21"/>
                    </w:rPr>
                    <w:t>100%处置，并建立台账、转移联单制</w:t>
                  </w:r>
                </w:p>
              </w:tc>
            </w:tr>
          </w:tbl>
          <w:p w14:paraId="74557288">
            <w:pPr>
              <w:spacing w:line="360" w:lineRule="auto"/>
              <w:ind w:firstLine="480" w:firstLineChars="200"/>
              <w:rPr>
                <w:color w:val="auto"/>
                <w:sz w:val="24"/>
              </w:rPr>
            </w:pPr>
            <w:r>
              <w:rPr>
                <w:rFonts w:hint="eastAsia"/>
                <w:color w:val="auto"/>
                <w:sz w:val="24"/>
              </w:rPr>
              <w:t>建设单位</w:t>
            </w:r>
            <w:r>
              <w:rPr>
                <w:color w:val="auto"/>
                <w:sz w:val="24"/>
              </w:rPr>
              <w:t>应严格按照《危险废物贮存污染控制标准》（GB18597-20</w:t>
            </w:r>
            <w:r>
              <w:rPr>
                <w:rFonts w:hint="eastAsia"/>
                <w:color w:val="auto"/>
                <w:sz w:val="24"/>
              </w:rPr>
              <w:t>23</w:t>
            </w:r>
            <w:r>
              <w:rPr>
                <w:color w:val="auto"/>
                <w:sz w:val="24"/>
              </w:rPr>
              <w:t>）建设危险废物暂存间，</w:t>
            </w:r>
            <w:r>
              <w:rPr>
                <w:rFonts w:hint="eastAsia"/>
                <w:color w:val="auto"/>
                <w:sz w:val="24"/>
              </w:rPr>
              <w:t>拟在厂房内东北侧建设1间5m</w:t>
            </w:r>
            <w:r>
              <w:rPr>
                <w:rFonts w:hint="eastAsia"/>
                <w:color w:val="auto"/>
                <w:sz w:val="24"/>
                <w:vertAlign w:val="superscript"/>
              </w:rPr>
              <w:t>2</w:t>
            </w:r>
            <w:r>
              <w:rPr>
                <w:rFonts w:hint="eastAsia"/>
                <w:color w:val="auto"/>
                <w:sz w:val="24"/>
              </w:rPr>
              <w:t>的危险废物暂存间，</w:t>
            </w:r>
            <w:r>
              <w:rPr>
                <w:color w:val="auto"/>
                <w:sz w:val="24"/>
              </w:rPr>
              <w:t>将危险废物分类转入容器内，并粘贴危险废物标签，并做好相应的</w:t>
            </w:r>
            <w:r>
              <w:rPr>
                <w:rFonts w:hint="eastAsia"/>
                <w:color w:val="auto"/>
                <w:sz w:val="24"/>
              </w:rPr>
              <w:t>记录</w:t>
            </w:r>
            <w:r>
              <w:rPr>
                <w:color w:val="auto"/>
                <w:sz w:val="24"/>
              </w:rPr>
              <w:t>。对相应的暂存场建设防渗设施、防风、防雨、防晒并配备照明设施等，并与厂区内其它生产单元、办公生活区严格区分、单独隔离。对危险废物的转移处理须严格按照国家环境保护部第5号令《危险废物转移联单管理办法》执行。危险废物暂存间的建设及管理应满足如下要求：</w:t>
            </w:r>
          </w:p>
          <w:p w14:paraId="4864CB4C">
            <w:pPr>
              <w:pStyle w:val="17"/>
              <w:spacing w:after="0" w:line="360" w:lineRule="auto"/>
              <w:ind w:firstLine="480" w:firstLineChars="200"/>
              <w:rPr>
                <w:bCs/>
                <w:color w:val="auto"/>
              </w:rPr>
            </w:pPr>
            <w:r>
              <w:rPr>
                <w:rFonts w:hint="eastAsia"/>
                <w:bCs/>
                <w:color w:val="auto"/>
              </w:rPr>
              <w:t>（1）危险废物暂存间的设计及建设要求</w:t>
            </w:r>
          </w:p>
          <w:p w14:paraId="0E6FF0F3">
            <w:pPr>
              <w:adjustRightInd w:val="0"/>
              <w:snapToGrid w:val="0"/>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①地面与裙脚要用坚固、防渗的材料建造，建筑材料必须与危险废物相容；</w:t>
            </w:r>
          </w:p>
          <w:p w14:paraId="5B9DB1B1">
            <w:pPr>
              <w:adjustRightInd w:val="0"/>
              <w:snapToGrid w:val="0"/>
              <w:spacing w:line="360" w:lineRule="auto"/>
              <w:ind w:firstLine="480" w:firstLineChars="200"/>
              <w:rPr>
                <w:color w:val="auto"/>
                <w:kern w:val="0"/>
                <w:sz w:val="24"/>
              </w:rPr>
            </w:pPr>
            <w:r>
              <w:rPr>
                <w:rFonts w:hint="eastAsia" w:ascii="宋体" w:hAnsi="宋体" w:cs="宋体"/>
                <w:color w:val="auto"/>
                <w:kern w:val="0"/>
                <w:sz w:val="24"/>
              </w:rPr>
              <w:t>②必须有泄漏液体收集装置、气体导出口及气体净化</w:t>
            </w:r>
            <w:r>
              <w:rPr>
                <w:color w:val="auto"/>
                <w:kern w:val="0"/>
                <w:sz w:val="24"/>
              </w:rPr>
              <w:t>装置</w:t>
            </w:r>
            <w:r>
              <w:rPr>
                <w:rFonts w:hint="eastAsia"/>
                <w:color w:val="auto"/>
                <w:kern w:val="0"/>
                <w:sz w:val="24"/>
              </w:rPr>
              <w:t>；</w:t>
            </w:r>
          </w:p>
          <w:p w14:paraId="6215925C">
            <w:pPr>
              <w:adjustRightInd w:val="0"/>
              <w:snapToGrid w:val="0"/>
              <w:spacing w:line="360" w:lineRule="auto"/>
              <w:ind w:firstLine="480" w:firstLineChars="200"/>
              <w:rPr>
                <w:color w:val="auto"/>
                <w:kern w:val="0"/>
                <w:sz w:val="24"/>
              </w:rPr>
            </w:pPr>
            <w:r>
              <w:rPr>
                <w:rFonts w:hint="eastAsia" w:ascii="宋体" w:hAnsi="宋体" w:cs="宋体"/>
                <w:color w:val="auto"/>
                <w:kern w:val="0"/>
                <w:sz w:val="24"/>
              </w:rPr>
              <w:t>③暂存间应设置</w:t>
            </w:r>
            <w:r>
              <w:rPr>
                <w:color w:val="auto"/>
                <w:kern w:val="0"/>
                <w:sz w:val="24"/>
              </w:rPr>
              <w:t>安全照明设施和观察窗口</w:t>
            </w:r>
            <w:r>
              <w:rPr>
                <w:rFonts w:hint="eastAsia"/>
                <w:color w:val="auto"/>
                <w:kern w:val="0"/>
                <w:sz w:val="24"/>
              </w:rPr>
              <w:t>；</w:t>
            </w:r>
          </w:p>
          <w:p w14:paraId="6A45856A">
            <w:pPr>
              <w:adjustRightInd w:val="0"/>
              <w:snapToGrid w:val="0"/>
              <w:spacing w:line="360" w:lineRule="auto"/>
              <w:ind w:firstLine="480" w:firstLineChars="200"/>
              <w:rPr>
                <w:color w:val="auto"/>
                <w:kern w:val="0"/>
                <w:sz w:val="24"/>
              </w:rPr>
            </w:pPr>
            <w:r>
              <w:rPr>
                <w:color w:val="auto"/>
                <w:kern w:val="0"/>
                <w:sz w:val="24"/>
              </w:rPr>
              <w:t>④地面与裙脚所围建的容积不低于堵截最大容器的最大储量或总储量的五分之一</w:t>
            </w:r>
            <w:r>
              <w:rPr>
                <w:rFonts w:hint="eastAsia"/>
                <w:color w:val="auto"/>
                <w:kern w:val="0"/>
                <w:sz w:val="24"/>
              </w:rPr>
              <w:t>；</w:t>
            </w:r>
          </w:p>
          <w:p w14:paraId="2980E2DA">
            <w:pPr>
              <w:adjustRightInd w:val="0"/>
              <w:snapToGrid w:val="0"/>
              <w:spacing w:line="360" w:lineRule="auto"/>
              <w:ind w:firstLine="480" w:firstLineChars="200"/>
              <w:rPr>
                <w:color w:val="auto"/>
                <w:kern w:val="0"/>
                <w:sz w:val="24"/>
              </w:rPr>
            </w:pPr>
            <w:r>
              <w:rPr>
                <w:color w:val="auto"/>
                <w:kern w:val="0"/>
                <w:sz w:val="24"/>
              </w:rPr>
              <w:t>⑤危险废物暂存间的设计要防风、防雨、防晒</w:t>
            </w:r>
            <w:r>
              <w:rPr>
                <w:rFonts w:hint="eastAsia"/>
                <w:color w:val="auto"/>
                <w:kern w:val="0"/>
                <w:sz w:val="24"/>
              </w:rPr>
              <w:t>；</w:t>
            </w:r>
          </w:p>
          <w:p w14:paraId="513DBA36">
            <w:pPr>
              <w:adjustRightInd w:val="0"/>
              <w:snapToGrid w:val="0"/>
              <w:spacing w:line="360" w:lineRule="auto"/>
              <w:ind w:firstLine="480" w:firstLineChars="200"/>
              <w:rPr>
                <w:color w:val="auto"/>
                <w:kern w:val="0"/>
                <w:sz w:val="24"/>
              </w:rPr>
            </w:pPr>
            <w:r>
              <w:rPr>
                <w:color w:val="auto"/>
                <w:kern w:val="0"/>
                <w:sz w:val="24"/>
              </w:rPr>
              <w:t>⑥不相容的危险废物必须分开存放，并设有隔离间隔断</w:t>
            </w:r>
            <w:r>
              <w:rPr>
                <w:rFonts w:hint="eastAsia"/>
                <w:color w:val="auto"/>
                <w:kern w:val="0"/>
                <w:sz w:val="24"/>
              </w:rPr>
              <w:t>。</w:t>
            </w:r>
          </w:p>
          <w:p w14:paraId="04CAA76B">
            <w:pPr>
              <w:adjustRightInd w:val="0"/>
              <w:snapToGrid w:val="0"/>
              <w:spacing w:line="360" w:lineRule="auto"/>
              <w:ind w:firstLine="480" w:firstLineChars="200"/>
              <w:rPr>
                <w:color w:val="auto"/>
                <w:kern w:val="0"/>
                <w:sz w:val="24"/>
              </w:rPr>
            </w:pPr>
            <w:r>
              <w:rPr>
                <w:rFonts w:hint="eastAsia"/>
                <w:color w:val="auto"/>
                <w:kern w:val="0"/>
                <w:sz w:val="24"/>
              </w:rPr>
              <w:t>（2）</w:t>
            </w:r>
            <w:r>
              <w:rPr>
                <w:color w:val="auto"/>
                <w:kern w:val="0"/>
                <w:sz w:val="24"/>
              </w:rPr>
              <w:t>危险废物贮存容器</w:t>
            </w:r>
            <w:r>
              <w:rPr>
                <w:rFonts w:hint="eastAsia"/>
                <w:color w:val="auto"/>
                <w:kern w:val="0"/>
                <w:sz w:val="24"/>
              </w:rPr>
              <w:t>的相关要求</w:t>
            </w:r>
          </w:p>
          <w:p w14:paraId="5B71FB94">
            <w:pPr>
              <w:adjustRightInd w:val="0"/>
              <w:snapToGrid w:val="0"/>
              <w:spacing w:line="360" w:lineRule="auto"/>
              <w:ind w:firstLine="480" w:firstLineChars="200"/>
              <w:rPr>
                <w:color w:val="auto"/>
                <w:kern w:val="0"/>
                <w:sz w:val="24"/>
              </w:rPr>
            </w:pPr>
            <w:r>
              <w:rPr>
                <w:color w:val="auto"/>
                <w:kern w:val="0"/>
                <w:sz w:val="24"/>
              </w:rPr>
              <w:t>①使用符合标准的容器盛装危险废物；</w:t>
            </w:r>
          </w:p>
          <w:p w14:paraId="32CF93C5">
            <w:pPr>
              <w:adjustRightInd w:val="0"/>
              <w:snapToGrid w:val="0"/>
              <w:spacing w:line="360" w:lineRule="auto"/>
              <w:ind w:firstLine="480" w:firstLineChars="200"/>
              <w:rPr>
                <w:color w:val="auto"/>
                <w:kern w:val="0"/>
                <w:sz w:val="24"/>
              </w:rPr>
            </w:pPr>
            <w:r>
              <w:rPr>
                <w:color w:val="auto"/>
                <w:kern w:val="0"/>
                <w:sz w:val="24"/>
              </w:rPr>
              <w:t>②装载危险废物的容器及材质要满足相应的强度要求；</w:t>
            </w:r>
          </w:p>
          <w:p w14:paraId="052D3625">
            <w:pPr>
              <w:adjustRightInd w:val="0"/>
              <w:snapToGrid w:val="0"/>
              <w:spacing w:line="360" w:lineRule="auto"/>
              <w:ind w:firstLine="480" w:firstLineChars="200"/>
              <w:rPr>
                <w:color w:val="auto"/>
                <w:kern w:val="0"/>
                <w:sz w:val="24"/>
              </w:rPr>
            </w:pPr>
            <w:r>
              <w:rPr>
                <w:color w:val="auto"/>
                <w:kern w:val="0"/>
                <w:sz w:val="24"/>
              </w:rPr>
              <w:t>③装载危险废物的容器必须完好无损；</w:t>
            </w:r>
          </w:p>
          <w:p w14:paraId="1872B7E4">
            <w:pPr>
              <w:adjustRightInd w:val="0"/>
              <w:snapToGrid w:val="0"/>
              <w:spacing w:line="360" w:lineRule="auto"/>
              <w:ind w:firstLine="480" w:firstLineChars="200"/>
              <w:rPr>
                <w:color w:val="auto"/>
                <w:kern w:val="0"/>
                <w:sz w:val="24"/>
              </w:rPr>
            </w:pPr>
            <w:r>
              <w:rPr>
                <w:color w:val="auto"/>
                <w:kern w:val="0"/>
                <w:sz w:val="24"/>
              </w:rPr>
              <w:t>④盛装危险废物的容器材质和衬里要与危险废物相容（不相互反应）。</w:t>
            </w:r>
          </w:p>
          <w:p w14:paraId="1DA0579C">
            <w:pPr>
              <w:adjustRightInd w:val="0"/>
              <w:snapToGrid w:val="0"/>
              <w:spacing w:line="360" w:lineRule="auto"/>
              <w:ind w:firstLine="480" w:firstLineChars="200"/>
              <w:rPr>
                <w:color w:val="auto"/>
                <w:kern w:val="0"/>
                <w:sz w:val="24"/>
              </w:rPr>
            </w:pPr>
            <w:r>
              <w:rPr>
                <w:color w:val="auto"/>
                <w:kern w:val="0"/>
                <w:sz w:val="24"/>
              </w:rPr>
              <w:t>（3）危险废物贮存设施的运行与管理要求</w:t>
            </w:r>
          </w:p>
          <w:p w14:paraId="280AE887">
            <w:pPr>
              <w:adjustRightInd w:val="0"/>
              <w:snapToGrid w:val="0"/>
              <w:spacing w:line="360" w:lineRule="auto"/>
              <w:ind w:firstLine="480" w:firstLineChars="200"/>
              <w:rPr>
                <w:smallCaps/>
                <w:color w:val="auto"/>
                <w:kern w:val="0"/>
                <w:sz w:val="24"/>
              </w:rPr>
            </w:pPr>
            <w:r>
              <w:rPr>
                <w:smallCaps/>
                <w:color w:val="auto"/>
                <w:kern w:val="0"/>
                <w:sz w:val="24"/>
              </w:rPr>
              <w:t>①危险废物贮存前应进行检验，确保同预定接收的危险废物一致，并登记注册；</w:t>
            </w:r>
          </w:p>
          <w:p w14:paraId="6723EE88">
            <w:pPr>
              <w:adjustRightInd w:val="0"/>
              <w:snapToGrid w:val="0"/>
              <w:spacing w:line="360" w:lineRule="auto"/>
              <w:ind w:firstLine="480" w:firstLineChars="200"/>
              <w:rPr>
                <w:smallCaps/>
                <w:color w:val="auto"/>
                <w:kern w:val="0"/>
                <w:sz w:val="24"/>
              </w:rPr>
            </w:pPr>
            <w:r>
              <w:rPr>
                <w:smallCaps/>
                <w:color w:val="auto"/>
                <w:kern w:val="0"/>
                <w:sz w:val="24"/>
              </w:rPr>
              <w:t>②不得将不相容的废物混合或合并存放；</w:t>
            </w:r>
          </w:p>
          <w:p w14:paraId="22254ED3">
            <w:pPr>
              <w:adjustRightInd w:val="0"/>
              <w:snapToGrid w:val="0"/>
              <w:spacing w:line="360" w:lineRule="auto"/>
              <w:ind w:firstLine="480" w:firstLineChars="200"/>
              <w:rPr>
                <w:color w:val="auto"/>
              </w:rPr>
            </w:pPr>
            <w:r>
              <w:rPr>
                <w:smallCaps/>
                <w:color w:val="auto"/>
                <w:kern w:val="0"/>
                <w:sz w:val="24"/>
              </w:rPr>
              <w:t>③须作好危险废物情况的记录，记录上须注明危险废物的名称、来源、数量、特性和包装容器的类别，入库日期、存放库位、废物出库日期及接受单位名称。危险废物的记录和货单在危险废物回取后应继续保留3年，实行危险废物转移联单管理制度。</w:t>
            </w:r>
          </w:p>
          <w:p w14:paraId="67CE539F">
            <w:pPr>
              <w:pStyle w:val="17"/>
              <w:spacing w:after="0" w:line="360" w:lineRule="auto"/>
              <w:ind w:firstLine="480" w:firstLineChars="0"/>
              <w:rPr>
                <w:b/>
                <w:color w:val="auto"/>
                <w:spacing w:val="-10"/>
                <w:szCs w:val="24"/>
              </w:rPr>
            </w:pPr>
            <w:r>
              <w:rPr>
                <w:color w:val="auto"/>
              </w:rPr>
              <w:t>项目在严格落实环评提出的各项固体废弃物收集、</w:t>
            </w:r>
            <w:r>
              <w:rPr>
                <w:rFonts w:hint="eastAsia"/>
                <w:color w:val="auto"/>
              </w:rPr>
              <w:t>贮存</w:t>
            </w:r>
            <w:r>
              <w:rPr>
                <w:color w:val="auto"/>
              </w:rPr>
              <w:t>设施确实实施的情况下，一般固体废弃物的</w:t>
            </w:r>
            <w:r>
              <w:rPr>
                <w:rFonts w:hint="eastAsia"/>
                <w:color w:val="auto"/>
              </w:rPr>
              <w:t>贮存</w:t>
            </w:r>
            <w:r>
              <w:rPr>
                <w:color w:val="auto"/>
              </w:rPr>
              <w:t>处置能够达到《一般工业固体废物贮存和填埋污染控制标准》（GB18599-2020）中有关规定，项目所产生的危险废物能够满足《危险废物贮存污染控制标准》（GB18597-20</w:t>
            </w:r>
            <w:r>
              <w:rPr>
                <w:rFonts w:hint="eastAsia"/>
                <w:color w:val="auto"/>
              </w:rPr>
              <w:t>23</w:t>
            </w:r>
            <w:r>
              <w:rPr>
                <w:color w:val="auto"/>
              </w:rPr>
              <w:t>）中有关规定，项目所产生的固体废弃物能够得到合理、有效的处置，各固体废弃物去向明确，处置率达到100%，对环境的影响较小。</w:t>
            </w:r>
          </w:p>
          <w:p w14:paraId="5EE64DED">
            <w:pPr>
              <w:adjustRightInd w:val="0"/>
              <w:snapToGrid w:val="0"/>
              <w:spacing w:line="360" w:lineRule="auto"/>
              <w:ind w:firstLine="482" w:firstLineChars="200"/>
              <w:rPr>
                <w:b/>
                <w:color w:val="auto"/>
                <w:spacing w:val="-10"/>
                <w:sz w:val="24"/>
              </w:rPr>
            </w:pPr>
            <w:r>
              <w:rPr>
                <w:rFonts w:hint="eastAsia"/>
                <w:b/>
                <w:bCs/>
                <w:color w:val="auto"/>
                <w:sz w:val="24"/>
                <w:szCs w:val="28"/>
              </w:rPr>
              <w:t>五、</w:t>
            </w:r>
            <w:r>
              <w:rPr>
                <w:rFonts w:hint="eastAsia"/>
                <w:b/>
                <w:color w:val="auto"/>
                <w:spacing w:val="-10"/>
                <w:sz w:val="24"/>
              </w:rPr>
              <w:t>地下水、土壤</w:t>
            </w:r>
          </w:p>
          <w:p w14:paraId="53087790">
            <w:pPr>
              <w:adjustRightInd w:val="0"/>
              <w:snapToGrid w:val="0"/>
              <w:spacing w:line="360" w:lineRule="auto"/>
              <w:ind w:firstLine="482" w:firstLineChars="200"/>
              <w:rPr>
                <w:b/>
                <w:bCs/>
                <w:color w:val="auto"/>
                <w:sz w:val="24"/>
              </w:rPr>
            </w:pPr>
            <w:r>
              <w:rPr>
                <w:rFonts w:hint="eastAsia"/>
                <w:b/>
                <w:bCs/>
                <w:color w:val="auto"/>
                <w:sz w:val="24"/>
              </w:rPr>
              <w:t>1、影响分析</w:t>
            </w:r>
          </w:p>
          <w:p w14:paraId="460BADDB">
            <w:pPr>
              <w:adjustRightInd w:val="0"/>
              <w:snapToGrid w:val="0"/>
              <w:spacing w:line="360" w:lineRule="auto"/>
              <w:ind w:firstLine="480" w:firstLineChars="200"/>
              <w:rPr>
                <w:color w:val="auto"/>
                <w:sz w:val="24"/>
              </w:rPr>
            </w:pPr>
            <w:r>
              <w:rPr>
                <w:color w:val="auto"/>
                <w:sz w:val="24"/>
              </w:rPr>
              <w:t>（1）</w:t>
            </w:r>
            <w:r>
              <w:rPr>
                <w:color w:val="auto"/>
                <w:sz w:val="24"/>
                <w:lang w:val="zh-CN"/>
              </w:rPr>
              <w:t>污染源分析</w:t>
            </w:r>
          </w:p>
          <w:p w14:paraId="2E4C08BB">
            <w:pPr>
              <w:adjustRightInd w:val="0"/>
              <w:snapToGrid w:val="0"/>
              <w:spacing w:line="360" w:lineRule="auto"/>
              <w:ind w:firstLine="480" w:firstLineChars="200"/>
              <w:rPr>
                <w:color w:val="auto"/>
                <w:sz w:val="24"/>
                <w:lang w:val="zh-CN"/>
              </w:rPr>
            </w:pPr>
            <w:r>
              <w:rPr>
                <w:color w:val="auto"/>
                <w:sz w:val="24"/>
                <w:lang w:val="zh-CN"/>
              </w:rPr>
              <w:t>本项目正常工况下，不会产生地下水、土壤污染，只有在事故状态下，项目内暂存的废矿物油</w:t>
            </w:r>
            <w:r>
              <w:rPr>
                <w:rFonts w:hint="eastAsia"/>
                <w:color w:val="auto"/>
                <w:sz w:val="24"/>
                <w:lang w:val="zh-CN"/>
              </w:rPr>
              <w:t>、生活污水</w:t>
            </w:r>
            <w:r>
              <w:rPr>
                <w:color w:val="auto"/>
                <w:sz w:val="24"/>
                <w:lang w:val="zh-CN"/>
              </w:rPr>
              <w:t>可能会发生</w:t>
            </w:r>
            <w:r>
              <w:rPr>
                <w:rFonts w:hint="eastAsia"/>
                <w:color w:val="auto"/>
                <w:sz w:val="24"/>
              </w:rPr>
              <w:t>泄漏</w:t>
            </w:r>
            <w:r>
              <w:rPr>
                <w:color w:val="auto"/>
                <w:sz w:val="24"/>
                <w:lang w:val="zh-CN"/>
              </w:rPr>
              <w:t>等</w:t>
            </w:r>
            <w:r>
              <w:rPr>
                <w:rFonts w:hint="eastAsia"/>
                <w:color w:val="auto"/>
                <w:sz w:val="24"/>
              </w:rPr>
              <w:t>风险</w:t>
            </w:r>
            <w:r>
              <w:rPr>
                <w:color w:val="auto"/>
                <w:sz w:val="24"/>
                <w:lang w:val="zh-CN"/>
              </w:rPr>
              <w:t>，可能对周边土壤造成污染，长时间</w:t>
            </w:r>
            <w:r>
              <w:rPr>
                <w:rFonts w:hint="eastAsia"/>
                <w:color w:val="auto"/>
                <w:sz w:val="24"/>
              </w:rPr>
              <w:t>泄漏</w:t>
            </w:r>
            <w:r>
              <w:rPr>
                <w:color w:val="auto"/>
                <w:sz w:val="24"/>
                <w:lang w:val="zh-CN"/>
              </w:rPr>
              <w:t>可能深入地下对地下水造成污染。</w:t>
            </w:r>
          </w:p>
          <w:p w14:paraId="3E6A8514">
            <w:pPr>
              <w:adjustRightInd w:val="0"/>
              <w:snapToGrid w:val="0"/>
              <w:spacing w:line="360" w:lineRule="auto"/>
              <w:ind w:firstLine="480" w:firstLineChars="200"/>
              <w:rPr>
                <w:color w:val="auto"/>
                <w:sz w:val="24"/>
                <w:lang w:val="zh-CN"/>
              </w:rPr>
            </w:pPr>
            <w:r>
              <w:rPr>
                <w:color w:val="auto"/>
                <w:sz w:val="24"/>
                <w:lang w:val="zh-CN"/>
              </w:rPr>
              <w:t>（</w:t>
            </w:r>
            <w:r>
              <w:rPr>
                <w:color w:val="auto"/>
                <w:sz w:val="24"/>
              </w:rPr>
              <w:t>2</w:t>
            </w:r>
            <w:r>
              <w:rPr>
                <w:color w:val="auto"/>
                <w:sz w:val="24"/>
                <w:lang w:val="zh-CN"/>
              </w:rPr>
              <w:t>）污染物类型和污染途径识别</w:t>
            </w:r>
          </w:p>
          <w:p w14:paraId="52FF7AD1">
            <w:pPr>
              <w:adjustRightInd w:val="0"/>
              <w:snapToGrid w:val="0"/>
              <w:spacing w:line="360" w:lineRule="auto"/>
              <w:ind w:firstLine="480" w:firstLineChars="200"/>
              <w:rPr>
                <w:color w:val="auto"/>
                <w:sz w:val="24"/>
                <w:lang w:val="zh-CN"/>
              </w:rPr>
            </w:pPr>
            <w:r>
              <w:rPr>
                <w:color w:val="auto"/>
                <w:sz w:val="24"/>
                <w:lang w:val="zh-CN"/>
              </w:rPr>
              <w:fldChar w:fldCharType="begin"/>
            </w:r>
            <w:r>
              <w:rPr>
                <w:color w:val="auto"/>
                <w:sz w:val="24"/>
                <w:lang w:val="zh-CN"/>
              </w:rPr>
              <w:instrText xml:space="preserve"> = 1 \* GB3 \* MERGEFORMAT </w:instrText>
            </w:r>
            <w:r>
              <w:rPr>
                <w:color w:val="auto"/>
                <w:sz w:val="24"/>
                <w:lang w:val="zh-CN"/>
              </w:rPr>
              <w:fldChar w:fldCharType="separate"/>
            </w:r>
            <w:r>
              <w:rPr>
                <w:color w:val="auto"/>
                <w:sz w:val="24"/>
                <w:lang w:val="zh-CN"/>
              </w:rPr>
              <w:t>①</w:t>
            </w:r>
            <w:r>
              <w:rPr>
                <w:color w:val="auto"/>
                <w:sz w:val="24"/>
                <w:lang w:val="zh-CN"/>
              </w:rPr>
              <w:fldChar w:fldCharType="end"/>
            </w:r>
            <w:r>
              <w:rPr>
                <w:color w:val="auto"/>
                <w:sz w:val="24"/>
                <w:lang w:val="zh-CN"/>
              </w:rPr>
              <w:t>影响类型与影响途径识别</w:t>
            </w:r>
          </w:p>
          <w:p w14:paraId="7FEFBFD9">
            <w:pPr>
              <w:adjustRightInd w:val="0"/>
              <w:snapToGrid w:val="0"/>
              <w:spacing w:line="360" w:lineRule="auto"/>
              <w:ind w:firstLine="480" w:firstLineChars="200"/>
              <w:rPr>
                <w:color w:val="auto"/>
                <w:sz w:val="24"/>
                <w:lang w:val="zh-CN"/>
              </w:rPr>
            </w:pPr>
            <w:r>
              <w:rPr>
                <w:color w:val="auto"/>
                <w:sz w:val="24"/>
                <w:lang w:val="zh-CN"/>
              </w:rPr>
              <w:t>本项目对周边</w:t>
            </w:r>
            <w:r>
              <w:rPr>
                <w:color w:val="auto"/>
                <w:sz w:val="24"/>
              </w:rPr>
              <w:t>地下水、</w:t>
            </w:r>
            <w:r>
              <w:rPr>
                <w:color w:val="auto"/>
                <w:sz w:val="24"/>
                <w:lang w:val="zh-CN"/>
              </w:rPr>
              <w:t>土壤环境影响的类型与影响途径见表4-</w:t>
            </w:r>
            <w:r>
              <w:rPr>
                <w:rFonts w:hint="eastAsia"/>
                <w:color w:val="auto"/>
                <w:sz w:val="24"/>
              </w:rPr>
              <w:t>16</w:t>
            </w:r>
            <w:r>
              <w:rPr>
                <w:color w:val="auto"/>
                <w:sz w:val="24"/>
                <w:lang w:val="zh-CN"/>
              </w:rPr>
              <w:t>。</w:t>
            </w:r>
          </w:p>
          <w:p w14:paraId="15C4E492">
            <w:pPr>
              <w:pStyle w:val="67"/>
              <w:adjustRightInd w:val="0"/>
              <w:snapToGrid w:val="0"/>
              <w:rPr>
                <w:rStyle w:val="68"/>
                <w:b/>
                <w:color w:val="auto"/>
                <w:szCs w:val="21"/>
              </w:rPr>
            </w:pPr>
            <w:r>
              <w:rPr>
                <w:rStyle w:val="68"/>
                <w:b/>
                <w:color w:val="auto"/>
                <w:szCs w:val="21"/>
              </w:rPr>
              <w:t>表4-</w:t>
            </w:r>
            <w:r>
              <w:rPr>
                <w:rStyle w:val="68"/>
                <w:rFonts w:hint="eastAsia"/>
                <w:b/>
                <w:color w:val="auto"/>
                <w:szCs w:val="21"/>
              </w:rPr>
              <w:t>16</w:t>
            </w:r>
            <w:r>
              <w:rPr>
                <w:rStyle w:val="68"/>
                <w:b/>
                <w:color w:val="auto"/>
                <w:szCs w:val="21"/>
              </w:rPr>
              <w:t xml:space="preserve"> 项目土壤、地下水环境影响类型与影响途径识别表</w:t>
            </w:r>
          </w:p>
          <w:tbl>
            <w:tblPr>
              <w:tblStyle w:val="31"/>
              <w:tblW w:w="8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9"/>
              <w:gridCol w:w="1484"/>
              <w:gridCol w:w="1724"/>
              <w:gridCol w:w="1760"/>
              <w:gridCol w:w="1557"/>
            </w:tblGrid>
            <w:tr w14:paraId="6F26D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Merge w:val="restart"/>
                  <w:vAlign w:val="center"/>
                </w:tcPr>
                <w:p w14:paraId="3A1D9395">
                  <w:pPr>
                    <w:pStyle w:val="67"/>
                    <w:adjustRightInd w:val="0"/>
                    <w:snapToGrid w:val="0"/>
                    <w:rPr>
                      <w:rStyle w:val="68"/>
                      <w:bCs/>
                      <w:color w:val="auto"/>
                      <w:szCs w:val="21"/>
                    </w:rPr>
                  </w:pPr>
                  <w:r>
                    <w:rPr>
                      <w:rStyle w:val="68"/>
                      <w:bCs/>
                      <w:color w:val="auto"/>
                      <w:szCs w:val="21"/>
                    </w:rPr>
                    <w:t>时段</w:t>
                  </w:r>
                </w:p>
              </w:tc>
              <w:tc>
                <w:tcPr>
                  <w:tcW w:w="6525" w:type="dxa"/>
                  <w:gridSpan w:val="4"/>
                  <w:vAlign w:val="center"/>
                </w:tcPr>
                <w:p w14:paraId="175FE100">
                  <w:pPr>
                    <w:pStyle w:val="67"/>
                    <w:adjustRightInd w:val="0"/>
                    <w:snapToGrid w:val="0"/>
                    <w:rPr>
                      <w:rStyle w:val="68"/>
                      <w:bCs/>
                      <w:color w:val="auto"/>
                      <w:szCs w:val="21"/>
                    </w:rPr>
                  </w:pPr>
                  <w:r>
                    <w:rPr>
                      <w:rStyle w:val="68"/>
                      <w:bCs/>
                      <w:color w:val="auto"/>
                      <w:szCs w:val="21"/>
                    </w:rPr>
                    <w:t>污染影响类型</w:t>
                  </w:r>
                </w:p>
              </w:tc>
            </w:tr>
            <w:tr w14:paraId="3269D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Merge w:val="continue"/>
                  <w:vAlign w:val="center"/>
                </w:tcPr>
                <w:p w14:paraId="59AA04D9">
                  <w:pPr>
                    <w:pStyle w:val="67"/>
                    <w:adjustRightInd w:val="0"/>
                    <w:snapToGrid w:val="0"/>
                    <w:rPr>
                      <w:rStyle w:val="68"/>
                      <w:bCs/>
                      <w:color w:val="auto"/>
                      <w:szCs w:val="21"/>
                    </w:rPr>
                  </w:pPr>
                </w:p>
              </w:tc>
              <w:tc>
                <w:tcPr>
                  <w:tcW w:w="1484" w:type="dxa"/>
                  <w:vAlign w:val="center"/>
                </w:tcPr>
                <w:p w14:paraId="4FB54508">
                  <w:pPr>
                    <w:pStyle w:val="67"/>
                    <w:adjustRightInd w:val="0"/>
                    <w:snapToGrid w:val="0"/>
                    <w:rPr>
                      <w:rStyle w:val="68"/>
                      <w:bCs/>
                      <w:color w:val="auto"/>
                      <w:szCs w:val="21"/>
                    </w:rPr>
                  </w:pPr>
                  <w:r>
                    <w:rPr>
                      <w:rStyle w:val="68"/>
                      <w:bCs/>
                      <w:color w:val="auto"/>
                      <w:szCs w:val="21"/>
                    </w:rPr>
                    <w:t>大气沉降</w:t>
                  </w:r>
                </w:p>
              </w:tc>
              <w:tc>
                <w:tcPr>
                  <w:tcW w:w="1724" w:type="dxa"/>
                  <w:vAlign w:val="center"/>
                </w:tcPr>
                <w:p w14:paraId="0CF40C8A">
                  <w:pPr>
                    <w:pStyle w:val="67"/>
                    <w:adjustRightInd w:val="0"/>
                    <w:snapToGrid w:val="0"/>
                    <w:rPr>
                      <w:rStyle w:val="68"/>
                      <w:bCs/>
                      <w:color w:val="auto"/>
                      <w:szCs w:val="21"/>
                    </w:rPr>
                  </w:pPr>
                  <w:r>
                    <w:rPr>
                      <w:rStyle w:val="68"/>
                      <w:bCs/>
                      <w:color w:val="auto"/>
                      <w:szCs w:val="21"/>
                    </w:rPr>
                    <w:t>地面漫流</w:t>
                  </w:r>
                </w:p>
              </w:tc>
              <w:tc>
                <w:tcPr>
                  <w:tcW w:w="1760" w:type="dxa"/>
                  <w:vAlign w:val="center"/>
                </w:tcPr>
                <w:p w14:paraId="53AB8CB2">
                  <w:pPr>
                    <w:pStyle w:val="67"/>
                    <w:adjustRightInd w:val="0"/>
                    <w:snapToGrid w:val="0"/>
                    <w:rPr>
                      <w:rStyle w:val="68"/>
                      <w:bCs/>
                      <w:color w:val="auto"/>
                      <w:szCs w:val="21"/>
                    </w:rPr>
                  </w:pPr>
                  <w:r>
                    <w:rPr>
                      <w:rStyle w:val="68"/>
                      <w:bCs/>
                      <w:color w:val="auto"/>
                      <w:szCs w:val="21"/>
                    </w:rPr>
                    <w:t>垂直入渗</w:t>
                  </w:r>
                </w:p>
              </w:tc>
              <w:tc>
                <w:tcPr>
                  <w:tcW w:w="1557" w:type="dxa"/>
                  <w:vAlign w:val="center"/>
                </w:tcPr>
                <w:p w14:paraId="25C55C1C">
                  <w:pPr>
                    <w:pStyle w:val="67"/>
                    <w:adjustRightInd w:val="0"/>
                    <w:snapToGrid w:val="0"/>
                    <w:rPr>
                      <w:rStyle w:val="68"/>
                      <w:bCs/>
                      <w:color w:val="auto"/>
                      <w:szCs w:val="21"/>
                    </w:rPr>
                  </w:pPr>
                  <w:r>
                    <w:rPr>
                      <w:rStyle w:val="68"/>
                      <w:bCs/>
                      <w:color w:val="auto"/>
                      <w:szCs w:val="21"/>
                    </w:rPr>
                    <w:t>其他</w:t>
                  </w:r>
                </w:p>
              </w:tc>
            </w:tr>
            <w:tr w14:paraId="7DCC5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Align w:val="center"/>
                </w:tcPr>
                <w:p w14:paraId="4301CFDD">
                  <w:pPr>
                    <w:pStyle w:val="67"/>
                    <w:adjustRightInd w:val="0"/>
                    <w:snapToGrid w:val="0"/>
                    <w:rPr>
                      <w:rStyle w:val="68"/>
                      <w:bCs/>
                      <w:color w:val="auto"/>
                      <w:szCs w:val="21"/>
                    </w:rPr>
                  </w:pPr>
                  <w:r>
                    <w:rPr>
                      <w:rStyle w:val="68"/>
                      <w:bCs/>
                      <w:color w:val="auto"/>
                      <w:szCs w:val="21"/>
                    </w:rPr>
                    <w:t>运营期</w:t>
                  </w:r>
                </w:p>
              </w:tc>
              <w:tc>
                <w:tcPr>
                  <w:tcW w:w="1484" w:type="dxa"/>
                  <w:vAlign w:val="center"/>
                </w:tcPr>
                <w:p w14:paraId="18BFD817">
                  <w:pPr>
                    <w:pStyle w:val="67"/>
                    <w:adjustRightInd w:val="0"/>
                    <w:snapToGrid w:val="0"/>
                    <w:rPr>
                      <w:rStyle w:val="68"/>
                      <w:bCs/>
                      <w:color w:val="auto"/>
                      <w:szCs w:val="21"/>
                    </w:rPr>
                  </w:pPr>
                  <w:r>
                    <w:rPr>
                      <w:rStyle w:val="68"/>
                      <w:bCs/>
                      <w:color w:val="auto"/>
                      <w:szCs w:val="21"/>
                    </w:rPr>
                    <w:t>/</w:t>
                  </w:r>
                </w:p>
              </w:tc>
              <w:tc>
                <w:tcPr>
                  <w:tcW w:w="1724" w:type="dxa"/>
                  <w:vAlign w:val="center"/>
                </w:tcPr>
                <w:p w14:paraId="1B928DB6">
                  <w:pPr>
                    <w:pStyle w:val="67"/>
                    <w:adjustRightInd w:val="0"/>
                    <w:snapToGrid w:val="0"/>
                    <w:rPr>
                      <w:rStyle w:val="68"/>
                      <w:bCs/>
                      <w:color w:val="auto"/>
                      <w:szCs w:val="21"/>
                    </w:rPr>
                  </w:pPr>
                  <w:r>
                    <w:rPr>
                      <w:rStyle w:val="68"/>
                      <w:bCs/>
                      <w:color w:val="auto"/>
                      <w:szCs w:val="21"/>
                    </w:rPr>
                    <w:t>√</w:t>
                  </w:r>
                </w:p>
              </w:tc>
              <w:tc>
                <w:tcPr>
                  <w:tcW w:w="1760" w:type="dxa"/>
                  <w:vAlign w:val="center"/>
                </w:tcPr>
                <w:p w14:paraId="3EBE1654">
                  <w:pPr>
                    <w:pStyle w:val="67"/>
                    <w:adjustRightInd w:val="0"/>
                    <w:snapToGrid w:val="0"/>
                    <w:rPr>
                      <w:rStyle w:val="68"/>
                      <w:bCs/>
                      <w:color w:val="auto"/>
                      <w:szCs w:val="21"/>
                    </w:rPr>
                  </w:pPr>
                  <w:r>
                    <w:rPr>
                      <w:rStyle w:val="68"/>
                      <w:bCs/>
                      <w:color w:val="auto"/>
                      <w:szCs w:val="21"/>
                    </w:rPr>
                    <w:t>√</w:t>
                  </w:r>
                </w:p>
              </w:tc>
              <w:tc>
                <w:tcPr>
                  <w:tcW w:w="1557" w:type="dxa"/>
                  <w:vAlign w:val="center"/>
                </w:tcPr>
                <w:p w14:paraId="400531C8">
                  <w:pPr>
                    <w:pStyle w:val="67"/>
                    <w:adjustRightInd w:val="0"/>
                    <w:snapToGrid w:val="0"/>
                    <w:rPr>
                      <w:rStyle w:val="68"/>
                      <w:bCs/>
                      <w:color w:val="auto"/>
                      <w:szCs w:val="21"/>
                    </w:rPr>
                  </w:pPr>
                  <w:r>
                    <w:rPr>
                      <w:rStyle w:val="68"/>
                      <w:bCs/>
                      <w:color w:val="auto"/>
                      <w:szCs w:val="21"/>
                    </w:rPr>
                    <w:t>/</w:t>
                  </w:r>
                </w:p>
              </w:tc>
            </w:tr>
          </w:tbl>
          <w:p w14:paraId="1DF59DD0">
            <w:pPr>
              <w:adjustRightInd w:val="0"/>
              <w:snapToGrid w:val="0"/>
              <w:spacing w:line="360" w:lineRule="auto"/>
              <w:ind w:firstLine="480" w:firstLineChars="200"/>
              <w:rPr>
                <w:color w:val="auto"/>
                <w:sz w:val="24"/>
              </w:rPr>
            </w:pPr>
            <w:r>
              <w:rPr>
                <w:color w:val="auto"/>
                <w:sz w:val="24"/>
                <w:lang w:val="zh-CN"/>
              </w:rPr>
              <w:fldChar w:fldCharType="begin"/>
            </w:r>
            <w:r>
              <w:rPr>
                <w:color w:val="auto"/>
                <w:sz w:val="24"/>
                <w:lang w:val="zh-CN"/>
              </w:rPr>
              <w:instrText xml:space="preserve"> = 2 \* GB3 \* MERGEFORMAT </w:instrText>
            </w:r>
            <w:r>
              <w:rPr>
                <w:color w:val="auto"/>
                <w:sz w:val="24"/>
                <w:lang w:val="zh-CN"/>
              </w:rPr>
              <w:fldChar w:fldCharType="separate"/>
            </w:r>
            <w:r>
              <w:rPr>
                <w:color w:val="auto"/>
              </w:rPr>
              <w:t>②</w:t>
            </w:r>
            <w:r>
              <w:rPr>
                <w:color w:val="auto"/>
                <w:sz w:val="24"/>
                <w:lang w:val="zh-CN"/>
              </w:rPr>
              <w:fldChar w:fldCharType="end"/>
            </w:r>
            <w:r>
              <w:rPr>
                <w:color w:val="auto"/>
                <w:sz w:val="24"/>
                <w:lang w:val="zh-CN"/>
              </w:rPr>
              <w:t>土壤、</w:t>
            </w:r>
            <w:r>
              <w:rPr>
                <w:color w:val="auto"/>
                <w:sz w:val="24"/>
              </w:rPr>
              <w:t>地下水</w:t>
            </w:r>
            <w:r>
              <w:rPr>
                <w:color w:val="auto"/>
                <w:sz w:val="24"/>
                <w:lang w:val="zh-CN"/>
              </w:rPr>
              <w:t>环境影响</w:t>
            </w:r>
            <w:r>
              <w:rPr>
                <w:color w:val="auto"/>
                <w:sz w:val="24"/>
              </w:rPr>
              <w:t>源及影响因子</w:t>
            </w:r>
          </w:p>
          <w:p w14:paraId="7DAF7B90">
            <w:pPr>
              <w:adjustRightInd w:val="0"/>
              <w:snapToGrid w:val="0"/>
              <w:spacing w:line="360" w:lineRule="auto"/>
              <w:ind w:firstLine="480" w:firstLineChars="200"/>
              <w:rPr>
                <w:color w:val="auto"/>
                <w:sz w:val="24"/>
                <w:lang w:val="zh-CN"/>
              </w:rPr>
            </w:pPr>
            <w:r>
              <w:rPr>
                <w:color w:val="auto"/>
                <w:sz w:val="24"/>
              </w:rPr>
              <w:t>项目对</w:t>
            </w:r>
            <w:r>
              <w:rPr>
                <w:color w:val="auto"/>
                <w:sz w:val="24"/>
                <w:lang w:val="zh-CN"/>
              </w:rPr>
              <w:t>土壤、</w:t>
            </w:r>
            <w:r>
              <w:rPr>
                <w:color w:val="auto"/>
                <w:sz w:val="24"/>
              </w:rPr>
              <w:t>地下水</w:t>
            </w:r>
            <w:r>
              <w:rPr>
                <w:color w:val="auto"/>
                <w:sz w:val="24"/>
                <w:lang w:val="zh-CN"/>
              </w:rPr>
              <w:t>环境</w:t>
            </w:r>
            <w:r>
              <w:rPr>
                <w:color w:val="auto"/>
                <w:sz w:val="24"/>
              </w:rPr>
              <w:t>的</w:t>
            </w:r>
            <w:r>
              <w:rPr>
                <w:color w:val="auto"/>
                <w:sz w:val="24"/>
                <w:lang w:val="zh-CN"/>
              </w:rPr>
              <w:t>影响</w:t>
            </w:r>
            <w:r>
              <w:rPr>
                <w:color w:val="auto"/>
                <w:sz w:val="24"/>
              </w:rPr>
              <w:t>源及影响因子</w:t>
            </w:r>
            <w:r>
              <w:rPr>
                <w:color w:val="auto"/>
                <w:sz w:val="24"/>
                <w:lang w:val="zh-CN"/>
              </w:rPr>
              <w:t>见表4-</w:t>
            </w:r>
            <w:r>
              <w:rPr>
                <w:rFonts w:hint="eastAsia"/>
                <w:color w:val="auto"/>
                <w:sz w:val="24"/>
              </w:rPr>
              <w:t>17</w:t>
            </w:r>
            <w:r>
              <w:rPr>
                <w:color w:val="auto"/>
                <w:sz w:val="24"/>
                <w:lang w:val="zh-CN"/>
              </w:rPr>
              <w:t>。</w:t>
            </w:r>
          </w:p>
          <w:p w14:paraId="3E08F030">
            <w:pPr>
              <w:pStyle w:val="67"/>
              <w:adjustRightInd w:val="0"/>
              <w:snapToGrid w:val="0"/>
              <w:rPr>
                <w:rStyle w:val="68"/>
                <w:b/>
                <w:color w:val="auto"/>
                <w:szCs w:val="21"/>
              </w:rPr>
            </w:pPr>
            <w:r>
              <w:rPr>
                <w:rStyle w:val="68"/>
                <w:b/>
                <w:color w:val="auto"/>
                <w:szCs w:val="21"/>
              </w:rPr>
              <w:t>表4-</w:t>
            </w:r>
            <w:r>
              <w:rPr>
                <w:rStyle w:val="68"/>
                <w:rFonts w:hint="eastAsia"/>
                <w:b/>
                <w:color w:val="auto"/>
                <w:szCs w:val="21"/>
              </w:rPr>
              <w:t>17</w:t>
            </w:r>
            <w:r>
              <w:rPr>
                <w:rStyle w:val="68"/>
                <w:b/>
                <w:color w:val="auto"/>
                <w:szCs w:val="21"/>
              </w:rPr>
              <w:t xml:space="preserve">  项目土壤、地下水环境影响源及影响因子识别表</w:t>
            </w:r>
          </w:p>
          <w:tbl>
            <w:tblPr>
              <w:tblStyle w:val="31"/>
              <w:tblW w:w="8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1605"/>
              <w:gridCol w:w="1260"/>
              <w:gridCol w:w="1395"/>
              <w:gridCol w:w="2779"/>
            </w:tblGrid>
            <w:tr w14:paraId="0F153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Align w:val="center"/>
                </w:tcPr>
                <w:p w14:paraId="793E717B">
                  <w:pPr>
                    <w:pStyle w:val="67"/>
                    <w:adjustRightInd w:val="0"/>
                    <w:snapToGrid w:val="0"/>
                    <w:rPr>
                      <w:rStyle w:val="68"/>
                      <w:bCs/>
                      <w:color w:val="auto"/>
                      <w:szCs w:val="21"/>
                    </w:rPr>
                  </w:pPr>
                  <w:r>
                    <w:rPr>
                      <w:rStyle w:val="68"/>
                      <w:bCs/>
                      <w:color w:val="auto"/>
                      <w:szCs w:val="21"/>
                    </w:rPr>
                    <w:t>污染源</w:t>
                  </w:r>
                </w:p>
              </w:tc>
              <w:tc>
                <w:tcPr>
                  <w:tcW w:w="1605" w:type="dxa"/>
                  <w:vAlign w:val="center"/>
                </w:tcPr>
                <w:p w14:paraId="4F8FBE44">
                  <w:pPr>
                    <w:pStyle w:val="67"/>
                    <w:adjustRightInd w:val="0"/>
                    <w:snapToGrid w:val="0"/>
                    <w:rPr>
                      <w:rStyle w:val="68"/>
                      <w:bCs/>
                      <w:color w:val="auto"/>
                      <w:szCs w:val="21"/>
                    </w:rPr>
                  </w:pPr>
                  <w:r>
                    <w:rPr>
                      <w:rStyle w:val="68"/>
                      <w:bCs/>
                      <w:color w:val="auto"/>
                      <w:szCs w:val="21"/>
                    </w:rPr>
                    <w:t>工艺流程/环节</w:t>
                  </w:r>
                </w:p>
              </w:tc>
              <w:tc>
                <w:tcPr>
                  <w:tcW w:w="1260" w:type="dxa"/>
                  <w:vAlign w:val="center"/>
                </w:tcPr>
                <w:p w14:paraId="6573FECE">
                  <w:pPr>
                    <w:pStyle w:val="67"/>
                    <w:adjustRightInd w:val="0"/>
                    <w:snapToGrid w:val="0"/>
                    <w:rPr>
                      <w:rStyle w:val="68"/>
                      <w:bCs/>
                      <w:color w:val="auto"/>
                      <w:szCs w:val="21"/>
                    </w:rPr>
                  </w:pPr>
                  <w:r>
                    <w:rPr>
                      <w:rStyle w:val="68"/>
                      <w:bCs/>
                      <w:color w:val="auto"/>
                      <w:szCs w:val="21"/>
                    </w:rPr>
                    <w:t>污染途径</w:t>
                  </w:r>
                </w:p>
              </w:tc>
              <w:tc>
                <w:tcPr>
                  <w:tcW w:w="1395" w:type="dxa"/>
                  <w:vAlign w:val="center"/>
                </w:tcPr>
                <w:p w14:paraId="288026D4">
                  <w:pPr>
                    <w:pStyle w:val="67"/>
                    <w:adjustRightInd w:val="0"/>
                    <w:snapToGrid w:val="0"/>
                    <w:rPr>
                      <w:rStyle w:val="68"/>
                      <w:bCs/>
                      <w:color w:val="auto"/>
                      <w:szCs w:val="21"/>
                    </w:rPr>
                  </w:pPr>
                  <w:r>
                    <w:rPr>
                      <w:rStyle w:val="68"/>
                      <w:bCs/>
                      <w:color w:val="auto"/>
                      <w:szCs w:val="21"/>
                    </w:rPr>
                    <w:t>污染物</w:t>
                  </w:r>
                </w:p>
              </w:tc>
              <w:tc>
                <w:tcPr>
                  <w:tcW w:w="2779" w:type="dxa"/>
                  <w:vAlign w:val="center"/>
                </w:tcPr>
                <w:p w14:paraId="7AFE1D53">
                  <w:pPr>
                    <w:pStyle w:val="67"/>
                    <w:adjustRightInd w:val="0"/>
                    <w:snapToGrid w:val="0"/>
                    <w:rPr>
                      <w:rStyle w:val="68"/>
                      <w:bCs/>
                      <w:color w:val="auto"/>
                      <w:szCs w:val="21"/>
                    </w:rPr>
                  </w:pPr>
                  <w:r>
                    <w:rPr>
                      <w:rStyle w:val="68"/>
                      <w:bCs/>
                      <w:color w:val="auto"/>
                      <w:szCs w:val="21"/>
                    </w:rPr>
                    <w:t>备注</w:t>
                  </w:r>
                </w:p>
              </w:tc>
            </w:tr>
            <w:tr w14:paraId="33E9F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Align w:val="center"/>
                </w:tcPr>
                <w:p w14:paraId="4EA4088C">
                  <w:pPr>
                    <w:pStyle w:val="67"/>
                    <w:adjustRightInd w:val="0"/>
                    <w:snapToGrid w:val="0"/>
                    <w:rPr>
                      <w:rStyle w:val="68"/>
                      <w:bCs/>
                      <w:color w:val="auto"/>
                      <w:szCs w:val="21"/>
                    </w:rPr>
                  </w:pPr>
                  <w:r>
                    <w:rPr>
                      <w:rStyle w:val="68"/>
                      <w:bCs/>
                      <w:color w:val="auto"/>
                      <w:szCs w:val="21"/>
                    </w:rPr>
                    <w:t>危险废物暂存间</w:t>
                  </w:r>
                </w:p>
              </w:tc>
              <w:tc>
                <w:tcPr>
                  <w:tcW w:w="1605" w:type="dxa"/>
                  <w:vAlign w:val="center"/>
                </w:tcPr>
                <w:p w14:paraId="2C35A102">
                  <w:pPr>
                    <w:pStyle w:val="67"/>
                    <w:adjustRightInd w:val="0"/>
                    <w:snapToGrid w:val="0"/>
                    <w:rPr>
                      <w:rStyle w:val="68"/>
                      <w:bCs/>
                      <w:color w:val="auto"/>
                      <w:szCs w:val="21"/>
                    </w:rPr>
                  </w:pPr>
                  <w:r>
                    <w:rPr>
                      <w:rStyle w:val="68"/>
                      <w:bCs/>
                      <w:color w:val="auto"/>
                      <w:szCs w:val="21"/>
                    </w:rPr>
                    <w:t>危险废物暂存</w:t>
                  </w:r>
                </w:p>
              </w:tc>
              <w:tc>
                <w:tcPr>
                  <w:tcW w:w="1260" w:type="dxa"/>
                  <w:vAlign w:val="center"/>
                </w:tcPr>
                <w:p w14:paraId="2E4F15CA">
                  <w:pPr>
                    <w:pStyle w:val="67"/>
                    <w:adjustRightInd w:val="0"/>
                    <w:snapToGrid w:val="0"/>
                    <w:rPr>
                      <w:rStyle w:val="68"/>
                      <w:bCs/>
                      <w:color w:val="auto"/>
                      <w:szCs w:val="21"/>
                    </w:rPr>
                  </w:pPr>
                  <w:r>
                    <w:rPr>
                      <w:rStyle w:val="68"/>
                      <w:bCs/>
                      <w:color w:val="auto"/>
                      <w:szCs w:val="21"/>
                    </w:rPr>
                    <w:t>垂直入渗</w:t>
                  </w:r>
                </w:p>
              </w:tc>
              <w:tc>
                <w:tcPr>
                  <w:tcW w:w="1395" w:type="dxa"/>
                  <w:vAlign w:val="center"/>
                </w:tcPr>
                <w:p w14:paraId="17D3F327">
                  <w:pPr>
                    <w:pStyle w:val="67"/>
                    <w:adjustRightInd w:val="0"/>
                    <w:snapToGrid w:val="0"/>
                    <w:rPr>
                      <w:rStyle w:val="68"/>
                      <w:bCs/>
                      <w:color w:val="auto"/>
                      <w:szCs w:val="21"/>
                    </w:rPr>
                  </w:pPr>
                  <w:r>
                    <w:rPr>
                      <w:rStyle w:val="68"/>
                      <w:bCs/>
                      <w:color w:val="auto"/>
                      <w:szCs w:val="21"/>
                    </w:rPr>
                    <w:t>废矿物油</w:t>
                  </w:r>
                </w:p>
              </w:tc>
              <w:tc>
                <w:tcPr>
                  <w:tcW w:w="2779" w:type="dxa"/>
                  <w:vAlign w:val="center"/>
                </w:tcPr>
                <w:p w14:paraId="5C2331F6">
                  <w:pPr>
                    <w:pStyle w:val="67"/>
                    <w:adjustRightInd w:val="0"/>
                    <w:snapToGrid w:val="0"/>
                    <w:rPr>
                      <w:rStyle w:val="68"/>
                      <w:bCs/>
                      <w:color w:val="auto"/>
                      <w:szCs w:val="21"/>
                    </w:rPr>
                  </w:pPr>
                  <w:r>
                    <w:rPr>
                      <w:rStyle w:val="68"/>
                      <w:bCs/>
                      <w:color w:val="auto"/>
                      <w:szCs w:val="21"/>
                    </w:rPr>
                    <w:t>危废收集容器损坏，废矿物油泄漏渗入土壤造成污染</w:t>
                  </w:r>
                </w:p>
              </w:tc>
            </w:tr>
            <w:tr w14:paraId="03B4D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Align w:val="center"/>
                </w:tcPr>
                <w:p w14:paraId="364751A0">
                  <w:pPr>
                    <w:pStyle w:val="67"/>
                    <w:adjustRightInd w:val="0"/>
                    <w:snapToGrid w:val="0"/>
                    <w:rPr>
                      <w:rStyle w:val="68"/>
                      <w:bCs/>
                      <w:color w:val="auto"/>
                      <w:szCs w:val="21"/>
                    </w:rPr>
                  </w:pPr>
                  <w:r>
                    <w:rPr>
                      <w:rStyle w:val="68"/>
                      <w:rFonts w:hint="eastAsia"/>
                      <w:bCs/>
                      <w:color w:val="auto"/>
                      <w:szCs w:val="21"/>
                    </w:rPr>
                    <w:t>污水处理站</w:t>
                  </w:r>
                </w:p>
              </w:tc>
              <w:tc>
                <w:tcPr>
                  <w:tcW w:w="1605" w:type="dxa"/>
                  <w:vAlign w:val="center"/>
                </w:tcPr>
                <w:p w14:paraId="33691613">
                  <w:pPr>
                    <w:pStyle w:val="67"/>
                    <w:adjustRightInd w:val="0"/>
                    <w:snapToGrid w:val="0"/>
                    <w:rPr>
                      <w:rStyle w:val="68"/>
                      <w:bCs/>
                      <w:color w:val="auto"/>
                      <w:szCs w:val="21"/>
                    </w:rPr>
                  </w:pPr>
                  <w:r>
                    <w:rPr>
                      <w:rStyle w:val="68"/>
                      <w:rFonts w:hint="eastAsia"/>
                      <w:bCs/>
                      <w:color w:val="auto"/>
                      <w:szCs w:val="21"/>
                    </w:rPr>
                    <w:t>生活污水处理</w:t>
                  </w:r>
                </w:p>
              </w:tc>
              <w:tc>
                <w:tcPr>
                  <w:tcW w:w="1260" w:type="dxa"/>
                  <w:vAlign w:val="center"/>
                </w:tcPr>
                <w:p w14:paraId="75E329EF">
                  <w:pPr>
                    <w:pStyle w:val="67"/>
                    <w:adjustRightInd w:val="0"/>
                    <w:snapToGrid w:val="0"/>
                    <w:rPr>
                      <w:rStyle w:val="68"/>
                      <w:bCs/>
                      <w:color w:val="auto"/>
                      <w:szCs w:val="21"/>
                    </w:rPr>
                  </w:pPr>
                  <w:r>
                    <w:rPr>
                      <w:rStyle w:val="68"/>
                      <w:bCs/>
                      <w:color w:val="auto"/>
                      <w:szCs w:val="21"/>
                    </w:rPr>
                    <w:t>垂直入渗</w:t>
                  </w:r>
                </w:p>
              </w:tc>
              <w:tc>
                <w:tcPr>
                  <w:tcW w:w="1395" w:type="dxa"/>
                  <w:vAlign w:val="center"/>
                </w:tcPr>
                <w:p w14:paraId="342DB7DA">
                  <w:pPr>
                    <w:pStyle w:val="67"/>
                    <w:adjustRightInd w:val="0"/>
                    <w:snapToGrid w:val="0"/>
                    <w:rPr>
                      <w:rStyle w:val="68"/>
                      <w:bCs/>
                      <w:color w:val="auto"/>
                      <w:szCs w:val="21"/>
                    </w:rPr>
                  </w:pPr>
                  <w:r>
                    <w:rPr>
                      <w:rStyle w:val="68"/>
                      <w:rFonts w:hint="eastAsia"/>
                      <w:bCs/>
                      <w:color w:val="auto"/>
                      <w:szCs w:val="21"/>
                    </w:rPr>
                    <w:t>COD、氨氮等</w:t>
                  </w:r>
                </w:p>
              </w:tc>
              <w:tc>
                <w:tcPr>
                  <w:tcW w:w="2779" w:type="dxa"/>
                  <w:vAlign w:val="center"/>
                </w:tcPr>
                <w:p w14:paraId="7C2E76DE">
                  <w:pPr>
                    <w:pStyle w:val="67"/>
                    <w:adjustRightInd w:val="0"/>
                    <w:snapToGrid w:val="0"/>
                    <w:rPr>
                      <w:rStyle w:val="68"/>
                      <w:bCs/>
                      <w:color w:val="auto"/>
                      <w:szCs w:val="21"/>
                    </w:rPr>
                  </w:pPr>
                  <w:r>
                    <w:rPr>
                      <w:rStyle w:val="68"/>
                      <w:rFonts w:hint="eastAsia"/>
                      <w:bCs/>
                      <w:color w:val="auto"/>
                      <w:szCs w:val="21"/>
                    </w:rPr>
                    <w:t>污水处理站事故、破损</w:t>
                  </w:r>
                  <w:r>
                    <w:rPr>
                      <w:rStyle w:val="68"/>
                      <w:bCs/>
                      <w:color w:val="auto"/>
                      <w:szCs w:val="21"/>
                    </w:rPr>
                    <w:t>，</w:t>
                  </w:r>
                  <w:r>
                    <w:rPr>
                      <w:rStyle w:val="68"/>
                      <w:rFonts w:hint="eastAsia"/>
                      <w:bCs/>
                      <w:color w:val="auto"/>
                      <w:szCs w:val="21"/>
                    </w:rPr>
                    <w:t>生活污水</w:t>
                  </w:r>
                  <w:r>
                    <w:rPr>
                      <w:rStyle w:val="68"/>
                      <w:bCs/>
                      <w:color w:val="auto"/>
                      <w:szCs w:val="21"/>
                    </w:rPr>
                    <w:t>泄漏渗入土壤造成污染</w:t>
                  </w:r>
                </w:p>
              </w:tc>
            </w:tr>
          </w:tbl>
          <w:p w14:paraId="0DD2A3AB">
            <w:pPr>
              <w:adjustRightInd w:val="0"/>
              <w:snapToGrid w:val="0"/>
              <w:spacing w:line="360" w:lineRule="auto"/>
              <w:ind w:firstLine="480" w:firstLineChars="200"/>
              <w:rPr>
                <w:color w:val="auto"/>
                <w:sz w:val="24"/>
              </w:rPr>
            </w:pPr>
            <w:r>
              <w:rPr>
                <w:color w:val="auto"/>
                <w:sz w:val="24"/>
                <w:lang w:val="zh-CN"/>
              </w:rPr>
              <w:t>（</w:t>
            </w:r>
            <w:r>
              <w:rPr>
                <w:color w:val="auto"/>
                <w:sz w:val="24"/>
              </w:rPr>
              <w:t>3</w:t>
            </w:r>
            <w:r>
              <w:rPr>
                <w:color w:val="auto"/>
                <w:sz w:val="24"/>
                <w:lang w:val="zh-CN"/>
              </w:rPr>
              <w:t>）</w:t>
            </w:r>
            <w:r>
              <w:rPr>
                <w:color w:val="auto"/>
                <w:sz w:val="24"/>
              </w:rPr>
              <w:t>分区防控措施</w:t>
            </w:r>
          </w:p>
          <w:p w14:paraId="1B49F7C3">
            <w:pPr>
              <w:adjustRightInd w:val="0"/>
              <w:snapToGrid w:val="0"/>
              <w:spacing w:line="360" w:lineRule="auto"/>
              <w:ind w:firstLine="480" w:firstLineChars="200"/>
              <w:rPr>
                <w:color w:val="auto"/>
                <w:sz w:val="24"/>
              </w:rPr>
            </w:pPr>
            <w:r>
              <w:rPr>
                <w:color w:val="auto"/>
                <w:sz w:val="24"/>
                <w:lang w:val="zh-CN"/>
              </w:rPr>
              <w:t>根据以上分析，项目存在土壤、地下水污染源的区域主要为</w:t>
            </w:r>
            <w:r>
              <w:rPr>
                <w:color w:val="auto"/>
                <w:sz w:val="24"/>
              </w:rPr>
              <w:t>危险废物</w:t>
            </w:r>
            <w:r>
              <w:rPr>
                <w:color w:val="auto"/>
                <w:sz w:val="24"/>
                <w:lang w:val="zh-CN"/>
              </w:rPr>
              <w:t>暂存间</w:t>
            </w:r>
            <w:r>
              <w:rPr>
                <w:rFonts w:hint="eastAsia"/>
                <w:color w:val="auto"/>
                <w:sz w:val="24"/>
                <w:lang w:val="zh-CN"/>
              </w:rPr>
              <w:t>、</w:t>
            </w:r>
            <w:r>
              <w:rPr>
                <w:rFonts w:hint="eastAsia"/>
                <w:color w:val="auto"/>
                <w:sz w:val="24"/>
              </w:rPr>
              <w:t>污水处理站、化粪池</w:t>
            </w:r>
            <w:r>
              <w:rPr>
                <w:color w:val="auto"/>
                <w:sz w:val="24"/>
                <w:lang w:val="zh-CN"/>
              </w:rPr>
              <w:t>，项目</w:t>
            </w:r>
            <w:r>
              <w:rPr>
                <w:color w:val="auto"/>
                <w:sz w:val="24"/>
              </w:rPr>
              <w:t>危险废物</w:t>
            </w:r>
            <w:r>
              <w:rPr>
                <w:color w:val="auto"/>
                <w:sz w:val="24"/>
                <w:lang w:val="zh-CN"/>
              </w:rPr>
              <w:t>暂存间</w:t>
            </w:r>
            <w:r>
              <w:rPr>
                <w:color w:val="auto"/>
                <w:sz w:val="24"/>
              </w:rPr>
              <w:t>应</w:t>
            </w:r>
            <w:r>
              <w:rPr>
                <w:color w:val="auto"/>
                <w:sz w:val="24"/>
                <w:lang w:val="zh-CN"/>
              </w:rPr>
              <w:t>按照</w:t>
            </w:r>
            <w:r>
              <w:rPr>
                <w:color w:val="auto"/>
                <w:sz w:val="24"/>
              </w:rPr>
              <w:t>《危险废物贮存污染控制标准》（GB18597-20</w:t>
            </w:r>
            <w:r>
              <w:rPr>
                <w:rFonts w:hint="eastAsia"/>
                <w:color w:val="auto"/>
                <w:sz w:val="24"/>
              </w:rPr>
              <w:t>23</w:t>
            </w:r>
            <w:r>
              <w:rPr>
                <w:color w:val="auto"/>
                <w:sz w:val="24"/>
              </w:rPr>
              <w:t>）</w:t>
            </w:r>
            <w:r>
              <w:rPr>
                <w:color w:val="auto"/>
                <w:sz w:val="24"/>
                <w:lang w:val="zh-CN"/>
              </w:rPr>
              <w:t>中要求</w:t>
            </w:r>
            <w:r>
              <w:rPr>
                <w:color w:val="auto"/>
                <w:sz w:val="24"/>
              </w:rPr>
              <w:t>进行重点防渗</w:t>
            </w:r>
            <w:r>
              <w:rPr>
                <w:color w:val="auto"/>
                <w:sz w:val="24"/>
                <w:lang w:val="zh-CN"/>
              </w:rPr>
              <w:t>，对地面和裙角进行防渗建设，防渗系数≤10</w:t>
            </w:r>
            <w:r>
              <w:rPr>
                <w:color w:val="auto"/>
                <w:sz w:val="24"/>
                <w:vertAlign w:val="superscript"/>
                <w:lang w:val="zh-CN"/>
              </w:rPr>
              <w:t>-10</w:t>
            </w:r>
            <w:r>
              <w:rPr>
                <w:color w:val="auto"/>
                <w:sz w:val="24"/>
                <w:lang w:val="zh-CN"/>
              </w:rPr>
              <w:t>cm/s，</w:t>
            </w:r>
            <w:r>
              <w:rPr>
                <w:color w:val="auto"/>
                <w:sz w:val="24"/>
              </w:rPr>
              <w:t>并设危险废物备用储存容器，避免废矿物油泄漏污染土壤、地下水</w:t>
            </w:r>
            <w:r>
              <w:rPr>
                <w:rFonts w:hint="eastAsia"/>
                <w:color w:val="auto"/>
                <w:sz w:val="24"/>
              </w:rPr>
              <w:t>。污水处理站、化粪池</w:t>
            </w:r>
            <w:r>
              <w:rPr>
                <w:color w:val="auto"/>
                <w:sz w:val="24"/>
                <w:lang w:val="zh-CN"/>
              </w:rPr>
              <w:t>按照</w:t>
            </w:r>
            <w:r>
              <w:rPr>
                <w:color w:val="auto"/>
                <w:sz w:val="24"/>
              </w:rPr>
              <w:t>《</w:t>
            </w:r>
            <w:r>
              <w:rPr>
                <w:rFonts w:hint="eastAsia"/>
                <w:color w:val="auto"/>
                <w:sz w:val="24"/>
              </w:rPr>
              <w:t>环境影响评价技术导则 地下水环境</w:t>
            </w:r>
            <w:r>
              <w:rPr>
                <w:color w:val="auto"/>
                <w:sz w:val="24"/>
              </w:rPr>
              <w:t>》（</w:t>
            </w:r>
            <w:r>
              <w:rPr>
                <w:rFonts w:hint="eastAsia"/>
                <w:color w:val="auto"/>
                <w:sz w:val="24"/>
              </w:rPr>
              <w:t>HJ610-2016</w:t>
            </w:r>
            <w:r>
              <w:rPr>
                <w:color w:val="auto"/>
                <w:sz w:val="24"/>
              </w:rPr>
              <w:t>）</w:t>
            </w:r>
            <w:r>
              <w:rPr>
                <w:color w:val="auto"/>
                <w:sz w:val="24"/>
                <w:lang w:val="zh-CN"/>
              </w:rPr>
              <w:t>中要求</w:t>
            </w:r>
            <w:r>
              <w:rPr>
                <w:color w:val="auto"/>
                <w:sz w:val="24"/>
              </w:rPr>
              <w:t>进行</w:t>
            </w:r>
            <w:r>
              <w:rPr>
                <w:rFonts w:hint="eastAsia"/>
                <w:color w:val="auto"/>
                <w:sz w:val="24"/>
              </w:rPr>
              <w:t>一般防渗，等效黏土防渗层Mb≥1.5m，</w:t>
            </w:r>
            <w:r>
              <w:rPr>
                <w:color w:val="auto"/>
                <w:sz w:val="24"/>
                <w:lang w:val="zh-CN"/>
              </w:rPr>
              <w:t>防渗系数≤10</w:t>
            </w:r>
            <w:r>
              <w:rPr>
                <w:color w:val="auto"/>
                <w:sz w:val="24"/>
                <w:vertAlign w:val="superscript"/>
                <w:lang w:val="zh-CN"/>
              </w:rPr>
              <w:t>-</w:t>
            </w:r>
            <w:r>
              <w:rPr>
                <w:rFonts w:hint="eastAsia"/>
                <w:color w:val="auto"/>
                <w:sz w:val="24"/>
                <w:vertAlign w:val="superscript"/>
              </w:rPr>
              <w:t>7</w:t>
            </w:r>
            <w:r>
              <w:rPr>
                <w:color w:val="auto"/>
                <w:sz w:val="24"/>
                <w:lang w:val="zh-CN"/>
              </w:rPr>
              <w:t>cm/s</w:t>
            </w:r>
            <w:r>
              <w:rPr>
                <w:rFonts w:hint="eastAsia"/>
                <w:color w:val="auto"/>
                <w:sz w:val="24"/>
                <w:lang w:val="zh-CN"/>
              </w:rPr>
              <w:t>。</w:t>
            </w:r>
          </w:p>
          <w:p w14:paraId="6F172040">
            <w:pPr>
              <w:pStyle w:val="13"/>
              <w:adjustRightInd w:val="0"/>
              <w:snapToGrid w:val="0"/>
              <w:spacing w:line="360" w:lineRule="auto"/>
              <w:ind w:firstLine="480" w:firstLineChars="200"/>
              <w:rPr>
                <w:rFonts w:ascii="Times New Roman" w:hAnsi="Times New Roman"/>
                <w:color w:val="auto"/>
                <w:sz w:val="24"/>
                <w:lang w:val="zh-CN"/>
              </w:rPr>
            </w:pPr>
            <w:r>
              <w:rPr>
                <w:rFonts w:ascii="Times New Roman" w:hAnsi="Times New Roman"/>
                <w:color w:val="auto"/>
                <w:sz w:val="24"/>
                <w:szCs w:val="28"/>
              </w:rPr>
              <w:t>综上所述，项目营运期对</w:t>
            </w:r>
            <w:r>
              <w:rPr>
                <w:rFonts w:hint="eastAsia" w:ascii="Times New Roman" w:hAnsi="Times New Roman"/>
                <w:color w:val="auto"/>
                <w:sz w:val="24"/>
                <w:szCs w:val="28"/>
              </w:rPr>
              <w:t>地下水及土壤</w:t>
            </w:r>
            <w:r>
              <w:rPr>
                <w:rFonts w:ascii="Times New Roman" w:hAnsi="Times New Roman"/>
                <w:color w:val="auto"/>
                <w:sz w:val="24"/>
                <w:szCs w:val="28"/>
              </w:rPr>
              <w:t>环境影响较小</w:t>
            </w:r>
            <w:r>
              <w:rPr>
                <w:rFonts w:ascii="Times New Roman" w:hAnsi="Times New Roman"/>
                <w:color w:val="auto"/>
                <w:sz w:val="24"/>
                <w:lang w:val="zh-CN"/>
              </w:rPr>
              <w:t>。</w:t>
            </w:r>
          </w:p>
          <w:p w14:paraId="067FCD74">
            <w:pPr>
              <w:pStyle w:val="16"/>
              <w:adjustRightInd w:val="0"/>
              <w:snapToGrid w:val="0"/>
              <w:spacing w:after="0" w:line="360" w:lineRule="auto"/>
              <w:ind w:firstLine="0" w:firstLineChars="0"/>
              <w:rPr>
                <w:b/>
                <w:bCs/>
                <w:color w:val="auto"/>
                <w:szCs w:val="28"/>
              </w:rPr>
            </w:pPr>
            <w:r>
              <w:rPr>
                <w:rFonts w:hint="eastAsia"/>
                <w:b/>
                <w:bCs/>
                <w:color w:val="auto"/>
                <w:szCs w:val="28"/>
              </w:rPr>
              <w:t>六、环境风险评价</w:t>
            </w:r>
          </w:p>
          <w:p w14:paraId="417D64F2">
            <w:pPr>
              <w:pStyle w:val="16"/>
              <w:adjustRightInd w:val="0"/>
              <w:snapToGrid w:val="0"/>
              <w:spacing w:after="0" w:line="360" w:lineRule="auto"/>
              <w:ind w:firstLine="0" w:firstLineChars="0"/>
              <w:rPr>
                <w:b/>
                <w:bCs/>
                <w:color w:val="auto"/>
                <w:szCs w:val="28"/>
              </w:rPr>
            </w:pPr>
            <w:r>
              <w:rPr>
                <w:b/>
                <w:bCs/>
                <w:color w:val="auto"/>
                <w:szCs w:val="28"/>
              </w:rPr>
              <w:t>（1）风险调查</w:t>
            </w:r>
          </w:p>
          <w:p w14:paraId="19A8AA42">
            <w:pPr>
              <w:adjustRightInd w:val="0"/>
              <w:spacing w:line="360" w:lineRule="auto"/>
              <w:ind w:firstLine="480" w:firstLineChars="200"/>
              <w:rPr>
                <w:color w:val="auto"/>
                <w:sz w:val="24"/>
                <w:szCs w:val="28"/>
              </w:rPr>
            </w:pPr>
            <w:r>
              <w:rPr>
                <w:rFonts w:hint="eastAsia"/>
                <w:color w:val="auto"/>
                <w:sz w:val="24"/>
                <w:szCs w:val="28"/>
              </w:rPr>
              <w:t>本项目涉及的危险物质主要为废矿物油、天然气中的主要成分甲烷。废矿物油盛装于专用收集桶内，暂存于危险废物</w:t>
            </w:r>
            <w:r>
              <w:rPr>
                <w:color w:val="auto"/>
                <w:sz w:val="24"/>
                <w:szCs w:val="28"/>
              </w:rPr>
              <w:t>暂存</w:t>
            </w:r>
            <w:r>
              <w:rPr>
                <w:rFonts w:hint="eastAsia"/>
                <w:color w:val="auto"/>
                <w:sz w:val="24"/>
                <w:szCs w:val="28"/>
              </w:rPr>
              <w:t>间</w:t>
            </w:r>
            <w:r>
              <w:rPr>
                <w:color w:val="auto"/>
                <w:sz w:val="24"/>
                <w:szCs w:val="28"/>
              </w:rPr>
              <w:t>。</w:t>
            </w:r>
            <w:r>
              <w:rPr>
                <w:rFonts w:hint="eastAsia"/>
                <w:color w:val="auto"/>
                <w:sz w:val="24"/>
                <w:szCs w:val="28"/>
              </w:rPr>
              <w:t>项目使用的天然气为管道天然气。</w:t>
            </w:r>
          </w:p>
          <w:p w14:paraId="0EA782DA">
            <w:pPr>
              <w:pStyle w:val="16"/>
              <w:adjustRightInd w:val="0"/>
              <w:snapToGrid w:val="0"/>
              <w:spacing w:after="0" w:line="360" w:lineRule="auto"/>
              <w:ind w:firstLine="0" w:firstLineChars="0"/>
              <w:rPr>
                <w:b/>
                <w:bCs/>
                <w:color w:val="auto"/>
                <w:szCs w:val="28"/>
              </w:rPr>
            </w:pPr>
            <w:r>
              <w:rPr>
                <w:b/>
                <w:bCs/>
                <w:color w:val="auto"/>
                <w:szCs w:val="28"/>
              </w:rPr>
              <w:t>（2）环境风险潜势初判</w:t>
            </w:r>
          </w:p>
          <w:p w14:paraId="12F800AC">
            <w:pPr>
              <w:adjustRightInd w:val="0"/>
              <w:spacing w:line="360" w:lineRule="auto"/>
              <w:ind w:firstLine="480" w:firstLineChars="200"/>
              <w:jc w:val="left"/>
              <w:rPr>
                <w:color w:val="auto"/>
                <w:sz w:val="24"/>
                <w:szCs w:val="28"/>
              </w:rPr>
            </w:pPr>
            <w:r>
              <w:rPr>
                <w:rFonts w:hint="eastAsia"/>
                <w:color w:val="auto"/>
                <w:sz w:val="24"/>
                <w:szCs w:val="28"/>
              </w:rPr>
              <w:t>当</w:t>
            </w:r>
            <w:r>
              <w:rPr>
                <w:color w:val="auto"/>
                <w:sz w:val="24"/>
                <w:szCs w:val="28"/>
              </w:rPr>
              <w:t>项目涉及多种危险物质，按下式进行计算Q值：</w:t>
            </w:r>
          </w:p>
          <w:p w14:paraId="27604646">
            <w:pPr>
              <w:adjustRightInd w:val="0"/>
              <w:snapToGrid w:val="0"/>
              <w:spacing w:line="360" w:lineRule="auto"/>
              <w:jc w:val="center"/>
              <w:rPr>
                <w:color w:val="auto"/>
                <w:sz w:val="24"/>
                <w:szCs w:val="28"/>
              </w:rPr>
            </w:pPr>
            <w:r>
              <w:rPr>
                <w:color w:val="auto"/>
                <w:sz w:val="24"/>
                <w:szCs w:val="28"/>
              </w:rPr>
              <w:t>Q=q1/Q1+q2/Q2+…+qn/Qn</w:t>
            </w:r>
          </w:p>
          <w:p w14:paraId="22FA26A4">
            <w:pPr>
              <w:adjustRightInd w:val="0"/>
              <w:snapToGrid w:val="0"/>
              <w:spacing w:line="360" w:lineRule="auto"/>
              <w:ind w:firstLine="480" w:firstLineChars="200"/>
              <w:jc w:val="left"/>
              <w:rPr>
                <w:color w:val="auto"/>
                <w:sz w:val="24"/>
                <w:szCs w:val="28"/>
              </w:rPr>
            </w:pPr>
            <w:r>
              <w:rPr>
                <w:color w:val="auto"/>
                <w:sz w:val="24"/>
                <w:szCs w:val="28"/>
              </w:rPr>
              <w:t>式中：q1，q2，…，qn——每种危险物质的最大存在总量，t；</w:t>
            </w:r>
          </w:p>
          <w:p w14:paraId="638102C7">
            <w:pPr>
              <w:adjustRightInd w:val="0"/>
              <w:snapToGrid w:val="0"/>
              <w:spacing w:line="360" w:lineRule="auto"/>
              <w:ind w:firstLine="1200" w:firstLineChars="500"/>
              <w:jc w:val="left"/>
              <w:rPr>
                <w:color w:val="auto"/>
                <w:sz w:val="24"/>
                <w:szCs w:val="28"/>
              </w:rPr>
            </w:pPr>
            <w:r>
              <w:rPr>
                <w:color w:val="auto"/>
                <w:sz w:val="24"/>
                <w:szCs w:val="28"/>
              </w:rPr>
              <w:t>Q1，Q2，…，Qn——每种危险物质的临界量，t。</w:t>
            </w:r>
          </w:p>
          <w:p w14:paraId="13CE272A">
            <w:pPr>
              <w:adjustRightInd w:val="0"/>
              <w:snapToGrid w:val="0"/>
              <w:spacing w:line="360" w:lineRule="auto"/>
              <w:ind w:firstLine="480" w:firstLineChars="200"/>
              <w:jc w:val="left"/>
              <w:rPr>
                <w:color w:val="auto"/>
                <w:sz w:val="24"/>
                <w:szCs w:val="28"/>
              </w:rPr>
            </w:pPr>
            <w:r>
              <w:rPr>
                <w:color w:val="auto"/>
                <w:sz w:val="24"/>
                <w:szCs w:val="28"/>
              </w:rPr>
              <w:t>当Q＜1时，该项目环境风险潜势为</w:t>
            </w:r>
            <w:r>
              <w:rPr>
                <w:color w:val="auto"/>
                <w:sz w:val="24"/>
                <w:szCs w:val="28"/>
              </w:rPr>
              <w:fldChar w:fldCharType="begin"/>
            </w:r>
            <w:r>
              <w:rPr>
                <w:color w:val="auto"/>
                <w:sz w:val="24"/>
                <w:szCs w:val="28"/>
              </w:rPr>
              <w:instrText xml:space="preserve"> = 1 \* ROMAN \* MERGEFORMAT </w:instrText>
            </w:r>
            <w:r>
              <w:rPr>
                <w:color w:val="auto"/>
                <w:sz w:val="24"/>
                <w:szCs w:val="28"/>
              </w:rPr>
              <w:fldChar w:fldCharType="separate"/>
            </w:r>
            <w:r>
              <w:rPr>
                <w:color w:val="auto"/>
                <w:sz w:val="24"/>
                <w:szCs w:val="28"/>
              </w:rPr>
              <w:t>I</w:t>
            </w:r>
            <w:r>
              <w:rPr>
                <w:color w:val="auto"/>
                <w:sz w:val="24"/>
                <w:szCs w:val="28"/>
              </w:rPr>
              <w:fldChar w:fldCharType="end"/>
            </w:r>
            <w:r>
              <w:rPr>
                <w:color w:val="auto"/>
                <w:sz w:val="24"/>
                <w:szCs w:val="28"/>
              </w:rPr>
              <w:t>。</w:t>
            </w:r>
          </w:p>
          <w:p w14:paraId="3DF6DE75">
            <w:pPr>
              <w:adjustRightInd w:val="0"/>
              <w:snapToGrid w:val="0"/>
              <w:spacing w:line="360" w:lineRule="auto"/>
              <w:ind w:firstLine="480" w:firstLineChars="200"/>
              <w:jc w:val="left"/>
              <w:rPr>
                <w:color w:val="auto"/>
                <w:sz w:val="24"/>
                <w:szCs w:val="28"/>
              </w:rPr>
            </w:pPr>
            <w:r>
              <w:rPr>
                <w:color w:val="auto"/>
                <w:sz w:val="24"/>
                <w:szCs w:val="28"/>
              </w:rPr>
              <w:t>当Q≥1时，将Q值划分为：（1）1≤Q＜10；（2）10≤Q＜100；（3）Q≥100。</w:t>
            </w:r>
          </w:p>
          <w:p w14:paraId="3A72ED7D">
            <w:pPr>
              <w:adjustRightInd w:val="0"/>
              <w:spacing w:line="360" w:lineRule="auto"/>
              <w:ind w:firstLine="480" w:firstLineChars="200"/>
              <w:rPr>
                <w:color w:val="auto"/>
                <w:sz w:val="24"/>
                <w:szCs w:val="28"/>
              </w:rPr>
            </w:pPr>
            <w:r>
              <w:rPr>
                <w:color w:val="auto"/>
                <w:sz w:val="24"/>
                <w:szCs w:val="28"/>
              </w:rPr>
              <w:t>根据项目物质风险识别及储运设施风险识别结果，按照《建设项目环境风险评价技术导则》（HJ169-2018）的规定，以整个厂区为单位对项目环境风险物质最大存在量进行辨识。</w:t>
            </w:r>
            <w:r>
              <w:rPr>
                <w:rFonts w:hint="eastAsia"/>
                <w:color w:val="auto"/>
                <w:sz w:val="24"/>
                <w:szCs w:val="28"/>
              </w:rPr>
              <w:t>项目涉及的危险物质主要为废机油</w:t>
            </w:r>
            <w:r>
              <w:rPr>
                <w:rFonts w:hint="eastAsia"/>
                <w:color w:val="auto"/>
                <w:sz w:val="24"/>
              </w:rPr>
              <w:t>、导热油、天然气</w:t>
            </w:r>
            <w:r>
              <w:rPr>
                <w:rFonts w:hint="eastAsia"/>
                <w:color w:val="auto"/>
                <w:sz w:val="24"/>
                <w:szCs w:val="28"/>
              </w:rPr>
              <w:t>中的主要成分甲烷，</w:t>
            </w:r>
            <w:r>
              <w:rPr>
                <w:color w:val="auto"/>
                <w:sz w:val="24"/>
                <w:szCs w:val="28"/>
              </w:rPr>
              <w:t>项目风险物质与临界量比值Q见表</w:t>
            </w:r>
            <w:r>
              <w:rPr>
                <w:rFonts w:hint="eastAsia"/>
                <w:color w:val="auto"/>
                <w:sz w:val="24"/>
                <w:szCs w:val="28"/>
              </w:rPr>
              <w:t>4</w:t>
            </w:r>
            <w:r>
              <w:rPr>
                <w:color w:val="auto"/>
                <w:sz w:val="24"/>
                <w:szCs w:val="28"/>
              </w:rPr>
              <w:t>-</w:t>
            </w:r>
            <w:r>
              <w:rPr>
                <w:rFonts w:hint="eastAsia"/>
                <w:color w:val="auto"/>
                <w:sz w:val="24"/>
                <w:szCs w:val="28"/>
              </w:rPr>
              <w:t>18</w:t>
            </w:r>
            <w:r>
              <w:rPr>
                <w:color w:val="auto"/>
                <w:sz w:val="24"/>
                <w:szCs w:val="28"/>
              </w:rPr>
              <w:t>。</w:t>
            </w:r>
          </w:p>
          <w:p w14:paraId="54A71E2D">
            <w:pPr>
              <w:adjustRightInd w:val="0"/>
              <w:snapToGrid w:val="0"/>
              <w:jc w:val="center"/>
              <w:rPr>
                <w:b/>
                <w:bCs/>
                <w:color w:val="auto"/>
                <w:szCs w:val="21"/>
              </w:rPr>
            </w:pPr>
            <w:r>
              <w:rPr>
                <w:rFonts w:hint="eastAsia"/>
                <w:b/>
                <w:bCs/>
                <w:color w:val="auto"/>
                <w:szCs w:val="21"/>
              </w:rPr>
              <w:t>表4-18  环境风险物质数量、临界量及其比值(Q)</w:t>
            </w:r>
          </w:p>
          <w:tbl>
            <w:tblPr>
              <w:tblStyle w:val="30"/>
              <w:tblW w:w="85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1745"/>
              <w:gridCol w:w="2301"/>
              <w:gridCol w:w="1949"/>
              <w:gridCol w:w="1575"/>
            </w:tblGrid>
            <w:tr w14:paraId="5E62B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41" w:type="dxa"/>
                  <w:tcBorders>
                    <w:top w:val="single" w:color="auto" w:sz="4" w:space="0"/>
                    <w:left w:val="single" w:color="auto" w:sz="4" w:space="0"/>
                    <w:bottom w:val="single" w:color="auto" w:sz="4" w:space="0"/>
                    <w:right w:val="single" w:color="auto" w:sz="4" w:space="0"/>
                  </w:tcBorders>
                  <w:vAlign w:val="center"/>
                </w:tcPr>
                <w:p w14:paraId="14F8FEDE">
                  <w:pPr>
                    <w:adjustRightInd w:val="0"/>
                    <w:snapToGrid w:val="0"/>
                    <w:jc w:val="center"/>
                    <w:rPr>
                      <w:b/>
                      <w:bCs/>
                      <w:color w:val="auto"/>
                    </w:rPr>
                  </w:pPr>
                  <w:r>
                    <w:rPr>
                      <w:b/>
                      <w:bCs/>
                      <w:color w:val="auto"/>
                    </w:rPr>
                    <w:t>序号</w:t>
                  </w:r>
                </w:p>
              </w:tc>
              <w:tc>
                <w:tcPr>
                  <w:tcW w:w="1745" w:type="dxa"/>
                  <w:tcBorders>
                    <w:top w:val="single" w:color="auto" w:sz="4" w:space="0"/>
                    <w:left w:val="single" w:color="auto" w:sz="4" w:space="0"/>
                    <w:bottom w:val="single" w:color="auto" w:sz="4" w:space="0"/>
                    <w:right w:val="single" w:color="auto" w:sz="4" w:space="0"/>
                  </w:tcBorders>
                  <w:vAlign w:val="center"/>
                </w:tcPr>
                <w:p w14:paraId="29C41D13">
                  <w:pPr>
                    <w:adjustRightInd w:val="0"/>
                    <w:snapToGrid w:val="0"/>
                    <w:jc w:val="center"/>
                    <w:rPr>
                      <w:b/>
                      <w:bCs/>
                      <w:color w:val="auto"/>
                      <w:szCs w:val="21"/>
                    </w:rPr>
                  </w:pPr>
                  <w:r>
                    <w:rPr>
                      <w:b/>
                      <w:bCs/>
                      <w:color w:val="auto"/>
                      <w:szCs w:val="21"/>
                    </w:rPr>
                    <w:t>物质名称</w:t>
                  </w:r>
                </w:p>
              </w:tc>
              <w:tc>
                <w:tcPr>
                  <w:tcW w:w="2301" w:type="dxa"/>
                  <w:tcBorders>
                    <w:top w:val="single" w:color="auto" w:sz="4" w:space="0"/>
                    <w:left w:val="single" w:color="auto" w:sz="4" w:space="0"/>
                    <w:bottom w:val="single" w:color="auto" w:sz="4" w:space="0"/>
                    <w:right w:val="single" w:color="auto" w:sz="4" w:space="0"/>
                  </w:tcBorders>
                  <w:vAlign w:val="center"/>
                </w:tcPr>
                <w:p w14:paraId="1562C183">
                  <w:pPr>
                    <w:adjustRightInd w:val="0"/>
                    <w:snapToGrid w:val="0"/>
                    <w:jc w:val="center"/>
                    <w:rPr>
                      <w:b/>
                      <w:bCs/>
                      <w:color w:val="auto"/>
                    </w:rPr>
                  </w:pPr>
                  <w:r>
                    <w:rPr>
                      <w:b/>
                      <w:bCs/>
                      <w:color w:val="auto"/>
                    </w:rPr>
                    <w:t>最大储存量（t）</w:t>
                  </w:r>
                </w:p>
              </w:tc>
              <w:tc>
                <w:tcPr>
                  <w:tcW w:w="1949" w:type="dxa"/>
                  <w:tcBorders>
                    <w:top w:val="single" w:color="auto" w:sz="4" w:space="0"/>
                    <w:left w:val="single" w:color="auto" w:sz="4" w:space="0"/>
                    <w:bottom w:val="single" w:color="auto" w:sz="4" w:space="0"/>
                    <w:right w:val="single" w:color="auto" w:sz="4" w:space="0"/>
                  </w:tcBorders>
                  <w:vAlign w:val="center"/>
                </w:tcPr>
                <w:p w14:paraId="0B828EE0">
                  <w:pPr>
                    <w:adjustRightInd w:val="0"/>
                    <w:snapToGrid w:val="0"/>
                    <w:jc w:val="center"/>
                    <w:rPr>
                      <w:b/>
                      <w:bCs/>
                      <w:color w:val="auto"/>
                    </w:rPr>
                  </w:pPr>
                  <w:r>
                    <w:rPr>
                      <w:b/>
                      <w:bCs/>
                      <w:color w:val="auto"/>
                    </w:rPr>
                    <w:t>临界量（t）</w:t>
                  </w:r>
                </w:p>
              </w:tc>
              <w:tc>
                <w:tcPr>
                  <w:tcW w:w="1575" w:type="dxa"/>
                  <w:tcBorders>
                    <w:top w:val="single" w:color="auto" w:sz="4" w:space="0"/>
                    <w:left w:val="single" w:color="auto" w:sz="4" w:space="0"/>
                    <w:bottom w:val="single" w:color="auto" w:sz="4" w:space="0"/>
                    <w:right w:val="single" w:color="auto" w:sz="4" w:space="0"/>
                  </w:tcBorders>
                  <w:vAlign w:val="center"/>
                </w:tcPr>
                <w:p w14:paraId="1E347FB5">
                  <w:pPr>
                    <w:adjustRightInd w:val="0"/>
                    <w:snapToGrid w:val="0"/>
                    <w:jc w:val="center"/>
                    <w:rPr>
                      <w:b/>
                      <w:bCs/>
                      <w:color w:val="auto"/>
                    </w:rPr>
                  </w:pPr>
                  <w:r>
                    <w:rPr>
                      <w:b/>
                      <w:bCs/>
                      <w:color w:val="auto"/>
                    </w:rPr>
                    <w:t>Q值</w:t>
                  </w:r>
                </w:p>
              </w:tc>
            </w:tr>
            <w:tr w14:paraId="747B4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941" w:type="dxa"/>
                  <w:tcBorders>
                    <w:top w:val="single" w:color="auto" w:sz="4" w:space="0"/>
                    <w:left w:val="single" w:color="auto" w:sz="4" w:space="0"/>
                    <w:bottom w:val="single" w:color="auto" w:sz="4" w:space="0"/>
                    <w:right w:val="single" w:color="auto" w:sz="4" w:space="0"/>
                  </w:tcBorders>
                  <w:vAlign w:val="center"/>
                </w:tcPr>
                <w:p w14:paraId="4FA18C34">
                  <w:pPr>
                    <w:adjustRightInd w:val="0"/>
                    <w:snapToGrid w:val="0"/>
                    <w:jc w:val="center"/>
                    <w:rPr>
                      <w:color w:val="auto"/>
                    </w:rPr>
                  </w:pPr>
                  <w:r>
                    <w:rPr>
                      <w:color w:val="auto"/>
                    </w:rPr>
                    <w:t>1</w:t>
                  </w:r>
                </w:p>
              </w:tc>
              <w:tc>
                <w:tcPr>
                  <w:tcW w:w="1745" w:type="dxa"/>
                  <w:tcBorders>
                    <w:top w:val="single" w:color="auto" w:sz="4" w:space="0"/>
                    <w:left w:val="single" w:color="auto" w:sz="4" w:space="0"/>
                    <w:bottom w:val="single" w:color="auto" w:sz="4" w:space="0"/>
                    <w:right w:val="single" w:color="auto" w:sz="4" w:space="0"/>
                  </w:tcBorders>
                  <w:vAlign w:val="center"/>
                </w:tcPr>
                <w:p w14:paraId="332C6C97">
                  <w:pPr>
                    <w:adjustRightInd w:val="0"/>
                    <w:snapToGrid w:val="0"/>
                    <w:jc w:val="center"/>
                    <w:rPr>
                      <w:color w:val="auto"/>
                      <w:szCs w:val="21"/>
                    </w:rPr>
                  </w:pPr>
                  <w:r>
                    <w:rPr>
                      <w:rFonts w:hint="eastAsia"/>
                      <w:color w:val="auto"/>
                      <w:szCs w:val="21"/>
                    </w:rPr>
                    <w:t>废机油</w:t>
                  </w:r>
                </w:p>
              </w:tc>
              <w:tc>
                <w:tcPr>
                  <w:tcW w:w="2301" w:type="dxa"/>
                  <w:tcBorders>
                    <w:top w:val="single" w:color="auto" w:sz="4" w:space="0"/>
                    <w:left w:val="single" w:color="auto" w:sz="4" w:space="0"/>
                    <w:bottom w:val="single" w:color="auto" w:sz="4" w:space="0"/>
                    <w:right w:val="single" w:color="auto" w:sz="4" w:space="0"/>
                  </w:tcBorders>
                  <w:vAlign w:val="center"/>
                </w:tcPr>
                <w:p w14:paraId="17A02381">
                  <w:pPr>
                    <w:adjustRightInd w:val="0"/>
                    <w:snapToGrid w:val="0"/>
                    <w:jc w:val="center"/>
                    <w:rPr>
                      <w:color w:val="auto"/>
                    </w:rPr>
                  </w:pPr>
                  <w:r>
                    <w:rPr>
                      <w:rFonts w:hint="eastAsia"/>
                      <w:color w:val="auto"/>
                    </w:rPr>
                    <w:t>0.1</w:t>
                  </w:r>
                </w:p>
              </w:tc>
              <w:tc>
                <w:tcPr>
                  <w:tcW w:w="1949" w:type="dxa"/>
                  <w:vMerge w:val="restart"/>
                  <w:tcBorders>
                    <w:top w:val="single" w:color="auto" w:sz="4" w:space="0"/>
                    <w:left w:val="single" w:color="auto" w:sz="4" w:space="0"/>
                    <w:right w:val="single" w:color="auto" w:sz="4" w:space="0"/>
                  </w:tcBorders>
                  <w:vAlign w:val="center"/>
                </w:tcPr>
                <w:p w14:paraId="3469B902">
                  <w:pPr>
                    <w:adjustRightInd w:val="0"/>
                    <w:snapToGrid w:val="0"/>
                    <w:jc w:val="center"/>
                    <w:rPr>
                      <w:color w:val="auto"/>
                    </w:rPr>
                  </w:pPr>
                  <w:r>
                    <w:rPr>
                      <w:color w:val="auto"/>
                    </w:rPr>
                    <w:t>2500</w:t>
                  </w:r>
                </w:p>
              </w:tc>
              <w:tc>
                <w:tcPr>
                  <w:tcW w:w="1575" w:type="dxa"/>
                  <w:vMerge w:val="restart"/>
                  <w:tcBorders>
                    <w:top w:val="single" w:color="auto" w:sz="4" w:space="0"/>
                    <w:left w:val="single" w:color="auto" w:sz="4" w:space="0"/>
                    <w:right w:val="single" w:color="auto" w:sz="4" w:space="0"/>
                  </w:tcBorders>
                  <w:vAlign w:val="center"/>
                </w:tcPr>
                <w:p w14:paraId="282AD4EE">
                  <w:pPr>
                    <w:adjustRightInd w:val="0"/>
                    <w:snapToGrid w:val="0"/>
                    <w:jc w:val="center"/>
                    <w:rPr>
                      <w:color w:val="auto"/>
                    </w:rPr>
                  </w:pPr>
                  <w:r>
                    <w:rPr>
                      <w:color w:val="auto"/>
                    </w:rPr>
                    <w:t>0.000</w:t>
                  </w:r>
                  <w:r>
                    <w:rPr>
                      <w:rFonts w:hint="eastAsia"/>
                      <w:color w:val="auto"/>
                    </w:rPr>
                    <w:t>3</w:t>
                  </w:r>
                </w:p>
              </w:tc>
            </w:tr>
            <w:tr w14:paraId="06272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941" w:type="dxa"/>
                  <w:tcBorders>
                    <w:top w:val="single" w:color="auto" w:sz="4" w:space="0"/>
                    <w:left w:val="single" w:color="auto" w:sz="4" w:space="0"/>
                    <w:bottom w:val="single" w:color="auto" w:sz="4" w:space="0"/>
                    <w:right w:val="single" w:color="auto" w:sz="4" w:space="0"/>
                  </w:tcBorders>
                  <w:vAlign w:val="center"/>
                </w:tcPr>
                <w:p w14:paraId="13AF23F5">
                  <w:pPr>
                    <w:adjustRightInd w:val="0"/>
                    <w:snapToGrid w:val="0"/>
                    <w:jc w:val="center"/>
                    <w:rPr>
                      <w:color w:val="auto"/>
                    </w:rPr>
                  </w:pPr>
                  <w:r>
                    <w:rPr>
                      <w:rFonts w:hint="eastAsia"/>
                      <w:color w:val="auto"/>
                    </w:rPr>
                    <w:t>2</w:t>
                  </w:r>
                </w:p>
              </w:tc>
              <w:tc>
                <w:tcPr>
                  <w:tcW w:w="1745" w:type="dxa"/>
                  <w:tcBorders>
                    <w:top w:val="single" w:color="auto" w:sz="4" w:space="0"/>
                    <w:left w:val="single" w:color="auto" w:sz="4" w:space="0"/>
                    <w:bottom w:val="single" w:color="auto" w:sz="4" w:space="0"/>
                    <w:right w:val="single" w:color="auto" w:sz="4" w:space="0"/>
                  </w:tcBorders>
                  <w:vAlign w:val="center"/>
                </w:tcPr>
                <w:p w14:paraId="7EF1B67B">
                  <w:pPr>
                    <w:adjustRightInd w:val="0"/>
                    <w:snapToGrid w:val="0"/>
                    <w:jc w:val="center"/>
                    <w:rPr>
                      <w:color w:val="auto"/>
                      <w:szCs w:val="21"/>
                    </w:rPr>
                  </w:pPr>
                  <w:r>
                    <w:rPr>
                      <w:rFonts w:hint="eastAsia"/>
                      <w:color w:val="auto"/>
                      <w:szCs w:val="21"/>
                    </w:rPr>
                    <w:t>在线导热油</w:t>
                  </w:r>
                </w:p>
              </w:tc>
              <w:tc>
                <w:tcPr>
                  <w:tcW w:w="2301" w:type="dxa"/>
                  <w:tcBorders>
                    <w:top w:val="single" w:color="auto" w:sz="4" w:space="0"/>
                    <w:left w:val="single" w:color="auto" w:sz="4" w:space="0"/>
                    <w:bottom w:val="single" w:color="auto" w:sz="4" w:space="0"/>
                    <w:right w:val="single" w:color="auto" w:sz="4" w:space="0"/>
                  </w:tcBorders>
                  <w:vAlign w:val="center"/>
                </w:tcPr>
                <w:p w14:paraId="00625510">
                  <w:pPr>
                    <w:adjustRightInd w:val="0"/>
                    <w:snapToGrid w:val="0"/>
                    <w:jc w:val="center"/>
                    <w:rPr>
                      <w:color w:val="auto"/>
                    </w:rPr>
                  </w:pPr>
                  <w:r>
                    <w:rPr>
                      <w:rFonts w:hint="eastAsia"/>
                      <w:color w:val="auto"/>
                    </w:rPr>
                    <w:t>0.5</w:t>
                  </w:r>
                </w:p>
              </w:tc>
              <w:tc>
                <w:tcPr>
                  <w:tcW w:w="1949" w:type="dxa"/>
                  <w:vMerge w:val="continue"/>
                  <w:tcBorders>
                    <w:left w:val="single" w:color="auto" w:sz="4" w:space="0"/>
                    <w:right w:val="single" w:color="auto" w:sz="4" w:space="0"/>
                  </w:tcBorders>
                  <w:vAlign w:val="center"/>
                </w:tcPr>
                <w:p w14:paraId="1FD27344">
                  <w:pPr>
                    <w:adjustRightInd w:val="0"/>
                    <w:snapToGrid w:val="0"/>
                    <w:jc w:val="center"/>
                    <w:rPr>
                      <w:color w:val="auto"/>
                    </w:rPr>
                  </w:pPr>
                </w:p>
              </w:tc>
              <w:tc>
                <w:tcPr>
                  <w:tcW w:w="1575" w:type="dxa"/>
                  <w:vMerge w:val="continue"/>
                  <w:tcBorders>
                    <w:left w:val="single" w:color="auto" w:sz="4" w:space="0"/>
                    <w:right w:val="single" w:color="auto" w:sz="4" w:space="0"/>
                  </w:tcBorders>
                  <w:vAlign w:val="center"/>
                </w:tcPr>
                <w:p w14:paraId="2B2C6840">
                  <w:pPr>
                    <w:adjustRightInd w:val="0"/>
                    <w:snapToGrid w:val="0"/>
                    <w:jc w:val="center"/>
                    <w:rPr>
                      <w:color w:val="auto"/>
                    </w:rPr>
                  </w:pPr>
                </w:p>
              </w:tc>
            </w:tr>
            <w:tr w14:paraId="7D8BB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941" w:type="dxa"/>
                  <w:tcBorders>
                    <w:top w:val="single" w:color="auto" w:sz="4" w:space="0"/>
                    <w:left w:val="single" w:color="auto" w:sz="4" w:space="0"/>
                    <w:bottom w:val="single" w:color="auto" w:sz="4" w:space="0"/>
                    <w:right w:val="single" w:color="auto" w:sz="4" w:space="0"/>
                  </w:tcBorders>
                  <w:vAlign w:val="center"/>
                </w:tcPr>
                <w:p w14:paraId="66AF444C">
                  <w:pPr>
                    <w:adjustRightInd w:val="0"/>
                    <w:snapToGrid w:val="0"/>
                    <w:jc w:val="center"/>
                    <w:rPr>
                      <w:color w:val="auto"/>
                    </w:rPr>
                  </w:pPr>
                  <w:r>
                    <w:rPr>
                      <w:rFonts w:hint="eastAsia"/>
                      <w:color w:val="auto"/>
                    </w:rPr>
                    <w:t>3</w:t>
                  </w:r>
                </w:p>
              </w:tc>
              <w:tc>
                <w:tcPr>
                  <w:tcW w:w="1745" w:type="dxa"/>
                  <w:tcBorders>
                    <w:top w:val="single" w:color="auto" w:sz="4" w:space="0"/>
                    <w:left w:val="single" w:color="auto" w:sz="4" w:space="0"/>
                    <w:bottom w:val="single" w:color="auto" w:sz="4" w:space="0"/>
                    <w:right w:val="single" w:color="auto" w:sz="4" w:space="0"/>
                  </w:tcBorders>
                  <w:vAlign w:val="center"/>
                </w:tcPr>
                <w:p w14:paraId="3889B602">
                  <w:pPr>
                    <w:adjustRightInd w:val="0"/>
                    <w:snapToGrid w:val="0"/>
                    <w:jc w:val="center"/>
                    <w:rPr>
                      <w:color w:val="auto"/>
                      <w:szCs w:val="21"/>
                    </w:rPr>
                  </w:pPr>
                  <w:r>
                    <w:rPr>
                      <w:rFonts w:hint="eastAsia"/>
                      <w:color w:val="auto"/>
                      <w:szCs w:val="21"/>
                    </w:rPr>
                    <w:t>废导热油</w:t>
                  </w:r>
                </w:p>
              </w:tc>
              <w:tc>
                <w:tcPr>
                  <w:tcW w:w="2301" w:type="dxa"/>
                  <w:tcBorders>
                    <w:top w:val="single" w:color="auto" w:sz="4" w:space="0"/>
                    <w:left w:val="single" w:color="auto" w:sz="4" w:space="0"/>
                    <w:bottom w:val="single" w:color="auto" w:sz="4" w:space="0"/>
                    <w:right w:val="single" w:color="auto" w:sz="4" w:space="0"/>
                  </w:tcBorders>
                  <w:vAlign w:val="center"/>
                </w:tcPr>
                <w:p w14:paraId="14E4CF3D">
                  <w:pPr>
                    <w:adjustRightInd w:val="0"/>
                    <w:snapToGrid w:val="0"/>
                    <w:jc w:val="center"/>
                    <w:rPr>
                      <w:color w:val="auto"/>
                    </w:rPr>
                  </w:pPr>
                  <w:r>
                    <w:rPr>
                      <w:rFonts w:hint="eastAsia"/>
                      <w:color w:val="auto"/>
                    </w:rPr>
                    <w:t>0.25</w:t>
                  </w:r>
                </w:p>
              </w:tc>
              <w:tc>
                <w:tcPr>
                  <w:tcW w:w="1949" w:type="dxa"/>
                  <w:vMerge w:val="continue"/>
                  <w:tcBorders>
                    <w:left w:val="single" w:color="auto" w:sz="4" w:space="0"/>
                    <w:bottom w:val="single" w:color="auto" w:sz="4" w:space="0"/>
                    <w:right w:val="single" w:color="auto" w:sz="4" w:space="0"/>
                  </w:tcBorders>
                  <w:vAlign w:val="center"/>
                </w:tcPr>
                <w:p w14:paraId="7D8C8CDD">
                  <w:pPr>
                    <w:adjustRightInd w:val="0"/>
                    <w:snapToGrid w:val="0"/>
                    <w:jc w:val="center"/>
                    <w:rPr>
                      <w:color w:val="auto"/>
                    </w:rPr>
                  </w:pPr>
                </w:p>
              </w:tc>
              <w:tc>
                <w:tcPr>
                  <w:tcW w:w="1575" w:type="dxa"/>
                  <w:vMerge w:val="continue"/>
                  <w:tcBorders>
                    <w:left w:val="single" w:color="auto" w:sz="4" w:space="0"/>
                    <w:bottom w:val="single" w:color="auto" w:sz="4" w:space="0"/>
                    <w:right w:val="single" w:color="auto" w:sz="4" w:space="0"/>
                  </w:tcBorders>
                  <w:vAlign w:val="center"/>
                </w:tcPr>
                <w:p w14:paraId="5D19F953">
                  <w:pPr>
                    <w:adjustRightInd w:val="0"/>
                    <w:snapToGrid w:val="0"/>
                    <w:jc w:val="center"/>
                    <w:rPr>
                      <w:color w:val="auto"/>
                    </w:rPr>
                  </w:pPr>
                </w:p>
              </w:tc>
            </w:tr>
            <w:tr w14:paraId="2A60C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941" w:type="dxa"/>
                  <w:tcBorders>
                    <w:top w:val="single" w:color="auto" w:sz="4" w:space="0"/>
                    <w:left w:val="single" w:color="auto" w:sz="4" w:space="0"/>
                    <w:bottom w:val="single" w:color="auto" w:sz="4" w:space="0"/>
                    <w:right w:val="single" w:color="auto" w:sz="4" w:space="0"/>
                  </w:tcBorders>
                  <w:vAlign w:val="center"/>
                </w:tcPr>
                <w:p w14:paraId="046E4FC8">
                  <w:pPr>
                    <w:adjustRightInd w:val="0"/>
                    <w:snapToGrid w:val="0"/>
                    <w:jc w:val="center"/>
                    <w:rPr>
                      <w:color w:val="auto"/>
                    </w:rPr>
                  </w:pPr>
                  <w:r>
                    <w:rPr>
                      <w:rFonts w:hint="eastAsia"/>
                      <w:color w:val="auto"/>
                    </w:rPr>
                    <w:t>4</w:t>
                  </w:r>
                </w:p>
              </w:tc>
              <w:tc>
                <w:tcPr>
                  <w:tcW w:w="1745" w:type="dxa"/>
                  <w:tcBorders>
                    <w:top w:val="single" w:color="auto" w:sz="4" w:space="0"/>
                    <w:left w:val="single" w:color="auto" w:sz="4" w:space="0"/>
                    <w:bottom w:val="single" w:color="auto" w:sz="4" w:space="0"/>
                    <w:right w:val="single" w:color="auto" w:sz="4" w:space="0"/>
                  </w:tcBorders>
                  <w:vAlign w:val="center"/>
                </w:tcPr>
                <w:p w14:paraId="0E421A0A">
                  <w:pPr>
                    <w:adjustRightInd w:val="0"/>
                    <w:snapToGrid w:val="0"/>
                    <w:jc w:val="center"/>
                    <w:rPr>
                      <w:color w:val="auto"/>
                      <w:szCs w:val="21"/>
                    </w:rPr>
                  </w:pPr>
                  <w:r>
                    <w:rPr>
                      <w:rFonts w:hint="eastAsia"/>
                      <w:color w:val="auto"/>
                      <w:szCs w:val="21"/>
                    </w:rPr>
                    <w:t>甲烷</w:t>
                  </w:r>
                </w:p>
              </w:tc>
              <w:tc>
                <w:tcPr>
                  <w:tcW w:w="2301" w:type="dxa"/>
                  <w:tcBorders>
                    <w:top w:val="single" w:color="auto" w:sz="4" w:space="0"/>
                    <w:left w:val="single" w:color="auto" w:sz="4" w:space="0"/>
                    <w:bottom w:val="single" w:color="auto" w:sz="4" w:space="0"/>
                    <w:right w:val="single" w:color="auto" w:sz="4" w:space="0"/>
                  </w:tcBorders>
                  <w:vAlign w:val="center"/>
                </w:tcPr>
                <w:p w14:paraId="1C33566D">
                  <w:pPr>
                    <w:adjustRightInd w:val="0"/>
                    <w:snapToGrid w:val="0"/>
                    <w:jc w:val="center"/>
                    <w:rPr>
                      <w:color w:val="auto"/>
                    </w:rPr>
                  </w:pPr>
                  <w:r>
                    <w:rPr>
                      <w:rFonts w:hint="eastAsia"/>
                      <w:color w:val="auto"/>
                    </w:rPr>
                    <w:t>使用管道天然气</w:t>
                  </w:r>
                </w:p>
              </w:tc>
              <w:tc>
                <w:tcPr>
                  <w:tcW w:w="1949" w:type="dxa"/>
                  <w:tcBorders>
                    <w:top w:val="single" w:color="auto" w:sz="4" w:space="0"/>
                    <w:left w:val="single" w:color="auto" w:sz="4" w:space="0"/>
                    <w:bottom w:val="single" w:color="auto" w:sz="4" w:space="0"/>
                    <w:right w:val="single" w:color="auto" w:sz="4" w:space="0"/>
                  </w:tcBorders>
                  <w:vAlign w:val="center"/>
                </w:tcPr>
                <w:p w14:paraId="3B315D26">
                  <w:pPr>
                    <w:adjustRightInd w:val="0"/>
                    <w:snapToGrid w:val="0"/>
                    <w:jc w:val="center"/>
                    <w:rPr>
                      <w:color w:val="auto"/>
                    </w:rPr>
                  </w:pPr>
                  <w:r>
                    <w:rPr>
                      <w:rFonts w:hint="eastAsia"/>
                      <w:color w:val="auto"/>
                    </w:rPr>
                    <w:t>10</w:t>
                  </w:r>
                </w:p>
              </w:tc>
              <w:tc>
                <w:tcPr>
                  <w:tcW w:w="1575" w:type="dxa"/>
                  <w:tcBorders>
                    <w:top w:val="single" w:color="auto" w:sz="4" w:space="0"/>
                    <w:left w:val="single" w:color="auto" w:sz="4" w:space="0"/>
                    <w:bottom w:val="single" w:color="auto" w:sz="4" w:space="0"/>
                    <w:right w:val="single" w:color="auto" w:sz="4" w:space="0"/>
                  </w:tcBorders>
                  <w:vAlign w:val="center"/>
                </w:tcPr>
                <w:p w14:paraId="0D9164DB">
                  <w:pPr>
                    <w:adjustRightInd w:val="0"/>
                    <w:snapToGrid w:val="0"/>
                    <w:jc w:val="center"/>
                    <w:rPr>
                      <w:color w:val="auto"/>
                    </w:rPr>
                  </w:pPr>
                  <w:r>
                    <w:rPr>
                      <w:rFonts w:hint="eastAsia"/>
                      <w:color w:val="auto"/>
                    </w:rPr>
                    <w:t>/</w:t>
                  </w:r>
                </w:p>
              </w:tc>
            </w:tr>
            <w:tr w14:paraId="7D26F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6936" w:type="dxa"/>
                  <w:gridSpan w:val="4"/>
                  <w:tcBorders>
                    <w:top w:val="single" w:color="auto" w:sz="4" w:space="0"/>
                    <w:left w:val="single" w:color="auto" w:sz="4" w:space="0"/>
                    <w:bottom w:val="single" w:color="auto" w:sz="4" w:space="0"/>
                    <w:right w:val="single" w:color="auto" w:sz="4" w:space="0"/>
                  </w:tcBorders>
                  <w:vAlign w:val="center"/>
                </w:tcPr>
                <w:p w14:paraId="36A01CB6">
                  <w:pPr>
                    <w:adjustRightInd w:val="0"/>
                    <w:snapToGrid w:val="0"/>
                    <w:jc w:val="center"/>
                    <w:rPr>
                      <w:color w:val="auto"/>
                    </w:rPr>
                  </w:pPr>
                  <w:r>
                    <w:rPr>
                      <w:rFonts w:hint="eastAsia"/>
                      <w:color w:val="auto"/>
                    </w:rPr>
                    <w:t>合计</w:t>
                  </w:r>
                </w:p>
              </w:tc>
              <w:tc>
                <w:tcPr>
                  <w:tcW w:w="1575" w:type="dxa"/>
                  <w:tcBorders>
                    <w:top w:val="single" w:color="auto" w:sz="4" w:space="0"/>
                    <w:left w:val="single" w:color="auto" w:sz="4" w:space="0"/>
                    <w:bottom w:val="single" w:color="auto" w:sz="4" w:space="0"/>
                    <w:right w:val="single" w:color="auto" w:sz="4" w:space="0"/>
                  </w:tcBorders>
                  <w:vAlign w:val="center"/>
                </w:tcPr>
                <w:p w14:paraId="7E5FC780">
                  <w:pPr>
                    <w:adjustRightInd w:val="0"/>
                    <w:snapToGrid w:val="0"/>
                    <w:jc w:val="center"/>
                    <w:rPr>
                      <w:color w:val="auto"/>
                    </w:rPr>
                  </w:pPr>
                  <w:r>
                    <w:rPr>
                      <w:color w:val="auto"/>
                    </w:rPr>
                    <w:t>0.000</w:t>
                  </w:r>
                  <w:r>
                    <w:rPr>
                      <w:rFonts w:hint="eastAsia"/>
                      <w:color w:val="auto"/>
                    </w:rPr>
                    <w:t>3</w:t>
                  </w:r>
                </w:p>
              </w:tc>
            </w:tr>
          </w:tbl>
          <w:p w14:paraId="26844041">
            <w:pPr>
              <w:adjustRightInd w:val="0"/>
              <w:spacing w:line="360" w:lineRule="auto"/>
              <w:ind w:firstLine="480" w:firstLineChars="200"/>
              <w:rPr>
                <w:color w:val="auto"/>
                <w:sz w:val="24"/>
                <w:szCs w:val="28"/>
              </w:rPr>
            </w:pPr>
            <w:r>
              <w:rPr>
                <w:color w:val="auto"/>
                <w:sz w:val="24"/>
                <w:szCs w:val="28"/>
              </w:rPr>
              <w:t>本项目Q</w:t>
            </w:r>
            <w:r>
              <w:rPr>
                <w:rFonts w:hint="eastAsia"/>
                <w:color w:val="auto"/>
                <w:sz w:val="24"/>
                <w:szCs w:val="28"/>
              </w:rPr>
              <w:t>值为0.0003</w:t>
            </w:r>
            <w:r>
              <w:rPr>
                <w:color w:val="auto"/>
                <w:sz w:val="24"/>
                <w:szCs w:val="28"/>
              </w:rPr>
              <w:t>＜1，因此，项目环境风险潜势判定为</w:t>
            </w:r>
            <w:r>
              <w:rPr>
                <w:color w:val="auto"/>
                <w:sz w:val="24"/>
                <w:szCs w:val="28"/>
              </w:rPr>
              <w:fldChar w:fldCharType="begin"/>
            </w:r>
            <w:r>
              <w:rPr>
                <w:color w:val="auto"/>
                <w:sz w:val="24"/>
                <w:szCs w:val="28"/>
              </w:rPr>
              <w:instrText xml:space="preserve"> = 1 \* ROMAN \* MERGEFORMAT </w:instrText>
            </w:r>
            <w:r>
              <w:rPr>
                <w:color w:val="auto"/>
                <w:sz w:val="24"/>
                <w:szCs w:val="28"/>
              </w:rPr>
              <w:fldChar w:fldCharType="separate"/>
            </w:r>
            <w:r>
              <w:rPr>
                <w:color w:val="auto"/>
                <w:sz w:val="24"/>
                <w:szCs w:val="28"/>
              </w:rPr>
              <w:t>I</w:t>
            </w:r>
            <w:r>
              <w:rPr>
                <w:color w:val="auto"/>
                <w:sz w:val="24"/>
                <w:szCs w:val="28"/>
              </w:rPr>
              <w:fldChar w:fldCharType="end"/>
            </w:r>
            <w:r>
              <w:rPr>
                <w:color w:val="auto"/>
                <w:sz w:val="24"/>
                <w:szCs w:val="28"/>
              </w:rPr>
              <w:t>。</w:t>
            </w:r>
          </w:p>
          <w:p w14:paraId="16C75909">
            <w:pPr>
              <w:pStyle w:val="16"/>
              <w:adjustRightInd w:val="0"/>
              <w:snapToGrid w:val="0"/>
              <w:spacing w:after="0" w:line="360" w:lineRule="auto"/>
              <w:ind w:firstLine="0" w:firstLineChars="0"/>
              <w:rPr>
                <w:b/>
                <w:bCs/>
                <w:color w:val="auto"/>
                <w:szCs w:val="28"/>
              </w:rPr>
            </w:pPr>
            <w:r>
              <w:rPr>
                <w:b/>
                <w:bCs/>
                <w:color w:val="auto"/>
                <w:szCs w:val="28"/>
              </w:rPr>
              <w:t>（3）评价等级</w:t>
            </w:r>
          </w:p>
          <w:p w14:paraId="385E60AA">
            <w:pPr>
              <w:adjustRightInd w:val="0"/>
              <w:spacing w:line="360" w:lineRule="auto"/>
              <w:ind w:firstLine="480" w:firstLineChars="200"/>
              <w:rPr>
                <w:color w:val="auto"/>
                <w:sz w:val="24"/>
                <w:szCs w:val="28"/>
              </w:rPr>
            </w:pPr>
            <w:r>
              <w:rPr>
                <w:color w:val="auto"/>
                <w:sz w:val="24"/>
                <w:szCs w:val="28"/>
              </w:rPr>
              <w:t>根据《建设项目环境风险评价技术导则》（HJ 169-2018）附录C，项目危险物质及工艺系统危险性（P）由危险物质数量与临界量比值（Q）和行业及生产工艺（M）确定。环境风险评价工作等级见表</w:t>
            </w:r>
            <w:r>
              <w:rPr>
                <w:rFonts w:hint="eastAsia"/>
                <w:color w:val="auto"/>
                <w:sz w:val="24"/>
                <w:szCs w:val="28"/>
              </w:rPr>
              <w:t>4</w:t>
            </w:r>
            <w:r>
              <w:rPr>
                <w:color w:val="auto"/>
                <w:sz w:val="24"/>
                <w:szCs w:val="28"/>
              </w:rPr>
              <w:t>-</w:t>
            </w:r>
            <w:r>
              <w:rPr>
                <w:rFonts w:hint="eastAsia"/>
                <w:color w:val="auto"/>
                <w:sz w:val="24"/>
                <w:szCs w:val="28"/>
              </w:rPr>
              <w:t>19</w:t>
            </w:r>
            <w:r>
              <w:rPr>
                <w:color w:val="auto"/>
                <w:sz w:val="24"/>
                <w:szCs w:val="28"/>
              </w:rPr>
              <w:t>。</w:t>
            </w:r>
          </w:p>
          <w:p w14:paraId="474F82B0">
            <w:pPr>
              <w:adjustRightInd w:val="0"/>
              <w:snapToGrid w:val="0"/>
              <w:jc w:val="center"/>
              <w:rPr>
                <w:b/>
                <w:bCs/>
                <w:color w:val="auto"/>
                <w:szCs w:val="21"/>
              </w:rPr>
            </w:pPr>
            <w:r>
              <w:rPr>
                <w:rFonts w:hint="eastAsia"/>
                <w:b/>
                <w:bCs/>
                <w:color w:val="auto"/>
                <w:szCs w:val="21"/>
              </w:rPr>
              <w:t>表4-19  评价工作等级划分</w:t>
            </w:r>
          </w:p>
          <w:tbl>
            <w:tblPr>
              <w:tblStyle w:val="31"/>
              <w:tblW w:w="8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701"/>
              <w:gridCol w:w="1701"/>
              <w:gridCol w:w="1701"/>
              <w:gridCol w:w="1709"/>
            </w:tblGrid>
            <w:tr w14:paraId="2CB47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01" w:type="dxa"/>
                  <w:vAlign w:val="center"/>
                </w:tcPr>
                <w:p w14:paraId="1950CE91">
                  <w:pPr>
                    <w:pStyle w:val="13"/>
                    <w:jc w:val="center"/>
                    <w:rPr>
                      <w:rFonts w:ascii="Times New Roman" w:hAnsi="Times New Roman"/>
                      <w:color w:val="auto"/>
                    </w:rPr>
                  </w:pPr>
                  <w:r>
                    <w:rPr>
                      <w:rFonts w:ascii="Times New Roman" w:hAnsi="Times New Roman"/>
                      <w:color w:val="auto"/>
                    </w:rPr>
                    <w:t>环境风险潜势</w:t>
                  </w:r>
                </w:p>
              </w:tc>
              <w:tc>
                <w:tcPr>
                  <w:tcW w:w="1701" w:type="dxa"/>
                  <w:vAlign w:val="center"/>
                </w:tcPr>
                <w:p w14:paraId="6E623A6F">
                  <w:pPr>
                    <w:pStyle w:val="13"/>
                    <w:jc w:val="center"/>
                    <w:rPr>
                      <w:rFonts w:ascii="Times New Roman" w:hAnsi="Times New Roman"/>
                      <w:color w:val="auto"/>
                    </w:rPr>
                  </w:pPr>
                  <w:r>
                    <w:rPr>
                      <w:rFonts w:ascii="Times New Roman" w:hAnsi="Times New Roman"/>
                      <w:color w:val="auto"/>
                    </w:rPr>
                    <w:t>Ⅳ、Ⅳ+</w:t>
                  </w:r>
                </w:p>
              </w:tc>
              <w:tc>
                <w:tcPr>
                  <w:tcW w:w="1701" w:type="dxa"/>
                  <w:vAlign w:val="center"/>
                </w:tcPr>
                <w:p w14:paraId="6D8E87D7">
                  <w:pPr>
                    <w:pStyle w:val="13"/>
                    <w:jc w:val="center"/>
                    <w:rPr>
                      <w:rFonts w:ascii="Times New Roman" w:hAnsi="Times New Roman"/>
                      <w:color w:val="auto"/>
                    </w:rPr>
                  </w:pPr>
                  <w:r>
                    <w:rPr>
                      <w:rFonts w:ascii="Times New Roman" w:hAnsi="Times New Roman"/>
                      <w:color w:val="auto"/>
                    </w:rPr>
                    <w:t>Ⅲ</w:t>
                  </w:r>
                </w:p>
              </w:tc>
              <w:tc>
                <w:tcPr>
                  <w:tcW w:w="1701" w:type="dxa"/>
                  <w:vAlign w:val="center"/>
                </w:tcPr>
                <w:p w14:paraId="55698EB8">
                  <w:pPr>
                    <w:pStyle w:val="13"/>
                    <w:jc w:val="center"/>
                    <w:rPr>
                      <w:rFonts w:ascii="Times New Roman" w:hAnsi="Times New Roman"/>
                      <w:color w:val="auto"/>
                    </w:rPr>
                  </w:pPr>
                  <w:r>
                    <w:rPr>
                      <w:rFonts w:ascii="Times New Roman" w:hAnsi="Times New Roman"/>
                      <w:color w:val="auto"/>
                    </w:rPr>
                    <w:t>Ⅱ</w:t>
                  </w:r>
                </w:p>
              </w:tc>
              <w:tc>
                <w:tcPr>
                  <w:tcW w:w="1709" w:type="dxa"/>
                  <w:vAlign w:val="center"/>
                </w:tcPr>
                <w:p w14:paraId="13D13D9B">
                  <w:pPr>
                    <w:pStyle w:val="13"/>
                    <w:jc w:val="center"/>
                    <w:rPr>
                      <w:rFonts w:ascii="Times New Roman" w:hAnsi="Times New Roman"/>
                      <w:color w:val="auto"/>
                    </w:rPr>
                  </w:pPr>
                  <w:r>
                    <w:rPr>
                      <w:rFonts w:ascii="Times New Roman" w:hAnsi="Times New Roman"/>
                      <w:color w:val="auto"/>
                    </w:rPr>
                    <w:t>Ⅰ</w:t>
                  </w:r>
                </w:p>
              </w:tc>
            </w:tr>
            <w:tr w14:paraId="6B44B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01" w:type="dxa"/>
                  <w:vAlign w:val="center"/>
                </w:tcPr>
                <w:p w14:paraId="2AEE2E58">
                  <w:pPr>
                    <w:pStyle w:val="13"/>
                    <w:jc w:val="center"/>
                    <w:rPr>
                      <w:rFonts w:ascii="Times New Roman" w:hAnsi="Times New Roman"/>
                      <w:color w:val="auto"/>
                    </w:rPr>
                  </w:pPr>
                  <w:r>
                    <w:rPr>
                      <w:rFonts w:ascii="Times New Roman" w:hAnsi="Times New Roman"/>
                      <w:color w:val="auto"/>
                    </w:rPr>
                    <w:t>评价工作等级</w:t>
                  </w:r>
                </w:p>
              </w:tc>
              <w:tc>
                <w:tcPr>
                  <w:tcW w:w="1701" w:type="dxa"/>
                  <w:vAlign w:val="center"/>
                </w:tcPr>
                <w:p w14:paraId="1A2ECBC2">
                  <w:pPr>
                    <w:pStyle w:val="13"/>
                    <w:jc w:val="center"/>
                    <w:rPr>
                      <w:rFonts w:ascii="Times New Roman" w:hAnsi="Times New Roman"/>
                      <w:color w:val="auto"/>
                    </w:rPr>
                  </w:pPr>
                  <w:r>
                    <w:rPr>
                      <w:rFonts w:ascii="Times New Roman" w:hAnsi="Times New Roman"/>
                      <w:color w:val="auto"/>
                    </w:rPr>
                    <w:t>一</w:t>
                  </w:r>
                </w:p>
              </w:tc>
              <w:tc>
                <w:tcPr>
                  <w:tcW w:w="1701" w:type="dxa"/>
                  <w:vAlign w:val="center"/>
                </w:tcPr>
                <w:p w14:paraId="13C89132">
                  <w:pPr>
                    <w:pStyle w:val="13"/>
                    <w:jc w:val="center"/>
                    <w:rPr>
                      <w:rFonts w:ascii="Times New Roman" w:hAnsi="Times New Roman"/>
                      <w:color w:val="auto"/>
                    </w:rPr>
                  </w:pPr>
                  <w:r>
                    <w:rPr>
                      <w:rFonts w:ascii="Times New Roman" w:hAnsi="Times New Roman"/>
                      <w:color w:val="auto"/>
                    </w:rPr>
                    <w:t>二</w:t>
                  </w:r>
                </w:p>
              </w:tc>
              <w:tc>
                <w:tcPr>
                  <w:tcW w:w="1701" w:type="dxa"/>
                  <w:vAlign w:val="center"/>
                </w:tcPr>
                <w:p w14:paraId="2DEDABB1">
                  <w:pPr>
                    <w:pStyle w:val="13"/>
                    <w:jc w:val="center"/>
                    <w:rPr>
                      <w:rFonts w:ascii="Times New Roman" w:hAnsi="Times New Roman"/>
                      <w:color w:val="auto"/>
                    </w:rPr>
                  </w:pPr>
                  <w:r>
                    <w:rPr>
                      <w:rFonts w:ascii="Times New Roman" w:hAnsi="Times New Roman"/>
                      <w:color w:val="auto"/>
                    </w:rPr>
                    <w:t>三</w:t>
                  </w:r>
                </w:p>
              </w:tc>
              <w:tc>
                <w:tcPr>
                  <w:tcW w:w="1709" w:type="dxa"/>
                  <w:vAlign w:val="center"/>
                </w:tcPr>
                <w:p w14:paraId="6F62D789">
                  <w:pPr>
                    <w:pStyle w:val="13"/>
                    <w:jc w:val="center"/>
                    <w:rPr>
                      <w:rFonts w:ascii="Times New Roman" w:hAnsi="Times New Roman"/>
                      <w:color w:val="auto"/>
                    </w:rPr>
                  </w:pPr>
                  <w:r>
                    <w:rPr>
                      <w:rFonts w:ascii="Times New Roman" w:hAnsi="Times New Roman"/>
                      <w:color w:val="auto"/>
                    </w:rPr>
                    <w:t>简单分析a</w:t>
                  </w:r>
                </w:p>
              </w:tc>
            </w:tr>
            <w:tr w14:paraId="53CFF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513" w:type="dxa"/>
                  <w:gridSpan w:val="5"/>
                  <w:vAlign w:val="center"/>
                </w:tcPr>
                <w:p w14:paraId="1D861591">
                  <w:pPr>
                    <w:autoSpaceDE w:val="0"/>
                    <w:autoSpaceDN w:val="0"/>
                    <w:adjustRightInd w:val="0"/>
                    <w:jc w:val="left"/>
                    <w:rPr>
                      <w:color w:val="auto"/>
                    </w:rPr>
                  </w:pPr>
                  <w:r>
                    <w:rPr>
                      <w:color w:val="auto"/>
                    </w:rPr>
                    <w:t>a 是相对于详细评价工作内容而言，在描述危险物质、环境影响途径、环境危害后果、风险防范措施等方面给出定性的说明</w:t>
                  </w:r>
                </w:p>
              </w:tc>
            </w:tr>
          </w:tbl>
          <w:p w14:paraId="269ED231">
            <w:pPr>
              <w:adjustRightInd w:val="0"/>
              <w:snapToGrid w:val="0"/>
              <w:spacing w:line="360" w:lineRule="auto"/>
              <w:ind w:firstLine="480" w:firstLineChars="200"/>
              <w:rPr>
                <w:color w:val="auto"/>
                <w:sz w:val="24"/>
              </w:rPr>
            </w:pPr>
            <w:r>
              <w:rPr>
                <w:color w:val="auto"/>
                <w:sz w:val="24"/>
                <w:szCs w:val="28"/>
              </w:rPr>
              <w:t>项目环境风险潜势为</w:t>
            </w:r>
            <w:r>
              <w:rPr>
                <w:color w:val="auto"/>
                <w:sz w:val="24"/>
                <w:szCs w:val="28"/>
              </w:rPr>
              <w:fldChar w:fldCharType="begin"/>
            </w:r>
            <w:r>
              <w:rPr>
                <w:color w:val="auto"/>
                <w:sz w:val="24"/>
                <w:szCs w:val="28"/>
              </w:rPr>
              <w:instrText xml:space="preserve"> = 1 \* ROMAN \* MERGEFORMAT </w:instrText>
            </w:r>
            <w:r>
              <w:rPr>
                <w:color w:val="auto"/>
                <w:sz w:val="24"/>
                <w:szCs w:val="28"/>
              </w:rPr>
              <w:fldChar w:fldCharType="separate"/>
            </w:r>
            <w:r>
              <w:rPr>
                <w:color w:val="auto"/>
                <w:sz w:val="24"/>
                <w:szCs w:val="28"/>
              </w:rPr>
              <w:t>I</w:t>
            </w:r>
            <w:r>
              <w:rPr>
                <w:color w:val="auto"/>
                <w:sz w:val="24"/>
                <w:szCs w:val="28"/>
              </w:rPr>
              <w:fldChar w:fldCharType="end"/>
            </w:r>
            <w:r>
              <w:rPr>
                <w:rFonts w:hint="eastAsia"/>
                <w:color w:val="auto"/>
                <w:sz w:val="24"/>
                <w:szCs w:val="28"/>
              </w:rPr>
              <w:t>，根据上表分析</w:t>
            </w:r>
            <w:r>
              <w:rPr>
                <w:color w:val="auto"/>
                <w:sz w:val="24"/>
                <w:szCs w:val="28"/>
              </w:rPr>
              <w:t>，项目环境风险评价等级为简单分析。</w:t>
            </w:r>
            <w:r>
              <w:rPr>
                <w:color w:val="auto"/>
                <w:sz w:val="24"/>
              </w:rPr>
              <w:t>简单分析基本</w:t>
            </w:r>
            <w:r>
              <w:rPr>
                <w:rFonts w:hint="eastAsia"/>
                <w:color w:val="auto"/>
                <w:sz w:val="24"/>
                <w:lang w:eastAsia="zh-CN"/>
              </w:rPr>
              <w:t>内容</w:t>
            </w:r>
            <w:r>
              <w:rPr>
                <w:color w:val="auto"/>
                <w:sz w:val="24"/>
              </w:rPr>
              <w:t>根据《建设项目环境风险评价技术导则》（HJ169-2018）附录A进行分析。</w:t>
            </w:r>
          </w:p>
          <w:p w14:paraId="00BADA7C">
            <w:pPr>
              <w:pStyle w:val="16"/>
              <w:adjustRightInd w:val="0"/>
              <w:snapToGrid w:val="0"/>
              <w:spacing w:after="0" w:line="360" w:lineRule="auto"/>
              <w:ind w:firstLine="0" w:firstLineChars="0"/>
              <w:rPr>
                <w:b/>
                <w:bCs/>
                <w:color w:val="auto"/>
                <w:szCs w:val="28"/>
              </w:rPr>
            </w:pPr>
            <w:r>
              <w:rPr>
                <w:b/>
                <w:bCs/>
                <w:color w:val="auto"/>
                <w:szCs w:val="28"/>
              </w:rPr>
              <w:t>（4）环境风险识别</w:t>
            </w:r>
            <w:r>
              <w:rPr>
                <w:rFonts w:hint="eastAsia"/>
                <w:b/>
                <w:bCs/>
                <w:color w:val="auto"/>
                <w:szCs w:val="28"/>
              </w:rPr>
              <w:t>及影响分析</w:t>
            </w:r>
          </w:p>
          <w:p w14:paraId="7930AC66">
            <w:pPr>
              <w:adjustRightInd w:val="0"/>
              <w:spacing w:line="360" w:lineRule="auto"/>
              <w:ind w:firstLine="480" w:firstLineChars="200"/>
              <w:rPr>
                <w:color w:val="auto"/>
                <w:sz w:val="24"/>
                <w:szCs w:val="28"/>
              </w:rPr>
            </w:pPr>
            <w:r>
              <w:rPr>
                <w:rFonts w:hint="eastAsia"/>
                <w:color w:val="auto"/>
                <w:sz w:val="24"/>
                <w:szCs w:val="28"/>
              </w:rPr>
              <w:t>本项目涉及的危险物质主要为废</w:t>
            </w:r>
            <w:r>
              <w:rPr>
                <w:rFonts w:hint="eastAsia"/>
                <w:color w:val="auto"/>
                <w:sz w:val="24"/>
              </w:rPr>
              <w:t>机油、导热油、天然气</w:t>
            </w:r>
            <w:r>
              <w:rPr>
                <w:rFonts w:hint="eastAsia"/>
                <w:color w:val="auto"/>
                <w:sz w:val="24"/>
                <w:szCs w:val="28"/>
              </w:rPr>
              <w:t>中的主要成分甲烷。废矿物油、备用导热油盛装于专用收集桶内，暂存于危险废物</w:t>
            </w:r>
            <w:r>
              <w:rPr>
                <w:color w:val="auto"/>
                <w:sz w:val="24"/>
                <w:szCs w:val="28"/>
              </w:rPr>
              <w:t>暂存</w:t>
            </w:r>
            <w:r>
              <w:rPr>
                <w:rFonts w:hint="eastAsia"/>
                <w:color w:val="auto"/>
                <w:sz w:val="24"/>
                <w:szCs w:val="28"/>
              </w:rPr>
              <w:t>间；在用导热油储存于导热炉内；项目使用的天然气为管道天然气。</w:t>
            </w:r>
          </w:p>
          <w:p w14:paraId="1F62BB7D">
            <w:pPr>
              <w:adjustRightInd w:val="0"/>
              <w:snapToGrid w:val="0"/>
              <w:spacing w:line="360" w:lineRule="auto"/>
              <w:ind w:firstLine="480" w:firstLineChars="200"/>
              <w:rPr>
                <w:color w:val="auto"/>
                <w:sz w:val="24"/>
              </w:rPr>
            </w:pPr>
            <w:r>
              <w:rPr>
                <w:rFonts w:hint="eastAsia"/>
                <w:color w:val="auto"/>
                <w:sz w:val="24"/>
                <w:szCs w:val="28"/>
              </w:rPr>
              <w:t>项目</w:t>
            </w:r>
            <w:r>
              <w:rPr>
                <w:color w:val="auto"/>
                <w:sz w:val="24"/>
              </w:rPr>
              <w:t>可能影响环境的途径主要</w:t>
            </w:r>
            <w:r>
              <w:rPr>
                <w:rFonts w:hint="eastAsia"/>
                <w:color w:val="auto"/>
                <w:sz w:val="24"/>
              </w:rPr>
              <w:t>包括：</w:t>
            </w:r>
            <w:r>
              <w:rPr>
                <w:rFonts w:hint="eastAsia"/>
                <w:color w:val="auto"/>
                <w:sz w:val="24"/>
                <w:szCs w:val="28"/>
              </w:rPr>
              <w:t>废机油、导热油</w:t>
            </w:r>
            <w:r>
              <w:rPr>
                <w:color w:val="auto"/>
                <w:sz w:val="24"/>
              </w:rPr>
              <w:t>发生大量泄漏处理不及时</w:t>
            </w:r>
            <w:r>
              <w:rPr>
                <w:rFonts w:hint="eastAsia"/>
                <w:color w:val="auto"/>
                <w:sz w:val="24"/>
              </w:rPr>
              <w:t>，进入土壤、地下水及地表水造成污染</w:t>
            </w:r>
            <w:r>
              <w:rPr>
                <w:color w:val="auto"/>
                <w:sz w:val="24"/>
              </w:rPr>
              <w:t>；</w:t>
            </w:r>
            <w:r>
              <w:rPr>
                <w:rFonts w:hint="eastAsia"/>
                <w:color w:val="auto"/>
                <w:sz w:val="24"/>
                <w:szCs w:val="28"/>
              </w:rPr>
              <w:t>废机油、导热油、</w:t>
            </w:r>
            <w:r>
              <w:rPr>
                <w:rFonts w:hint="eastAsia"/>
                <w:color w:val="auto"/>
                <w:sz w:val="24"/>
              </w:rPr>
              <w:t>管道天然气泄漏，发生</w:t>
            </w:r>
            <w:r>
              <w:rPr>
                <w:color w:val="auto"/>
                <w:sz w:val="24"/>
              </w:rPr>
              <w:t>火灾</w:t>
            </w:r>
            <w:r>
              <w:rPr>
                <w:rFonts w:hint="eastAsia"/>
                <w:color w:val="auto"/>
                <w:sz w:val="24"/>
              </w:rPr>
              <w:t>爆炸</w:t>
            </w:r>
            <w:r>
              <w:rPr>
                <w:color w:val="auto"/>
                <w:sz w:val="24"/>
              </w:rPr>
              <w:t>产生的</w:t>
            </w:r>
            <w:r>
              <w:rPr>
                <w:rFonts w:hint="eastAsia"/>
                <w:color w:val="auto"/>
                <w:sz w:val="24"/>
              </w:rPr>
              <w:t>废气污染物</w:t>
            </w:r>
            <w:r>
              <w:rPr>
                <w:color w:val="auto"/>
                <w:sz w:val="24"/>
              </w:rPr>
              <w:t>污染大气环境，火灾</w:t>
            </w:r>
            <w:r>
              <w:rPr>
                <w:rFonts w:hint="eastAsia"/>
                <w:color w:val="auto"/>
                <w:sz w:val="24"/>
              </w:rPr>
              <w:t>爆炸</w:t>
            </w:r>
            <w:r>
              <w:rPr>
                <w:color w:val="auto"/>
                <w:sz w:val="24"/>
              </w:rPr>
              <w:t>消防产生的消防废水收集不当污染</w:t>
            </w:r>
            <w:r>
              <w:rPr>
                <w:rFonts w:hint="eastAsia"/>
                <w:color w:val="auto"/>
                <w:sz w:val="24"/>
              </w:rPr>
              <w:t>土壤、地下水及地表水</w:t>
            </w:r>
            <w:r>
              <w:rPr>
                <w:color w:val="auto"/>
                <w:sz w:val="24"/>
              </w:rPr>
              <w:t>环境。</w:t>
            </w:r>
          </w:p>
          <w:p w14:paraId="15F71BA0">
            <w:pPr>
              <w:adjustRightInd w:val="0"/>
              <w:snapToGrid w:val="0"/>
              <w:spacing w:line="360" w:lineRule="auto"/>
              <w:ind w:firstLine="480" w:firstLineChars="200"/>
              <w:rPr>
                <w:color w:val="auto"/>
                <w:sz w:val="24"/>
              </w:rPr>
            </w:pPr>
            <w:r>
              <w:rPr>
                <w:color w:val="auto"/>
                <w:sz w:val="24"/>
              </w:rPr>
              <w:t>①大气环境风险分析</w:t>
            </w:r>
          </w:p>
          <w:p w14:paraId="3FE0F40A">
            <w:pPr>
              <w:adjustRightInd w:val="0"/>
              <w:snapToGrid w:val="0"/>
              <w:spacing w:line="360" w:lineRule="auto"/>
              <w:ind w:firstLine="480" w:firstLineChars="200"/>
              <w:rPr>
                <w:color w:val="auto"/>
                <w:sz w:val="24"/>
              </w:rPr>
            </w:pPr>
            <w:r>
              <w:rPr>
                <w:rFonts w:hint="eastAsia"/>
                <w:color w:val="auto"/>
                <w:sz w:val="24"/>
                <w:szCs w:val="28"/>
              </w:rPr>
              <w:t>废机油、导热油泄漏的天然气</w:t>
            </w:r>
            <w:r>
              <w:rPr>
                <w:color w:val="auto"/>
                <w:sz w:val="24"/>
              </w:rPr>
              <w:t>遇明火发生火灾</w:t>
            </w:r>
            <w:r>
              <w:rPr>
                <w:rFonts w:hint="eastAsia"/>
                <w:color w:val="auto"/>
                <w:sz w:val="24"/>
              </w:rPr>
              <w:t>爆炸</w:t>
            </w:r>
            <w:r>
              <w:rPr>
                <w:color w:val="auto"/>
                <w:sz w:val="24"/>
              </w:rPr>
              <w:t>事故，产生CO和CO</w:t>
            </w:r>
            <w:r>
              <w:rPr>
                <w:color w:val="auto"/>
                <w:sz w:val="24"/>
                <w:vertAlign w:val="subscript"/>
              </w:rPr>
              <w:t>2</w:t>
            </w:r>
            <w:r>
              <w:rPr>
                <w:color w:val="auto"/>
                <w:sz w:val="24"/>
              </w:rPr>
              <w:t>等污染物，排放到大气环境中会污染大气环境</w:t>
            </w:r>
            <w:r>
              <w:rPr>
                <w:rFonts w:hint="eastAsia"/>
                <w:color w:val="auto"/>
                <w:sz w:val="24"/>
              </w:rPr>
              <w:t>。</w:t>
            </w:r>
            <w:r>
              <w:rPr>
                <w:color w:val="auto"/>
                <w:sz w:val="24"/>
              </w:rPr>
              <w:t>项目区</w:t>
            </w:r>
            <w:r>
              <w:rPr>
                <w:rFonts w:hint="eastAsia"/>
                <w:color w:val="auto"/>
                <w:sz w:val="24"/>
                <w:szCs w:val="28"/>
              </w:rPr>
              <w:t>废矿物油</w:t>
            </w:r>
            <w:r>
              <w:rPr>
                <w:rFonts w:hint="eastAsia"/>
                <w:color w:val="auto"/>
                <w:sz w:val="24"/>
              </w:rPr>
              <w:t>最大</w:t>
            </w:r>
            <w:r>
              <w:rPr>
                <w:color w:val="auto"/>
                <w:sz w:val="24"/>
              </w:rPr>
              <w:t>存</w:t>
            </w:r>
            <w:r>
              <w:rPr>
                <w:rFonts w:hint="eastAsia"/>
                <w:color w:val="auto"/>
                <w:sz w:val="24"/>
              </w:rPr>
              <w:t>在</w:t>
            </w:r>
            <w:r>
              <w:rPr>
                <w:color w:val="auto"/>
                <w:sz w:val="24"/>
              </w:rPr>
              <w:t>量较小，</w:t>
            </w:r>
            <w:r>
              <w:rPr>
                <w:rFonts w:hint="eastAsia"/>
                <w:color w:val="auto"/>
                <w:sz w:val="24"/>
              </w:rPr>
              <w:t>天然气使用园区管道天然气，</w:t>
            </w:r>
            <w:r>
              <w:rPr>
                <w:color w:val="auto"/>
                <w:sz w:val="24"/>
              </w:rPr>
              <w:t>发生火灾爆炸事故的概率较小，在发生火灾时能够及时采取措施在最短时间内将火扑灭，废气产生量很小，在扑灭后经空气扩散稀释后对大气环境影响较小。</w:t>
            </w:r>
          </w:p>
          <w:p w14:paraId="31E2E3F3">
            <w:pPr>
              <w:adjustRightInd w:val="0"/>
              <w:snapToGrid w:val="0"/>
              <w:spacing w:line="360" w:lineRule="auto"/>
              <w:ind w:firstLine="480" w:firstLineChars="200"/>
              <w:rPr>
                <w:color w:val="auto"/>
                <w:sz w:val="24"/>
              </w:rPr>
            </w:pPr>
            <w:r>
              <w:rPr>
                <w:color w:val="auto"/>
                <w:sz w:val="24"/>
              </w:rPr>
              <w:t>②地表水</w:t>
            </w:r>
            <w:r>
              <w:rPr>
                <w:rFonts w:hint="eastAsia"/>
                <w:color w:val="auto"/>
                <w:sz w:val="24"/>
              </w:rPr>
              <w:t>、地下水、土壤</w:t>
            </w:r>
            <w:r>
              <w:rPr>
                <w:color w:val="auto"/>
                <w:sz w:val="24"/>
              </w:rPr>
              <w:t>环境风险分析</w:t>
            </w:r>
          </w:p>
          <w:p w14:paraId="2C707D11">
            <w:pPr>
              <w:adjustRightInd w:val="0"/>
              <w:snapToGrid w:val="0"/>
              <w:spacing w:line="360" w:lineRule="auto"/>
              <w:ind w:firstLine="480" w:firstLineChars="200"/>
              <w:rPr>
                <w:color w:val="auto"/>
                <w:sz w:val="24"/>
              </w:rPr>
            </w:pPr>
            <w:r>
              <w:rPr>
                <w:rFonts w:hint="eastAsia"/>
                <w:color w:val="auto"/>
                <w:sz w:val="24"/>
                <w:szCs w:val="28"/>
              </w:rPr>
              <w:t>废机油、导热油</w:t>
            </w:r>
            <w:r>
              <w:rPr>
                <w:color w:val="auto"/>
                <w:sz w:val="24"/>
                <w:szCs w:val="28"/>
              </w:rPr>
              <w:t>发生</w:t>
            </w:r>
            <w:r>
              <w:rPr>
                <w:rFonts w:hint="eastAsia"/>
                <w:color w:val="auto"/>
                <w:sz w:val="24"/>
                <w:szCs w:val="28"/>
              </w:rPr>
              <w:t>泄漏</w:t>
            </w:r>
            <w:r>
              <w:rPr>
                <w:color w:val="auto"/>
                <w:sz w:val="24"/>
                <w:szCs w:val="28"/>
              </w:rPr>
              <w:t>后，会通过项目区地表入渗，随着时间的推移，造成区域土壤和地下水的污染。</w:t>
            </w:r>
            <w:r>
              <w:rPr>
                <w:color w:val="auto"/>
                <w:sz w:val="24"/>
              </w:rPr>
              <w:t>由于</w:t>
            </w:r>
            <w:r>
              <w:rPr>
                <w:rFonts w:hint="eastAsia"/>
                <w:color w:val="auto"/>
                <w:sz w:val="24"/>
                <w:szCs w:val="28"/>
              </w:rPr>
              <w:t>废矿物油、导热油</w:t>
            </w:r>
            <w:r>
              <w:rPr>
                <w:color w:val="auto"/>
                <w:sz w:val="24"/>
              </w:rPr>
              <w:t>难溶于水，大部分上浮在水层表面，形成一层油膜使空气隔离，造成水中溶解氧浓度降低，逐渐形成死水，致使水中生物死亡</w:t>
            </w:r>
            <w:r>
              <w:rPr>
                <w:rFonts w:hint="eastAsia"/>
                <w:color w:val="auto"/>
                <w:sz w:val="24"/>
              </w:rPr>
              <w:t>。</w:t>
            </w:r>
            <w:r>
              <w:rPr>
                <w:color w:val="auto"/>
                <w:sz w:val="24"/>
              </w:rPr>
              <w:t>由于本项目</w:t>
            </w:r>
            <w:r>
              <w:rPr>
                <w:rFonts w:hint="eastAsia"/>
                <w:color w:val="auto"/>
                <w:sz w:val="24"/>
                <w:szCs w:val="28"/>
              </w:rPr>
              <w:t>废矿物油</w:t>
            </w:r>
            <w:r>
              <w:rPr>
                <w:rFonts w:hint="eastAsia"/>
                <w:color w:val="auto"/>
                <w:sz w:val="24"/>
              </w:rPr>
              <w:t>最大</w:t>
            </w:r>
            <w:r>
              <w:rPr>
                <w:color w:val="auto"/>
                <w:sz w:val="24"/>
              </w:rPr>
              <w:t>储</w:t>
            </w:r>
            <w:r>
              <w:rPr>
                <w:rFonts w:hint="eastAsia"/>
                <w:color w:val="auto"/>
                <w:sz w:val="24"/>
              </w:rPr>
              <w:t>存</w:t>
            </w:r>
            <w:r>
              <w:rPr>
                <w:color w:val="auto"/>
                <w:sz w:val="24"/>
              </w:rPr>
              <w:t>量不大，一旦发生泄漏能够得到及时有效的处理，尽可能的将泄漏的</w:t>
            </w:r>
            <w:r>
              <w:rPr>
                <w:rFonts w:hint="eastAsia"/>
                <w:color w:val="auto"/>
                <w:sz w:val="24"/>
                <w:szCs w:val="28"/>
              </w:rPr>
              <w:t>废机油和导热油</w:t>
            </w:r>
            <w:r>
              <w:rPr>
                <w:color w:val="auto"/>
                <w:sz w:val="24"/>
              </w:rPr>
              <w:t>控制在</w:t>
            </w:r>
            <w:r>
              <w:rPr>
                <w:rFonts w:hint="eastAsia"/>
                <w:color w:val="auto"/>
                <w:sz w:val="24"/>
              </w:rPr>
              <w:t>危险废物暂存间和车间</w:t>
            </w:r>
            <w:r>
              <w:rPr>
                <w:rFonts w:hint="eastAsia"/>
                <w:color w:val="auto"/>
                <w:sz w:val="24"/>
                <w:lang w:eastAsia="zh-CN"/>
              </w:rPr>
              <w:t>内</w:t>
            </w:r>
            <w:r>
              <w:rPr>
                <w:color w:val="auto"/>
                <w:sz w:val="24"/>
              </w:rPr>
              <w:t>，一般不会直接进入表水</w:t>
            </w:r>
            <w:r>
              <w:rPr>
                <w:rFonts w:hint="eastAsia"/>
                <w:color w:val="auto"/>
                <w:sz w:val="24"/>
              </w:rPr>
              <w:t>、地下水、土壤中</w:t>
            </w:r>
            <w:r>
              <w:rPr>
                <w:color w:val="auto"/>
                <w:sz w:val="24"/>
              </w:rPr>
              <w:t>。</w:t>
            </w:r>
          </w:p>
          <w:p w14:paraId="454724DD">
            <w:pPr>
              <w:adjustRightInd w:val="0"/>
              <w:snapToGrid w:val="0"/>
              <w:spacing w:line="360" w:lineRule="auto"/>
              <w:ind w:firstLine="480" w:firstLineChars="200"/>
              <w:rPr>
                <w:color w:val="auto"/>
                <w:sz w:val="24"/>
              </w:rPr>
            </w:pPr>
            <w:r>
              <w:rPr>
                <w:rFonts w:hint="eastAsia"/>
                <w:color w:val="auto"/>
                <w:sz w:val="24"/>
                <w:szCs w:val="28"/>
              </w:rPr>
              <w:t>另外，项目废机油</w:t>
            </w:r>
            <w:r>
              <w:rPr>
                <w:rFonts w:hint="eastAsia"/>
                <w:color w:val="auto"/>
                <w:sz w:val="24"/>
              </w:rPr>
              <w:t>、导热油、</w:t>
            </w:r>
            <w:r>
              <w:rPr>
                <w:rFonts w:hint="eastAsia"/>
                <w:color w:val="auto"/>
                <w:sz w:val="24"/>
                <w:szCs w:val="28"/>
              </w:rPr>
              <w:t>泄漏的天然气</w:t>
            </w:r>
            <w:r>
              <w:rPr>
                <w:color w:val="auto"/>
                <w:sz w:val="24"/>
              </w:rPr>
              <w:t>遇明火发生火灾</w:t>
            </w:r>
            <w:r>
              <w:rPr>
                <w:rFonts w:hint="eastAsia"/>
                <w:color w:val="auto"/>
                <w:sz w:val="24"/>
              </w:rPr>
              <w:t>爆炸</w:t>
            </w:r>
            <w:r>
              <w:rPr>
                <w:color w:val="auto"/>
                <w:sz w:val="24"/>
              </w:rPr>
              <w:t>事故时需使用大量水来灭火，此过程会产生大量消防废水，消防废水一旦进入周边地表水</w:t>
            </w:r>
            <w:r>
              <w:rPr>
                <w:rFonts w:hint="eastAsia"/>
                <w:color w:val="auto"/>
                <w:sz w:val="24"/>
              </w:rPr>
              <w:t>、地下水、土壤</w:t>
            </w:r>
            <w:r>
              <w:rPr>
                <w:color w:val="auto"/>
                <w:sz w:val="24"/>
              </w:rPr>
              <w:t>，将造成地污染。</w:t>
            </w:r>
            <w:r>
              <w:rPr>
                <w:rFonts w:hint="eastAsia"/>
                <w:color w:val="auto"/>
                <w:sz w:val="24"/>
              </w:rPr>
              <w:t>项目区设事故池，</w:t>
            </w:r>
            <w:r>
              <w:rPr>
                <w:color w:val="auto"/>
                <w:sz w:val="24"/>
              </w:rPr>
              <w:t>火灾</w:t>
            </w:r>
            <w:r>
              <w:rPr>
                <w:rFonts w:hint="eastAsia"/>
                <w:color w:val="auto"/>
                <w:sz w:val="24"/>
              </w:rPr>
              <w:t>爆炸</w:t>
            </w:r>
            <w:r>
              <w:rPr>
                <w:color w:val="auto"/>
                <w:sz w:val="24"/>
              </w:rPr>
              <w:t>事故</w:t>
            </w:r>
            <w:r>
              <w:rPr>
                <w:rFonts w:hint="eastAsia"/>
                <w:color w:val="auto"/>
                <w:sz w:val="24"/>
              </w:rPr>
              <w:t>产生的</w:t>
            </w:r>
            <w:r>
              <w:rPr>
                <w:color w:val="auto"/>
                <w:sz w:val="24"/>
              </w:rPr>
              <w:t>消防废水</w:t>
            </w:r>
            <w:r>
              <w:rPr>
                <w:rFonts w:hint="eastAsia"/>
                <w:color w:val="auto"/>
                <w:sz w:val="24"/>
              </w:rPr>
              <w:t>可得到有效收集。</w:t>
            </w:r>
          </w:p>
          <w:p w14:paraId="20BB9EE3">
            <w:pPr>
              <w:pStyle w:val="16"/>
              <w:adjustRightInd w:val="0"/>
              <w:snapToGrid w:val="0"/>
              <w:spacing w:after="0" w:line="360" w:lineRule="auto"/>
              <w:ind w:firstLine="0" w:firstLineChars="0"/>
              <w:rPr>
                <w:b/>
                <w:bCs/>
                <w:color w:val="auto"/>
                <w:szCs w:val="28"/>
              </w:rPr>
            </w:pPr>
            <w:r>
              <w:rPr>
                <w:b/>
                <w:bCs/>
                <w:color w:val="auto"/>
                <w:szCs w:val="28"/>
              </w:rPr>
              <w:t>（</w:t>
            </w:r>
            <w:r>
              <w:rPr>
                <w:rFonts w:hint="eastAsia"/>
                <w:b/>
                <w:bCs/>
                <w:color w:val="auto"/>
                <w:szCs w:val="28"/>
              </w:rPr>
              <w:t>5</w:t>
            </w:r>
            <w:r>
              <w:rPr>
                <w:b/>
                <w:bCs/>
                <w:color w:val="auto"/>
                <w:szCs w:val="28"/>
              </w:rPr>
              <w:t>）环境风险防范措施及应急要求</w:t>
            </w:r>
          </w:p>
          <w:p w14:paraId="7CE935B3">
            <w:pPr>
              <w:adjustRightInd w:val="0"/>
              <w:spacing w:line="360" w:lineRule="auto"/>
              <w:ind w:firstLine="482" w:firstLineChars="200"/>
              <w:rPr>
                <w:b/>
                <w:bCs/>
                <w:color w:val="auto"/>
                <w:sz w:val="24"/>
                <w:szCs w:val="28"/>
              </w:rPr>
            </w:pPr>
            <w:r>
              <w:rPr>
                <w:rFonts w:hint="eastAsia"/>
                <w:b/>
                <w:bCs/>
                <w:color w:val="auto"/>
                <w:sz w:val="24"/>
                <w:szCs w:val="28"/>
              </w:rPr>
              <w:t>1）环境风险防范措施</w:t>
            </w:r>
          </w:p>
          <w:p w14:paraId="753EB0B4">
            <w:pPr>
              <w:adjustRightInd w:val="0"/>
              <w:snapToGrid w:val="0"/>
              <w:spacing w:line="360" w:lineRule="auto"/>
              <w:ind w:firstLine="480" w:firstLineChars="200"/>
              <w:rPr>
                <w:color w:val="auto"/>
                <w:sz w:val="24"/>
              </w:rPr>
            </w:pPr>
            <w:r>
              <w:rPr>
                <w:color w:val="auto"/>
                <w:sz w:val="24"/>
              </w:rPr>
              <w:t>①项目区按照《建筑灭火器配置设计规范》（GB50140-2010）的要求设置消防设施及灭火器材，灭火器材应放在明显、易取的地方，应定期对消防设施及灭火器材进行检查、维护。</w:t>
            </w:r>
          </w:p>
          <w:p w14:paraId="359B50CB">
            <w:pPr>
              <w:adjustRightInd w:val="0"/>
              <w:snapToGrid w:val="0"/>
              <w:spacing w:line="360" w:lineRule="auto"/>
              <w:ind w:firstLine="480" w:firstLineChars="200"/>
              <w:rPr>
                <w:color w:val="auto"/>
                <w:sz w:val="24"/>
                <w:szCs w:val="28"/>
                <w:lang w:val="zh-CN"/>
              </w:rPr>
            </w:pPr>
            <w:r>
              <w:rPr>
                <w:color w:val="auto"/>
                <w:sz w:val="24"/>
                <w:szCs w:val="28"/>
                <w:lang w:val="zh-CN"/>
              </w:rPr>
              <w:t>②严禁动用明火、各种电热器和能引起电火花的电气设备，室外门上应挂“严禁烟火”的警告牌，定期检查完好性。</w:t>
            </w:r>
          </w:p>
          <w:p w14:paraId="0D1680E9">
            <w:pPr>
              <w:adjustRightInd w:val="0"/>
              <w:snapToGrid w:val="0"/>
              <w:spacing w:line="360" w:lineRule="auto"/>
              <w:ind w:firstLine="480" w:firstLineChars="200"/>
              <w:rPr>
                <w:color w:val="auto"/>
                <w:sz w:val="24"/>
                <w:szCs w:val="28"/>
              </w:rPr>
            </w:pPr>
            <w:r>
              <w:rPr>
                <w:color w:val="auto"/>
                <w:sz w:val="24"/>
                <w:szCs w:val="28"/>
                <w:lang w:val="zh-CN"/>
              </w:rPr>
              <w:t>③</w:t>
            </w:r>
            <w:r>
              <w:rPr>
                <w:color w:val="auto"/>
                <w:sz w:val="24"/>
                <w:szCs w:val="28"/>
              </w:rPr>
              <w:t>加强设备电线及接头的检修及维护，防止因线路老化、接触不良等原因造成火灾事故。</w:t>
            </w:r>
          </w:p>
          <w:p w14:paraId="0F8ADE36">
            <w:pPr>
              <w:adjustRightInd w:val="0"/>
              <w:snapToGrid w:val="0"/>
              <w:spacing w:line="360" w:lineRule="auto"/>
              <w:ind w:firstLine="480" w:firstLineChars="200"/>
              <w:rPr>
                <w:color w:val="auto"/>
                <w:sz w:val="24"/>
              </w:rPr>
            </w:pPr>
            <w:r>
              <w:rPr>
                <w:color w:val="auto"/>
                <w:sz w:val="24"/>
              </w:rPr>
              <w:t>④搬运</w:t>
            </w:r>
            <w:r>
              <w:rPr>
                <w:rFonts w:hint="eastAsia"/>
                <w:color w:val="auto"/>
                <w:sz w:val="24"/>
              </w:rPr>
              <w:t>废矿物油</w:t>
            </w:r>
            <w:r>
              <w:rPr>
                <w:color w:val="auto"/>
                <w:sz w:val="24"/>
              </w:rPr>
              <w:t>时要轻装轻卸，包装桶应确保无破损，若发现破损应立即更换，避免</w:t>
            </w:r>
            <w:r>
              <w:rPr>
                <w:rFonts w:hint="eastAsia"/>
                <w:color w:val="auto"/>
                <w:sz w:val="24"/>
              </w:rPr>
              <w:t>废矿物油</w:t>
            </w:r>
            <w:r>
              <w:rPr>
                <w:color w:val="auto"/>
                <w:sz w:val="24"/>
              </w:rPr>
              <w:t>泄漏，存放于阴凉通风的地方，远离火源。</w:t>
            </w:r>
          </w:p>
          <w:p w14:paraId="1F9B5C05">
            <w:pPr>
              <w:adjustRightInd w:val="0"/>
              <w:snapToGrid w:val="0"/>
              <w:spacing w:line="360" w:lineRule="auto"/>
              <w:ind w:firstLine="480" w:firstLineChars="200"/>
              <w:rPr>
                <w:color w:val="auto"/>
                <w:sz w:val="24"/>
              </w:rPr>
            </w:pPr>
            <w:r>
              <w:rPr>
                <w:color w:val="auto"/>
                <w:sz w:val="24"/>
              </w:rPr>
              <w:t>⑤</w:t>
            </w:r>
            <w:r>
              <w:rPr>
                <w:rFonts w:hint="eastAsia"/>
                <w:color w:val="auto"/>
                <w:sz w:val="24"/>
              </w:rPr>
              <w:t>危险废物</w:t>
            </w:r>
            <w:r>
              <w:rPr>
                <w:color w:val="auto"/>
                <w:sz w:val="24"/>
              </w:rPr>
              <w:t>暂存间严格按照《危险废物贮存污染控制标准》（GB18597-20</w:t>
            </w:r>
            <w:r>
              <w:rPr>
                <w:rFonts w:hint="eastAsia"/>
                <w:color w:val="auto"/>
                <w:sz w:val="24"/>
              </w:rPr>
              <w:t>23</w:t>
            </w:r>
            <w:r>
              <w:rPr>
                <w:color w:val="auto"/>
                <w:sz w:val="24"/>
              </w:rPr>
              <w:t>）中的相关要求</w:t>
            </w:r>
            <w:r>
              <w:rPr>
                <w:rFonts w:hint="eastAsia"/>
                <w:color w:val="auto"/>
                <w:sz w:val="24"/>
              </w:rPr>
              <w:t>进行建设</w:t>
            </w:r>
            <w:r>
              <w:rPr>
                <w:color w:val="auto"/>
                <w:sz w:val="24"/>
              </w:rPr>
              <w:t>。</w:t>
            </w:r>
          </w:p>
          <w:p w14:paraId="5C91939C">
            <w:pPr>
              <w:adjustRightInd w:val="0"/>
              <w:snapToGrid w:val="0"/>
              <w:spacing w:line="360" w:lineRule="auto"/>
              <w:ind w:firstLine="480" w:firstLineChars="200"/>
              <w:rPr>
                <w:color w:val="auto"/>
                <w:sz w:val="24"/>
                <w:lang w:val="zh-CN"/>
              </w:rPr>
            </w:pPr>
            <w:r>
              <w:rPr>
                <w:color w:val="auto"/>
                <w:sz w:val="24"/>
              </w:rPr>
              <w:t>⑥</w:t>
            </w:r>
            <w:r>
              <w:rPr>
                <w:rFonts w:hint="eastAsia"/>
                <w:color w:val="auto"/>
                <w:sz w:val="24"/>
              </w:rPr>
              <w:t>危险废物暂存间内</w:t>
            </w:r>
            <w:r>
              <w:rPr>
                <w:color w:val="auto"/>
                <w:sz w:val="24"/>
                <w:lang w:val="zh-CN"/>
              </w:rPr>
              <w:t>设置一个</w:t>
            </w:r>
            <w:r>
              <w:rPr>
                <w:rFonts w:hint="eastAsia"/>
                <w:color w:val="auto"/>
                <w:sz w:val="24"/>
              </w:rPr>
              <w:t>备用空桶，</w:t>
            </w:r>
            <w:r>
              <w:rPr>
                <w:color w:val="auto"/>
                <w:sz w:val="24"/>
                <w:lang w:val="zh-CN"/>
              </w:rPr>
              <w:t>当</w:t>
            </w:r>
            <w:r>
              <w:rPr>
                <w:rFonts w:hint="eastAsia"/>
                <w:color w:val="auto"/>
                <w:sz w:val="24"/>
              </w:rPr>
              <w:t>发生废矿物油、导热油</w:t>
            </w:r>
            <w:r>
              <w:rPr>
                <w:color w:val="auto"/>
                <w:sz w:val="24"/>
                <w:lang w:val="zh-CN"/>
              </w:rPr>
              <w:t>泄漏事故时，</w:t>
            </w:r>
            <w:r>
              <w:rPr>
                <w:rFonts w:hint="eastAsia"/>
                <w:color w:val="auto"/>
                <w:sz w:val="24"/>
              </w:rPr>
              <w:t>泄漏的废矿物油、导热油</w:t>
            </w:r>
            <w:r>
              <w:rPr>
                <w:color w:val="auto"/>
                <w:sz w:val="24"/>
                <w:lang w:val="zh-CN"/>
              </w:rPr>
              <w:t>收集至桶内暂存。</w:t>
            </w:r>
          </w:p>
          <w:p w14:paraId="4A5854C4">
            <w:pPr>
              <w:adjustRightInd w:val="0"/>
              <w:snapToGrid w:val="0"/>
              <w:spacing w:line="360" w:lineRule="auto"/>
              <w:ind w:firstLine="480" w:firstLineChars="200"/>
              <w:rPr>
                <w:color w:val="auto"/>
                <w:sz w:val="24"/>
              </w:rPr>
            </w:pPr>
            <w:r>
              <w:rPr>
                <w:color w:val="auto"/>
                <w:sz w:val="24"/>
              </w:rPr>
              <w:fldChar w:fldCharType="begin"/>
            </w:r>
            <w:r>
              <w:rPr>
                <w:color w:val="auto"/>
                <w:sz w:val="24"/>
              </w:rPr>
              <w:instrText xml:space="preserve"> = 7 \* GB3 \* MERGEFORMAT </w:instrText>
            </w:r>
            <w:r>
              <w:rPr>
                <w:color w:val="auto"/>
                <w:sz w:val="24"/>
              </w:rPr>
              <w:fldChar w:fldCharType="separate"/>
            </w:r>
            <w:r>
              <w:rPr>
                <w:color w:val="auto"/>
                <w:sz w:val="24"/>
              </w:rPr>
              <w:t>⑦</w:t>
            </w:r>
            <w:r>
              <w:rPr>
                <w:color w:val="auto"/>
                <w:sz w:val="24"/>
              </w:rPr>
              <w:fldChar w:fldCharType="end"/>
            </w:r>
            <w:r>
              <w:rPr>
                <w:color w:val="auto"/>
                <w:sz w:val="24"/>
              </w:rPr>
              <w:t>若发生火灾事故，会产生消防废水，消防废水禁止外排，</w:t>
            </w:r>
            <w:r>
              <w:rPr>
                <w:rFonts w:hint="eastAsia"/>
                <w:color w:val="auto"/>
                <w:sz w:val="24"/>
              </w:rPr>
              <w:t>收集于事故池后</w:t>
            </w:r>
            <w:r>
              <w:rPr>
                <w:color w:val="auto"/>
                <w:sz w:val="24"/>
              </w:rPr>
              <w:t>委托有资质单位进行处置</w:t>
            </w:r>
            <w:r>
              <w:rPr>
                <w:rFonts w:hint="eastAsia"/>
                <w:color w:val="auto"/>
                <w:sz w:val="24"/>
              </w:rPr>
              <w:t>。</w:t>
            </w:r>
          </w:p>
          <w:p w14:paraId="78050D9A">
            <w:pPr>
              <w:adjustRightInd w:val="0"/>
              <w:snapToGrid w:val="0"/>
              <w:spacing w:line="360" w:lineRule="auto"/>
              <w:ind w:firstLine="480" w:firstLineChars="200"/>
              <w:rPr>
                <w:color w:val="auto"/>
                <w:sz w:val="24"/>
              </w:rPr>
            </w:pPr>
            <w:r>
              <w:rPr>
                <w:rFonts w:hint="eastAsia"/>
                <w:color w:val="auto"/>
                <w:sz w:val="24"/>
              </w:rPr>
              <w:fldChar w:fldCharType="begin"/>
            </w:r>
            <w:r>
              <w:rPr>
                <w:rFonts w:hint="eastAsia"/>
                <w:color w:val="auto"/>
                <w:sz w:val="24"/>
              </w:rPr>
              <w:instrText xml:space="preserve"> = 8 \* GB3 \* MERGEFORMAT </w:instrText>
            </w:r>
            <w:r>
              <w:rPr>
                <w:rFonts w:hint="eastAsia"/>
                <w:color w:val="auto"/>
                <w:sz w:val="24"/>
              </w:rPr>
              <w:fldChar w:fldCharType="separate"/>
            </w:r>
            <w:r>
              <w:rPr>
                <w:rFonts w:hint="eastAsia"/>
                <w:color w:val="auto"/>
                <w:sz w:val="24"/>
              </w:rPr>
              <w:t>⑧</w:t>
            </w:r>
            <w:r>
              <w:rPr>
                <w:rFonts w:hint="eastAsia"/>
                <w:color w:val="auto"/>
                <w:sz w:val="24"/>
              </w:rPr>
              <w:fldChar w:fldCharType="end"/>
            </w:r>
            <w:r>
              <w:rPr>
                <w:rFonts w:hint="eastAsia"/>
                <w:color w:val="auto"/>
                <w:sz w:val="24"/>
              </w:rPr>
              <w:t>项目使用的管道天然气设截断阀，并配套设置天然气泄漏检测设备，加强天然气管道的巡检，及时发现及控制天然气泄漏。</w:t>
            </w:r>
          </w:p>
          <w:p w14:paraId="05048618">
            <w:pPr>
              <w:adjustRightInd w:val="0"/>
              <w:snapToGrid w:val="0"/>
              <w:spacing w:line="360" w:lineRule="auto"/>
              <w:ind w:firstLine="480" w:firstLineChars="200"/>
              <w:rPr>
                <w:color w:val="auto"/>
                <w:sz w:val="24"/>
              </w:rPr>
            </w:pPr>
            <w:r>
              <w:rPr>
                <w:color w:val="auto"/>
                <w:sz w:val="24"/>
              </w:rPr>
              <w:fldChar w:fldCharType="begin"/>
            </w:r>
            <w:r>
              <w:rPr>
                <w:color w:val="auto"/>
                <w:sz w:val="24"/>
              </w:rPr>
              <w:instrText xml:space="preserve"> = 9 \* GB3 \* MERGEFORMAT </w:instrText>
            </w:r>
            <w:r>
              <w:rPr>
                <w:color w:val="auto"/>
                <w:sz w:val="24"/>
              </w:rPr>
              <w:fldChar w:fldCharType="separate"/>
            </w:r>
            <w:r>
              <w:rPr>
                <w:rFonts w:hint="eastAsia"/>
                <w:color w:val="auto"/>
                <w:sz w:val="24"/>
              </w:rPr>
              <w:t>⑨</w:t>
            </w:r>
            <w:r>
              <w:rPr>
                <w:color w:val="auto"/>
                <w:sz w:val="24"/>
              </w:rPr>
              <w:fldChar w:fldCharType="end"/>
            </w:r>
            <w:r>
              <w:rPr>
                <w:color w:val="auto"/>
                <w:sz w:val="24"/>
              </w:rPr>
              <w:t>编制突发环境事件应急预案，并报昆明市生态环境局寻甸分局备案</w:t>
            </w:r>
            <w:r>
              <w:rPr>
                <w:rFonts w:hint="eastAsia"/>
                <w:color w:val="auto"/>
                <w:sz w:val="24"/>
              </w:rPr>
              <w:t>。</w:t>
            </w:r>
          </w:p>
          <w:p w14:paraId="0C615D43">
            <w:pPr>
              <w:adjustRightInd w:val="0"/>
              <w:snapToGrid w:val="0"/>
              <w:spacing w:line="360" w:lineRule="auto"/>
              <w:ind w:firstLine="480" w:firstLineChars="200"/>
              <w:rPr>
                <w:color w:val="auto"/>
                <w:sz w:val="24"/>
              </w:rPr>
            </w:pPr>
            <w:r>
              <w:rPr>
                <w:rFonts w:hint="eastAsia"/>
                <w:color w:val="auto"/>
                <w:sz w:val="24"/>
              </w:rPr>
              <w:t>⑩当污水处理站污水处理</w:t>
            </w:r>
            <w:r>
              <w:rPr>
                <w:rFonts w:hint="eastAsia"/>
                <w:color w:val="auto"/>
                <w:sz w:val="24"/>
                <w:lang w:eastAsia="zh-CN"/>
              </w:rPr>
              <w:t>设备</w:t>
            </w:r>
            <w:r>
              <w:rPr>
                <w:rFonts w:hint="eastAsia"/>
                <w:color w:val="auto"/>
                <w:sz w:val="24"/>
              </w:rPr>
              <w:t>处于事故状态时，应立即停止运行，将未处理的污水抽排至事故应急池中暂存，待设备运行正常后将事故池中暂存的污水抽回污水处理站处理达标后方可回用。</w:t>
            </w:r>
          </w:p>
          <w:p w14:paraId="29F2180B">
            <w:pPr>
              <w:adjustRightInd w:val="0"/>
              <w:spacing w:line="360" w:lineRule="auto"/>
              <w:ind w:firstLine="482" w:firstLineChars="200"/>
              <w:rPr>
                <w:b/>
                <w:bCs/>
                <w:color w:val="auto"/>
                <w:sz w:val="24"/>
                <w:szCs w:val="28"/>
              </w:rPr>
            </w:pPr>
            <w:r>
              <w:rPr>
                <w:rFonts w:hint="eastAsia"/>
                <w:b/>
                <w:bCs/>
                <w:color w:val="auto"/>
                <w:sz w:val="24"/>
                <w:szCs w:val="28"/>
              </w:rPr>
              <w:t>2）应急预案及应急演练</w:t>
            </w:r>
          </w:p>
          <w:p w14:paraId="05B97554">
            <w:pPr>
              <w:adjustRightInd w:val="0"/>
              <w:spacing w:line="360" w:lineRule="auto"/>
              <w:ind w:firstLine="480" w:firstLineChars="200"/>
              <w:rPr>
                <w:color w:val="auto"/>
                <w:sz w:val="24"/>
                <w:szCs w:val="28"/>
                <w:lang w:val="zh-CN"/>
              </w:rPr>
            </w:pPr>
            <w:r>
              <w:rPr>
                <w:color w:val="auto"/>
                <w:sz w:val="24"/>
                <w:szCs w:val="28"/>
              </w:rPr>
              <w:t>本项目应按照《突发环境事件应急预案管理暂行办法(环发[2010]113 号)》和《企业事业单位突发环境事件应急预案备案管理办法（试行）》（环发[2015]4 号）的相关要求编制应急预案，并报昆明市生态环境局</w:t>
            </w:r>
            <w:r>
              <w:rPr>
                <w:rFonts w:hint="eastAsia"/>
                <w:color w:val="auto"/>
                <w:sz w:val="24"/>
                <w:szCs w:val="28"/>
              </w:rPr>
              <w:t>寻甸</w:t>
            </w:r>
            <w:r>
              <w:rPr>
                <w:color w:val="auto"/>
                <w:sz w:val="24"/>
                <w:szCs w:val="28"/>
              </w:rPr>
              <w:t>分局备案</w:t>
            </w:r>
            <w:r>
              <w:rPr>
                <w:rFonts w:hint="eastAsia"/>
                <w:color w:val="auto"/>
                <w:sz w:val="24"/>
                <w:szCs w:val="28"/>
              </w:rPr>
              <w:t>，并定期开展应急演练</w:t>
            </w:r>
            <w:r>
              <w:rPr>
                <w:color w:val="auto"/>
                <w:sz w:val="24"/>
                <w:szCs w:val="28"/>
              </w:rPr>
              <w:t>。</w:t>
            </w:r>
          </w:p>
          <w:p w14:paraId="27C82851">
            <w:pPr>
              <w:pStyle w:val="16"/>
              <w:adjustRightInd w:val="0"/>
              <w:snapToGrid w:val="0"/>
              <w:spacing w:after="0" w:line="360" w:lineRule="auto"/>
              <w:ind w:firstLine="0" w:firstLineChars="0"/>
              <w:rPr>
                <w:b/>
                <w:bCs/>
                <w:color w:val="auto"/>
                <w:szCs w:val="28"/>
              </w:rPr>
            </w:pPr>
            <w:r>
              <w:rPr>
                <w:b/>
                <w:bCs/>
                <w:color w:val="auto"/>
                <w:szCs w:val="28"/>
              </w:rPr>
              <w:t>（7）分析结论</w:t>
            </w:r>
          </w:p>
          <w:p w14:paraId="032633ED">
            <w:pPr>
              <w:adjustRightInd w:val="0"/>
              <w:spacing w:line="360" w:lineRule="auto"/>
              <w:ind w:firstLine="480" w:firstLineChars="200"/>
              <w:rPr>
                <w:color w:val="auto"/>
                <w:sz w:val="24"/>
                <w:szCs w:val="28"/>
              </w:rPr>
            </w:pPr>
            <w:r>
              <w:rPr>
                <w:color w:val="auto"/>
                <w:sz w:val="24"/>
                <w:szCs w:val="28"/>
              </w:rPr>
              <w:t>根据以上分析，本项目环境风险潜势划分为</w:t>
            </w:r>
            <w:r>
              <w:rPr>
                <w:color w:val="auto"/>
                <w:sz w:val="24"/>
                <w:szCs w:val="28"/>
              </w:rPr>
              <w:fldChar w:fldCharType="begin"/>
            </w:r>
            <w:r>
              <w:rPr>
                <w:color w:val="auto"/>
                <w:sz w:val="24"/>
                <w:szCs w:val="28"/>
              </w:rPr>
              <w:instrText xml:space="preserve"> = 1 \* ROMAN \* MERGEFORMAT </w:instrText>
            </w:r>
            <w:r>
              <w:rPr>
                <w:color w:val="auto"/>
                <w:sz w:val="24"/>
                <w:szCs w:val="28"/>
              </w:rPr>
              <w:fldChar w:fldCharType="separate"/>
            </w:r>
            <w:r>
              <w:rPr>
                <w:color w:val="auto"/>
                <w:sz w:val="24"/>
                <w:szCs w:val="28"/>
              </w:rPr>
              <w:t>I</w:t>
            </w:r>
            <w:r>
              <w:rPr>
                <w:color w:val="auto"/>
                <w:sz w:val="24"/>
                <w:szCs w:val="28"/>
              </w:rPr>
              <w:fldChar w:fldCharType="end"/>
            </w:r>
            <w:r>
              <w:rPr>
                <w:color w:val="auto"/>
                <w:sz w:val="24"/>
                <w:szCs w:val="28"/>
              </w:rPr>
              <w:t>，项目环境风险评价等级为简单分析</w:t>
            </w:r>
            <w:r>
              <w:rPr>
                <w:rFonts w:hint="eastAsia"/>
                <w:color w:val="auto"/>
                <w:sz w:val="24"/>
                <w:szCs w:val="28"/>
              </w:rPr>
              <w:t>。项目</w:t>
            </w:r>
            <w:r>
              <w:rPr>
                <w:color w:val="auto"/>
                <w:sz w:val="24"/>
                <w:lang w:val="zh-CN"/>
              </w:rPr>
              <w:t>通过</w:t>
            </w:r>
            <w:r>
              <w:rPr>
                <w:rFonts w:hint="eastAsia"/>
                <w:color w:val="auto"/>
                <w:sz w:val="24"/>
              </w:rPr>
              <w:t>采取</w:t>
            </w:r>
            <w:r>
              <w:rPr>
                <w:color w:val="auto"/>
                <w:sz w:val="24"/>
                <w:lang w:val="zh-CN"/>
              </w:rPr>
              <w:t>严格的防火设计标准、加强原辅料储存管理、严格按有关规章制度进行生产操作等措施后，火灾发生的可能性很小。制定风险应急预案，一旦发生事故将可迅速响应，采取措施将影响降到最小。项目环境风险在可接受范围内，且采取措施后风险可控。</w:t>
            </w:r>
          </w:p>
          <w:p w14:paraId="5D03616C">
            <w:pPr>
              <w:adjustRightInd w:val="0"/>
              <w:spacing w:line="360" w:lineRule="auto"/>
              <w:ind w:firstLine="480" w:firstLineChars="200"/>
              <w:rPr>
                <w:b/>
                <w:bCs/>
                <w:color w:val="auto"/>
                <w:szCs w:val="21"/>
              </w:rPr>
            </w:pPr>
            <w:r>
              <w:rPr>
                <w:color w:val="auto"/>
                <w:sz w:val="24"/>
                <w:szCs w:val="28"/>
              </w:rPr>
              <w:t>项目环境风险简单分析内容见表</w:t>
            </w:r>
            <w:r>
              <w:rPr>
                <w:rFonts w:hint="eastAsia"/>
                <w:color w:val="auto"/>
                <w:sz w:val="24"/>
                <w:szCs w:val="28"/>
              </w:rPr>
              <w:t>4</w:t>
            </w:r>
            <w:r>
              <w:rPr>
                <w:color w:val="auto"/>
                <w:sz w:val="24"/>
                <w:szCs w:val="28"/>
              </w:rPr>
              <w:t>-</w:t>
            </w:r>
            <w:r>
              <w:rPr>
                <w:rFonts w:hint="eastAsia"/>
                <w:color w:val="auto"/>
                <w:sz w:val="24"/>
                <w:szCs w:val="28"/>
              </w:rPr>
              <w:t>10</w:t>
            </w:r>
            <w:r>
              <w:rPr>
                <w:color w:val="auto"/>
                <w:sz w:val="24"/>
                <w:szCs w:val="28"/>
              </w:rPr>
              <w:t>所示。</w:t>
            </w:r>
          </w:p>
          <w:p w14:paraId="3C40B6C3">
            <w:pPr>
              <w:adjustRightInd w:val="0"/>
              <w:snapToGrid w:val="0"/>
              <w:jc w:val="center"/>
              <w:rPr>
                <w:b/>
                <w:bCs/>
                <w:color w:val="auto"/>
                <w:szCs w:val="21"/>
              </w:rPr>
            </w:pPr>
            <w:r>
              <w:rPr>
                <w:rFonts w:hint="eastAsia"/>
                <w:b/>
                <w:bCs/>
                <w:color w:val="auto"/>
                <w:szCs w:val="21"/>
              </w:rPr>
              <w:t>表4-10  建设项目环境风险简单分析内容表</w:t>
            </w:r>
          </w:p>
          <w:tbl>
            <w:tblPr>
              <w:tblStyle w:val="30"/>
              <w:tblW w:w="8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1263"/>
              <w:gridCol w:w="1938"/>
              <w:gridCol w:w="1675"/>
              <w:gridCol w:w="2070"/>
            </w:tblGrid>
            <w:tr w14:paraId="1EE0E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14:paraId="4A24E8BD">
                  <w:pPr>
                    <w:adjustRightInd w:val="0"/>
                    <w:snapToGrid w:val="0"/>
                    <w:jc w:val="center"/>
                    <w:rPr>
                      <w:color w:val="auto"/>
                    </w:rPr>
                  </w:pPr>
                  <w:r>
                    <w:rPr>
                      <w:color w:val="auto"/>
                    </w:rPr>
                    <w:t>建设项目名称</w:t>
                  </w:r>
                </w:p>
              </w:tc>
              <w:tc>
                <w:tcPr>
                  <w:tcW w:w="6946" w:type="dxa"/>
                  <w:gridSpan w:val="4"/>
                  <w:tcBorders>
                    <w:top w:val="single" w:color="auto" w:sz="4" w:space="0"/>
                    <w:left w:val="single" w:color="auto" w:sz="4" w:space="0"/>
                    <w:bottom w:val="single" w:color="auto" w:sz="4" w:space="0"/>
                    <w:right w:val="single" w:color="auto" w:sz="4" w:space="0"/>
                  </w:tcBorders>
                  <w:vAlign w:val="center"/>
                </w:tcPr>
                <w:p w14:paraId="75DBF5A2">
                  <w:pPr>
                    <w:adjustRightInd w:val="0"/>
                    <w:snapToGrid w:val="0"/>
                    <w:jc w:val="center"/>
                    <w:rPr>
                      <w:color w:val="auto"/>
                    </w:rPr>
                  </w:pPr>
                  <w:r>
                    <w:rPr>
                      <w:rFonts w:hint="eastAsia"/>
                      <w:color w:val="auto"/>
                    </w:rPr>
                    <w:t>年产450万张三聚氰胺浸渍纸建设项目</w:t>
                  </w:r>
                </w:p>
              </w:tc>
            </w:tr>
            <w:tr w14:paraId="525CF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14:paraId="423E71B9">
                  <w:pPr>
                    <w:adjustRightInd w:val="0"/>
                    <w:snapToGrid w:val="0"/>
                    <w:jc w:val="center"/>
                    <w:rPr>
                      <w:color w:val="auto"/>
                    </w:rPr>
                  </w:pPr>
                  <w:r>
                    <w:rPr>
                      <w:color w:val="auto"/>
                    </w:rPr>
                    <w:t>建设地点</w:t>
                  </w:r>
                </w:p>
              </w:tc>
              <w:tc>
                <w:tcPr>
                  <w:tcW w:w="6946" w:type="dxa"/>
                  <w:gridSpan w:val="4"/>
                  <w:tcBorders>
                    <w:top w:val="single" w:color="auto" w:sz="4" w:space="0"/>
                    <w:left w:val="single" w:color="auto" w:sz="4" w:space="0"/>
                    <w:bottom w:val="single" w:color="auto" w:sz="4" w:space="0"/>
                    <w:right w:val="single" w:color="auto" w:sz="4" w:space="0"/>
                  </w:tcBorders>
                  <w:vAlign w:val="center"/>
                </w:tcPr>
                <w:p w14:paraId="2CBA3B81">
                  <w:pPr>
                    <w:adjustRightInd w:val="0"/>
                    <w:snapToGrid w:val="0"/>
                    <w:jc w:val="left"/>
                    <w:rPr>
                      <w:color w:val="auto"/>
                    </w:rPr>
                  </w:pPr>
                  <w:r>
                    <w:rPr>
                      <w:rFonts w:hint="eastAsia"/>
                      <w:color w:val="auto"/>
                    </w:rPr>
                    <w:t>云南省昆明市寻甸县羊街镇中国昆明国际林业产业园3-12号。</w:t>
                  </w:r>
                </w:p>
              </w:tc>
            </w:tr>
            <w:tr w14:paraId="54078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14:paraId="3AF3E310">
                  <w:pPr>
                    <w:adjustRightInd w:val="0"/>
                    <w:snapToGrid w:val="0"/>
                    <w:jc w:val="center"/>
                    <w:rPr>
                      <w:color w:val="auto"/>
                    </w:rPr>
                  </w:pPr>
                  <w:r>
                    <w:rPr>
                      <w:color w:val="auto"/>
                    </w:rPr>
                    <w:t>地理坐标</w:t>
                  </w:r>
                </w:p>
              </w:tc>
              <w:tc>
                <w:tcPr>
                  <w:tcW w:w="1263" w:type="dxa"/>
                  <w:tcBorders>
                    <w:top w:val="single" w:color="auto" w:sz="4" w:space="0"/>
                    <w:left w:val="single" w:color="auto" w:sz="4" w:space="0"/>
                    <w:bottom w:val="single" w:color="auto" w:sz="4" w:space="0"/>
                    <w:right w:val="single" w:color="auto" w:sz="4" w:space="0"/>
                  </w:tcBorders>
                  <w:vAlign w:val="center"/>
                </w:tcPr>
                <w:p w14:paraId="15206D0A">
                  <w:pPr>
                    <w:adjustRightInd w:val="0"/>
                    <w:snapToGrid w:val="0"/>
                    <w:jc w:val="left"/>
                    <w:rPr>
                      <w:color w:val="auto"/>
                    </w:rPr>
                  </w:pPr>
                  <w:r>
                    <w:rPr>
                      <w:color w:val="auto"/>
                    </w:rPr>
                    <w:t>经度</w:t>
                  </w:r>
                </w:p>
              </w:tc>
              <w:tc>
                <w:tcPr>
                  <w:tcW w:w="1938" w:type="dxa"/>
                  <w:tcBorders>
                    <w:top w:val="single" w:color="auto" w:sz="4" w:space="0"/>
                    <w:left w:val="single" w:color="auto" w:sz="4" w:space="0"/>
                    <w:bottom w:val="single" w:color="auto" w:sz="4" w:space="0"/>
                    <w:right w:val="single" w:color="auto" w:sz="4" w:space="0"/>
                  </w:tcBorders>
                  <w:vAlign w:val="center"/>
                </w:tcPr>
                <w:p w14:paraId="2E5FF172">
                  <w:pPr>
                    <w:adjustRightInd w:val="0"/>
                    <w:snapToGrid w:val="0"/>
                    <w:jc w:val="left"/>
                    <w:rPr>
                      <w:color w:val="auto"/>
                    </w:rPr>
                  </w:pPr>
                  <w:r>
                    <w:rPr>
                      <w:rFonts w:hint="eastAsia"/>
                      <w:color w:val="auto"/>
                    </w:rPr>
                    <w:t>103°9′15.350″</w:t>
                  </w:r>
                </w:p>
              </w:tc>
              <w:tc>
                <w:tcPr>
                  <w:tcW w:w="1675" w:type="dxa"/>
                  <w:tcBorders>
                    <w:top w:val="single" w:color="auto" w:sz="4" w:space="0"/>
                    <w:left w:val="single" w:color="auto" w:sz="4" w:space="0"/>
                    <w:bottom w:val="single" w:color="auto" w:sz="4" w:space="0"/>
                    <w:right w:val="single" w:color="auto" w:sz="4" w:space="0"/>
                  </w:tcBorders>
                  <w:vAlign w:val="center"/>
                </w:tcPr>
                <w:p w14:paraId="018B0253">
                  <w:pPr>
                    <w:adjustRightInd w:val="0"/>
                    <w:snapToGrid w:val="0"/>
                    <w:jc w:val="left"/>
                    <w:rPr>
                      <w:color w:val="auto"/>
                    </w:rPr>
                  </w:pPr>
                  <w:r>
                    <w:rPr>
                      <w:color w:val="auto"/>
                    </w:rPr>
                    <w:t>纬度</w:t>
                  </w:r>
                </w:p>
              </w:tc>
              <w:tc>
                <w:tcPr>
                  <w:tcW w:w="2070" w:type="dxa"/>
                  <w:tcBorders>
                    <w:top w:val="single" w:color="auto" w:sz="4" w:space="0"/>
                    <w:left w:val="single" w:color="auto" w:sz="4" w:space="0"/>
                    <w:bottom w:val="single" w:color="auto" w:sz="4" w:space="0"/>
                    <w:right w:val="single" w:color="auto" w:sz="4" w:space="0"/>
                  </w:tcBorders>
                  <w:vAlign w:val="center"/>
                </w:tcPr>
                <w:p w14:paraId="7A90EE24">
                  <w:pPr>
                    <w:adjustRightInd w:val="0"/>
                    <w:snapToGrid w:val="0"/>
                    <w:jc w:val="left"/>
                    <w:rPr>
                      <w:color w:val="auto"/>
                    </w:rPr>
                  </w:pPr>
                  <w:r>
                    <w:rPr>
                      <w:rFonts w:hint="eastAsia"/>
                      <w:color w:val="auto"/>
                    </w:rPr>
                    <w:t>25°27′37.255″</w:t>
                  </w:r>
                </w:p>
              </w:tc>
            </w:tr>
            <w:tr w14:paraId="34017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14:paraId="58187A05">
                  <w:pPr>
                    <w:adjustRightInd w:val="0"/>
                    <w:snapToGrid w:val="0"/>
                    <w:jc w:val="center"/>
                    <w:rPr>
                      <w:color w:val="auto"/>
                    </w:rPr>
                  </w:pPr>
                  <w:r>
                    <w:rPr>
                      <w:color w:val="auto"/>
                    </w:rPr>
                    <w:t>主要危险物质及分布</w:t>
                  </w:r>
                </w:p>
              </w:tc>
              <w:tc>
                <w:tcPr>
                  <w:tcW w:w="6946" w:type="dxa"/>
                  <w:gridSpan w:val="4"/>
                  <w:tcBorders>
                    <w:top w:val="single" w:color="auto" w:sz="4" w:space="0"/>
                    <w:left w:val="single" w:color="auto" w:sz="4" w:space="0"/>
                    <w:bottom w:val="single" w:color="auto" w:sz="4" w:space="0"/>
                    <w:right w:val="single" w:color="auto" w:sz="4" w:space="0"/>
                  </w:tcBorders>
                  <w:vAlign w:val="center"/>
                </w:tcPr>
                <w:p w14:paraId="134B8C7F">
                  <w:pPr>
                    <w:adjustRightInd w:val="0"/>
                    <w:snapToGrid w:val="0"/>
                    <w:jc w:val="left"/>
                    <w:rPr>
                      <w:color w:val="auto"/>
                    </w:rPr>
                  </w:pPr>
                  <w:r>
                    <w:rPr>
                      <w:color w:val="auto"/>
                    </w:rPr>
                    <w:t>废矿物油—</w:t>
                  </w:r>
                  <w:r>
                    <w:rPr>
                      <w:rFonts w:hint="eastAsia"/>
                      <w:color w:val="auto"/>
                    </w:rPr>
                    <w:t>危险废物</w:t>
                  </w:r>
                  <w:r>
                    <w:rPr>
                      <w:color w:val="auto"/>
                    </w:rPr>
                    <w:t>暂存间</w:t>
                  </w:r>
                  <w:r>
                    <w:rPr>
                      <w:rFonts w:hint="eastAsia"/>
                      <w:color w:val="auto"/>
                    </w:rPr>
                    <w:t>；导热油</w:t>
                  </w:r>
                  <w:r>
                    <w:rPr>
                      <w:color w:val="auto"/>
                    </w:rPr>
                    <w:t>—</w:t>
                  </w:r>
                  <w:r>
                    <w:rPr>
                      <w:rFonts w:hint="eastAsia"/>
                      <w:color w:val="auto"/>
                    </w:rPr>
                    <w:t>危废暂存间、导热油炉；天然气中的主要成分甲烷-管道天然气</w:t>
                  </w:r>
                </w:p>
              </w:tc>
            </w:tr>
            <w:tr w14:paraId="110F0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14:paraId="55DABBB6">
                  <w:pPr>
                    <w:adjustRightInd w:val="0"/>
                    <w:snapToGrid w:val="0"/>
                    <w:jc w:val="center"/>
                    <w:rPr>
                      <w:color w:val="auto"/>
                    </w:rPr>
                  </w:pPr>
                  <w:r>
                    <w:rPr>
                      <w:color w:val="auto"/>
                    </w:rPr>
                    <w:t>环境影响途径及危害后果（大气、地表水、地下水等）</w:t>
                  </w:r>
                </w:p>
              </w:tc>
              <w:tc>
                <w:tcPr>
                  <w:tcW w:w="6946" w:type="dxa"/>
                  <w:gridSpan w:val="4"/>
                  <w:tcBorders>
                    <w:top w:val="single" w:color="auto" w:sz="4" w:space="0"/>
                    <w:left w:val="single" w:color="auto" w:sz="4" w:space="0"/>
                    <w:bottom w:val="single" w:color="auto" w:sz="4" w:space="0"/>
                    <w:right w:val="single" w:color="auto" w:sz="4" w:space="0"/>
                  </w:tcBorders>
                  <w:vAlign w:val="center"/>
                </w:tcPr>
                <w:p w14:paraId="137CCF71">
                  <w:pPr>
                    <w:jc w:val="left"/>
                    <w:rPr>
                      <w:color w:val="auto"/>
                    </w:rPr>
                  </w:pPr>
                  <w:r>
                    <w:rPr>
                      <w:color w:val="auto"/>
                    </w:rPr>
                    <w:t>废矿物油</w:t>
                  </w:r>
                  <w:r>
                    <w:rPr>
                      <w:rFonts w:hint="eastAsia"/>
                      <w:color w:val="auto"/>
                    </w:rPr>
                    <w:t>、导热油泄漏</w:t>
                  </w:r>
                  <w:r>
                    <w:rPr>
                      <w:color w:val="auto"/>
                    </w:rPr>
                    <w:t>：地下水环境、地表水、土壤环境污染；</w:t>
                  </w:r>
                </w:p>
                <w:p w14:paraId="3380BAF7">
                  <w:pPr>
                    <w:jc w:val="left"/>
                    <w:rPr>
                      <w:color w:val="auto"/>
                    </w:rPr>
                  </w:pPr>
                  <w:r>
                    <w:rPr>
                      <w:rFonts w:hint="eastAsia"/>
                      <w:color w:val="auto"/>
                    </w:rPr>
                    <w:t>火灾爆炸产生的次生污染物：大气环境、</w:t>
                  </w:r>
                  <w:r>
                    <w:rPr>
                      <w:color w:val="auto"/>
                    </w:rPr>
                    <w:t>地下水环境、地表水、土壤环境污染</w:t>
                  </w:r>
                  <w:r>
                    <w:rPr>
                      <w:rFonts w:hint="eastAsia"/>
                      <w:color w:val="auto"/>
                    </w:rPr>
                    <w:t>；</w:t>
                  </w:r>
                </w:p>
              </w:tc>
            </w:tr>
            <w:tr w14:paraId="1877C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14:paraId="56B0460D">
                  <w:pPr>
                    <w:adjustRightInd w:val="0"/>
                    <w:snapToGrid w:val="0"/>
                    <w:jc w:val="center"/>
                    <w:rPr>
                      <w:color w:val="auto"/>
                    </w:rPr>
                  </w:pPr>
                  <w:r>
                    <w:rPr>
                      <w:color w:val="auto"/>
                    </w:rPr>
                    <w:t>风险防范措施要求</w:t>
                  </w:r>
                </w:p>
              </w:tc>
              <w:tc>
                <w:tcPr>
                  <w:tcW w:w="6946" w:type="dxa"/>
                  <w:gridSpan w:val="4"/>
                  <w:tcBorders>
                    <w:top w:val="single" w:color="auto" w:sz="4" w:space="0"/>
                    <w:left w:val="single" w:color="auto" w:sz="4" w:space="0"/>
                    <w:bottom w:val="single" w:color="auto" w:sz="4" w:space="0"/>
                    <w:right w:val="single" w:color="auto" w:sz="4" w:space="0"/>
                  </w:tcBorders>
                  <w:vAlign w:val="center"/>
                </w:tcPr>
                <w:p w14:paraId="627FB819">
                  <w:pPr>
                    <w:jc w:val="left"/>
                    <w:rPr>
                      <w:color w:val="auto"/>
                      <w:szCs w:val="21"/>
                    </w:rPr>
                  </w:pPr>
                  <w:r>
                    <w:rPr>
                      <w:color w:val="auto"/>
                      <w:szCs w:val="21"/>
                    </w:rPr>
                    <w:t>①项目区按照《建筑灭火器配置设计规范》（GB50140-2010）的要求设置消防设施及灭火器材，灭火器材应放在明显、易取的地方，应定期对消防设施及灭火器材进行检查、维护。</w:t>
                  </w:r>
                </w:p>
                <w:p w14:paraId="2867CCE0">
                  <w:pPr>
                    <w:jc w:val="left"/>
                    <w:rPr>
                      <w:color w:val="auto"/>
                      <w:szCs w:val="21"/>
                    </w:rPr>
                  </w:pPr>
                  <w:r>
                    <w:rPr>
                      <w:color w:val="auto"/>
                      <w:szCs w:val="21"/>
                    </w:rPr>
                    <w:t>②严禁动用明火、各种电热器和能引起电火花的电气设备，室外门上应挂“严禁烟火”的警告牌，定期检查完好性。</w:t>
                  </w:r>
                </w:p>
                <w:p w14:paraId="216FFF95">
                  <w:pPr>
                    <w:jc w:val="left"/>
                    <w:rPr>
                      <w:color w:val="auto"/>
                      <w:szCs w:val="21"/>
                    </w:rPr>
                  </w:pPr>
                  <w:r>
                    <w:rPr>
                      <w:color w:val="auto"/>
                      <w:szCs w:val="21"/>
                    </w:rPr>
                    <w:t>③加强设备电线及接头的检修及维护，防止因线路老化、接触不良等原因造成火灾事故。</w:t>
                  </w:r>
                </w:p>
                <w:p w14:paraId="1BCF6245">
                  <w:pPr>
                    <w:jc w:val="left"/>
                    <w:rPr>
                      <w:color w:val="auto"/>
                      <w:szCs w:val="21"/>
                    </w:rPr>
                  </w:pPr>
                  <w:r>
                    <w:rPr>
                      <w:color w:val="auto"/>
                      <w:szCs w:val="21"/>
                    </w:rPr>
                    <w:t>④搬运废矿物油时要轻装轻卸，包装桶应确保无破损，若发现破损应立即更换，避免废矿物油泄漏，存放于阴凉通风的地方，远离火源。</w:t>
                  </w:r>
                </w:p>
                <w:p w14:paraId="1D7DF017">
                  <w:pPr>
                    <w:jc w:val="left"/>
                    <w:rPr>
                      <w:color w:val="auto"/>
                      <w:szCs w:val="21"/>
                    </w:rPr>
                  </w:pPr>
                  <w:r>
                    <w:rPr>
                      <w:color w:val="auto"/>
                      <w:szCs w:val="21"/>
                    </w:rPr>
                    <w:t>⑤危险废物暂存间严格按照《危险废物贮存污染控制标准》（GB18597-2023）中的相关要求进行建设，地面及裙脚进行重点防渗，渗透系数≤1×10</w:t>
                  </w:r>
                  <w:r>
                    <w:rPr>
                      <w:color w:val="auto"/>
                      <w:szCs w:val="21"/>
                      <w:vertAlign w:val="superscript"/>
                    </w:rPr>
                    <w:t>-10</w:t>
                  </w:r>
                  <w:r>
                    <w:rPr>
                      <w:color w:val="auto"/>
                      <w:szCs w:val="21"/>
                    </w:rPr>
                    <w:t>cm/s。危废间设置规范标识标牌。</w:t>
                  </w:r>
                </w:p>
                <w:p w14:paraId="65EA8E61">
                  <w:pPr>
                    <w:jc w:val="left"/>
                    <w:rPr>
                      <w:color w:val="auto"/>
                      <w:szCs w:val="21"/>
                    </w:rPr>
                  </w:pPr>
                  <w:r>
                    <w:rPr>
                      <w:color w:val="auto"/>
                      <w:szCs w:val="21"/>
                    </w:rPr>
                    <w:t>⑥危险废物暂存间内设置一个备用空桶，当发生废矿物油泄漏事故时，泄漏的废矿物油收集至桶内暂存。</w:t>
                  </w:r>
                </w:p>
                <w:p w14:paraId="2080D447">
                  <w:pPr>
                    <w:jc w:val="left"/>
                    <w:rPr>
                      <w:color w:val="auto"/>
                      <w:szCs w:val="21"/>
                    </w:rPr>
                  </w:pPr>
                  <w:r>
                    <w:rPr>
                      <w:color w:val="auto"/>
                      <w:szCs w:val="21"/>
                    </w:rPr>
                    <w:fldChar w:fldCharType="begin"/>
                  </w:r>
                  <w:r>
                    <w:rPr>
                      <w:color w:val="auto"/>
                      <w:szCs w:val="21"/>
                    </w:rPr>
                    <w:instrText xml:space="preserve"> = 7 \* GB3 \* MERGEFORMAT </w:instrText>
                  </w:r>
                  <w:r>
                    <w:rPr>
                      <w:color w:val="auto"/>
                      <w:szCs w:val="21"/>
                    </w:rPr>
                    <w:fldChar w:fldCharType="separate"/>
                  </w:r>
                  <w:r>
                    <w:rPr>
                      <w:color w:val="auto"/>
                      <w:szCs w:val="21"/>
                    </w:rPr>
                    <w:t>⑦</w:t>
                  </w:r>
                  <w:r>
                    <w:rPr>
                      <w:color w:val="auto"/>
                      <w:szCs w:val="21"/>
                    </w:rPr>
                    <w:fldChar w:fldCharType="end"/>
                  </w:r>
                  <w:r>
                    <w:rPr>
                      <w:color w:val="auto"/>
                      <w:szCs w:val="21"/>
                    </w:rPr>
                    <w:t>若发生火灾事故，会产生消防废水，消防废水禁止外排，收集于事故池（暂存池兼做事故池）后委托有资质单位进行处置。</w:t>
                  </w:r>
                </w:p>
                <w:p w14:paraId="62A12EDA">
                  <w:pPr>
                    <w:jc w:val="left"/>
                    <w:rPr>
                      <w:color w:val="auto"/>
                      <w:szCs w:val="21"/>
                    </w:rPr>
                  </w:pPr>
                  <w:r>
                    <w:rPr>
                      <w:color w:val="auto"/>
                      <w:szCs w:val="21"/>
                    </w:rPr>
                    <w:fldChar w:fldCharType="begin"/>
                  </w:r>
                  <w:r>
                    <w:rPr>
                      <w:color w:val="auto"/>
                      <w:szCs w:val="21"/>
                    </w:rPr>
                    <w:instrText xml:space="preserve"> = 8 \* GB3 \* MERGEFORMAT </w:instrText>
                  </w:r>
                  <w:r>
                    <w:rPr>
                      <w:color w:val="auto"/>
                      <w:szCs w:val="21"/>
                    </w:rPr>
                    <w:fldChar w:fldCharType="separate"/>
                  </w:r>
                  <w:r>
                    <w:rPr>
                      <w:color w:val="auto"/>
                      <w:szCs w:val="21"/>
                    </w:rPr>
                    <w:t>⑧</w:t>
                  </w:r>
                  <w:r>
                    <w:rPr>
                      <w:color w:val="auto"/>
                      <w:szCs w:val="21"/>
                    </w:rPr>
                    <w:fldChar w:fldCharType="end"/>
                  </w:r>
                  <w:r>
                    <w:rPr>
                      <w:color w:val="auto"/>
                      <w:szCs w:val="21"/>
                    </w:rPr>
                    <w:t>项目使用的管道天然气设截断阀，并配套设置天然气泄漏检测设备，加强天然气管道的巡检，及时发现及控制天然气泄漏。</w:t>
                  </w:r>
                </w:p>
                <w:p w14:paraId="4486D506">
                  <w:pPr>
                    <w:jc w:val="left"/>
                    <w:rPr>
                      <w:color w:val="auto"/>
                    </w:rPr>
                  </w:pPr>
                  <w:r>
                    <w:rPr>
                      <w:color w:val="auto"/>
                      <w:szCs w:val="21"/>
                    </w:rPr>
                    <w:fldChar w:fldCharType="begin"/>
                  </w:r>
                  <w:r>
                    <w:rPr>
                      <w:color w:val="auto"/>
                      <w:szCs w:val="21"/>
                    </w:rPr>
                    <w:instrText xml:space="preserve"> = 9 \* GB3 \* MERGEFORMAT </w:instrText>
                  </w:r>
                  <w:r>
                    <w:rPr>
                      <w:color w:val="auto"/>
                      <w:szCs w:val="21"/>
                    </w:rPr>
                    <w:fldChar w:fldCharType="separate"/>
                  </w:r>
                  <w:r>
                    <w:rPr>
                      <w:rFonts w:hint="eastAsia"/>
                      <w:color w:val="auto"/>
                      <w:szCs w:val="21"/>
                    </w:rPr>
                    <w:t>⑨</w:t>
                  </w:r>
                  <w:r>
                    <w:rPr>
                      <w:color w:val="auto"/>
                      <w:szCs w:val="21"/>
                    </w:rPr>
                    <w:fldChar w:fldCharType="end"/>
                  </w:r>
                  <w:r>
                    <w:rPr>
                      <w:color w:val="auto"/>
                      <w:szCs w:val="21"/>
                    </w:rPr>
                    <w:t>编制突发环境事件应急预案，并报昆明市生态环境局寻甸分局备案</w:t>
                  </w:r>
                  <w:r>
                    <w:rPr>
                      <w:rFonts w:hint="eastAsia"/>
                      <w:color w:val="auto"/>
                    </w:rPr>
                    <w:t>。</w:t>
                  </w:r>
                </w:p>
                <w:p w14:paraId="3006243E">
                  <w:pPr>
                    <w:jc w:val="left"/>
                    <w:rPr>
                      <w:color w:val="auto"/>
                    </w:rPr>
                  </w:pPr>
                  <w:r>
                    <w:rPr>
                      <w:rFonts w:hint="eastAsia"/>
                      <w:color w:val="auto"/>
                      <w:szCs w:val="21"/>
                    </w:rPr>
                    <w:t>⑩当污水处理站污水处理</w:t>
                  </w:r>
                  <w:r>
                    <w:rPr>
                      <w:rFonts w:hint="eastAsia"/>
                      <w:color w:val="auto"/>
                      <w:szCs w:val="21"/>
                      <w:lang w:eastAsia="zh-CN"/>
                    </w:rPr>
                    <w:t>设备</w:t>
                  </w:r>
                  <w:r>
                    <w:rPr>
                      <w:rFonts w:hint="eastAsia"/>
                      <w:color w:val="auto"/>
                      <w:szCs w:val="21"/>
                    </w:rPr>
                    <w:t>处于事故状态时，应立即停止运行，将未处理的污水抽排至事故应急池中暂存，待设备运行正常后将事故池中暂存的污水抽回污水处理站处理达标后方可回用。</w:t>
                  </w:r>
                </w:p>
              </w:tc>
            </w:tr>
            <w:tr w14:paraId="690F9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jc w:val="center"/>
              </w:trPr>
              <w:tc>
                <w:tcPr>
                  <w:tcW w:w="8513" w:type="dxa"/>
                  <w:gridSpan w:val="5"/>
                  <w:tcBorders>
                    <w:top w:val="single" w:color="auto" w:sz="4" w:space="0"/>
                    <w:left w:val="single" w:color="auto" w:sz="4" w:space="0"/>
                    <w:bottom w:val="single" w:color="auto" w:sz="4" w:space="0"/>
                    <w:right w:val="single" w:color="auto" w:sz="4" w:space="0"/>
                  </w:tcBorders>
                  <w:vAlign w:val="center"/>
                </w:tcPr>
                <w:p w14:paraId="35A0443D">
                  <w:pPr>
                    <w:adjustRightInd w:val="0"/>
                    <w:snapToGrid w:val="0"/>
                    <w:ind w:firstLine="420" w:firstLineChars="200"/>
                    <w:rPr>
                      <w:color w:val="auto"/>
                    </w:rPr>
                  </w:pPr>
                  <w:r>
                    <w:rPr>
                      <w:color w:val="auto"/>
                    </w:rPr>
                    <w:t>填表说明（列出项目相关信息及评价说明）：</w:t>
                  </w:r>
                </w:p>
                <w:p w14:paraId="37E13F5E">
                  <w:pPr>
                    <w:adjustRightInd w:val="0"/>
                    <w:snapToGrid w:val="0"/>
                    <w:ind w:firstLine="420" w:firstLineChars="200"/>
                    <w:rPr>
                      <w:color w:val="auto"/>
                    </w:rPr>
                  </w:pPr>
                  <w:r>
                    <w:rPr>
                      <w:color w:val="auto"/>
                    </w:rPr>
                    <w:t>项目风险主要存在于废矿物油</w:t>
                  </w:r>
                  <w:r>
                    <w:rPr>
                      <w:rFonts w:hint="eastAsia"/>
                      <w:color w:val="auto"/>
                    </w:rPr>
                    <w:t>泄漏污染环境，火灾爆炸产生的次生/伴生污染物污染环境</w:t>
                  </w:r>
                  <w:r>
                    <w:rPr>
                      <w:color w:val="auto"/>
                    </w:rPr>
                    <w:t>。</w:t>
                  </w:r>
                </w:p>
                <w:p w14:paraId="605AC3BC">
                  <w:pPr>
                    <w:adjustRightInd w:val="0"/>
                    <w:snapToGrid w:val="0"/>
                    <w:ind w:firstLine="420" w:firstLineChars="200"/>
                    <w:rPr>
                      <w:color w:val="auto"/>
                    </w:rPr>
                  </w:pPr>
                  <w:r>
                    <w:rPr>
                      <w:color w:val="auto"/>
                    </w:rPr>
                    <w:t>根据《建设项目环境风险评价技术导则》（HJ 169-2018）附录C，项目环境综合风险潜势为</w:t>
                  </w:r>
                  <w:r>
                    <w:rPr>
                      <w:color w:val="auto"/>
                    </w:rPr>
                    <w:fldChar w:fldCharType="begin"/>
                  </w:r>
                  <w:r>
                    <w:rPr>
                      <w:color w:val="auto"/>
                    </w:rPr>
                    <w:instrText xml:space="preserve"> = 2 \* ROMAN \* MERGEFORMAT </w:instrText>
                  </w:r>
                  <w:r>
                    <w:rPr>
                      <w:color w:val="auto"/>
                    </w:rPr>
                    <w:fldChar w:fldCharType="separate"/>
                  </w:r>
                  <w:r>
                    <w:rPr>
                      <w:color w:val="auto"/>
                    </w:rPr>
                    <w:t>I</w:t>
                  </w:r>
                  <w:r>
                    <w:rPr>
                      <w:color w:val="auto"/>
                    </w:rPr>
                    <w:fldChar w:fldCharType="end"/>
                  </w:r>
                  <w:r>
                    <w:rPr>
                      <w:color w:val="auto"/>
                    </w:rPr>
                    <w:t>，风险评价等级为简单分析。因此不对环境风险进行进一步预测分析。</w:t>
                  </w:r>
                </w:p>
                <w:p w14:paraId="63853896">
                  <w:pPr>
                    <w:adjustRightInd w:val="0"/>
                    <w:snapToGrid w:val="0"/>
                    <w:ind w:firstLine="420" w:firstLineChars="200"/>
                    <w:rPr>
                      <w:color w:val="auto"/>
                    </w:rPr>
                  </w:pPr>
                  <w:r>
                    <w:rPr>
                      <w:color w:val="auto"/>
                    </w:rPr>
                    <w:t>项目在做好应急防范措施的基础上，项目的环境风险是可控的，环境风险事故发生的概率可降低到最低。</w:t>
                  </w:r>
                </w:p>
              </w:tc>
            </w:tr>
          </w:tbl>
          <w:p w14:paraId="7157402A">
            <w:pPr>
              <w:pStyle w:val="17"/>
              <w:ind w:firstLine="0" w:firstLineChars="0"/>
              <w:rPr>
                <w:color w:val="auto"/>
              </w:rPr>
            </w:pPr>
          </w:p>
        </w:tc>
      </w:tr>
    </w:tbl>
    <w:p w14:paraId="218CA56B">
      <w:pPr>
        <w:pStyle w:val="28"/>
        <w:jc w:val="center"/>
        <w:outlineLvl w:val="0"/>
        <w:rPr>
          <w:rFonts w:ascii="黑体" w:hAnsi="黑体" w:eastAsia="黑体"/>
          <w:snapToGrid w:val="0"/>
          <w:color w:val="auto"/>
          <w:sz w:val="30"/>
          <w:szCs w:val="30"/>
        </w:rPr>
        <w:sectPr>
          <w:pgSz w:w="11906" w:h="16838"/>
          <w:pgMar w:top="1701" w:right="1531" w:bottom="1701" w:left="1531" w:header="851" w:footer="851" w:gutter="0"/>
          <w:cols w:space="720" w:num="1"/>
          <w:docGrid w:linePitch="312" w:charSpace="0"/>
        </w:sectPr>
      </w:pPr>
    </w:p>
    <w:p w14:paraId="7DC506D0">
      <w:pPr>
        <w:pStyle w:val="28"/>
        <w:jc w:val="center"/>
        <w:outlineLvl w:val="0"/>
        <w:rPr>
          <w:rFonts w:ascii="黑体" w:hAnsi="黑体" w:eastAsia="黑体"/>
          <w:snapToGrid w:val="0"/>
          <w:color w:val="auto"/>
          <w:sz w:val="30"/>
          <w:szCs w:val="30"/>
        </w:rPr>
      </w:pPr>
      <w:bookmarkStart w:id="36" w:name="_Toc24928"/>
      <w:r>
        <w:rPr>
          <w:rFonts w:hint="eastAsia" w:ascii="黑体" w:hAnsi="黑体" w:eastAsia="黑体"/>
          <w:snapToGrid w:val="0"/>
          <w:color w:val="auto"/>
          <w:sz w:val="30"/>
          <w:szCs w:val="30"/>
        </w:rPr>
        <w:t>五、</w:t>
      </w:r>
      <w:bookmarkStart w:id="37" w:name="_Hlk54167917"/>
      <w:r>
        <w:rPr>
          <w:rFonts w:hint="eastAsia" w:ascii="黑体" w:hAnsi="黑体" w:eastAsia="黑体"/>
          <w:snapToGrid w:val="0"/>
          <w:color w:val="auto"/>
          <w:sz w:val="30"/>
          <w:szCs w:val="30"/>
        </w:rPr>
        <w:t>环境保护措施监督检查清单</w:t>
      </w:r>
      <w:bookmarkEnd w:id="36"/>
      <w:bookmarkEnd w:id="37"/>
    </w:p>
    <w:tbl>
      <w:tblPr>
        <w:tblStyle w:val="30"/>
        <w:tblW w:w="92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1636"/>
        <w:gridCol w:w="1531"/>
        <w:gridCol w:w="2288"/>
        <w:gridCol w:w="2742"/>
      </w:tblGrid>
      <w:tr w14:paraId="2EE101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27" w:type="dxa"/>
            <w:tcBorders>
              <w:tl2br w:val="single" w:color="auto" w:sz="4" w:space="0"/>
            </w:tcBorders>
          </w:tcPr>
          <w:p w14:paraId="5A4EE10F">
            <w:pPr>
              <w:adjustRightInd w:val="0"/>
              <w:snapToGrid w:val="0"/>
              <w:ind w:firstLine="210" w:firstLineChars="100"/>
              <w:rPr>
                <w:rFonts w:cs="宋体"/>
                <w:color w:val="auto"/>
                <w:szCs w:val="21"/>
              </w:rPr>
            </w:pPr>
            <w:r>
              <w:rPr>
                <w:rFonts w:hint="eastAsia" w:cs="宋体"/>
                <w:color w:val="auto"/>
                <w:szCs w:val="21"/>
              </w:rPr>
              <w:t>内容</w:t>
            </w:r>
          </w:p>
          <w:p w14:paraId="3C85549A">
            <w:pPr>
              <w:adjustRightInd w:val="0"/>
              <w:snapToGrid w:val="0"/>
              <w:rPr>
                <w:rFonts w:cs="宋体"/>
                <w:color w:val="auto"/>
                <w:szCs w:val="21"/>
              </w:rPr>
            </w:pPr>
            <w:r>
              <w:rPr>
                <w:rFonts w:hint="eastAsia" w:cs="宋体"/>
                <w:color w:val="auto"/>
                <w:szCs w:val="21"/>
              </w:rPr>
              <w:t>要素</w:t>
            </w:r>
          </w:p>
        </w:tc>
        <w:tc>
          <w:tcPr>
            <w:tcW w:w="1636" w:type="dxa"/>
            <w:vAlign w:val="center"/>
          </w:tcPr>
          <w:p w14:paraId="4DEAB792">
            <w:pPr>
              <w:adjustRightInd w:val="0"/>
              <w:snapToGrid w:val="0"/>
              <w:jc w:val="center"/>
              <w:rPr>
                <w:rFonts w:cs="宋体"/>
                <w:color w:val="auto"/>
                <w:szCs w:val="21"/>
              </w:rPr>
            </w:pPr>
            <w:r>
              <w:rPr>
                <w:rFonts w:hint="eastAsia" w:cs="宋体"/>
                <w:color w:val="auto"/>
                <w:szCs w:val="21"/>
              </w:rPr>
              <w:t>排放口(编号、</w:t>
            </w:r>
          </w:p>
          <w:p w14:paraId="7CAEAF86">
            <w:pPr>
              <w:adjustRightInd w:val="0"/>
              <w:snapToGrid w:val="0"/>
              <w:jc w:val="center"/>
              <w:rPr>
                <w:rFonts w:cs="宋体"/>
                <w:color w:val="auto"/>
                <w:szCs w:val="21"/>
              </w:rPr>
            </w:pPr>
            <w:r>
              <w:rPr>
                <w:rFonts w:hint="eastAsia" w:cs="宋体"/>
                <w:color w:val="auto"/>
                <w:szCs w:val="21"/>
              </w:rPr>
              <w:t>名称)/污染源</w:t>
            </w:r>
          </w:p>
        </w:tc>
        <w:tc>
          <w:tcPr>
            <w:tcW w:w="1531" w:type="dxa"/>
            <w:vAlign w:val="center"/>
          </w:tcPr>
          <w:p w14:paraId="3488E236">
            <w:pPr>
              <w:adjustRightInd w:val="0"/>
              <w:snapToGrid w:val="0"/>
              <w:jc w:val="center"/>
              <w:rPr>
                <w:rFonts w:cs="宋体"/>
                <w:color w:val="auto"/>
                <w:szCs w:val="21"/>
              </w:rPr>
            </w:pPr>
            <w:r>
              <w:rPr>
                <w:rFonts w:hint="eastAsia" w:cs="宋体"/>
                <w:color w:val="auto"/>
                <w:szCs w:val="21"/>
              </w:rPr>
              <w:t>污染物项目</w:t>
            </w:r>
          </w:p>
        </w:tc>
        <w:tc>
          <w:tcPr>
            <w:tcW w:w="2288" w:type="dxa"/>
            <w:vAlign w:val="center"/>
          </w:tcPr>
          <w:p w14:paraId="1FEAFFDB">
            <w:pPr>
              <w:adjustRightInd w:val="0"/>
              <w:snapToGrid w:val="0"/>
              <w:jc w:val="center"/>
              <w:rPr>
                <w:rFonts w:cs="宋体"/>
                <w:color w:val="auto"/>
                <w:szCs w:val="21"/>
              </w:rPr>
            </w:pPr>
            <w:r>
              <w:rPr>
                <w:rFonts w:hint="eastAsia" w:cs="宋体"/>
                <w:color w:val="auto"/>
                <w:szCs w:val="21"/>
              </w:rPr>
              <w:t>环境保护措施</w:t>
            </w:r>
          </w:p>
        </w:tc>
        <w:tc>
          <w:tcPr>
            <w:tcW w:w="2742" w:type="dxa"/>
            <w:vAlign w:val="center"/>
          </w:tcPr>
          <w:p w14:paraId="186F6379">
            <w:pPr>
              <w:adjustRightInd w:val="0"/>
              <w:snapToGrid w:val="0"/>
              <w:jc w:val="center"/>
              <w:rPr>
                <w:rFonts w:cs="宋体"/>
                <w:color w:val="auto"/>
                <w:szCs w:val="21"/>
              </w:rPr>
            </w:pPr>
            <w:r>
              <w:rPr>
                <w:rFonts w:hint="eastAsia" w:cs="宋体"/>
                <w:color w:val="auto"/>
                <w:szCs w:val="21"/>
              </w:rPr>
              <w:t>执行标准</w:t>
            </w:r>
          </w:p>
        </w:tc>
      </w:tr>
      <w:tr w14:paraId="169E60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027" w:type="dxa"/>
            <w:vMerge w:val="restart"/>
            <w:vAlign w:val="center"/>
          </w:tcPr>
          <w:p w14:paraId="646B4627">
            <w:pPr>
              <w:adjustRightInd w:val="0"/>
              <w:snapToGrid w:val="0"/>
              <w:jc w:val="center"/>
              <w:rPr>
                <w:rFonts w:cs="宋体"/>
                <w:color w:val="auto"/>
                <w:szCs w:val="21"/>
              </w:rPr>
            </w:pPr>
            <w:r>
              <w:rPr>
                <w:rFonts w:hint="eastAsia" w:cs="宋体"/>
                <w:color w:val="auto"/>
                <w:szCs w:val="21"/>
              </w:rPr>
              <w:t>大气环境</w:t>
            </w:r>
          </w:p>
        </w:tc>
        <w:tc>
          <w:tcPr>
            <w:tcW w:w="1636" w:type="dxa"/>
            <w:vAlign w:val="center"/>
          </w:tcPr>
          <w:p w14:paraId="4326ED24">
            <w:pPr>
              <w:adjustRightInd w:val="0"/>
              <w:snapToGrid w:val="0"/>
              <w:jc w:val="center"/>
              <w:rPr>
                <w:rFonts w:cs="宋体"/>
                <w:color w:val="auto"/>
                <w:szCs w:val="21"/>
              </w:rPr>
            </w:pPr>
            <w:r>
              <w:rPr>
                <w:rFonts w:hint="eastAsia"/>
                <w:color w:val="auto"/>
                <w:szCs w:val="21"/>
              </w:rPr>
              <w:t>DA002/天然气燃烧废气</w:t>
            </w:r>
          </w:p>
        </w:tc>
        <w:tc>
          <w:tcPr>
            <w:tcW w:w="1531" w:type="dxa"/>
            <w:vAlign w:val="center"/>
          </w:tcPr>
          <w:p w14:paraId="57BB67C7">
            <w:pPr>
              <w:adjustRightInd w:val="0"/>
              <w:snapToGrid w:val="0"/>
              <w:jc w:val="center"/>
              <w:rPr>
                <w:rFonts w:cs="宋体"/>
                <w:color w:val="auto"/>
                <w:szCs w:val="21"/>
              </w:rPr>
            </w:pPr>
            <w:r>
              <w:rPr>
                <w:rFonts w:hint="eastAsia" w:cs="宋体"/>
                <w:color w:val="auto"/>
                <w:szCs w:val="21"/>
              </w:rPr>
              <w:t>颗粒物、</w:t>
            </w:r>
            <w:r>
              <w:rPr>
                <w:rFonts w:hint="eastAsia"/>
                <w:color w:val="auto"/>
                <w:szCs w:val="21"/>
              </w:rPr>
              <w:t>SO</w:t>
            </w:r>
            <w:r>
              <w:rPr>
                <w:rFonts w:hint="eastAsia"/>
                <w:color w:val="auto"/>
                <w:szCs w:val="21"/>
                <w:vertAlign w:val="subscript"/>
              </w:rPr>
              <w:t>2</w:t>
            </w:r>
            <w:r>
              <w:rPr>
                <w:rFonts w:hint="eastAsia"/>
                <w:color w:val="auto"/>
                <w:szCs w:val="21"/>
              </w:rPr>
              <w:t>、NOx</w:t>
            </w:r>
          </w:p>
        </w:tc>
        <w:tc>
          <w:tcPr>
            <w:tcW w:w="2288" w:type="dxa"/>
            <w:vAlign w:val="center"/>
          </w:tcPr>
          <w:p w14:paraId="778C1B3C">
            <w:pPr>
              <w:adjustRightInd w:val="0"/>
              <w:snapToGrid w:val="0"/>
              <w:jc w:val="center"/>
              <w:rPr>
                <w:rFonts w:cs="宋体"/>
                <w:color w:val="auto"/>
                <w:szCs w:val="21"/>
              </w:rPr>
            </w:pPr>
            <w:r>
              <w:rPr>
                <w:rFonts w:hint="eastAsia"/>
                <w:color w:val="auto"/>
                <w:kern w:val="0"/>
                <w:szCs w:val="21"/>
              </w:rPr>
              <w:t>15</w:t>
            </w:r>
            <w:r>
              <w:rPr>
                <w:color w:val="auto"/>
                <w:kern w:val="0"/>
                <w:szCs w:val="21"/>
              </w:rPr>
              <w:t>m高排气筒</w:t>
            </w:r>
            <w:r>
              <w:rPr>
                <w:rFonts w:hint="eastAsia"/>
                <w:color w:val="auto"/>
                <w:kern w:val="0"/>
                <w:szCs w:val="21"/>
              </w:rPr>
              <w:t>（DA002）</w:t>
            </w:r>
          </w:p>
        </w:tc>
        <w:tc>
          <w:tcPr>
            <w:tcW w:w="2742" w:type="dxa"/>
            <w:vAlign w:val="center"/>
          </w:tcPr>
          <w:p w14:paraId="360A1582">
            <w:pPr>
              <w:adjustRightInd w:val="0"/>
              <w:snapToGrid w:val="0"/>
              <w:jc w:val="center"/>
              <w:rPr>
                <w:rFonts w:cs="宋体"/>
                <w:color w:val="auto"/>
                <w:szCs w:val="21"/>
              </w:rPr>
            </w:pPr>
            <w:r>
              <w:rPr>
                <w:rFonts w:hint="eastAsia" w:cs="宋体"/>
                <w:color w:val="auto"/>
                <w:szCs w:val="21"/>
              </w:rPr>
              <w:t>《锅炉大气污染物排放标准》（GB13271-2014）表2燃气锅炉限值</w:t>
            </w:r>
          </w:p>
        </w:tc>
      </w:tr>
      <w:tr w14:paraId="600D72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027" w:type="dxa"/>
            <w:vMerge w:val="continue"/>
            <w:vAlign w:val="center"/>
          </w:tcPr>
          <w:p w14:paraId="72E71F92">
            <w:pPr>
              <w:adjustRightInd w:val="0"/>
              <w:snapToGrid w:val="0"/>
              <w:jc w:val="center"/>
              <w:rPr>
                <w:rFonts w:cs="宋体"/>
                <w:color w:val="auto"/>
                <w:szCs w:val="21"/>
              </w:rPr>
            </w:pPr>
          </w:p>
        </w:tc>
        <w:tc>
          <w:tcPr>
            <w:tcW w:w="1636" w:type="dxa"/>
            <w:vAlign w:val="center"/>
          </w:tcPr>
          <w:p w14:paraId="574480C0">
            <w:pPr>
              <w:adjustRightInd w:val="0"/>
              <w:snapToGrid w:val="0"/>
              <w:jc w:val="center"/>
              <w:rPr>
                <w:color w:val="auto"/>
                <w:szCs w:val="21"/>
              </w:rPr>
            </w:pPr>
            <w:r>
              <w:rPr>
                <w:rFonts w:hint="eastAsia"/>
                <w:color w:val="auto"/>
                <w:szCs w:val="21"/>
              </w:rPr>
              <w:t>DA001/调胶、浸渍、烘干废气</w:t>
            </w:r>
          </w:p>
        </w:tc>
        <w:tc>
          <w:tcPr>
            <w:tcW w:w="1531" w:type="dxa"/>
            <w:vAlign w:val="center"/>
          </w:tcPr>
          <w:p w14:paraId="0D877FB7">
            <w:pPr>
              <w:adjustRightInd w:val="0"/>
              <w:snapToGrid w:val="0"/>
              <w:jc w:val="center"/>
              <w:rPr>
                <w:rFonts w:cs="宋体"/>
                <w:color w:val="auto"/>
                <w:szCs w:val="21"/>
              </w:rPr>
            </w:pPr>
            <w:r>
              <w:rPr>
                <w:rFonts w:hint="eastAsia" w:cs="宋体"/>
                <w:color w:val="auto"/>
                <w:szCs w:val="21"/>
              </w:rPr>
              <w:t>甲醛、VOCs（以非甲烷总烃计）</w:t>
            </w:r>
          </w:p>
        </w:tc>
        <w:tc>
          <w:tcPr>
            <w:tcW w:w="2288" w:type="dxa"/>
            <w:vAlign w:val="center"/>
          </w:tcPr>
          <w:p w14:paraId="33FD42D7">
            <w:pPr>
              <w:adjustRightInd w:val="0"/>
              <w:snapToGrid w:val="0"/>
              <w:jc w:val="center"/>
              <w:rPr>
                <w:color w:val="auto"/>
                <w:kern w:val="0"/>
                <w:szCs w:val="21"/>
              </w:rPr>
            </w:pPr>
            <w:r>
              <w:rPr>
                <w:rFonts w:hint="eastAsia"/>
                <w:color w:val="auto"/>
                <w:kern w:val="0"/>
                <w:szCs w:val="21"/>
              </w:rPr>
              <w:t>风机风量为20320m</w:t>
            </w:r>
            <w:r>
              <w:rPr>
                <w:rFonts w:hint="eastAsia"/>
                <w:color w:val="auto"/>
                <w:kern w:val="0"/>
                <w:szCs w:val="21"/>
                <w:vertAlign w:val="superscript"/>
              </w:rPr>
              <w:t>3</w:t>
            </w:r>
            <w:r>
              <w:rPr>
                <w:rFonts w:hint="eastAsia"/>
                <w:color w:val="auto"/>
                <w:kern w:val="0"/>
                <w:szCs w:val="21"/>
              </w:rPr>
              <w:t>/h，废气收集效率为90%）+</w:t>
            </w:r>
            <w:r>
              <w:rPr>
                <w:color w:val="auto"/>
                <w:kern w:val="0"/>
                <w:szCs w:val="21"/>
              </w:rPr>
              <w:t>“UV光解+三级活性炭吸附净化装置”</w:t>
            </w:r>
            <w:r>
              <w:rPr>
                <w:rFonts w:hint="eastAsia"/>
                <w:color w:val="auto"/>
                <w:kern w:val="0"/>
                <w:szCs w:val="21"/>
              </w:rPr>
              <w:t>（去除效率80%）</w:t>
            </w:r>
            <w:r>
              <w:rPr>
                <w:color w:val="auto"/>
                <w:kern w:val="0"/>
                <w:szCs w:val="21"/>
              </w:rPr>
              <w:t>+</w:t>
            </w:r>
            <w:r>
              <w:rPr>
                <w:rFonts w:hint="eastAsia"/>
                <w:color w:val="auto"/>
                <w:kern w:val="0"/>
                <w:szCs w:val="21"/>
              </w:rPr>
              <w:t>15</w:t>
            </w:r>
            <w:r>
              <w:rPr>
                <w:color w:val="auto"/>
                <w:kern w:val="0"/>
                <w:szCs w:val="21"/>
              </w:rPr>
              <w:t>m高排气筒</w:t>
            </w:r>
            <w:r>
              <w:rPr>
                <w:rFonts w:hint="eastAsia"/>
                <w:color w:val="auto"/>
                <w:kern w:val="0"/>
                <w:szCs w:val="21"/>
              </w:rPr>
              <w:t>（DA001）</w:t>
            </w:r>
          </w:p>
        </w:tc>
        <w:tc>
          <w:tcPr>
            <w:tcW w:w="2742" w:type="dxa"/>
            <w:vAlign w:val="center"/>
          </w:tcPr>
          <w:p w14:paraId="00CDFF53">
            <w:pPr>
              <w:adjustRightInd w:val="0"/>
              <w:snapToGrid w:val="0"/>
              <w:jc w:val="center"/>
              <w:rPr>
                <w:rFonts w:cs="宋体"/>
                <w:color w:val="auto"/>
                <w:szCs w:val="21"/>
              </w:rPr>
            </w:pPr>
            <w:r>
              <w:rPr>
                <w:rFonts w:hint="eastAsia" w:cs="宋体"/>
                <w:color w:val="auto"/>
                <w:szCs w:val="21"/>
                <w:lang w:val="zh-CN"/>
              </w:rPr>
              <w:t>《大气污染物综合排放标准》（GB16297-1996）表2中二级标准限值</w:t>
            </w:r>
          </w:p>
        </w:tc>
      </w:tr>
      <w:tr w14:paraId="6051E5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27" w:type="dxa"/>
            <w:vMerge w:val="continue"/>
            <w:vAlign w:val="center"/>
          </w:tcPr>
          <w:p w14:paraId="537789D0">
            <w:pPr>
              <w:adjustRightInd w:val="0"/>
              <w:snapToGrid w:val="0"/>
              <w:jc w:val="center"/>
              <w:rPr>
                <w:rFonts w:cs="宋体"/>
                <w:color w:val="auto"/>
                <w:szCs w:val="21"/>
              </w:rPr>
            </w:pPr>
          </w:p>
        </w:tc>
        <w:tc>
          <w:tcPr>
            <w:tcW w:w="1636" w:type="dxa"/>
            <w:vAlign w:val="center"/>
          </w:tcPr>
          <w:p w14:paraId="3F547B95">
            <w:pPr>
              <w:adjustRightInd w:val="0"/>
              <w:snapToGrid w:val="0"/>
              <w:jc w:val="center"/>
              <w:rPr>
                <w:color w:val="auto"/>
                <w:szCs w:val="21"/>
              </w:rPr>
            </w:pPr>
            <w:r>
              <w:rPr>
                <w:rFonts w:hint="eastAsia"/>
                <w:color w:val="auto"/>
                <w:szCs w:val="21"/>
              </w:rPr>
              <w:t>无组织调胶、浸渍、烘干废气</w:t>
            </w:r>
          </w:p>
        </w:tc>
        <w:tc>
          <w:tcPr>
            <w:tcW w:w="1531" w:type="dxa"/>
            <w:vAlign w:val="center"/>
          </w:tcPr>
          <w:p w14:paraId="1569AB37">
            <w:pPr>
              <w:adjustRightInd w:val="0"/>
              <w:snapToGrid w:val="0"/>
              <w:jc w:val="center"/>
              <w:rPr>
                <w:rFonts w:cs="宋体"/>
                <w:color w:val="auto"/>
                <w:szCs w:val="21"/>
              </w:rPr>
            </w:pPr>
            <w:r>
              <w:rPr>
                <w:rFonts w:hint="eastAsia" w:cs="宋体"/>
                <w:color w:val="auto"/>
                <w:szCs w:val="21"/>
              </w:rPr>
              <w:t>甲醛、VOCs（以非甲烷总烃计）</w:t>
            </w:r>
          </w:p>
        </w:tc>
        <w:tc>
          <w:tcPr>
            <w:tcW w:w="2288" w:type="dxa"/>
            <w:vAlign w:val="center"/>
          </w:tcPr>
          <w:p w14:paraId="278FEF68">
            <w:pPr>
              <w:adjustRightInd w:val="0"/>
              <w:snapToGrid w:val="0"/>
              <w:jc w:val="center"/>
              <w:rPr>
                <w:color w:val="auto"/>
                <w:kern w:val="0"/>
                <w:szCs w:val="21"/>
              </w:rPr>
            </w:pPr>
            <w:r>
              <w:rPr>
                <w:rFonts w:hint="eastAsia"/>
                <w:color w:val="auto"/>
                <w:kern w:val="0"/>
                <w:szCs w:val="21"/>
              </w:rPr>
              <w:t>车间排风扇抽排至室外稀释扩散</w:t>
            </w:r>
          </w:p>
        </w:tc>
        <w:tc>
          <w:tcPr>
            <w:tcW w:w="2742" w:type="dxa"/>
            <w:vAlign w:val="center"/>
          </w:tcPr>
          <w:p w14:paraId="656B138D">
            <w:pPr>
              <w:adjustRightInd w:val="0"/>
              <w:snapToGrid w:val="0"/>
              <w:jc w:val="center"/>
              <w:rPr>
                <w:rFonts w:cs="宋体"/>
                <w:color w:val="auto"/>
                <w:szCs w:val="21"/>
                <w:lang w:val="zh-CN"/>
              </w:rPr>
            </w:pPr>
            <w:r>
              <w:rPr>
                <w:rFonts w:hint="eastAsia" w:cs="宋体"/>
                <w:color w:val="auto"/>
                <w:szCs w:val="21"/>
              </w:rPr>
              <w:t>《大气污染物综合排放标准》（GB16297-1996）表2中无组织排放监控浓度限值；《挥发性有机物无组织排放控制标准》（GB37822-2019）</w:t>
            </w:r>
          </w:p>
        </w:tc>
      </w:tr>
      <w:tr w14:paraId="4E0112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1027" w:type="dxa"/>
            <w:vAlign w:val="center"/>
          </w:tcPr>
          <w:p w14:paraId="6378F140">
            <w:pPr>
              <w:adjustRightInd w:val="0"/>
              <w:snapToGrid w:val="0"/>
              <w:jc w:val="center"/>
              <w:rPr>
                <w:rFonts w:cs="宋体"/>
                <w:color w:val="auto"/>
                <w:szCs w:val="21"/>
              </w:rPr>
            </w:pPr>
            <w:r>
              <w:rPr>
                <w:rFonts w:hint="eastAsia" w:cs="宋体"/>
                <w:color w:val="auto"/>
                <w:szCs w:val="21"/>
              </w:rPr>
              <w:t>地表水环境</w:t>
            </w:r>
          </w:p>
        </w:tc>
        <w:tc>
          <w:tcPr>
            <w:tcW w:w="1636" w:type="dxa"/>
            <w:vAlign w:val="center"/>
          </w:tcPr>
          <w:p w14:paraId="4D03F9F3">
            <w:pPr>
              <w:adjustRightInd w:val="0"/>
              <w:snapToGrid w:val="0"/>
              <w:jc w:val="center"/>
              <w:rPr>
                <w:rFonts w:cs="宋体"/>
                <w:color w:val="auto"/>
                <w:szCs w:val="21"/>
              </w:rPr>
            </w:pPr>
            <w:r>
              <w:rPr>
                <w:rFonts w:hint="eastAsia"/>
                <w:color w:val="auto"/>
                <w:kern w:val="0"/>
                <w:szCs w:val="21"/>
              </w:rPr>
              <w:t>一体化污水处理站出口</w:t>
            </w:r>
          </w:p>
        </w:tc>
        <w:tc>
          <w:tcPr>
            <w:tcW w:w="1531" w:type="dxa"/>
            <w:vAlign w:val="center"/>
          </w:tcPr>
          <w:p w14:paraId="02F3F16E">
            <w:pPr>
              <w:adjustRightInd w:val="0"/>
              <w:snapToGrid w:val="0"/>
              <w:jc w:val="center"/>
              <w:rPr>
                <w:rFonts w:cs="宋体"/>
                <w:color w:val="auto"/>
                <w:szCs w:val="21"/>
              </w:rPr>
            </w:pPr>
            <w:r>
              <w:rPr>
                <w:bCs/>
                <w:color w:val="auto"/>
                <w:spacing w:val="-10"/>
                <w:szCs w:val="21"/>
              </w:rPr>
              <w:t>COD、BOD</w:t>
            </w:r>
            <w:r>
              <w:rPr>
                <w:bCs/>
                <w:color w:val="auto"/>
                <w:spacing w:val="-10"/>
                <w:szCs w:val="21"/>
                <w:vertAlign w:val="subscript"/>
              </w:rPr>
              <w:t>5</w:t>
            </w:r>
            <w:r>
              <w:rPr>
                <w:bCs/>
                <w:color w:val="auto"/>
                <w:spacing w:val="-10"/>
                <w:szCs w:val="21"/>
              </w:rPr>
              <w:t>、SS、氨氮、</w:t>
            </w:r>
            <w:r>
              <w:rPr>
                <w:rFonts w:hint="eastAsia"/>
                <w:bCs/>
                <w:color w:val="auto"/>
                <w:spacing w:val="-10"/>
                <w:szCs w:val="21"/>
              </w:rPr>
              <w:t>总磷、动植物油</w:t>
            </w:r>
          </w:p>
        </w:tc>
        <w:tc>
          <w:tcPr>
            <w:tcW w:w="2288" w:type="dxa"/>
            <w:vAlign w:val="center"/>
          </w:tcPr>
          <w:p w14:paraId="42474895">
            <w:pPr>
              <w:adjustRightInd w:val="0"/>
              <w:snapToGrid w:val="0"/>
              <w:jc w:val="center"/>
              <w:rPr>
                <w:rFonts w:cs="宋体"/>
                <w:color w:val="auto"/>
                <w:szCs w:val="21"/>
              </w:rPr>
            </w:pPr>
            <w:r>
              <w:rPr>
                <w:rFonts w:hint="eastAsia"/>
                <w:color w:val="auto"/>
                <w:szCs w:val="21"/>
              </w:rPr>
              <w:t>经化粪池</w:t>
            </w:r>
            <w:r>
              <w:rPr>
                <w:rFonts w:hint="eastAsia" w:cs="宋体"/>
                <w:color w:val="auto"/>
                <w:szCs w:val="21"/>
              </w:rPr>
              <w:t>（5m</w:t>
            </w:r>
            <w:r>
              <w:rPr>
                <w:rFonts w:hint="eastAsia" w:cs="宋体"/>
                <w:color w:val="auto"/>
                <w:szCs w:val="21"/>
                <w:vertAlign w:val="superscript"/>
              </w:rPr>
              <w:t>3</w:t>
            </w:r>
            <w:r>
              <w:rPr>
                <w:rFonts w:hint="eastAsia" w:cs="宋体"/>
                <w:color w:val="auto"/>
                <w:szCs w:val="21"/>
              </w:rPr>
              <w:t>）</w:t>
            </w:r>
            <w:r>
              <w:rPr>
                <w:rFonts w:hint="eastAsia"/>
                <w:color w:val="auto"/>
                <w:szCs w:val="21"/>
              </w:rPr>
              <w:t>、</w:t>
            </w:r>
            <w:r>
              <w:rPr>
                <w:rFonts w:hint="eastAsia"/>
                <w:color w:val="auto"/>
                <w:kern w:val="0"/>
                <w:szCs w:val="21"/>
              </w:rPr>
              <w:t>一体化污水处理站</w:t>
            </w:r>
            <w:r>
              <w:rPr>
                <w:rFonts w:hint="eastAsia" w:cs="宋体"/>
                <w:color w:val="auto"/>
                <w:szCs w:val="21"/>
              </w:rPr>
              <w:t>（5m</w:t>
            </w:r>
            <w:r>
              <w:rPr>
                <w:rFonts w:hint="eastAsia" w:cs="宋体"/>
                <w:color w:val="auto"/>
                <w:szCs w:val="21"/>
                <w:vertAlign w:val="superscript"/>
              </w:rPr>
              <w:t>3</w:t>
            </w:r>
            <w:r>
              <w:rPr>
                <w:rFonts w:hint="eastAsia" w:cs="宋体"/>
                <w:color w:val="auto"/>
                <w:szCs w:val="21"/>
              </w:rPr>
              <w:t>/d）</w:t>
            </w:r>
            <w:r>
              <w:rPr>
                <w:rFonts w:hint="eastAsia"/>
                <w:color w:val="auto"/>
                <w:szCs w:val="21"/>
              </w:rPr>
              <w:t>处理后</w:t>
            </w:r>
            <w:r>
              <w:rPr>
                <w:color w:val="auto"/>
                <w:szCs w:val="21"/>
              </w:rPr>
              <w:t>回用于</w:t>
            </w:r>
            <w:r>
              <w:rPr>
                <w:rFonts w:hint="eastAsia"/>
                <w:color w:val="auto"/>
                <w:szCs w:val="21"/>
              </w:rPr>
              <w:t>厂</w:t>
            </w:r>
            <w:r>
              <w:rPr>
                <w:color w:val="auto"/>
                <w:szCs w:val="21"/>
              </w:rPr>
              <w:t>区绿化</w:t>
            </w:r>
            <w:r>
              <w:rPr>
                <w:rFonts w:hint="eastAsia"/>
                <w:color w:val="auto"/>
                <w:szCs w:val="21"/>
              </w:rPr>
              <w:t>和道路洒水降尘</w:t>
            </w:r>
          </w:p>
        </w:tc>
        <w:tc>
          <w:tcPr>
            <w:tcW w:w="2742" w:type="dxa"/>
            <w:vAlign w:val="center"/>
          </w:tcPr>
          <w:p w14:paraId="596DA5AC">
            <w:pPr>
              <w:adjustRightInd w:val="0"/>
              <w:snapToGrid w:val="0"/>
              <w:jc w:val="center"/>
              <w:rPr>
                <w:rFonts w:cs="宋体"/>
                <w:color w:val="auto"/>
                <w:szCs w:val="21"/>
              </w:rPr>
            </w:pPr>
            <w:r>
              <w:rPr>
                <w:rFonts w:hint="eastAsia" w:cs="宋体"/>
                <w:color w:val="auto"/>
                <w:szCs w:val="21"/>
              </w:rPr>
              <w:t>《城市污水再生利用 城市杂用水水质》（GB/T18920-2020）中城市绿化、道路清扫标准</w:t>
            </w:r>
          </w:p>
        </w:tc>
      </w:tr>
      <w:tr w14:paraId="3D9EB7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1027" w:type="dxa"/>
            <w:vAlign w:val="center"/>
          </w:tcPr>
          <w:p w14:paraId="4888CD5B">
            <w:pPr>
              <w:adjustRightInd w:val="0"/>
              <w:snapToGrid w:val="0"/>
              <w:jc w:val="center"/>
              <w:rPr>
                <w:rFonts w:cs="宋体"/>
                <w:color w:val="auto"/>
                <w:szCs w:val="21"/>
              </w:rPr>
            </w:pPr>
            <w:r>
              <w:rPr>
                <w:rFonts w:hint="eastAsia" w:cs="宋体"/>
                <w:color w:val="auto"/>
                <w:szCs w:val="21"/>
              </w:rPr>
              <w:t>声环境</w:t>
            </w:r>
          </w:p>
        </w:tc>
        <w:tc>
          <w:tcPr>
            <w:tcW w:w="1636" w:type="dxa"/>
            <w:vAlign w:val="center"/>
          </w:tcPr>
          <w:p w14:paraId="43634559">
            <w:pPr>
              <w:adjustRightInd w:val="0"/>
              <w:snapToGrid w:val="0"/>
              <w:jc w:val="center"/>
              <w:rPr>
                <w:rFonts w:cs="宋体"/>
                <w:color w:val="auto"/>
                <w:szCs w:val="21"/>
              </w:rPr>
            </w:pPr>
            <w:r>
              <w:rPr>
                <w:color w:val="auto"/>
                <w:szCs w:val="21"/>
              </w:rPr>
              <w:t>生产设备噪声</w:t>
            </w:r>
          </w:p>
        </w:tc>
        <w:tc>
          <w:tcPr>
            <w:tcW w:w="1531" w:type="dxa"/>
            <w:vAlign w:val="center"/>
          </w:tcPr>
          <w:p w14:paraId="28D431DA">
            <w:pPr>
              <w:adjustRightInd w:val="0"/>
              <w:snapToGrid w:val="0"/>
              <w:jc w:val="center"/>
              <w:rPr>
                <w:rFonts w:cs="宋体"/>
                <w:color w:val="auto"/>
                <w:szCs w:val="21"/>
              </w:rPr>
            </w:pPr>
            <w:r>
              <w:rPr>
                <w:color w:val="auto"/>
                <w:szCs w:val="21"/>
              </w:rPr>
              <w:t>Leq（A）</w:t>
            </w:r>
          </w:p>
        </w:tc>
        <w:tc>
          <w:tcPr>
            <w:tcW w:w="2288" w:type="dxa"/>
            <w:vAlign w:val="center"/>
          </w:tcPr>
          <w:p w14:paraId="01AF6839">
            <w:pPr>
              <w:adjustRightInd w:val="0"/>
              <w:snapToGrid w:val="0"/>
              <w:jc w:val="center"/>
              <w:rPr>
                <w:rFonts w:cs="宋体"/>
                <w:color w:val="auto"/>
                <w:szCs w:val="21"/>
              </w:rPr>
            </w:pPr>
            <w:r>
              <w:rPr>
                <w:rFonts w:hint="eastAsia"/>
                <w:color w:val="auto"/>
              </w:rPr>
              <w:t>优先选用先进低噪声设备；主要产噪设备安装减震垫；</w:t>
            </w:r>
            <w:r>
              <w:rPr>
                <w:color w:val="auto"/>
                <w:szCs w:val="21"/>
              </w:rPr>
              <w:t>设置独立的空压机房</w:t>
            </w:r>
            <w:r>
              <w:rPr>
                <w:rFonts w:hint="eastAsia"/>
                <w:color w:val="auto"/>
                <w:szCs w:val="21"/>
              </w:rPr>
              <w:t>；</w:t>
            </w:r>
            <w:r>
              <w:rPr>
                <w:rFonts w:hint="eastAsia"/>
                <w:color w:val="auto"/>
              </w:rPr>
              <w:t>加强设备管理与维护等措施</w:t>
            </w:r>
          </w:p>
        </w:tc>
        <w:tc>
          <w:tcPr>
            <w:tcW w:w="2742" w:type="dxa"/>
            <w:vAlign w:val="center"/>
          </w:tcPr>
          <w:p w14:paraId="38AF0E2D">
            <w:pPr>
              <w:adjustRightInd w:val="0"/>
              <w:snapToGrid w:val="0"/>
              <w:jc w:val="center"/>
              <w:rPr>
                <w:rFonts w:cs="宋体"/>
                <w:color w:val="auto"/>
                <w:szCs w:val="21"/>
              </w:rPr>
            </w:pPr>
            <w:r>
              <w:rPr>
                <w:rFonts w:hint="eastAsia" w:cs="Times New Roman"/>
                <w:color w:val="auto"/>
                <w:szCs w:val="24"/>
              </w:rPr>
              <w:t>南、西厂界噪声执行《工业企业厂界环境噪声排放标准》（GB12348-2008）</w:t>
            </w:r>
            <w:r>
              <w:rPr>
                <w:rFonts w:cs="Times New Roman"/>
                <w:color w:val="auto"/>
                <w:szCs w:val="24"/>
              </w:rPr>
              <w:t>4</w:t>
            </w:r>
            <w:r>
              <w:rPr>
                <w:rFonts w:hint="eastAsia" w:cs="Times New Roman"/>
                <w:color w:val="auto"/>
                <w:szCs w:val="24"/>
              </w:rPr>
              <w:t>类标准，其他厂界执行3类标准</w:t>
            </w:r>
          </w:p>
        </w:tc>
      </w:tr>
      <w:tr w14:paraId="08F162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27" w:type="dxa"/>
            <w:vAlign w:val="center"/>
          </w:tcPr>
          <w:p w14:paraId="602566A2">
            <w:pPr>
              <w:adjustRightInd w:val="0"/>
              <w:snapToGrid w:val="0"/>
              <w:jc w:val="center"/>
              <w:rPr>
                <w:rFonts w:cs="宋体"/>
                <w:color w:val="auto"/>
                <w:szCs w:val="21"/>
              </w:rPr>
            </w:pPr>
            <w:r>
              <w:rPr>
                <w:rFonts w:hint="eastAsia" w:cs="宋体"/>
                <w:color w:val="auto"/>
                <w:szCs w:val="21"/>
              </w:rPr>
              <w:t>电磁辐射</w:t>
            </w:r>
          </w:p>
        </w:tc>
        <w:tc>
          <w:tcPr>
            <w:tcW w:w="1636" w:type="dxa"/>
            <w:vAlign w:val="center"/>
          </w:tcPr>
          <w:p w14:paraId="00BBC2A1">
            <w:pPr>
              <w:adjustRightInd w:val="0"/>
              <w:snapToGrid w:val="0"/>
              <w:jc w:val="center"/>
              <w:rPr>
                <w:rFonts w:cs="宋体"/>
                <w:color w:val="auto"/>
                <w:szCs w:val="21"/>
              </w:rPr>
            </w:pPr>
            <w:r>
              <w:rPr>
                <w:rFonts w:hint="eastAsia" w:cs="宋体"/>
                <w:color w:val="auto"/>
                <w:szCs w:val="21"/>
              </w:rPr>
              <w:t>/</w:t>
            </w:r>
          </w:p>
        </w:tc>
        <w:tc>
          <w:tcPr>
            <w:tcW w:w="1531" w:type="dxa"/>
            <w:vAlign w:val="center"/>
          </w:tcPr>
          <w:p w14:paraId="3A319AC3">
            <w:pPr>
              <w:adjustRightInd w:val="0"/>
              <w:snapToGrid w:val="0"/>
              <w:jc w:val="center"/>
              <w:rPr>
                <w:rFonts w:cs="宋体"/>
                <w:color w:val="auto"/>
                <w:szCs w:val="21"/>
              </w:rPr>
            </w:pPr>
            <w:r>
              <w:rPr>
                <w:rFonts w:hint="eastAsia" w:cs="宋体"/>
                <w:color w:val="auto"/>
                <w:szCs w:val="21"/>
              </w:rPr>
              <w:t>/</w:t>
            </w:r>
          </w:p>
        </w:tc>
        <w:tc>
          <w:tcPr>
            <w:tcW w:w="2288" w:type="dxa"/>
            <w:vAlign w:val="center"/>
          </w:tcPr>
          <w:p w14:paraId="014C56DD">
            <w:pPr>
              <w:adjustRightInd w:val="0"/>
              <w:snapToGrid w:val="0"/>
              <w:jc w:val="center"/>
              <w:rPr>
                <w:rFonts w:cs="宋体"/>
                <w:color w:val="auto"/>
                <w:szCs w:val="21"/>
              </w:rPr>
            </w:pPr>
            <w:r>
              <w:rPr>
                <w:rFonts w:hint="eastAsia" w:cs="宋体"/>
                <w:color w:val="auto"/>
                <w:szCs w:val="21"/>
              </w:rPr>
              <w:t>/</w:t>
            </w:r>
          </w:p>
        </w:tc>
        <w:tc>
          <w:tcPr>
            <w:tcW w:w="2742" w:type="dxa"/>
            <w:vAlign w:val="center"/>
          </w:tcPr>
          <w:p w14:paraId="0A7687CF">
            <w:pPr>
              <w:adjustRightInd w:val="0"/>
              <w:snapToGrid w:val="0"/>
              <w:jc w:val="center"/>
              <w:rPr>
                <w:rFonts w:cs="宋体"/>
                <w:color w:val="auto"/>
                <w:szCs w:val="21"/>
              </w:rPr>
            </w:pPr>
            <w:r>
              <w:rPr>
                <w:rFonts w:hint="eastAsia" w:cs="宋体"/>
                <w:color w:val="auto"/>
                <w:szCs w:val="21"/>
              </w:rPr>
              <w:t>/</w:t>
            </w:r>
          </w:p>
        </w:tc>
      </w:tr>
      <w:tr w14:paraId="6558CE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027" w:type="dxa"/>
            <w:vAlign w:val="center"/>
          </w:tcPr>
          <w:p w14:paraId="44267135">
            <w:pPr>
              <w:adjustRightInd w:val="0"/>
              <w:snapToGrid w:val="0"/>
              <w:jc w:val="center"/>
              <w:rPr>
                <w:rFonts w:cs="宋体"/>
                <w:color w:val="auto"/>
                <w:szCs w:val="21"/>
              </w:rPr>
            </w:pPr>
            <w:r>
              <w:rPr>
                <w:rFonts w:hint="eastAsia" w:cs="宋体"/>
                <w:color w:val="auto"/>
                <w:szCs w:val="21"/>
              </w:rPr>
              <w:t>固体废物</w:t>
            </w:r>
          </w:p>
        </w:tc>
        <w:tc>
          <w:tcPr>
            <w:tcW w:w="8197" w:type="dxa"/>
            <w:gridSpan w:val="4"/>
            <w:vAlign w:val="center"/>
          </w:tcPr>
          <w:p w14:paraId="2FFF7593">
            <w:pPr>
              <w:adjustRightInd w:val="0"/>
              <w:snapToGrid w:val="0"/>
              <w:jc w:val="center"/>
              <w:rPr>
                <w:rFonts w:cs="宋体"/>
                <w:color w:val="auto"/>
                <w:szCs w:val="21"/>
              </w:rPr>
            </w:pPr>
            <w:r>
              <w:rPr>
                <w:rFonts w:hint="eastAsia" w:cs="宋体"/>
                <w:color w:val="auto"/>
                <w:szCs w:val="21"/>
              </w:rPr>
              <w:t>项目不合格品、</w:t>
            </w:r>
            <w:r>
              <w:rPr>
                <w:rFonts w:hint="eastAsia"/>
                <w:bCs/>
                <w:snapToGrid w:val="0"/>
                <w:color w:val="auto"/>
                <w:kern w:val="0"/>
                <w:szCs w:val="21"/>
              </w:rPr>
              <w:t>废边角料</w:t>
            </w:r>
            <w:r>
              <w:rPr>
                <w:rFonts w:hint="eastAsia"/>
                <w:color w:val="auto"/>
                <w:szCs w:val="21"/>
              </w:rPr>
              <w:t>收集于一般固废暂存间，</w:t>
            </w:r>
            <w:r>
              <w:rPr>
                <w:rFonts w:hint="eastAsia" w:cs="宋体"/>
                <w:color w:val="auto"/>
                <w:szCs w:val="21"/>
              </w:rPr>
              <w:t>定期出售给废品收购站；废包装材料收集暂存于一般固废暂存间，定期出售给废品收购站。化粪池及污水处理站污泥委托当地环卫部门清掏清运处置。生活垃圾集中收集于垃圾桶内，定期委托环卫部门清运处置。废胶水桶、废活性炭、废UV灯管、</w:t>
            </w:r>
            <w:r>
              <w:rPr>
                <w:color w:val="auto"/>
              </w:rPr>
              <w:t>废矿物油</w:t>
            </w:r>
            <w:r>
              <w:rPr>
                <w:rFonts w:hint="eastAsia" w:cs="宋体"/>
                <w:color w:val="auto"/>
                <w:szCs w:val="21"/>
              </w:rPr>
              <w:t>分类收集后暂存于危险废物暂存间内，定期委托有资质的单位清运处置。</w:t>
            </w:r>
          </w:p>
        </w:tc>
      </w:tr>
      <w:tr w14:paraId="457303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027" w:type="dxa"/>
            <w:vAlign w:val="center"/>
          </w:tcPr>
          <w:p w14:paraId="46CB12F2">
            <w:pPr>
              <w:adjustRightInd w:val="0"/>
              <w:snapToGrid w:val="0"/>
              <w:jc w:val="center"/>
              <w:rPr>
                <w:rFonts w:cs="宋体"/>
                <w:color w:val="auto"/>
                <w:szCs w:val="21"/>
              </w:rPr>
            </w:pPr>
            <w:r>
              <w:rPr>
                <w:rFonts w:hint="eastAsia" w:cs="宋体"/>
                <w:color w:val="auto"/>
                <w:szCs w:val="21"/>
              </w:rPr>
              <w:t>土壤及地下水污染防治措施</w:t>
            </w:r>
          </w:p>
        </w:tc>
        <w:tc>
          <w:tcPr>
            <w:tcW w:w="8197" w:type="dxa"/>
            <w:gridSpan w:val="4"/>
            <w:vAlign w:val="center"/>
          </w:tcPr>
          <w:p w14:paraId="50E90C2C">
            <w:pPr>
              <w:adjustRightInd w:val="0"/>
              <w:snapToGrid w:val="0"/>
              <w:jc w:val="center"/>
              <w:rPr>
                <w:rFonts w:cs="宋体"/>
                <w:color w:val="auto"/>
                <w:szCs w:val="21"/>
              </w:rPr>
            </w:pPr>
            <w:r>
              <w:rPr>
                <w:rFonts w:hint="eastAsia"/>
                <w:color w:val="auto"/>
                <w:szCs w:val="21"/>
              </w:rPr>
              <w:t>危险废物暂存间应按照</w:t>
            </w:r>
            <w:r>
              <w:rPr>
                <w:color w:val="auto"/>
                <w:szCs w:val="21"/>
              </w:rPr>
              <w:t>《危险废物贮存污染控制标准》（GB18597-20</w:t>
            </w:r>
            <w:r>
              <w:rPr>
                <w:rFonts w:hint="eastAsia"/>
                <w:color w:val="auto"/>
                <w:szCs w:val="21"/>
              </w:rPr>
              <w:t>23</w:t>
            </w:r>
            <w:r>
              <w:rPr>
                <w:color w:val="auto"/>
                <w:szCs w:val="21"/>
              </w:rPr>
              <w:t>）</w:t>
            </w:r>
            <w:r>
              <w:rPr>
                <w:rFonts w:hint="eastAsia"/>
                <w:color w:val="auto"/>
                <w:szCs w:val="21"/>
              </w:rPr>
              <w:t>中要求进行重点防渗，对地面和裙角进行防渗建设，防渗系数≤10</w:t>
            </w:r>
            <w:r>
              <w:rPr>
                <w:rFonts w:hint="eastAsia"/>
                <w:color w:val="auto"/>
                <w:szCs w:val="21"/>
                <w:vertAlign w:val="superscript"/>
              </w:rPr>
              <w:t>-10</w:t>
            </w:r>
            <w:r>
              <w:rPr>
                <w:rFonts w:hint="eastAsia"/>
                <w:color w:val="auto"/>
                <w:szCs w:val="21"/>
              </w:rPr>
              <w:t>cm/s。污水处理站按照《环境影响评价技术导则 地下水环境》（HJ610-2016）中要求进行一般防渗，等效黏土防渗层Mb≥1.5m，防渗系数≤10</w:t>
            </w:r>
            <w:r>
              <w:rPr>
                <w:rFonts w:hint="eastAsia"/>
                <w:color w:val="auto"/>
                <w:szCs w:val="21"/>
                <w:vertAlign w:val="superscript"/>
              </w:rPr>
              <w:t>-7</w:t>
            </w:r>
            <w:r>
              <w:rPr>
                <w:rFonts w:hint="eastAsia"/>
                <w:color w:val="auto"/>
                <w:szCs w:val="21"/>
              </w:rPr>
              <w:t>cm/s。</w:t>
            </w:r>
          </w:p>
        </w:tc>
      </w:tr>
      <w:tr w14:paraId="1544E7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027" w:type="dxa"/>
            <w:vAlign w:val="center"/>
          </w:tcPr>
          <w:p w14:paraId="577322DC">
            <w:pPr>
              <w:adjustRightInd w:val="0"/>
              <w:snapToGrid w:val="0"/>
              <w:jc w:val="center"/>
              <w:rPr>
                <w:rFonts w:cs="宋体"/>
                <w:color w:val="auto"/>
                <w:szCs w:val="21"/>
              </w:rPr>
            </w:pPr>
            <w:r>
              <w:rPr>
                <w:rFonts w:hint="eastAsia" w:cs="宋体"/>
                <w:color w:val="auto"/>
                <w:szCs w:val="21"/>
              </w:rPr>
              <w:t>生态保护措施</w:t>
            </w:r>
          </w:p>
        </w:tc>
        <w:tc>
          <w:tcPr>
            <w:tcW w:w="8197" w:type="dxa"/>
            <w:gridSpan w:val="4"/>
            <w:vAlign w:val="center"/>
          </w:tcPr>
          <w:p w14:paraId="39349AB9">
            <w:pPr>
              <w:adjustRightInd w:val="0"/>
              <w:snapToGrid w:val="0"/>
              <w:jc w:val="center"/>
              <w:rPr>
                <w:rFonts w:cs="宋体"/>
                <w:color w:val="auto"/>
                <w:szCs w:val="21"/>
              </w:rPr>
            </w:pPr>
            <w:r>
              <w:rPr>
                <w:rFonts w:hint="eastAsia" w:cs="宋体"/>
                <w:color w:val="auto"/>
                <w:szCs w:val="21"/>
              </w:rPr>
              <w:t>/</w:t>
            </w:r>
          </w:p>
        </w:tc>
      </w:tr>
      <w:tr w14:paraId="4D05DB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027" w:type="dxa"/>
            <w:vAlign w:val="center"/>
          </w:tcPr>
          <w:p w14:paraId="25051CBE">
            <w:pPr>
              <w:adjustRightInd w:val="0"/>
              <w:snapToGrid w:val="0"/>
              <w:jc w:val="center"/>
              <w:rPr>
                <w:rFonts w:cs="宋体"/>
                <w:color w:val="auto"/>
                <w:spacing w:val="-8"/>
                <w:szCs w:val="21"/>
              </w:rPr>
            </w:pPr>
            <w:r>
              <w:rPr>
                <w:rFonts w:hint="eastAsia" w:cs="宋体"/>
                <w:color w:val="auto"/>
                <w:spacing w:val="-8"/>
                <w:szCs w:val="21"/>
              </w:rPr>
              <w:t>环境风险</w:t>
            </w:r>
          </w:p>
          <w:p w14:paraId="70612613">
            <w:pPr>
              <w:adjustRightInd w:val="0"/>
              <w:snapToGrid w:val="0"/>
              <w:jc w:val="center"/>
              <w:rPr>
                <w:rFonts w:cs="宋体"/>
                <w:color w:val="auto"/>
                <w:spacing w:val="-8"/>
                <w:szCs w:val="21"/>
              </w:rPr>
            </w:pPr>
            <w:r>
              <w:rPr>
                <w:rFonts w:hint="eastAsia" w:cs="宋体"/>
                <w:color w:val="auto"/>
                <w:spacing w:val="-8"/>
                <w:szCs w:val="21"/>
              </w:rPr>
              <w:t>防范措施</w:t>
            </w:r>
          </w:p>
        </w:tc>
        <w:tc>
          <w:tcPr>
            <w:tcW w:w="8197" w:type="dxa"/>
            <w:gridSpan w:val="4"/>
            <w:vAlign w:val="center"/>
          </w:tcPr>
          <w:p w14:paraId="6C5CAE73">
            <w:pPr>
              <w:adjustRightInd w:val="0"/>
              <w:snapToGrid w:val="0"/>
              <w:rPr>
                <w:bCs/>
                <w:color w:val="auto"/>
                <w:szCs w:val="21"/>
                <w:lang w:val="zh-CN"/>
              </w:rPr>
            </w:pPr>
            <w:r>
              <w:rPr>
                <w:bCs/>
                <w:color w:val="auto"/>
                <w:szCs w:val="21"/>
                <w:lang w:val="zh-CN"/>
              </w:rPr>
              <w:t>①严格执行国家有关安全生产的规定，采取乙类生产、贮存的安全技术措施，遵守乙类工业设计防火规定和规范。</w:t>
            </w:r>
          </w:p>
          <w:p w14:paraId="0A380AA5">
            <w:pPr>
              <w:adjustRightInd w:val="0"/>
              <w:snapToGrid w:val="0"/>
              <w:rPr>
                <w:bCs/>
                <w:color w:val="auto"/>
                <w:szCs w:val="21"/>
                <w:lang w:val="zh-CN"/>
              </w:rPr>
            </w:pPr>
            <w:r>
              <w:rPr>
                <w:bCs/>
                <w:color w:val="auto"/>
                <w:szCs w:val="21"/>
                <w:lang w:val="zh-CN"/>
              </w:rPr>
              <w:t>②建立健全安全生产责任制实行定期性安全检查，及时发现事故隐患并迅速给以消除。</w:t>
            </w:r>
          </w:p>
          <w:p w14:paraId="5F5C80EE">
            <w:pPr>
              <w:adjustRightInd w:val="0"/>
              <w:snapToGrid w:val="0"/>
              <w:rPr>
                <w:bCs/>
                <w:color w:val="auto"/>
                <w:szCs w:val="21"/>
                <w:lang w:val="zh-CN"/>
              </w:rPr>
            </w:pPr>
            <w:r>
              <w:rPr>
                <w:bCs/>
                <w:color w:val="auto"/>
                <w:szCs w:val="21"/>
                <w:lang w:val="zh-CN"/>
              </w:rPr>
              <w:t>③增强安全意识，加强安全教育，增强职工安全意识，认真贯彻安全法规和制度，防止人的错误行为，制定相应的应急措施。</w:t>
            </w:r>
          </w:p>
          <w:p w14:paraId="37B97937">
            <w:pPr>
              <w:adjustRightInd w:val="0"/>
              <w:snapToGrid w:val="0"/>
              <w:rPr>
                <w:bCs/>
                <w:color w:val="auto"/>
                <w:szCs w:val="21"/>
                <w:lang w:val="zh-CN"/>
              </w:rPr>
            </w:pPr>
            <w:r>
              <w:rPr>
                <w:bCs/>
                <w:color w:val="auto"/>
                <w:szCs w:val="21"/>
                <w:lang w:val="zh-CN"/>
              </w:rPr>
              <w:t>④废机油泄漏，用活性炭或其他惰性材料吸收，收集的危险废物在危废暂存间暂存，然后委托有资质的单位处理；</w:t>
            </w:r>
          </w:p>
          <w:p w14:paraId="32137B51">
            <w:pPr>
              <w:adjustRightInd w:val="0"/>
              <w:snapToGrid w:val="0"/>
              <w:rPr>
                <w:bCs/>
                <w:color w:val="auto"/>
                <w:szCs w:val="21"/>
                <w:lang w:val="zh-CN"/>
              </w:rPr>
            </w:pPr>
            <w:r>
              <w:rPr>
                <w:bCs/>
                <w:color w:val="auto"/>
                <w:szCs w:val="21"/>
                <w:lang w:val="zh-CN"/>
              </w:rPr>
              <w:t>⑤危废暂存间应按《危险废物贮存污染控制标准》（GB18597-20</w:t>
            </w:r>
            <w:r>
              <w:rPr>
                <w:rFonts w:hint="eastAsia"/>
                <w:bCs/>
                <w:color w:val="auto"/>
                <w:szCs w:val="21"/>
              </w:rPr>
              <w:t>23</w:t>
            </w:r>
            <w:r>
              <w:rPr>
                <w:bCs/>
                <w:color w:val="auto"/>
                <w:szCs w:val="21"/>
                <w:lang w:val="zh-CN"/>
              </w:rPr>
              <w:t>）中相关要求规范建设，地面采取防渗措施，防渗系数≤10</w:t>
            </w:r>
            <w:r>
              <w:rPr>
                <w:bCs/>
                <w:color w:val="auto"/>
                <w:szCs w:val="21"/>
                <w:vertAlign w:val="superscript"/>
                <w:lang w:val="zh-CN"/>
              </w:rPr>
              <w:t>-10</w:t>
            </w:r>
            <w:r>
              <w:rPr>
                <w:bCs/>
                <w:color w:val="auto"/>
                <w:szCs w:val="21"/>
                <w:lang w:val="zh-CN"/>
              </w:rPr>
              <w:t>cm/s；</w:t>
            </w:r>
          </w:p>
          <w:p w14:paraId="0CDAABAF">
            <w:pPr>
              <w:adjustRightInd w:val="0"/>
              <w:snapToGrid w:val="0"/>
              <w:rPr>
                <w:rFonts w:cs="宋体"/>
                <w:color w:val="auto"/>
                <w:szCs w:val="21"/>
              </w:rPr>
            </w:pPr>
            <w:r>
              <w:rPr>
                <w:bCs/>
                <w:color w:val="auto"/>
                <w:szCs w:val="21"/>
                <w:lang w:val="zh-CN"/>
              </w:rPr>
              <w:t>⑥应专门编制突发环境事件应急预案并提交昆明市生态环境局寻甸分局备案。</w:t>
            </w:r>
          </w:p>
        </w:tc>
      </w:tr>
      <w:tr w14:paraId="5174ED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027" w:type="dxa"/>
            <w:vAlign w:val="center"/>
          </w:tcPr>
          <w:p w14:paraId="24E37AE1">
            <w:pPr>
              <w:adjustRightInd w:val="0"/>
              <w:snapToGrid w:val="0"/>
              <w:jc w:val="center"/>
              <w:rPr>
                <w:rFonts w:cs="宋体"/>
                <w:color w:val="auto"/>
                <w:spacing w:val="-8"/>
                <w:szCs w:val="21"/>
              </w:rPr>
            </w:pPr>
            <w:r>
              <w:rPr>
                <w:rFonts w:hint="eastAsia" w:cs="宋体"/>
                <w:color w:val="auto"/>
                <w:spacing w:val="-8"/>
                <w:szCs w:val="21"/>
              </w:rPr>
              <w:t>其他环境</w:t>
            </w:r>
          </w:p>
          <w:p w14:paraId="39D7C92A">
            <w:pPr>
              <w:adjustRightInd w:val="0"/>
              <w:snapToGrid w:val="0"/>
              <w:jc w:val="center"/>
              <w:rPr>
                <w:rFonts w:cs="宋体"/>
                <w:color w:val="auto"/>
                <w:spacing w:val="-8"/>
                <w:szCs w:val="21"/>
              </w:rPr>
            </w:pPr>
            <w:r>
              <w:rPr>
                <w:rFonts w:hint="eastAsia" w:cs="宋体"/>
                <w:color w:val="auto"/>
                <w:spacing w:val="-8"/>
                <w:szCs w:val="21"/>
              </w:rPr>
              <w:t>管理要求</w:t>
            </w:r>
          </w:p>
        </w:tc>
        <w:tc>
          <w:tcPr>
            <w:tcW w:w="8197" w:type="dxa"/>
            <w:gridSpan w:val="4"/>
            <w:vAlign w:val="center"/>
          </w:tcPr>
          <w:p w14:paraId="3D9CD11F">
            <w:pPr>
              <w:adjustRightInd w:val="0"/>
              <w:snapToGrid w:val="0"/>
              <w:ind w:firstLine="422" w:firstLineChars="200"/>
              <w:rPr>
                <w:b/>
                <w:bCs/>
                <w:color w:val="auto"/>
                <w:szCs w:val="21"/>
              </w:rPr>
            </w:pPr>
            <w:r>
              <w:rPr>
                <w:b/>
                <w:bCs/>
                <w:color w:val="auto"/>
                <w:szCs w:val="21"/>
              </w:rPr>
              <w:t>1、环境管理计划</w:t>
            </w:r>
          </w:p>
          <w:p w14:paraId="1C954985">
            <w:pPr>
              <w:adjustRightInd w:val="0"/>
              <w:snapToGrid w:val="0"/>
              <w:ind w:firstLine="420" w:firstLineChars="200"/>
              <w:rPr>
                <w:color w:val="auto"/>
                <w:szCs w:val="21"/>
              </w:rPr>
            </w:pPr>
            <w:r>
              <w:rPr>
                <w:color w:val="auto"/>
                <w:szCs w:val="21"/>
              </w:rPr>
              <w:t>1）根据国家环保政策、标准及环境监测要求，制定该项目运行期环境管理规章制度、各种污染物排放指标。</w:t>
            </w:r>
          </w:p>
          <w:p w14:paraId="49F11EF1">
            <w:pPr>
              <w:adjustRightInd w:val="0"/>
              <w:snapToGrid w:val="0"/>
              <w:ind w:firstLine="420" w:firstLineChars="200"/>
              <w:rPr>
                <w:color w:val="auto"/>
                <w:szCs w:val="21"/>
              </w:rPr>
            </w:pPr>
            <w:r>
              <w:rPr>
                <w:color w:val="auto"/>
                <w:szCs w:val="21"/>
              </w:rPr>
              <w:t>2）项目建成投产前建设单位应自行组织项目竣工环境保护验收工作，检查环保设施是否达到“三同时”要求。</w:t>
            </w:r>
          </w:p>
          <w:p w14:paraId="05B9BC2E">
            <w:pPr>
              <w:adjustRightInd w:val="0"/>
              <w:snapToGrid w:val="0"/>
              <w:ind w:firstLine="420" w:firstLineChars="200"/>
              <w:rPr>
                <w:color w:val="auto"/>
                <w:szCs w:val="21"/>
              </w:rPr>
            </w:pPr>
            <w:r>
              <w:rPr>
                <w:color w:val="auto"/>
                <w:szCs w:val="21"/>
              </w:rPr>
              <w:t>3）加强环保设施的管理，定期检查厂内环保设施运行情况。及时排除故障，保证环保设施正常运转。</w:t>
            </w:r>
          </w:p>
          <w:p w14:paraId="38D3B019">
            <w:pPr>
              <w:adjustRightInd w:val="0"/>
              <w:snapToGrid w:val="0"/>
              <w:ind w:firstLine="420" w:firstLineChars="200"/>
              <w:rPr>
                <w:color w:val="auto"/>
                <w:szCs w:val="21"/>
              </w:rPr>
            </w:pPr>
            <w:r>
              <w:rPr>
                <w:color w:val="auto"/>
                <w:szCs w:val="21"/>
              </w:rPr>
              <w:t>4）危险废物的收集管理应由专人负责，分类收集。</w:t>
            </w:r>
          </w:p>
          <w:p w14:paraId="51DFC726">
            <w:pPr>
              <w:adjustRightInd w:val="0"/>
              <w:snapToGrid w:val="0"/>
              <w:ind w:firstLine="420" w:firstLineChars="200"/>
              <w:rPr>
                <w:color w:val="auto"/>
                <w:szCs w:val="21"/>
              </w:rPr>
            </w:pPr>
            <w:r>
              <w:rPr>
                <w:color w:val="auto"/>
                <w:szCs w:val="21"/>
              </w:rPr>
              <w:t>5）运用经济、教育、行政、法律及其它手段，加强项目区内人员的环保意识，加强环境保护的自觉性，不断提高环境管理水平。</w:t>
            </w:r>
          </w:p>
          <w:p w14:paraId="74854EF3">
            <w:pPr>
              <w:adjustRightInd w:val="0"/>
              <w:snapToGrid w:val="0"/>
              <w:ind w:firstLine="420" w:firstLineChars="200"/>
              <w:rPr>
                <w:color w:val="auto"/>
                <w:szCs w:val="21"/>
              </w:rPr>
            </w:pPr>
            <w:r>
              <w:rPr>
                <w:color w:val="auto"/>
                <w:szCs w:val="21"/>
              </w:rPr>
              <w:t>6）配合当地环保监测机构，实施环境监测计划。</w:t>
            </w:r>
          </w:p>
          <w:p w14:paraId="2FC9D0D1">
            <w:pPr>
              <w:adjustRightInd w:val="0"/>
              <w:snapToGrid w:val="0"/>
              <w:ind w:firstLine="422" w:firstLineChars="200"/>
              <w:rPr>
                <w:b/>
                <w:bCs/>
                <w:color w:val="auto"/>
                <w:szCs w:val="21"/>
              </w:rPr>
            </w:pPr>
            <w:r>
              <w:rPr>
                <w:b/>
                <w:bCs/>
                <w:color w:val="auto"/>
                <w:szCs w:val="21"/>
              </w:rPr>
              <w:t>2、排污许可证</w:t>
            </w:r>
          </w:p>
          <w:p w14:paraId="17C1C199">
            <w:pPr>
              <w:adjustRightInd w:val="0"/>
              <w:snapToGrid w:val="0"/>
              <w:ind w:firstLine="420" w:firstLineChars="200"/>
              <w:rPr>
                <w:color w:val="auto"/>
                <w:szCs w:val="21"/>
              </w:rPr>
            </w:pPr>
            <w:r>
              <w:rPr>
                <w:color w:val="auto"/>
                <w:szCs w:val="21"/>
              </w:rPr>
              <w:t>项目国民经济行业类别为“其他纸制品制造（C2239）”，根据《固定污染源排污许可分类管理名录（2019版）》，项目</w:t>
            </w:r>
            <w:r>
              <w:rPr>
                <w:rFonts w:hint="eastAsia"/>
                <w:color w:val="auto"/>
                <w:szCs w:val="21"/>
              </w:rPr>
              <w:t>应进行排污许可简化管理</w:t>
            </w:r>
            <w:r>
              <w:rPr>
                <w:color w:val="auto"/>
                <w:szCs w:val="21"/>
              </w:rPr>
              <w:t>。</w:t>
            </w:r>
          </w:p>
          <w:p w14:paraId="529D4B2C">
            <w:pPr>
              <w:adjustRightInd w:val="0"/>
              <w:snapToGrid w:val="0"/>
              <w:ind w:firstLine="422" w:firstLineChars="200"/>
              <w:rPr>
                <w:b/>
                <w:bCs/>
                <w:color w:val="auto"/>
                <w:szCs w:val="21"/>
              </w:rPr>
            </w:pPr>
            <w:r>
              <w:rPr>
                <w:b/>
                <w:bCs/>
                <w:color w:val="auto"/>
                <w:szCs w:val="21"/>
              </w:rPr>
              <w:t>3、排污口规范化设置</w:t>
            </w:r>
          </w:p>
          <w:p w14:paraId="7085B53B">
            <w:pPr>
              <w:adjustRightInd w:val="0"/>
              <w:snapToGrid w:val="0"/>
              <w:ind w:firstLine="420" w:firstLineChars="200"/>
              <w:rPr>
                <w:color w:val="auto"/>
                <w:szCs w:val="21"/>
              </w:rPr>
            </w:pPr>
            <w:r>
              <w:rPr>
                <w:color w:val="auto"/>
                <w:szCs w:val="21"/>
              </w:rPr>
              <w:t>排污口是项目运营期污染物进入环境、污染环境的通道，强化总排口管理是实施污染物总量控制的基础工作之一，也是环境管理逐步实现污染物科学化、定量化的主要手段。</w:t>
            </w:r>
          </w:p>
          <w:p w14:paraId="2C32C64B">
            <w:pPr>
              <w:adjustRightInd w:val="0"/>
              <w:snapToGrid w:val="0"/>
              <w:ind w:firstLine="420" w:firstLineChars="200"/>
              <w:rPr>
                <w:color w:val="auto"/>
                <w:szCs w:val="21"/>
              </w:rPr>
            </w:pPr>
            <w:r>
              <w:rPr>
                <w:color w:val="auto"/>
                <w:szCs w:val="21"/>
              </w:rPr>
              <w:t>项目排放口设置满足以下要求：</w:t>
            </w:r>
          </w:p>
          <w:p w14:paraId="00895744">
            <w:pPr>
              <w:adjustRightInd w:val="0"/>
              <w:snapToGrid w:val="0"/>
              <w:ind w:firstLine="420" w:firstLineChars="200"/>
              <w:rPr>
                <w:color w:val="auto"/>
                <w:szCs w:val="21"/>
              </w:rPr>
            </w:pPr>
            <w:r>
              <w:rPr>
                <w:color w:val="auto"/>
                <w:szCs w:val="21"/>
              </w:rPr>
              <w:t>（1）污染物排放口，应按国家《环境保护图形标志排放口（源）》 （GB15562.1-1995）的规定，设置国家环保总局统一制作的环境保护图形标志牌；本项目废气排放口和废水处理设施均应设置相应标志，并进行专人管理。</w:t>
            </w:r>
          </w:p>
          <w:p w14:paraId="47169016">
            <w:pPr>
              <w:adjustRightInd w:val="0"/>
              <w:snapToGrid w:val="0"/>
              <w:ind w:firstLine="420" w:firstLineChars="200"/>
              <w:rPr>
                <w:color w:val="auto"/>
              </w:rPr>
            </w:pPr>
            <w:r>
              <w:rPr>
                <w:color w:val="auto"/>
                <w:szCs w:val="21"/>
              </w:rPr>
              <w:t>（2）污染物排放口的环境保护图形标志牌应设置在靠近采样点的醒目处，标志牌设置高度为其上缘距地面约2m，排污口附近1m范围内有建筑物的，设平面式标志牌，无建筑物的设立式标志牌。公司应遵照国家对排污口规范的要求，在“三废”及部分噪声排放点设置标志，标志的设置应完全执行《环境保护图形标志排放口》（GB15562.1-1995）、《环境保护图形标志固体废物贮存（处置）场》（GB15562.2-1995）中有关规定。</w:t>
            </w:r>
          </w:p>
        </w:tc>
      </w:tr>
    </w:tbl>
    <w:p w14:paraId="6E002866">
      <w:pPr>
        <w:pStyle w:val="28"/>
        <w:jc w:val="center"/>
        <w:outlineLvl w:val="0"/>
        <w:rPr>
          <w:rFonts w:ascii="黑体" w:hAnsi="黑体" w:eastAsia="黑体"/>
          <w:snapToGrid w:val="0"/>
          <w:color w:val="auto"/>
          <w:sz w:val="30"/>
          <w:szCs w:val="30"/>
        </w:rPr>
      </w:pPr>
      <w:r>
        <w:rPr>
          <w:snapToGrid w:val="0"/>
          <w:color w:val="auto"/>
        </w:rPr>
        <w:br w:type="page"/>
      </w:r>
      <w:bookmarkStart w:id="38" w:name="_Toc21964"/>
      <w:r>
        <w:rPr>
          <w:rFonts w:hint="eastAsia" w:ascii="黑体" w:hAnsi="黑体" w:eastAsia="黑体"/>
          <w:snapToGrid w:val="0"/>
          <w:color w:val="auto"/>
          <w:sz w:val="30"/>
          <w:szCs w:val="30"/>
        </w:rPr>
        <w:t>六、结论</w:t>
      </w:r>
      <w:bookmarkEnd w:id="38"/>
    </w:p>
    <w:tbl>
      <w:tblPr>
        <w:tblStyle w:val="30"/>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E9AB6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2A42ADEA">
            <w:pPr>
              <w:snapToGrid w:val="0"/>
              <w:spacing w:line="360" w:lineRule="auto"/>
              <w:ind w:firstLine="480" w:firstLineChars="200"/>
              <w:rPr>
                <w:color w:val="auto"/>
                <w:sz w:val="24"/>
              </w:rPr>
            </w:pPr>
            <w:r>
              <w:rPr>
                <w:rFonts w:hint="eastAsia" w:ascii="宋体" w:hAnsi="宋体" w:cs="宋体"/>
                <w:color w:val="auto"/>
                <w:sz w:val="24"/>
              </w:rPr>
              <w:t>本项目符合国家产业政策，符合相关规划，</w:t>
            </w:r>
            <w:r>
              <w:rPr>
                <w:color w:val="auto"/>
                <w:sz w:val="24"/>
              </w:rPr>
              <w:t>不涉及自然保护区、风景名胜区、水源保护区等环境敏感区，与周围居民点、学校、医院等关心点距离较远，选址合理。</w:t>
            </w:r>
            <w:r>
              <w:rPr>
                <w:rFonts w:hint="eastAsia" w:ascii="宋体" w:hAnsi="宋体" w:cs="宋体"/>
                <w:color w:val="auto"/>
                <w:sz w:val="24"/>
              </w:rPr>
              <w:t>在采</w:t>
            </w:r>
            <w:r>
              <w:rPr>
                <w:color w:val="auto"/>
                <w:sz w:val="24"/>
              </w:rPr>
              <w:t>取相关环保措施后，项目产生的废气、噪声能达标排放，废水不外排，固废妥善处置率100%</w:t>
            </w:r>
            <w:r>
              <w:rPr>
                <w:rFonts w:hint="eastAsia"/>
                <w:color w:val="auto"/>
                <w:sz w:val="24"/>
              </w:rPr>
              <w:t>，</w:t>
            </w:r>
            <w:r>
              <w:rPr>
                <w:color w:val="auto"/>
                <w:sz w:val="24"/>
              </w:rPr>
              <w:t>对所在区域的环境质量</w:t>
            </w:r>
            <w:r>
              <w:rPr>
                <w:rFonts w:hint="eastAsia"/>
                <w:color w:val="auto"/>
                <w:sz w:val="24"/>
              </w:rPr>
              <w:t>及环境保护目标</w:t>
            </w:r>
            <w:r>
              <w:rPr>
                <w:color w:val="auto"/>
                <w:sz w:val="24"/>
              </w:rPr>
              <w:t>影响较小。符合达标排放、总量控制和不降低当地环境功能的原则要求，符合国家法律法规要求。</w:t>
            </w:r>
          </w:p>
          <w:p w14:paraId="3255C32F">
            <w:pPr>
              <w:adjustRightInd w:val="0"/>
              <w:snapToGrid w:val="0"/>
              <w:spacing w:line="360" w:lineRule="auto"/>
              <w:ind w:firstLine="480" w:firstLineChars="200"/>
              <w:rPr>
                <w:color w:val="auto"/>
                <w:sz w:val="24"/>
              </w:rPr>
            </w:pPr>
            <w:r>
              <w:rPr>
                <w:color w:val="auto"/>
                <w:sz w:val="24"/>
              </w:rPr>
              <w:t>本项目在严格执行环境保护“三同时”制度，严格进行环境管理，保证项目内的废气处理设施及其他环保设施的正常运行，污染物达标排放的条件下，从环境保护角度论证，本项目的建设是可行的</w:t>
            </w:r>
            <w:r>
              <w:rPr>
                <w:rFonts w:hint="eastAsia"/>
                <w:color w:val="auto"/>
                <w:sz w:val="24"/>
              </w:rPr>
              <w:t>。</w:t>
            </w:r>
          </w:p>
          <w:p w14:paraId="77634446">
            <w:pPr>
              <w:adjustRightInd w:val="0"/>
              <w:spacing w:line="360" w:lineRule="auto"/>
              <w:ind w:firstLine="480" w:firstLineChars="200"/>
              <w:rPr>
                <w:color w:val="auto"/>
                <w:sz w:val="24"/>
              </w:rPr>
            </w:pPr>
          </w:p>
        </w:tc>
      </w:tr>
    </w:tbl>
    <w:p w14:paraId="1B5661E9">
      <w:pPr>
        <w:pStyle w:val="16"/>
        <w:ind w:firstLine="480"/>
        <w:rPr>
          <w:color w:val="auto"/>
        </w:rPr>
        <w:sectPr>
          <w:pgSz w:w="11906" w:h="16838"/>
          <w:pgMar w:top="1701" w:right="1531" w:bottom="1701" w:left="1531" w:header="851" w:footer="851" w:gutter="0"/>
          <w:cols w:space="720" w:num="1"/>
          <w:docGrid w:linePitch="312" w:charSpace="0"/>
        </w:sectPr>
      </w:pPr>
    </w:p>
    <w:p w14:paraId="031AF3E1">
      <w:pPr>
        <w:pStyle w:val="28"/>
        <w:jc w:val="center"/>
        <w:outlineLvl w:val="0"/>
        <w:rPr>
          <w:rFonts w:ascii="黑体" w:hAnsi="黑体" w:eastAsia="黑体"/>
          <w:snapToGrid w:val="0"/>
          <w:color w:val="auto"/>
          <w:sz w:val="30"/>
          <w:szCs w:val="30"/>
        </w:rPr>
      </w:pPr>
      <w:bookmarkStart w:id="39" w:name="_Toc6881"/>
      <w:bookmarkStart w:id="40" w:name="_Toc9427"/>
      <w:bookmarkStart w:id="41" w:name="_Toc16444"/>
      <w:r>
        <w:rPr>
          <w:rFonts w:ascii="黑体" w:hAnsi="黑体" w:eastAsia="黑体"/>
          <w:snapToGrid w:val="0"/>
          <w:color w:val="auto"/>
          <w:sz w:val="30"/>
          <w:szCs w:val="30"/>
        </w:rPr>
        <w:t>附表</w:t>
      </w:r>
      <w:bookmarkEnd w:id="39"/>
      <w:bookmarkEnd w:id="40"/>
      <w:bookmarkStart w:id="42" w:name="_Toc29979"/>
      <w:bookmarkStart w:id="43" w:name="_Toc18631"/>
      <w:r>
        <w:rPr>
          <w:rFonts w:ascii="黑体" w:hAnsi="黑体" w:eastAsia="黑体"/>
          <w:snapToGrid w:val="0"/>
          <w:color w:val="auto"/>
          <w:sz w:val="30"/>
          <w:szCs w:val="30"/>
        </w:rPr>
        <w:t>：建设项目污染物排放量汇总表</w:t>
      </w:r>
      <w:bookmarkEnd w:id="41"/>
      <w:bookmarkEnd w:id="42"/>
      <w:bookmarkEnd w:id="43"/>
    </w:p>
    <w:tbl>
      <w:tblPr>
        <w:tblStyle w:val="3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2178"/>
        <w:gridCol w:w="1737"/>
        <w:gridCol w:w="1295"/>
        <w:gridCol w:w="1595"/>
        <w:gridCol w:w="1531"/>
        <w:gridCol w:w="1485"/>
        <w:gridCol w:w="1415"/>
        <w:gridCol w:w="1488"/>
      </w:tblGrid>
      <w:tr w14:paraId="63ED05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064" w:type="dxa"/>
            <w:tcBorders>
              <w:tl2br w:val="single" w:color="auto" w:sz="4" w:space="0"/>
            </w:tcBorders>
            <w:tcMar>
              <w:left w:w="28" w:type="dxa"/>
              <w:right w:w="28" w:type="dxa"/>
            </w:tcMar>
            <w:vAlign w:val="center"/>
          </w:tcPr>
          <w:p w14:paraId="39CDD9E3">
            <w:pPr>
              <w:pStyle w:val="48"/>
              <w:tabs>
                <w:tab w:val="left" w:pos="7590"/>
              </w:tabs>
              <w:spacing w:beforeLines="0" w:afterLines="0" w:line="240" w:lineRule="auto"/>
              <w:ind w:firstLine="0" w:firstLineChars="0"/>
              <w:rPr>
                <w:rFonts w:ascii="Times New Roman" w:hAnsi="Times New Roman" w:eastAsia="宋体"/>
                <w:snapToGrid w:val="0"/>
                <w:color w:val="auto"/>
                <w:spacing w:val="-6"/>
                <w:kern w:val="21"/>
                <w:sz w:val="21"/>
                <w:szCs w:val="21"/>
              </w:rPr>
            </w:pPr>
            <w:r>
              <w:rPr>
                <w:rFonts w:ascii="Times New Roman" w:hAnsi="Times New Roman" w:eastAsia="宋体"/>
                <w:snapToGrid w:val="0"/>
                <w:color w:val="auto"/>
                <w:spacing w:val="-6"/>
                <w:kern w:val="21"/>
                <w:sz w:val="21"/>
                <w:szCs w:val="21"/>
              </w:rPr>
              <w:t>项目</w:t>
            </w:r>
          </w:p>
          <w:p w14:paraId="208A3B27">
            <w:pPr>
              <w:pStyle w:val="48"/>
              <w:tabs>
                <w:tab w:val="left" w:pos="7590"/>
              </w:tabs>
              <w:spacing w:beforeLines="0" w:afterLines="0" w:line="240" w:lineRule="auto"/>
              <w:ind w:firstLine="0" w:firstLineChars="0"/>
              <w:rPr>
                <w:rFonts w:ascii="Times New Roman" w:hAnsi="Times New Roman" w:eastAsia="宋体"/>
                <w:snapToGrid w:val="0"/>
                <w:color w:val="auto"/>
                <w:spacing w:val="-6"/>
                <w:kern w:val="21"/>
                <w:sz w:val="21"/>
                <w:szCs w:val="21"/>
              </w:rPr>
            </w:pPr>
            <w:r>
              <w:rPr>
                <w:rFonts w:ascii="Times New Roman" w:hAnsi="Times New Roman" w:eastAsia="宋体"/>
                <w:snapToGrid w:val="0"/>
                <w:color w:val="auto"/>
                <w:spacing w:val="-6"/>
                <w:kern w:val="21"/>
                <w:sz w:val="21"/>
                <w:szCs w:val="21"/>
              </w:rPr>
              <w:t>分类</w:t>
            </w:r>
          </w:p>
        </w:tc>
        <w:tc>
          <w:tcPr>
            <w:tcW w:w="2178" w:type="dxa"/>
            <w:tcMar>
              <w:left w:w="28" w:type="dxa"/>
              <w:right w:w="28" w:type="dxa"/>
            </w:tcMar>
            <w:vAlign w:val="center"/>
          </w:tcPr>
          <w:p w14:paraId="6733E50F">
            <w:pPr>
              <w:pStyle w:val="48"/>
              <w:tabs>
                <w:tab w:val="left" w:pos="7590"/>
              </w:tabs>
              <w:spacing w:beforeLines="0" w:afterLines="0" w:line="240" w:lineRule="auto"/>
              <w:ind w:firstLine="0" w:firstLineChars="0"/>
              <w:rPr>
                <w:rFonts w:ascii="Times New Roman" w:hAnsi="Times New Roman" w:eastAsia="宋体"/>
                <w:snapToGrid w:val="0"/>
                <w:color w:val="auto"/>
                <w:spacing w:val="-6"/>
                <w:kern w:val="21"/>
                <w:sz w:val="21"/>
                <w:szCs w:val="21"/>
              </w:rPr>
            </w:pPr>
            <w:r>
              <w:rPr>
                <w:rFonts w:ascii="Times New Roman" w:hAnsi="Times New Roman" w:eastAsia="宋体"/>
                <w:snapToGrid w:val="0"/>
                <w:color w:val="auto"/>
                <w:spacing w:val="-6"/>
                <w:kern w:val="21"/>
                <w:sz w:val="21"/>
                <w:szCs w:val="21"/>
              </w:rPr>
              <w:t>污染物名称</w:t>
            </w:r>
          </w:p>
        </w:tc>
        <w:tc>
          <w:tcPr>
            <w:tcW w:w="1737" w:type="dxa"/>
            <w:tcMar>
              <w:left w:w="28" w:type="dxa"/>
              <w:right w:w="28" w:type="dxa"/>
            </w:tcMar>
            <w:vAlign w:val="center"/>
          </w:tcPr>
          <w:p w14:paraId="1741A880">
            <w:pPr>
              <w:pStyle w:val="48"/>
              <w:tabs>
                <w:tab w:val="left" w:pos="7590"/>
              </w:tabs>
              <w:spacing w:beforeLines="0" w:afterLines="0" w:line="240" w:lineRule="auto"/>
              <w:ind w:firstLine="0" w:firstLineChars="0"/>
              <w:rPr>
                <w:rFonts w:ascii="Times New Roman" w:hAnsi="Times New Roman" w:eastAsia="宋体"/>
                <w:snapToGrid w:val="0"/>
                <w:color w:val="auto"/>
                <w:spacing w:val="-6"/>
                <w:kern w:val="21"/>
                <w:sz w:val="21"/>
                <w:szCs w:val="21"/>
              </w:rPr>
            </w:pPr>
            <w:r>
              <w:rPr>
                <w:rFonts w:ascii="Times New Roman" w:hAnsi="Times New Roman" w:eastAsia="宋体"/>
                <w:snapToGrid w:val="0"/>
                <w:color w:val="auto"/>
                <w:spacing w:val="-6"/>
                <w:kern w:val="21"/>
                <w:sz w:val="21"/>
                <w:szCs w:val="21"/>
              </w:rPr>
              <w:t>现有工程排放量（固体废物产生量）</w:t>
            </w:r>
            <w:r>
              <w:rPr>
                <w:rFonts w:ascii="Times New Roman" w:hAnsi="Times New Roman" w:eastAsia="宋体"/>
                <w:snapToGrid w:val="0"/>
                <w:color w:val="auto"/>
                <w:spacing w:val="-6"/>
                <w:kern w:val="21"/>
                <w:sz w:val="21"/>
                <w:szCs w:val="21"/>
              </w:rPr>
              <w:fldChar w:fldCharType="begin"/>
            </w:r>
            <w:r>
              <w:rPr>
                <w:rFonts w:ascii="Times New Roman" w:hAnsi="Times New Roman" w:eastAsia="宋体"/>
                <w:snapToGrid w:val="0"/>
                <w:color w:val="auto"/>
                <w:spacing w:val="-6"/>
                <w:kern w:val="21"/>
                <w:sz w:val="21"/>
                <w:szCs w:val="21"/>
              </w:rPr>
              <w:instrText xml:space="preserve"> = 1 \* GB3 \* MERGEFORMAT </w:instrText>
            </w:r>
            <w:r>
              <w:rPr>
                <w:rFonts w:ascii="Times New Roman" w:hAnsi="Times New Roman" w:eastAsia="宋体"/>
                <w:snapToGrid w:val="0"/>
                <w:color w:val="auto"/>
                <w:spacing w:val="-6"/>
                <w:kern w:val="21"/>
                <w:sz w:val="21"/>
                <w:szCs w:val="21"/>
              </w:rPr>
              <w:fldChar w:fldCharType="separate"/>
            </w:r>
            <w:r>
              <w:rPr>
                <w:rFonts w:ascii="Times New Roman" w:hAnsi="Times New Roman" w:eastAsia="宋体"/>
                <w:color w:val="auto"/>
                <w:kern w:val="2"/>
                <w:sz w:val="21"/>
                <w:szCs w:val="21"/>
              </w:rPr>
              <w:t>①</w:t>
            </w:r>
            <w:r>
              <w:rPr>
                <w:rFonts w:ascii="Times New Roman" w:hAnsi="Times New Roman" w:eastAsia="宋体"/>
                <w:snapToGrid w:val="0"/>
                <w:color w:val="auto"/>
                <w:spacing w:val="-6"/>
                <w:kern w:val="21"/>
                <w:sz w:val="21"/>
                <w:szCs w:val="21"/>
              </w:rPr>
              <w:fldChar w:fldCharType="end"/>
            </w:r>
          </w:p>
        </w:tc>
        <w:tc>
          <w:tcPr>
            <w:tcW w:w="1295" w:type="dxa"/>
            <w:tcMar>
              <w:left w:w="28" w:type="dxa"/>
              <w:right w:w="28" w:type="dxa"/>
            </w:tcMar>
            <w:vAlign w:val="center"/>
          </w:tcPr>
          <w:p w14:paraId="38F6CB78">
            <w:pPr>
              <w:pStyle w:val="48"/>
              <w:tabs>
                <w:tab w:val="left" w:pos="7590"/>
              </w:tabs>
              <w:spacing w:beforeLines="0" w:afterLines="0" w:line="240" w:lineRule="auto"/>
              <w:ind w:firstLine="0" w:firstLineChars="0"/>
              <w:rPr>
                <w:rFonts w:ascii="Times New Roman" w:hAnsi="Times New Roman" w:eastAsia="宋体"/>
                <w:snapToGrid w:val="0"/>
                <w:color w:val="auto"/>
                <w:spacing w:val="-6"/>
                <w:kern w:val="21"/>
                <w:sz w:val="21"/>
                <w:szCs w:val="21"/>
              </w:rPr>
            </w:pPr>
            <w:r>
              <w:rPr>
                <w:rFonts w:ascii="Times New Roman" w:hAnsi="Times New Roman" w:eastAsia="宋体"/>
                <w:snapToGrid w:val="0"/>
                <w:color w:val="auto"/>
                <w:spacing w:val="-6"/>
                <w:kern w:val="21"/>
                <w:sz w:val="21"/>
                <w:szCs w:val="21"/>
              </w:rPr>
              <w:t>现有工程许可排放量</w:t>
            </w:r>
            <w:r>
              <w:rPr>
                <w:rFonts w:ascii="Times New Roman" w:hAnsi="Times New Roman" w:eastAsia="宋体"/>
                <w:snapToGrid w:val="0"/>
                <w:color w:val="auto"/>
                <w:spacing w:val="-6"/>
                <w:kern w:val="21"/>
                <w:sz w:val="21"/>
                <w:szCs w:val="21"/>
              </w:rPr>
              <w:fldChar w:fldCharType="begin"/>
            </w:r>
            <w:r>
              <w:rPr>
                <w:rFonts w:ascii="Times New Roman" w:hAnsi="Times New Roman" w:eastAsia="宋体"/>
                <w:snapToGrid w:val="0"/>
                <w:color w:val="auto"/>
                <w:spacing w:val="-6"/>
                <w:kern w:val="21"/>
                <w:sz w:val="21"/>
                <w:szCs w:val="21"/>
              </w:rPr>
              <w:instrText xml:space="preserve"> = 2 \* GB3 \* MERGEFORMAT </w:instrText>
            </w:r>
            <w:r>
              <w:rPr>
                <w:rFonts w:ascii="Times New Roman" w:hAnsi="Times New Roman" w:eastAsia="宋体"/>
                <w:snapToGrid w:val="0"/>
                <w:color w:val="auto"/>
                <w:spacing w:val="-6"/>
                <w:kern w:val="21"/>
                <w:sz w:val="21"/>
                <w:szCs w:val="21"/>
              </w:rPr>
              <w:fldChar w:fldCharType="separate"/>
            </w:r>
            <w:r>
              <w:rPr>
                <w:rFonts w:ascii="Times New Roman" w:hAnsi="Times New Roman" w:eastAsia="宋体"/>
                <w:snapToGrid w:val="0"/>
                <w:color w:val="auto"/>
                <w:spacing w:val="-6"/>
                <w:kern w:val="21"/>
                <w:sz w:val="21"/>
                <w:szCs w:val="21"/>
              </w:rPr>
              <w:t>②</w:t>
            </w:r>
            <w:r>
              <w:rPr>
                <w:rFonts w:ascii="Times New Roman" w:hAnsi="Times New Roman" w:eastAsia="宋体"/>
                <w:snapToGrid w:val="0"/>
                <w:color w:val="auto"/>
                <w:spacing w:val="-6"/>
                <w:kern w:val="21"/>
                <w:sz w:val="21"/>
                <w:szCs w:val="21"/>
              </w:rPr>
              <w:fldChar w:fldCharType="end"/>
            </w:r>
          </w:p>
        </w:tc>
        <w:tc>
          <w:tcPr>
            <w:tcW w:w="1595" w:type="dxa"/>
            <w:tcMar>
              <w:left w:w="28" w:type="dxa"/>
              <w:right w:w="28" w:type="dxa"/>
            </w:tcMar>
            <w:vAlign w:val="center"/>
          </w:tcPr>
          <w:p w14:paraId="2506A010">
            <w:pPr>
              <w:pStyle w:val="48"/>
              <w:tabs>
                <w:tab w:val="left" w:pos="7590"/>
              </w:tabs>
              <w:spacing w:beforeLines="0" w:afterLines="0" w:line="240" w:lineRule="auto"/>
              <w:ind w:firstLine="0" w:firstLineChars="0"/>
              <w:rPr>
                <w:rFonts w:ascii="Times New Roman" w:hAnsi="Times New Roman" w:eastAsia="宋体"/>
                <w:snapToGrid w:val="0"/>
                <w:color w:val="auto"/>
                <w:spacing w:val="-6"/>
                <w:kern w:val="21"/>
                <w:sz w:val="21"/>
                <w:szCs w:val="21"/>
              </w:rPr>
            </w:pPr>
            <w:r>
              <w:rPr>
                <w:rFonts w:ascii="Times New Roman" w:hAnsi="Times New Roman" w:eastAsia="宋体"/>
                <w:snapToGrid w:val="0"/>
                <w:color w:val="auto"/>
                <w:spacing w:val="-6"/>
                <w:kern w:val="21"/>
                <w:sz w:val="21"/>
                <w:szCs w:val="21"/>
              </w:rPr>
              <w:t>在建工程排放量（固体废物产生量）</w:t>
            </w:r>
            <w:r>
              <w:rPr>
                <w:rFonts w:ascii="Times New Roman" w:hAnsi="Times New Roman" w:eastAsia="宋体"/>
                <w:snapToGrid w:val="0"/>
                <w:color w:val="auto"/>
                <w:spacing w:val="-6"/>
                <w:kern w:val="21"/>
                <w:sz w:val="21"/>
                <w:szCs w:val="21"/>
              </w:rPr>
              <w:fldChar w:fldCharType="begin"/>
            </w:r>
            <w:r>
              <w:rPr>
                <w:rFonts w:ascii="Times New Roman" w:hAnsi="Times New Roman" w:eastAsia="宋体"/>
                <w:snapToGrid w:val="0"/>
                <w:color w:val="auto"/>
                <w:spacing w:val="-6"/>
                <w:kern w:val="21"/>
                <w:sz w:val="21"/>
                <w:szCs w:val="21"/>
              </w:rPr>
              <w:instrText xml:space="preserve"> = 3 \* GB3 \* MERGEFORMAT </w:instrText>
            </w:r>
            <w:r>
              <w:rPr>
                <w:rFonts w:ascii="Times New Roman" w:hAnsi="Times New Roman" w:eastAsia="宋体"/>
                <w:snapToGrid w:val="0"/>
                <w:color w:val="auto"/>
                <w:spacing w:val="-6"/>
                <w:kern w:val="21"/>
                <w:sz w:val="21"/>
                <w:szCs w:val="21"/>
              </w:rPr>
              <w:fldChar w:fldCharType="separate"/>
            </w:r>
            <w:r>
              <w:rPr>
                <w:rFonts w:ascii="Times New Roman" w:hAnsi="Times New Roman" w:eastAsia="宋体"/>
                <w:color w:val="auto"/>
                <w:kern w:val="2"/>
                <w:sz w:val="21"/>
                <w:szCs w:val="21"/>
              </w:rPr>
              <w:t>③</w:t>
            </w:r>
            <w:r>
              <w:rPr>
                <w:rFonts w:ascii="Times New Roman" w:hAnsi="Times New Roman" w:eastAsia="宋体"/>
                <w:snapToGrid w:val="0"/>
                <w:color w:val="auto"/>
                <w:spacing w:val="-6"/>
                <w:kern w:val="21"/>
                <w:sz w:val="21"/>
                <w:szCs w:val="21"/>
              </w:rPr>
              <w:fldChar w:fldCharType="end"/>
            </w:r>
          </w:p>
        </w:tc>
        <w:tc>
          <w:tcPr>
            <w:tcW w:w="1531" w:type="dxa"/>
            <w:tcMar>
              <w:left w:w="28" w:type="dxa"/>
              <w:right w:w="28" w:type="dxa"/>
            </w:tcMar>
            <w:vAlign w:val="center"/>
          </w:tcPr>
          <w:p w14:paraId="48BD7C5E">
            <w:pPr>
              <w:pStyle w:val="48"/>
              <w:tabs>
                <w:tab w:val="left" w:pos="7590"/>
              </w:tabs>
              <w:spacing w:beforeLines="0" w:afterLines="0" w:line="240" w:lineRule="auto"/>
              <w:ind w:firstLine="0" w:firstLineChars="0"/>
              <w:rPr>
                <w:rFonts w:ascii="Times New Roman" w:hAnsi="Times New Roman" w:eastAsia="宋体"/>
                <w:snapToGrid w:val="0"/>
                <w:color w:val="auto"/>
                <w:spacing w:val="-6"/>
                <w:kern w:val="21"/>
                <w:sz w:val="21"/>
                <w:szCs w:val="21"/>
              </w:rPr>
            </w:pPr>
            <w:r>
              <w:rPr>
                <w:rFonts w:ascii="Times New Roman" w:hAnsi="Times New Roman" w:eastAsia="宋体"/>
                <w:snapToGrid w:val="0"/>
                <w:color w:val="auto"/>
                <w:spacing w:val="-6"/>
                <w:kern w:val="21"/>
                <w:sz w:val="21"/>
                <w:szCs w:val="21"/>
              </w:rPr>
              <w:t>本项目排放量（固体废物产生量）</w:t>
            </w:r>
            <w:r>
              <w:rPr>
                <w:rFonts w:ascii="Times New Roman" w:hAnsi="Times New Roman" w:eastAsia="宋体"/>
                <w:snapToGrid w:val="0"/>
                <w:color w:val="auto"/>
                <w:spacing w:val="-6"/>
                <w:kern w:val="21"/>
                <w:sz w:val="21"/>
                <w:szCs w:val="21"/>
              </w:rPr>
              <w:fldChar w:fldCharType="begin"/>
            </w:r>
            <w:r>
              <w:rPr>
                <w:rFonts w:ascii="Times New Roman" w:hAnsi="Times New Roman" w:eastAsia="宋体"/>
                <w:snapToGrid w:val="0"/>
                <w:color w:val="auto"/>
                <w:spacing w:val="-6"/>
                <w:kern w:val="21"/>
                <w:sz w:val="21"/>
                <w:szCs w:val="21"/>
              </w:rPr>
              <w:instrText xml:space="preserve"> = 4 \* GB3 \* MERGEFORMAT </w:instrText>
            </w:r>
            <w:r>
              <w:rPr>
                <w:rFonts w:ascii="Times New Roman" w:hAnsi="Times New Roman" w:eastAsia="宋体"/>
                <w:snapToGrid w:val="0"/>
                <w:color w:val="auto"/>
                <w:spacing w:val="-6"/>
                <w:kern w:val="21"/>
                <w:sz w:val="21"/>
                <w:szCs w:val="21"/>
              </w:rPr>
              <w:fldChar w:fldCharType="separate"/>
            </w:r>
            <w:r>
              <w:rPr>
                <w:rFonts w:ascii="Times New Roman" w:hAnsi="Times New Roman" w:eastAsia="宋体"/>
                <w:color w:val="auto"/>
                <w:kern w:val="2"/>
                <w:sz w:val="21"/>
                <w:szCs w:val="21"/>
              </w:rPr>
              <w:t>④</w:t>
            </w:r>
            <w:r>
              <w:rPr>
                <w:rFonts w:ascii="Times New Roman" w:hAnsi="Times New Roman" w:eastAsia="宋体"/>
                <w:snapToGrid w:val="0"/>
                <w:color w:val="auto"/>
                <w:spacing w:val="-6"/>
                <w:kern w:val="21"/>
                <w:sz w:val="21"/>
                <w:szCs w:val="21"/>
              </w:rPr>
              <w:fldChar w:fldCharType="end"/>
            </w:r>
          </w:p>
        </w:tc>
        <w:tc>
          <w:tcPr>
            <w:tcW w:w="1485" w:type="dxa"/>
            <w:tcMar>
              <w:left w:w="28" w:type="dxa"/>
              <w:right w:w="28" w:type="dxa"/>
            </w:tcMar>
            <w:vAlign w:val="center"/>
          </w:tcPr>
          <w:p w14:paraId="3ED22BB5">
            <w:pPr>
              <w:pStyle w:val="48"/>
              <w:tabs>
                <w:tab w:val="left" w:pos="7590"/>
              </w:tabs>
              <w:spacing w:beforeLines="0" w:afterLines="0" w:line="240" w:lineRule="auto"/>
              <w:ind w:firstLine="0" w:firstLineChars="0"/>
              <w:rPr>
                <w:rFonts w:ascii="Times New Roman" w:hAnsi="Times New Roman" w:eastAsia="宋体"/>
                <w:snapToGrid w:val="0"/>
                <w:color w:val="auto"/>
                <w:spacing w:val="-16"/>
                <w:kern w:val="21"/>
                <w:sz w:val="21"/>
                <w:szCs w:val="21"/>
              </w:rPr>
            </w:pPr>
            <w:r>
              <w:rPr>
                <w:rFonts w:ascii="Times New Roman" w:hAnsi="Times New Roman" w:eastAsia="宋体"/>
                <w:snapToGrid w:val="0"/>
                <w:color w:val="auto"/>
                <w:spacing w:val="-16"/>
                <w:kern w:val="21"/>
                <w:sz w:val="21"/>
                <w:szCs w:val="21"/>
              </w:rPr>
              <w:t>以新带老削减量</w:t>
            </w:r>
          </w:p>
          <w:p w14:paraId="4F0458A3">
            <w:pPr>
              <w:pStyle w:val="48"/>
              <w:tabs>
                <w:tab w:val="left" w:pos="7590"/>
              </w:tabs>
              <w:spacing w:beforeLines="0" w:afterLines="0" w:line="240" w:lineRule="auto"/>
              <w:ind w:firstLine="0" w:firstLineChars="0"/>
              <w:rPr>
                <w:rFonts w:ascii="Times New Roman" w:hAnsi="Times New Roman" w:eastAsia="宋体"/>
                <w:snapToGrid w:val="0"/>
                <w:color w:val="auto"/>
                <w:spacing w:val="-16"/>
                <w:kern w:val="21"/>
                <w:sz w:val="21"/>
                <w:szCs w:val="21"/>
              </w:rPr>
            </w:pPr>
            <w:r>
              <w:rPr>
                <w:rFonts w:ascii="Times New Roman" w:hAnsi="Times New Roman" w:eastAsia="宋体"/>
                <w:snapToGrid w:val="0"/>
                <w:color w:val="auto"/>
                <w:spacing w:val="-16"/>
                <w:kern w:val="21"/>
                <w:sz w:val="21"/>
                <w:szCs w:val="21"/>
              </w:rPr>
              <w:t>（新建项目不填）</w:t>
            </w:r>
          </w:p>
          <w:p w14:paraId="1908B5AC">
            <w:pPr>
              <w:pStyle w:val="48"/>
              <w:tabs>
                <w:tab w:val="left" w:pos="7590"/>
              </w:tabs>
              <w:spacing w:beforeLines="0" w:afterLines="0" w:line="240" w:lineRule="auto"/>
              <w:ind w:firstLine="0" w:firstLineChars="0"/>
              <w:rPr>
                <w:rFonts w:ascii="Times New Roman" w:hAnsi="Times New Roman" w:eastAsia="宋体"/>
                <w:snapToGrid w:val="0"/>
                <w:color w:val="auto"/>
                <w:spacing w:val="-16"/>
                <w:kern w:val="21"/>
                <w:sz w:val="21"/>
                <w:szCs w:val="21"/>
              </w:rPr>
            </w:pPr>
            <w:r>
              <w:rPr>
                <w:rFonts w:ascii="Times New Roman" w:hAnsi="Times New Roman" w:eastAsia="宋体"/>
                <w:snapToGrid w:val="0"/>
                <w:color w:val="auto"/>
                <w:spacing w:val="-16"/>
                <w:kern w:val="21"/>
                <w:sz w:val="21"/>
                <w:szCs w:val="21"/>
              </w:rPr>
              <w:fldChar w:fldCharType="begin"/>
            </w:r>
            <w:r>
              <w:rPr>
                <w:rFonts w:ascii="Times New Roman" w:hAnsi="Times New Roman" w:eastAsia="宋体"/>
                <w:snapToGrid w:val="0"/>
                <w:color w:val="auto"/>
                <w:spacing w:val="-16"/>
                <w:kern w:val="21"/>
                <w:sz w:val="21"/>
                <w:szCs w:val="21"/>
              </w:rPr>
              <w:instrText xml:space="preserve"> = 5 \* GB3 \* MERGEFORMAT </w:instrText>
            </w:r>
            <w:r>
              <w:rPr>
                <w:rFonts w:ascii="Times New Roman" w:hAnsi="Times New Roman" w:eastAsia="宋体"/>
                <w:snapToGrid w:val="0"/>
                <w:color w:val="auto"/>
                <w:spacing w:val="-16"/>
                <w:kern w:val="21"/>
                <w:sz w:val="21"/>
                <w:szCs w:val="21"/>
              </w:rPr>
              <w:fldChar w:fldCharType="separate"/>
            </w:r>
            <w:r>
              <w:rPr>
                <w:rFonts w:ascii="Times New Roman" w:hAnsi="Times New Roman" w:eastAsia="宋体"/>
                <w:color w:val="auto"/>
                <w:kern w:val="2"/>
                <w:sz w:val="21"/>
                <w:szCs w:val="21"/>
              </w:rPr>
              <w:t>⑤</w:t>
            </w:r>
            <w:r>
              <w:rPr>
                <w:rFonts w:ascii="Times New Roman" w:hAnsi="Times New Roman" w:eastAsia="宋体"/>
                <w:snapToGrid w:val="0"/>
                <w:color w:val="auto"/>
                <w:spacing w:val="-16"/>
                <w:kern w:val="21"/>
                <w:sz w:val="21"/>
                <w:szCs w:val="21"/>
              </w:rPr>
              <w:fldChar w:fldCharType="end"/>
            </w:r>
          </w:p>
        </w:tc>
        <w:tc>
          <w:tcPr>
            <w:tcW w:w="1415" w:type="dxa"/>
            <w:tcMar>
              <w:left w:w="28" w:type="dxa"/>
              <w:right w:w="28" w:type="dxa"/>
            </w:tcMar>
            <w:vAlign w:val="center"/>
          </w:tcPr>
          <w:p w14:paraId="07DCC80B">
            <w:pPr>
              <w:pStyle w:val="48"/>
              <w:tabs>
                <w:tab w:val="left" w:pos="7590"/>
              </w:tabs>
              <w:spacing w:beforeLines="0" w:afterLines="0" w:line="240" w:lineRule="auto"/>
              <w:ind w:firstLine="0" w:firstLineChars="0"/>
              <w:rPr>
                <w:rFonts w:ascii="Times New Roman" w:hAnsi="Times New Roman" w:eastAsia="宋体"/>
                <w:snapToGrid w:val="0"/>
                <w:color w:val="auto"/>
                <w:spacing w:val="-16"/>
                <w:kern w:val="21"/>
                <w:sz w:val="21"/>
                <w:szCs w:val="21"/>
              </w:rPr>
            </w:pPr>
            <w:r>
              <w:rPr>
                <w:rFonts w:ascii="Times New Roman" w:hAnsi="Times New Roman" w:eastAsia="宋体"/>
                <w:snapToGrid w:val="0"/>
                <w:color w:val="auto"/>
                <w:spacing w:val="-16"/>
                <w:kern w:val="21"/>
                <w:sz w:val="21"/>
                <w:szCs w:val="21"/>
              </w:rPr>
              <w:t>本项目建成后全厂排放量（固体废物产生量）</w:t>
            </w:r>
            <w:r>
              <w:rPr>
                <w:rFonts w:ascii="Times New Roman" w:hAnsi="Times New Roman" w:eastAsia="宋体"/>
                <w:snapToGrid w:val="0"/>
                <w:color w:val="auto"/>
                <w:spacing w:val="-16"/>
                <w:kern w:val="21"/>
                <w:sz w:val="21"/>
                <w:szCs w:val="21"/>
              </w:rPr>
              <w:fldChar w:fldCharType="begin"/>
            </w:r>
            <w:r>
              <w:rPr>
                <w:rFonts w:ascii="Times New Roman" w:hAnsi="Times New Roman" w:eastAsia="宋体"/>
                <w:snapToGrid w:val="0"/>
                <w:color w:val="auto"/>
                <w:spacing w:val="-16"/>
                <w:kern w:val="21"/>
                <w:sz w:val="21"/>
                <w:szCs w:val="21"/>
              </w:rPr>
              <w:instrText xml:space="preserve"> = 6 \* GB3 \* MERGEFORMAT </w:instrText>
            </w:r>
            <w:r>
              <w:rPr>
                <w:rFonts w:ascii="Times New Roman" w:hAnsi="Times New Roman" w:eastAsia="宋体"/>
                <w:snapToGrid w:val="0"/>
                <w:color w:val="auto"/>
                <w:spacing w:val="-16"/>
                <w:kern w:val="21"/>
                <w:sz w:val="21"/>
                <w:szCs w:val="21"/>
              </w:rPr>
              <w:fldChar w:fldCharType="separate"/>
            </w:r>
            <w:r>
              <w:rPr>
                <w:rFonts w:ascii="Times New Roman" w:hAnsi="Times New Roman" w:eastAsia="宋体"/>
                <w:color w:val="auto"/>
                <w:kern w:val="2"/>
                <w:sz w:val="21"/>
                <w:szCs w:val="21"/>
              </w:rPr>
              <w:t>⑥</w:t>
            </w:r>
            <w:r>
              <w:rPr>
                <w:rFonts w:ascii="Times New Roman" w:hAnsi="Times New Roman" w:eastAsia="宋体"/>
                <w:snapToGrid w:val="0"/>
                <w:color w:val="auto"/>
                <w:spacing w:val="-16"/>
                <w:kern w:val="21"/>
                <w:sz w:val="21"/>
                <w:szCs w:val="21"/>
              </w:rPr>
              <w:fldChar w:fldCharType="end"/>
            </w:r>
          </w:p>
        </w:tc>
        <w:tc>
          <w:tcPr>
            <w:tcW w:w="1488" w:type="dxa"/>
            <w:tcMar>
              <w:left w:w="28" w:type="dxa"/>
              <w:right w:w="28" w:type="dxa"/>
            </w:tcMar>
            <w:vAlign w:val="center"/>
          </w:tcPr>
          <w:p w14:paraId="55029BD1">
            <w:pPr>
              <w:pStyle w:val="48"/>
              <w:tabs>
                <w:tab w:val="left" w:pos="7590"/>
              </w:tabs>
              <w:spacing w:beforeLines="0" w:afterLines="0" w:line="240" w:lineRule="auto"/>
              <w:ind w:firstLine="0" w:firstLineChars="0"/>
              <w:rPr>
                <w:rFonts w:ascii="Times New Roman" w:hAnsi="Times New Roman" w:eastAsia="宋体"/>
                <w:snapToGrid w:val="0"/>
                <w:color w:val="auto"/>
                <w:spacing w:val="-6"/>
                <w:kern w:val="21"/>
                <w:sz w:val="21"/>
                <w:szCs w:val="21"/>
              </w:rPr>
            </w:pPr>
            <w:r>
              <w:rPr>
                <w:rFonts w:ascii="Times New Roman" w:hAnsi="Times New Roman" w:eastAsia="宋体"/>
                <w:snapToGrid w:val="0"/>
                <w:color w:val="auto"/>
                <w:spacing w:val="-6"/>
                <w:kern w:val="21"/>
                <w:sz w:val="21"/>
                <w:szCs w:val="21"/>
              </w:rPr>
              <w:t>变化量</w:t>
            </w:r>
          </w:p>
          <w:p w14:paraId="117F61CD">
            <w:pPr>
              <w:pStyle w:val="48"/>
              <w:tabs>
                <w:tab w:val="left" w:pos="7590"/>
              </w:tabs>
              <w:spacing w:beforeLines="0" w:afterLines="0" w:line="240" w:lineRule="auto"/>
              <w:ind w:firstLine="0" w:firstLineChars="0"/>
              <w:rPr>
                <w:rFonts w:ascii="Times New Roman" w:hAnsi="Times New Roman" w:eastAsia="宋体"/>
                <w:snapToGrid w:val="0"/>
                <w:color w:val="auto"/>
                <w:spacing w:val="-6"/>
                <w:kern w:val="21"/>
                <w:sz w:val="21"/>
                <w:szCs w:val="21"/>
              </w:rPr>
            </w:pPr>
            <w:r>
              <w:rPr>
                <w:rFonts w:ascii="Times New Roman" w:hAnsi="Times New Roman" w:eastAsia="宋体"/>
                <w:snapToGrid w:val="0"/>
                <w:color w:val="auto"/>
                <w:spacing w:val="-6"/>
                <w:kern w:val="21"/>
                <w:sz w:val="21"/>
                <w:szCs w:val="21"/>
              </w:rPr>
              <w:fldChar w:fldCharType="begin"/>
            </w:r>
            <w:r>
              <w:rPr>
                <w:rFonts w:ascii="Times New Roman" w:hAnsi="Times New Roman" w:eastAsia="宋体"/>
                <w:snapToGrid w:val="0"/>
                <w:color w:val="auto"/>
                <w:spacing w:val="-6"/>
                <w:kern w:val="21"/>
                <w:sz w:val="21"/>
                <w:szCs w:val="21"/>
              </w:rPr>
              <w:instrText xml:space="preserve"> = 7 \* GB3 \* MERGEFORMAT </w:instrText>
            </w:r>
            <w:r>
              <w:rPr>
                <w:rFonts w:ascii="Times New Roman" w:hAnsi="Times New Roman" w:eastAsia="宋体"/>
                <w:snapToGrid w:val="0"/>
                <w:color w:val="auto"/>
                <w:spacing w:val="-6"/>
                <w:kern w:val="21"/>
                <w:sz w:val="21"/>
                <w:szCs w:val="21"/>
              </w:rPr>
              <w:fldChar w:fldCharType="separate"/>
            </w:r>
            <w:r>
              <w:rPr>
                <w:rFonts w:ascii="Times New Roman" w:hAnsi="Times New Roman" w:eastAsia="宋体"/>
                <w:color w:val="auto"/>
                <w:kern w:val="2"/>
                <w:sz w:val="21"/>
                <w:szCs w:val="21"/>
              </w:rPr>
              <w:t>⑦</w:t>
            </w:r>
            <w:r>
              <w:rPr>
                <w:rFonts w:ascii="Times New Roman" w:hAnsi="Times New Roman" w:eastAsia="宋体"/>
                <w:snapToGrid w:val="0"/>
                <w:color w:val="auto"/>
                <w:spacing w:val="-6"/>
                <w:kern w:val="21"/>
                <w:sz w:val="21"/>
                <w:szCs w:val="21"/>
              </w:rPr>
              <w:fldChar w:fldCharType="end"/>
            </w:r>
          </w:p>
        </w:tc>
      </w:tr>
      <w:tr w14:paraId="16B836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064" w:type="dxa"/>
            <w:vMerge w:val="restart"/>
            <w:vAlign w:val="center"/>
          </w:tcPr>
          <w:p w14:paraId="48A36483">
            <w:pPr>
              <w:pStyle w:val="48"/>
              <w:tabs>
                <w:tab w:val="left" w:pos="7590"/>
              </w:tabs>
              <w:spacing w:beforeLines="0" w:afterLines="0" w:line="240" w:lineRule="auto"/>
              <w:ind w:firstLine="0" w:firstLineChars="0"/>
              <w:rPr>
                <w:rFonts w:ascii="Times New Roman" w:hAnsi="Times New Roman" w:eastAsia="宋体"/>
                <w:snapToGrid w:val="0"/>
                <w:color w:val="auto"/>
                <w:kern w:val="21"/>
                <w:sz w:val="21"/>
                <w:szCs w:val="21"/>
              </w:rPr>
            </w:pPr>
            <w:r>
              <w:rPr>
                <w:rFonts w:ascii="Times New Roman" w:hAnsi="Times New Roman" w:eastAsia="宋体"/>
                <w:snapToGrid w:val="0"/>
                <w:color w:val="auto"/>
                <w:kern w:val="21"/>
                <w:sz w:val="21"/>
                <w:szCs w:val="21"/>
              </w:rPr>
              <w:t>废气</w:t>
            </w:r>
          </w:p>
        </w:tc>
        <w:tc>
          <w:tcPr>
            <w:tcW w:w="2178" w:type="dxa"/>
            <w:vAlign w:val="center"/>
          </w:tcPr>
          <w:p w14:paraId="16EEE32B">
            <w:pPr>
              <w:adjustRightInd w:val="0"/>
              <w:snapToGrid w:val="0"/>
              <w:jc w:val="center"/>
              <w:rPr>
                <w:color w:val="auto"/>
                <w:szCs w:val="21"/>
              </w:rPr>
            </w:pPr>
            <w:r>
              <w:rPr>
                <w:rFonts w:hint="eastAsia"/>
                <w:color w:val="auto"/>
                <w:szCs w:val="21"/>
              </w:rPr>
              <w:t>废气量</w:t>
            </w:r>
          </w:p>
        </w:tc>
        <w:tc>
          <w:tcPr>
            <w:tcW w:w="1737" w:type="dxa"/>
            <w:vAlign w:val="center"/>
          </w:tcPr>
          <w:p w14:paraId="30EB5E72">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295" w:type="dxa"/>
            <w:vAlign w:val="center"/>
          </w:tcPr>
          <w:p w14:paraId="19AD29C4">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595" w:type="dxa"/>
            <w:vAlign w:val="center"/>
          </w:tcPr>
          <w:p w14:paraId="0964566D">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531" w:type="dxa"/>
            <w:vAlign w:val="center"/>
          </w:tcPr>
          <w:p w14:paraId="2BD16333">
            <w:pPr>
              <w:adjustRightInd w:val="0"/>
              <w:snapToGrid w:val="0"/>
              <w:jc w:val="center"/>
              <w:rPr>
                <w:color w:val="auto"/>
                <w:szCs w:val="21"/>
              </w:rPr>
            </w:pPr>
            <w:r>
              <w:rPr>
                <w:rFonts w:hint="eastAsia"/>
                <w:color w:val="auto"/>
                <w:szCs w:val="21"/>
              </w:rPr>
              <w:t>4877万m</w:t>
            </w:r>
            <w:r>
              <w:rPr>
                <w:rFonts w:hint="eastAsia"/>
                <w:color w:val="auto"/>
                <w:szCs w:val="21"/>
                <w:vertAlign w:val="superscript"/>
              </w:rPr>
              <w:t>3</w:t>
            </w:r>
            <w:r>
              <w:rPr>
                <w:rFonts w:hint="eastAsia"/>
                <w:color w:val="auto"/>
                <w:szCs w:val="21"/>
              </w:rPr>
              <w:t>/a</w:t>
            </w:r>
          </w:p>
        </w:tc>
        <w:tc>
          <w:tcPr>
            <w:tcW w:w="1485" w:type="dxa"/>
            <w:vAlign w:val="center"/>
          </w:tcPr>
          <w:p w14:paraId="6887E516">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415" w:type="dxa"/>
            <w:vAlign w:val="center"/>
          </w:tcPr>
          <w:p w14:paraId="03DAF61B">
            <w:pPr>
              <w:adjustRightInd w:val="0"/>
              <w:snapToGrid w:val="0"/>
              <w:jc w:val="center"/>
              <w:rPr>
                <w:color w:val="auto"/>
                <w:szCs w:val="21"/>
              </w:rPr>
            </w:pPr>
            <w:r>
              <w:rPr>
                <w:rFonts w:hint="eastAsia"/>
                <w:color w:val="auto"/>
                <w:szCs w:val="21"/>
              </w:rPr>
              <w:t>4877万m</w:t>
            </w:r>
            <w:r>
              <w:rPr>
                <w:rFonts w:hint="eastAsia"/>
                <w:color w:val="auto"/>
                <w:szCs w:val="21"/>
                <w:vertAlign w:val="superscript"/>
              </w:rPr>
              <w:t>3</w:t>
            </w:r>
            <w:r>
              <w:rPr>
                <w:rFonts w:hint="eastAsia"/>
                <w:color w:val="auto"/>
                <w:szCs w:val="21"/>
              </w:rPr>
              <w:t>/a</w:t>
            </w:r>
          </w:p>
        </w:tc>
        <w:tc>
          <w:tcPr>
            <w:tcW w:w="1488" w:type="dxa"/>
            <w:vAlign w:val="center"/>
          </w:tcPr>
          <w:p w14:paraId="70B0876A">
            <w:pPr>
              <w:adjustRightInd w:val="0"/>
              <w:snapToGrid w:val="0"/>
              <w:jc w:val="center"/>
              <w:rPr>
                <w:color w:val="auto"/>
                <w:szCs w:val="21"/>
              </w:rPr>
            </w:pPr>
            <w:r>
              <w:rPr>
                <w:rFonts w:hint="eastAsia"/>
                <w:color w:val="auto"/>
                <w:szCs w:val="21"/>
              </w:rPr>
              <w:t>+4877万m</w:t>
            </w:r>
            <w:r>
              <w:rPr>
                <w:rFonts w:hint="eastAsia"/>
                <w:color w:val="auto"/>
                <w:szCs w:val="21"/>
                <w:vertAlign w:val="superscript"/>
              </w:rPr>
              <w:t>3</w:t>
            </w:r>
            <w:r>
              <w:rPr>
                <w:rFonts w:hint="eastAsia"/>
                <w:color w:val="auto"/>
                <w:szCs w:val="21"/>
              </w:rPr>
              <w:t>/a</w:t>
            </w:r>
          </w:p>
        </w:tc>
      </w:tr>
      <w:tr w14:paraId="69AE63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064" w:type="dxa"/>
            <w:vMerge w:val="continue"/>
            <w:vAlign w:val="center"/>
          </w:tcPr>
          <w:p w14:paraId="1B748E1F">
            <w:pPr>
              <w:pStyle w:val="48"/>
              <w:tabs>
                <w:tab w:val="left" w:pos="7590"/>
              </w:tabs>
              <w:spacing w:beforeLines="0" w:afterLines="0" w:line="240" w:lineRule="auto"/>
              <w:ind w:firstLine="0" w:firstLineChars="0"/>
              <w:rPr>
                <w:rFonts w:ascii="Times New Roman" w:hAnsi="Times New Roman" w:eastAsia="宋体"/>
                <w:snapToGrid w:val="0"/>
                <w:color w:val="auto"/>
                <w:kern w:val="21"/>
                <w:sz w:val="21"/>
                <w:szCs w:val="21"/>
              </w:rPr>
            </w:pPr>
          </w:p>
        </w:tc>
        <w:tc>
          <w:tcPr>
            <w:tcW w:w="2178" w:type="dxa"/>
            <w:vAlign w:val="center"/>
          </w:tcPr>
          <w:p w14:paraId="34DEE54C">
            <w:pPr>
              <w:adjustRightInd w:val="0"/>
              <w:snapToGrid w:val="0"/>
              <w:jc w:val="center"/>
              <w:rPr>
                <w:snapToGrid w:val="0"/>
                <w:color w:val="auto"/>
                <w:kern w:val="21"/>
                <w:szCs w:val="21"/>
              </w:rPr>
            </w:pPr>
            <w:r>
              <w:rPr>
                <w:rFonts w:hint="eastAsia"/>
                <w:color w:val="auto"/>
                <w:szCs w:val="21"/>
              </w:rPr>
              <w:t>VOCs（以非甲烷总烃计）</w:t>
            </w:r>
          </w:p>
        </w:tc>
        <w:tc>
          <w:tcPr>
            <w:tcW w:w="1737" w:type="dxa"/>
            <w:vAlign w:val="center"/>
          </w:tcPr>
          <w:p w14:paraId="4820AA7D">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295" w:type="dxa"/>
            <w:vAlign w:val="center"/>
          </w:tcPr>
          <w:p w14:paraId="7F353A71">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595" w:type="dxa"/>
            <w:vAlign w:val="center"/>
          </w:tcPr>
          <w:p w14:paraId="19DDF2AF">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531" w:type="dxa"/>
            <w:vAlign w:val="center"/>
          </w:tcPr>
          <w:p w14:paraId="58BF3A92">
            <w:pPr>
              <w:adjustRightInd w:val="0"/>
              <w:snapToGrid w:val="0"/>
              <w:jc w:val="center"/>
              <w:rPr>
                <w:snapToGrid w:val="0"/>
                <w:color w:val="auto"/>
                <w:kern w:val="21"/>
                <w:szCs w:val="21"/>
              </w:rPr>
            </w:pPr>
            <w:r>
              <w:rPr>
                <w:rFonts w:hint="eastAsia"/>
                <w:color w:val="auto"/>
                <w:szCs w:val="21"/>
                <w:lang w:val="en-US" w:eastAsia="zh-CN"/>
              </w:rPr>
              <w:t>6.664</w:t>
            </w:r>
            <w:r>
              <w:rPr>
                <w:color w:val="auto"/>
                <w:szCs w:val="21"/>
              </w:rPr>
              <w:t>t/a</w:t>
            </w:r>
          </w:p>
        </w:tc>
        <w:tc>
          <w:tcPr>
            <w:tcW w:w="1485" w:type="dxa"/>
            <w:vAlign w:val="center"/>
          </w:tcPr>
          <w:p w14:paraId="12AFB628">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415" w:type="dxa"/>
            <w:vAlign w:val="center"/>
          </w:tcPr>
          <w:p w14:paraId="76B5BA26">
            <w:pPr>
              <w:adjustRightInd w:val="0"/>
              <w:snapToGrid w:val="0"/>
              <w:jc w:val="center"/>
              <w:rPr>
                <w:snapToGrid w:val="0"/>
                <w:color w:val="auto"/>
                <w:kern w:val="21"/>
                <w:szCs w:val="21"/>
              </w:rPr>
            </w:pPr>
            <w:r>
              <w:rPr>
                <w:rFonts w:hint="eastAsia"/>
                <w:color w:val="auto"/>
                <w:szCs w:val="21"/>
                <w:lang w:val="en-US" w:eastAsia="zh-CN"/>
              </w:rPr>
              <w:t>6.664</w:t>
            </w:r>
            <w:r>
              <w:rPr>
                <w:color w:val="auto"/>
                <w:szCs w:val="21"/>
              </w:rPr>
              <w:t>t/a</w:t>
            </w:r>
          </w:p>
        </w:tc>
        <w:tc>
          <w:tcPr>
            <w:tcW w:w="1488" w:type="dxa"/>
            <w:vAlign w:val="center"/>
          </w:tcPr>
          <w:p w14:paraId="0C76013B">
            <w:pPr>
              <w:adjustRightInd w:val="0"/>
              <w:snapToGrid w:val="0"/>
              <w:jc w:val="center"/>
              <w:rPr>
                <w:snapToGrid w:val="0"/>
                <w:color w:val="auto"/>
                <w:kern w:val="21"/>
                <w:szCs w:val="21"/>
              </w:rPr>
            </w:pPr>
            <w:r>
              <w:rPr>
                <w:color w:val="auto"/>
                <w:szCs w:val="21"/>
              </w:rPr>
              <w:t>+</w:t>
            </w:r>
            <w:r>
              <w:rPr>
                <w:rFonts w:hint="eastAsia"/>
                <w:color w:val="auto"/>
                <w:szCs w:val="21"/>
                <w:lang w:val="en-US" w:eastAsia="zh-CN"/>
              </w:rPr>
              <w:t>6.664</w:t>
            </w:r>
            <w:r>
              <w:rPr>
                <w:color w:val="auto"/>
                <w:szCs w:val="21"/>
              </w:rPr>
              <w:t>t/a</w:t>
            </w:r>
          </w:p>
        </w:tc>
      </w:tr>
      <w:tr w14:paraId="051CC5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1064" w:type="dxa"/>
            <w:vMerge w:val="continue"/>
            <w:vAlign w:val="center"/>
          </w:tcPr>
          <w:p w14:paraId="014EBF42">
            <w:pPr>
              <w:pStyle w:val="48"/>
              <w:tabs>
                <w:tab w:val="left" w:pos="7590"/>
              </w:tabs>
              <w:spacing w:beforeLines="0" w:afterLines="0" w:line="240" w:lineRule="auto"/>
              <w:ind w:firstLine="0" w:firstLineChars="0"/>
              <w:rPr>
                <w:rFonts w:ascii="Times New Roman" w:hAnsi="Times New Roman" w:eastAsia="宋体"/>
                <w:snapToGrid w:val="0"/>
                <w:color w:val="auto"/>
                <w:kern w:val="21"/>
                <w:sz w:val="21"/>
                <w:szCs w:val="21"/>
              </w:rPr>
            </w:pPr>
          </w:p>
        </w:tc>
        <w:tc>
          <w:tcPr>
            <w:tcW w:w="2178" w:type="dxa"/>
            <w:vAlign w:val="center"/>
          </w:tcPr>
          <w:p w14:paraId="4663A907">
            <w:pPr>
              <w:adjustRightInd w:val="0"/>
              <w:snapToGrid w:val="0"/>
              <w:jc w:val="center"/>
              <w:rPr>
                <w:snapToGrid w:val="0"/>
                <w:color w:val="auto"/>
                <w:kern w:val="21"/>
                <w:szCs w:val="21"/>
              </w:rPr>
            </w:pPr>
            <w:r>
              <w:rPr>
                <w:color w:val="auto"/>
                <w:szCs w:val="21"/>
              </w:rPr>
              <w:t>颗粒物</w:t>
            </w:r>
          </w:p>
        </w:tc>
        <w:tc>
          <w:tcPr>
            <w:tcW w:w="1737" w:type="dxa"/>
            <w:vAlign w:val="center"/>
          </w:tcPr>
          <w:p w14:paraId="7907E48A">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295" w:type="dxa"/>
            <w:vAlign w:val="center"/>
          </w:tcPr>
          <w:p w14:paraId="1C77BC26">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595" w:type="dxa"/>
            <w:vAlign w:val="center"/>
          </w:tcPr>
          <w:p w14:paraId="1FD6BE80">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531" w:type="dxa"/>
            <w:vAlign w:val="center"/>
          </w:tcPr>
          <w:p w14:paraId="7C4C5E97">
            <w:pPr>
              <w:adjustRightInd w:val="0"/>
              <w:snapToGrid w:val="0"/>
              <w:jc w:val="center"/>
              <w:rPr>
                <w:snapToGrid w:val="0"/>
                <w:color w:val="auto"/>
                <w:kern w:val="21"/>
                <w:szCs w:val="21"/>
              </w:rPr>
            </w:pPr>
            <w:r>
              <w:rPr>
                <w:rFonts w:hint="eastAsia"/>
                <w:color w:val="auto"/>
                <w:szCs w:val="21"/>
              </w:rPr>
              <w:t>0.0215</w:t>
            </w:r>
            <w:r>
              <w:rPr>
                <w:color w:val="auto"/>
                <w:szCs w:val="21"/>
              </w:rPr>
              <w:t>t/a</w:t>
            </w:r>
          </w:p>
        </w:tc>
        <w:tc>
          <w:tcPr>
            <w:tcW w:w="1485" w:type="dxa"/>
            <w:vAlign w:val="center"/>
          </w:tcPr>
          <w:p w14:paraId="7B0C44E0">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415" w:type="dxa"/>
            <w:vAlign w:val="center"/>
          </w:tcPr>
          <w:p w14:paraId="3D220D7F">
            <w:pPr>
              <w:adjustRightInd w:val="0"/>
              <w:snapToGrid w:val="0"/>
              <w:jc w:val="center"/>
              <w:rPr>
                <w:snapToGrid w:val="0"/>
                <w:color w:val="auto"/>
                <w:kern w:val="21"/>
                <w:szCs w:val="21"/>
              </w:rPr>
            </w:pPr>
            <w:r>
              <w:rPr>
                <w:rFonts w:hint="eastAsia"/>
                <w:color w:val="auto"/>
                <w:szCs w:val="21"/>
              </w:rPr>
              <w:t>0.0215</w:t>
            </w:r>
            <w:r>
              <w:rPr>
                <w:color w:val="auto"/>
                <w:szCs w:val="21"/>
              </w:rPr>
              <w:t>t/a</w:t>
            </w:r>
          </w:p>
        </w:tc>
        <w:tc>
          <w:tcPr>
            <w:tcW w:w="1488" w:type="dxa"/>
            <w:vAlign w:val="center"/>
          </w:tcPr>
          <w:p w14:paraId="215E7DE3">
            <w:pPr>
              <w:adjustRightInd w:val="0"/>
              <w:snapToGrid w:val="0"/>
              <w:jc w:val="center"/>
              <w:rPr>
                <w:snapToGrid w:val="0"/>
                <w:color w:val="auto"/>
                <w:kern w:val="21"/>
                <w:szCs w:val="21"/>
              </w:rPr>
            </w:pPr>
            <w:r>
              <w:rPr>
                <w:color w:val="auto"/>
                <w:szCs w:val="21"/>
              </w:rPr>
              <w:t>+</w:t>
            </w:r>
            <w:r>
              <w:rPr>
                <w:rFonts w:hint="eastAsia"/>
                <w:color w:val="auto"/>
                <w:szCs w:val="21"/>
              </w:rPr>
              <w:t>0.0215</w:t>
            </w:r>
            <w:r>
              <w:rPr>
                <w:color w:val="auto"/>
                <w:szCs w:val="21"/>
              </w:rPr>
              <w:t>t/a</w:t>
            </w:r>
          </w:p>
        </w:tc>
      </w:tr>
      <w:tr w14:paraId="0C9CFB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1064" w:type="dxa"/>
            <w:vMerge w:val="continue"/>
            <w:vAlign w:val="center"/>
          </w:tcPr>
          <w:p w14:paraId="361117B1">
            <w:pPr>
              <w:pStyle w:val="48"/>
              <w:tabs>
                <w:tab w:val="left" w:pos="7590"/>
              </w:tabs>
              <w:spacing w:beforeLines="0" w:afterLines="0" w:line="240" w:lineRule="auto"/>
              <w:ind w:firstLine="0" w:firstLineChars="0"/>
              <w:rPr>
                <w:rFonts w:ascii="Times New Roman" w:hAnsi="Times New Roman" w:eastAsia="宋体"/>
                <w:color w:val="auto"/>
                <w:sz w:val="21"/>
                <w:szCs w:val="21"/>
              </w:rPr>
            </w:pPr>
          </w:p>
        </w:tc>
        <w:tc>
          <w:tcPr>
            <w:tcW w:w="2178" w:type="dxa"/>
            <w:vAlign w:val="center"/>
          </w:tcPr>
          <w:p w14:paraId="4EDD8480">
            <w:pPr>
              <w:adjustRightInd w:val="0"/>
              <w:snapToGrid w:val="0"/>
              <w:jc w:val="center"/>
              <w:rPr>
                <w:snapToGrid w:val="0"/>
                <w:color w:val="auto"/>
                <w:kern w:val="21"/>
                <w:szCs w:val="21"/>
              </w:rPr>
            </w:pPr>
            <w:r>
              <w:rPr>
                <w:color w:val="auto"/>
                <w:szCs w:val="21"/>
              </w:rPr>
              <w:t>SO</w:t>
            </w:r>
            <w:r>
              <w:rPr>
                <w:color w:val="auto"/>
                <w:szCs w:val="21"/>
                <w:vertAlign w:val="subscript"/>
              </w:rPr>
              <w:t>2</w:t>
            </w:r>
          </w:p>
        </w:tc>
        <w:tc>
          <w:tcPr>
            <w:tcW w:w="1737" w:type="dxa"/>
            <w:vAlign w:val="center"/>
          </w:tcPr>
          <w:p w14:paraId="3D78640E">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295" w:type="dxa"/>
            <w:vAlign w:val="center"/>
          </w:tcPr>
          <w:p w14:paraId="5000072F">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595" w:type="dxa"/>
            <w:vAlign w:val="center"/>
          </w:tcPr>
          <w:p w14:paraId="12A6E574">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531" w:type="dxa"/>
            <w:vAlign w:val="center"/>
          </w:tcPr>
          <w:p w14:paraId="158A581D">
            <w:pPr>
              <w:adjustRightInd w:val="0"/>
              <w:snapToGrid w:val="0"/>
              <w:jc w:val="center"/>
              <w:rPr>
                <w:snapToGrid w:val="0"/>
                <w:color w:val="auto"/>
                <w:kern w:val="21"/>
                <w:szCs w:val="21"/>
              </w:rPr>
            </w:pPr>
            <w:r>
              <w:rPr>
                <w:snapToGrid w:val="0"/>
                <w:color w:val="auto"/>
                <w:kern w:val="21"/>
                <w:szCs w:val="21"/>
              </w:rPr>
              <w:t>0.</w:t>
            </w:r>
            <w:r>
              <w:rPr>
                <w:rFonts w:hint="eastAsia"/>
                <w:snapToGrid w:val="0"/>
                <w:color w:val="auto"/>
                <w:kern w:val="21"/>
                <w:szCs w:val="21"/>
              </w:rPr>
              <w:t>003</w:t>
            </w:r>
            <w:r>
              <w:rPr>
                <w:color w:val="auto"/>
                <w:szCs w:val="21"/>
              </w:rPr>
              <w:t>t/a</w:t>
            </w:r>
          </w:p>
        </w:tc>
        <w:tc>
          <w:tcPr>
            <w:tcW w:w="1485" w:type="dxa"/>
            <w:vAlign w:val="center"/>
          </w:tcPr>
          <w:p w14:paraId="2DB32765">
            <w:pPr>
              <w:widowControl/>
              <w:adjustRightInd w:val="0"/>
              <w:snapToGrid w:val="0"/>
              <w:jc w:val="center"/>
              <w:textAlignment w:val="center"/>
              <w:rPr>
                <w:snapToGrid w:val="0"/>
                <w:color w:val="auto"/>
                <w:kern w:val="21"/>
                <w:szCs w:val="21"/>
              </w:rPr>
            </w:pPr>
          </w:p>
        </w:tc>
        <w:tc>
          <w:tcPr>
            <w:tcW w:w="1415" w:type="dxa"/>
            <w:vAlign w:val="center"/>
          </w:tcPr>
          <w:p w14:paraId="6597FC64">
            <w:pPr>
              <w:adjustRightInd w:val="0"/>
              <w:snapToGrid w:val="0"/>
              <w:jc w:val="center"/>
              <w:rPr>
                <w:snapToGrid w:val="0"/>
                <w:color w:val="auto"/>
                <w:kern w:val="21"/>
                <w:szCs w:val="21"/>
              </w:rPr>
            </w:pPr>
            <w:r>
              <w:rPr>
                <w:snapToGrid w:val="0"/>
                <w:color w:val="auto"/>
                <w:kern w:val="21"/>
                <w:szCs w:val="21"/>
              </w:rPr>
              <w:t>0.</w:t>
            </w:r>
            <w:r>
              <w:rPr>
                <w:rFonts w:hint="eastAsia"/>
                <w:snapToGrid w:val="0"/>
                <w:color w:val="auto"/>
                <w:kern w:val="21"/>
                <w:szCs w:val="21"/>
              </w:rPr>
              <w:t>003</w:t>
            </w:r>
            <w:r>
              <w:rPr>
                <w:color w:val="auto"/>
                <w:szCs w:val="21"/>
              </w:rPr>
              <w:t>t/a</w:t>
            </w:r>
          </w:p>
        </w:tc>
        <w:tc>
          <w:tcPr>
            <w:tcW w:w="1488" w:type="dxa"/>
            <w:vAlign w:val="center"/>
          </w:tcPr>
          <w:p w14:paraId="35F66A0D">
            <w:pPr>
              <w:adjustRightInd w:val="0"/>
              <w:snapToGrid w:val="0"/>
              <w:jc w:val="center"/>
              <w:rPr>
                <w:snapToGrid w:val="0"/>
                <w:color w:val="auto"/>
                <w:kern w:val="21"/>
                <w:szCs w:val="21"/>
              </w:rPr>
            </w:pPr>
            <w:r>
              <w:rPr>
                <w:color w:val="auto"/>
                <w:szCs w:val="21"/>
              </w:rPr>
              <w:t>+</w:t>
            </w:r>
            <w:r>
              <w:rPr>
                <w:snapToGrid w:val="0"/>
                <w:color w:val="auto"/>
                <w:kern w:val="21"/>
                <w:szCs w:val="21"/>
              </w:rPr>
              <w:t>0.</w:t>
            </w:r>
            <w:r>
              <w:rPr>
                <w:rFonts w:hint="eastAsia"/>
                <w:snapToGrid w:val="0"/>
                <w:color w:val="auto"/>
                <w:kern w:val="21"/>
                <w:szCs w:val="21"/>
              </w:rPr>
              <w:t>003</w:t>
            </w:r>
            <w:r>
              <w:rPr>
                <w:color w:val="auto"/>
                <w:szCs w:val="21"/>
              </w:rPr>
              <w:t>t/a</w:t>
            </w:r>
          </w:p>
        </w:tc>
      </w:tr>
      <w:tr w14:paraId="0F9F8B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1064" w:type="dxa"/>
            <w:vMerge w:val="continue"/>
            <w:vAlign w:val="center"/>
          </w:tcPr>
          <w:p w14:paraId="53160354">
            <w:pPr>
              <w:pStyle w:val="48"/>
              <w:tabs>
                <w:tab w:val="left" w:pos="7590"/>
              </w:tabs>
              <w:spacing w:beforeLines="0" w:afterLines="0" w:line="240" w:lineRule="auto"/>
              <w:ind w:firstLine="0" w:firstLineChars="0"/>
              <w:rPr>
                <w:rFonts w:ascii="Times New Roman" w:hAnsi="Times New Roman" w:eastAsia="宋体"/>
                <w:color w:val="auto"/>
                <w:sz w:val="21"/>
                <w:szCs w:val="21"/>
              </w:rPr>
            </w:pPr>
          </w:p>
        </w:tc>
        <w:tc>
          <w:tcPr>
            <w:tcW w:w="2178" w:type="dxa"/>
            <w:vAlign w:val="center"/>
          </w:tcPr>
          <w:p w14:paraId="2F1388F9">
            <w:pPr>
              <w:adjustRightInd w:val="0"/>
              <w:snapToGrid w:val="0"/>
              <w:jc w:val="center"/>
              <w:rPr>
                <w:color w:val="auto"/>
                <w:szCs w:val="21"/>
              </w:rPr>
            </w:pPr>
            <w:r>
              <w:rPr>
                <w:color w:val="auto"/>
                <w:szCs w:val="21"/>
              </w:rPr>
              <w:t>NOx</w:t>
            </w:r>
          </w:p>
        </w:tc>
        <w:tc>
          <w:tcPr>
            <w:tcW w:w="1737" w:type="dxa"/>
            <w:vAlign w:val="center"/>
          </w:tcPr>
          <w:p w14:paraId="5B8B8095">
            <w:pPr>
              <w:widowControl/>
              <w:adjustRightInd w:val="0"/>
              <w:snapToGrid w:val="0"/>
              <w:jc w:val="center"/>
              <w:textAlignment w:val="center"/>
              <w:rPr>
                <w:color w:val="auto"/>
                <w:szCs w:val="21"/>
              </w:rPr>
            </w:pPr>
            <w:r>
              <w:rPr>
                <w:snapToGrid w:val="0"/>
                <w:color w:val="auto"/>
                <w:kern w:val="21"/>
                <w:szCs w:val="21"/>
              </w:rPr>
              <w:t>/</w:t>
            </w:r>
          </w:p>
        </w:tc>
        <w:tc>
          <w:tcPr>
            <w:tcW w:w="1295" w:type="dxa"/>
            <w:vAlign w:val="center"/>
          </w:tcPr>
          <w:p w14:paraId="46C8F2A2">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595" w:type="dxa"/>
            <w:vAlign w:val="center"/>
          </w:tcPr>
          <w:p w14:paraId="4DCD8987">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531" w:type="dxa"/>
            <w:vAlign w:val="center"/>
          </w:tcPr>
          <w:p w14:paraId="210E6894">
            <w:pPr>
              <w:adjustRightInd w:val="0"/>
              <w:snapToGrid w:val="0"/>
              <w:jc w:val="center"/>
              <w:rPr>
                <w:color w:val="auto"/>
                <w:szCs w:val="21"/>
              </w:rPr>
            </w:pPr>
            <w:r>
              <w:rPr>
                <w:rFonts w:hint="eastAsia"/>
                <w:color w:val="auto"/>
                <w:szCs w:val="21"/>
              </w:rPr>
              <w:t>0.1403</w:t>
            </w:r>
            <w:r>
              <w:rPr>
                <w:color w:val="auto"/>
                <w:szCs w:val="21"/>
              </w:rPr>
              <w:t>t/a</w:t>
            </w:r>
          </w:p>
        </w:tc>
        <w:tc>
          <w:tcPr>
            <w:tcW w:w="1485" w:type="dxa"/>
            <w:vAlign w:val="center"/>
          </w:tcPr>
          <w:p w14:paraId="70D95A94">
            <w:pPr>
              <w:widowControl/>
              <w:adjustRightInd w:val="0"/>
              <w:snapToGrid w:val="0"/>
              <w:jc w:val="center"/>
              <w:textAlignment w:val="center"/>
              <w:rPr>
                <w:color w:val="auto"/>
                <w:szCs w:val="21"/>
              </w:rPr>
            </w:pPr>
            <w:r>
              <w:rPr>
                <w:snapToGrid w:val="0"/>
                <w:color w:val="auto"/>
                <w:kern w:val="21"/>
                <w:szCs w:val="21"/>
              </w:rPr>
              <w:t>/</w:t>
            </w:r>
          </w:p>
        </w:tc>
        <w:tc>
          <w:tcPr>
            <w:tcW w:w="1415" w:type="dxa"/>
            <w:vAlign w:val="center"/>
          </w:tcPr>
          <w:p w14:paraId="571A6AF6">
            <w:pPr>
              <w:adjustRightInd w:val="0"/>
              <w:snapToGrid w:val="0"/>
              <w:jc w:val="center"/>
              <w:rPr>
                <w:color w:val="auto"/>
                <w:szCs w:val="21"/>
              </w:rPr>
            </w:pPr>
            <w:r>
              <w:rPr>
                <w:rFonts w:hint="eastAsia"/>
                <w:color w:val="auto"/>
                <w:szCs w:val="21"/>
              </w:rPr>
              <w:t>0.1403</w:t>
            </w:r>
            <w:r>
              <w:rPr>
                <w:color w:val="auto"/>
                <w:szCs w:val="21"/>
              </w:rPr>
              <w:t>t/a</w:t>
            </w:r>
          </w:p>
        </w:tc>
        <w:tc>
          <w:tcPr>
            <w:tcW w:w="1488" w:type="dxa"/>
            <w:vAlign w:val="center"/>
          </w:tcPr>
          <w:p w14:paraId="21A5593B">
            <w:pPr>
              <w:adjustRightInd w:val="0"/>
              <w:snapToGrid w:val="0"/>
              <w:jc w:val="center"/>
              <w:rPr>
                <w:color w:val="auto"/>
                <w:szCs w:val="21"/>
              </w:rPr>
            </w:pPr>
            <w:r>
              <w:rPr>
                <w:color w:val="auto"/>
                <w:szCs w:val="21"/>
              </w:rPr>
              <w:t>+</w:t>
            </w:r>
            <w:r>
              <w:rPr>
                <w:rFonts w:hint="eastAsia"/>
                <w:color w:val="auto"/>
                <w:szCs w:val="21"/>
              </w:rPr>
              <w:t>0.1403</w:t>
            </w:r>
            <w:r>
              <w:rPr>
                <w:color w:val="auto"/>
                <w:szCs w:val="21"/>
              </w:rPr>
              <w:t>t/a</w:t>
            </w:r>
          </w:p>
        </w:tc>
      </w:tr>
      <w:tr w14:paraId="7E9F36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1064" w:type="dxa"/>
            <w:vMerge w:val="continue"/>
            <w:vAlign w:val="center"/>
          </w:tcPr>
          <w:p w14:paraId="598BD912">
            <w:pPr>
              <w:pStyle w:val="48"/>
              <w:tabs>
                <w:tab w:val="left" w:pos="7590"/>
              </w:tabs>
              <w:spacing w:beforeLines="0" w:afterLines="0" w:line="240" w:lineRule="auto"/>
              <w:ind w:firstLine="0" w:firstLineChars="0"/>
              <w:rPr>
                <w:rFonts w:ascii="Times New Roman" w:hAnsi="Times New Roman" w:eastAsia="宋体"/>
                <w:color w:val="auto"/>
                <w:sz w:val="21"/>
                <w:szCs w:val="21"/>
              </w:rPr>
            </w:pPr>
          </w:p>
        </w:tc>
        <w:tc>
          <w:tcPr>
            <w:tcW w:w="2178" w:type="dxa"/>
            <w:vAlign w:val="center"/>
          </w:tcPr>
          <w:p w14:paraId="7D26D521">
            <w:pPr>
              <w:adjustRightInd w:val="0"/>
              <w:snapToGrid w:val="0"/>
              <w:jc w:val="center"/>
              <w:rPr>
                <w:color w:val="auto"/>
                <w:szCs w:val="21"/>
              </w:rPr>
            </w:pPr>
            <w:r>
              <w:rPr>
                <w:rFonts w:hint="eastAsia"/>
                <w:color w:val="auto"/>
                <w:szCs w:val="21"/>
              </w:rPr>
              <w:t>甲醛</w:t>
            </w:r>
          </w:p>
        </w:tc>
        <w:tc>
          <w:tcPr>
            <w:tcW w:w="1737" w:type="dxa"/>
            <w:vAlign w:val="center"/>
          </w:tcPr>
          <w:p w14:paraId="320B8892">
            <w:pPr>
              <w:widowControl/>
              <w:adjustRightInd w:val="0"/>
              <w:snapToGrid w:val="0"/>
              <w:jc w:val="center"/>
              <w:textAlignment w:val="center"/>
              <w:rPr>
                <w:color w:val="auto"/>
                <w:szCs w:val="21"/>
              </w:rPr>
            </w:pPr>
            <w:r>
              <w:rPr>
                <w:snapToGrid w:val="0"/>
                <w:color w:val="auto"/>
                <w:kern w:val="21"/>
                <w:szCs w:val="21"/>
              </w:rPr>
              <w:t>/</w:t>
            </w:r>
          </w:p>
        </w:tc>
        <w:tc>
          <w:tcPr>
            <w:tcW w:w="1295" w:type="dxa"/>
            <w:vAlign w:val="center"/>
          </w:tcPr>
          <w:p w14:paraId="4D6ED47D">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595" w:type="dxa"/>
            <w:vAlign w:val="center"/>
          </w:tcPr>
          <w:p w14:paraId="15933A29">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531" w:type="dxa"/>
            <w:vAlign w:val="center"/>
          </w:tcPr>
          <w:p w14:paraId="5EF30256">
            <w:pPr>
              <w:adjustRightInd w:val="0"/>
              <w:snapToGrid w:val="0"/>
              <w:jc w:val="center"/>
              <w:rPr>
                <w:color w:val="auto"/>
                <w:szCs w:val="21"/>
              </w:rPr>
            </w:pPr>
            <w:r>
              <w:rPr>
                <w:color w:val="auto"/>
                <w:szCs w:val="21"/>
              </w:rPr>
              <w:t>0.</w:t>
            </w:r>
            <w:r>
              <w:rPr>
                <w:rFonts w:hint="eastAsia"/>
                <w:color w:val="auto"/>
                <w:szCs w:val="21"/>
              </w:rPr>
              <w:t>211</w:t>
            </w:r>
            <w:r>
              <w:rPr>
                <w:color w:val="auto"/>
                <w:szCs w:val="21"/>
              </w:rPr>
              <w:t>t/a</w:t>
            </w:r>
          </w:p>
        </w:tc>
        <w:tc>
          <w:tcPr>
            <w:tcW w:w="1485" w:type="dxa"/>
            <w:vAlign w:val="center"/>
          </w:tcPr>
          <w:p w14:paraId="6BB511B1">
            <w:pPr>
              <w:widowControl/>
              <w:adjustRightInd w:val="0"/>
              <w:snapToGrid w:val="0"/>
              <w:jc w:val="center"/>
              <w:textAlignment w:val="center"/>
              <w:rPr>
                <w:color w:val="auto"/>
                <w:szCs w:val="21"/>
              </w:rPr>
            </w:pPr>
            <w:r>
              <w:rPr>
                <w:snapToGrid w:val="0"/>
                <w:color w:val="auto"/>
                <w:kern w:val="21"/>
                <w:szCs w:val="21"/>
              </w:rPr>
              <w:t>/</w:t>
            </w:r>
          </w:p>
        </w:tc>
        <w:tc>
          <w:tcPr>
            <w:tcW w:w="1415" w:type="dxa"/>
            <w:vAlign w:val="center"/>
          </w:tcPr>
          <w:p w14:paraId="5691A5ED">
            <w:pPr>
              <w:adjustRightInd w:val="0"/>
              <w:snapToGrid w:val="0"/>
              <w:jc w:val="center"/>
              <w:rPr>
                <w:color w:val="auto"/>
                <w:szCs w:val="21"/>
              </w:rPr>
            </w:pPr>
            <w:r>
              <w:rPr>
                <w:color w:val="auto"/>
                <w:szCs w:val="21"/>
              </w:rPr>
              <w:t>0.</w:t>
            </w:r>
            <w:r>
              <w:rPr>
                <w:rFonts w:hint="eastAsia"/>
                <w:color w:val="auto"/>
                <w:szCs w:val="21"/>
              </w:rPr>
              <w:t>211</w:t>
            </w:r>
            <w:r>
              <w:rPr>
                <w:color w:val="auto"/>
                <w:szCs w:val="21"/>
              </w:rPr>
              <w:t>t/a</w:t>
            </w:r>
          </w:p>
        </w:tc>
        <w:tc>
          <w:tcPr>
            <w:tcW w:w="1488" w:type="dxa"/>
            <w:vAlign w:val="center"/>
          </w:tcPr>
          <w:p w14:paraId="39B44E07">
            <w:pPr>
              <w:adjustRightInd w:val="0"/>
              <w:snapToGrid w:val="0"/>
              <w:jc w:val="center"/>
              <w:rPr>
                <w:color w:val="auto"/>
                <w:szCs w:val="21"/>
              </w:rPr>
            </w:pPr>
            <w:r>
              <w:rPr>
                <w:color w:val="auto"/>
                <w:szCs w:val="21"/>
              </w:rPr>
              <w:t>+0.</w:t>
            </w:r>
            <w:r>
              <w:rPr>
                <w:rFonts w:hint="eastAsia"/>
                <w:color w:val="auto"/>
                <w:szCs w:val="21"/>
              </w:rPr>
              <w:t>211</w:t>
            </w:r>
            <w:r>
              <w:rPr>
                <w:color w:val="auto"/>
                <w:szCs w:val="21"/>
              </w:rPr>
              <w:t>t/a</w:t>
            </w:r>
          </w:p>
        </w:tc>
      </w:tr>
      <w:tr w14:paraId="5951ED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64" w:type="dxa"/>
            <w:vMerge w:val="restart"/>
            <w:vAlign w:val="center"/>
          </w:tcPr>
          <w:p w14:paraId="32024EF6">
            <w:pPr>
              <w:pStyle w:val="48"/>
              <w:tabs>
                <w:tab w:val="left" w:pos="7590"/>
              </w:tabs>
              <w:spacing w:beforeLines="0" w:afterLines="0" w:line="240" w:lineRule="auto"/>
              <w:ind w:firstLine="0" w:firstLineChars="0"/>
              <w:rPr>
                <w:rFonts w:ascii="Times New Roman" w:hAnsi="Times New Roman" w:eastAsia="宋体"/>
                <w:snapToGrid w:val="0"/>
                <w:color w:val="auto"/>
                <w:kern w:val="21"/>
                <w:sz w:val="21"/>
                <w:szCs w:val="21"/>
              </w:rPr>
            </w:pPr>
            <w:r>
              <w:rPr>
                <w:rFonts w:ascii="Times New Roman" w:hAnsi="Times New Roman" w:eastAsia="宋体"/>
                <w:snapToGrid w:val="0"/>
                <w:color w:val="auto"/>
                <w:kern w:val="21"/>
                <w:sz w:val="21"/>
                <w:szCs w:val="21"/>
              </w:rPr>
              <w:t>废水</w:t>
            </w:r>
          </w:p>
        </w:tc>
        <w:tc>
          <w:tcPr>
            <w:tcW w:w="2178" w:type="dxa"/>
            <w:vAlign w:val="center"/>
          </w:tcPr>
          <w:p w14:paraId="0453FAE9">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737" w:type="dxa"/>
            <w:vAlign w:val="center"/>
          </w:tcPr>
          <w:p w14:paraId="0AE8BFA1">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295" w:type="dxa"/>
            <w:vAlign w:val="center"/>
          </w:tcPr>
          <w:p w14:paraId="76013CEC">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595" w:type="dxa"/>
            <w:vAlign w:val="center"/>
          </w:tcPr>
          <w:p w14:paraId="219131F7">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531" w:type="dxa"/>
            <w:vAlign w:val="center"/>
          </w:tcPr>
          <w:p w14:paraId="3A8AB278">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485" w:type="dxa"/>
            <w:vAlign w:val="center"/>
          </w:tcPr>
          <w:p w14:paraId="78DB7027">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415" w:type="dxa"/>
            <w:vAlign w:val="center"/>
          </w:tcPr>
          <w:p w14:paraId="2BF4851C">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488" w:type="dxa"/>
            <w:vAlign w:val="center"/>
          </w:tcPr>
          <w:p w14:paraId="1733BA56">
            <w:pPr>
              <w:widowControl/>
              <w:adjustRightInd w:val="0"/>
              <w:snapToGrid w:val="0"/>
              <w:jc w:val="center"/>
              <w:textAlignment w:val="center"/>
              <w:rPr>
                <w:snapToGrid w:val="0"/>
                <w:color w:val="auto"/>
                <w:kern w:val="21"/>
                <w:szCs w:val="21"/>
              </w:rPr>
            </w:pPr>
            <w:r>
              <w:rPr>
                <w:snapToGrid w:val="0"/>
                <w:color w:val="auto"/>
                <w:kern w:val="21"/>
                <w:szCs w:val="21"/>
              </w:rPr>
              <w:t>/</w:t>
            </w:r>
          </w:p>
        </w:tc>
      </w:tr>
      <w:tr w14:paraId="0BC5C6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064" w:type="dxa"/>
            <w:vMerge w:val="continue"/>
            <w:vAlign w:val="center"/>
          </w:tcPr>
          <w:p w14:paraId="5D8857D9">
            <w:pPr>
              <w:pStyle w:val="48"/>
              <w:tabs>
                <w:tab w:val="left" w:pos="7590"/>
              </w:tabs>
              <w:spacing w:beforeLines="0" w:afterLines="0" w:line="240" w:lineRule="auto"/>
              <w:ind w:firstLine="0" w:firstLineChars="0"/>
              <w:rPr>
                <w:rFonts w:ascii="Times New Roman" w:hAnsi="Times New Roman" w:eastAsia="宋体"/>
                <w:snapToGrid w:val="0"/>
                <w:color w:val="auto"/>
                <w:kern w:val="21"/>
                <w:sz w:val="21"/>
                <w:szCs w:val="21"/>
              </w:rPr>
            </w:pPr>
          </w:p>
        </w:tc>
        <w:tc>
          <w:tcPr>
            <w:tcW w:w="2178" w:type="dxa"/>
            <w:vAlign w:val="center"/>
          </w:tcPr>
          <w:p w14:paraId="77CC0EEC">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737" w:type="dxa"/>
            <w:vAlign w:val="center"/>
          </w:tcPr>
          <w:p w14:paraId="6DE7BF4F">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295" w:type="dxa"/>
            <w:vAlign w:val="center"/>
          </w:tcPr>
          <w:p w14:paraId="1F9DED62">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595" w:type="dxa"/>
            <w:vAlign w:val="center"/>
          </w:tcPr>
          <w:p w14:paraId="6AA1AA64">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531" w:type="dxa"/>
            <w:vAlign w:val="center"/>
          </w:tcPr>
          <w:p w14:paraId="1C017B0D">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485" w:type="dxa"/>
            <w:vAlign w:val="center"/>
          </w:tcPr>
          <w:p w14:paraId="379BD8CB">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415" w:type="dxa"/>
            <w:vAlign w:val="center"/>
          </w:tcPr>
          <w:p w14:paraId="04407176">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488" w:type="dxa"/>
            <w:vAlign w:val="center"/>
          </w:tcPr>
          <w:p w14:paraId="1A9A2F6F">
            <w:pPr>
              <w:widowControl/>
              <w:adjustRightInd w:val="0"/>
              <w:snapToGrid w:val="0"/>
              <w:jc w:val="center"/>
              <w:textAlignment w:val="center"/>
              <w:rPr>
                <w:snapToGrid w:val="0"/>
                <w:color w:val="auto"/>
                <w:kern w:val="21"/>
                <w:szCs w:val="21"/>
              </w:rPr>
            </w:pPr>
            <w:r>
              <w:rPr>
                <w:snapToGrid w:val="0"/>
                <w:color w:val="auto"/>
                <w:kern w:val="21"/>
                <w:szCs w:val="21"/>
              </w:rPr>
              <w:t>/</w:t>
            </w:r>
          </w:p>
        </w:tc>
      </w:tr>
      <w:tr w14:paraId="2988CD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064" w:type="dxa"/>
            <w:vMerge w:val="restart"/>
            <w:vAlign w:val="center"/>
          </w:tcPr>
          <w:p w14:paraId="73CA8010">
            <w:pPr>
              <w:pStyle w:val="48"/>
              <w:tabs>
                <w:tab w:val="left" w:pos="7590"/>
              </w:tabs>
              <w:spacing w:beforeLines="0" w:afterLines="0" w:line="240" w:lineRule="auto"/>
              <w:ind w:firstLine="0" w:firstLineChars="0"/>
              <w:rPr>
                <w:rFonts w:ascii="Times New Roman" w:hAnsi="Times New Roman" w:eastAsia="宋体"/>
                <w:snapToGrid w:val="0"/>
                <w:color w:val="auto"/>
                <w:kern w:val="21"/>
                <w:sz w:val="21"/>
                <w:szCs w:val="21"/>
              </w:rPr>
            </w:pPr>
            <w:r>
              <w:rPr>
                <w:rFonts w:ascii="Times New Roman" w:hAnsi="Times New Roman" w:eastAsia="宋体"/>
                <w:snapToGrid w:val="0"/>
                <w:color w:val="auto"/>
                <w:kern w:val="21"/>
                <w:sz w:val="21"/>
                <w:szCs w:val="21"/>
              </w:rPr>
              <w:t>一般工业固体废物</w:t>
            </w:r>
          </w:p>
        </w:tc>
        <w:tc>
          <w:tcPr>
            <w:tcW w:w="2178" w:type="dxa"/>
            <w:vAlign w:val="center"/>
          </w:tcPr>
          <w:p w14:paraId="3536D188">
            <w:pPr>
              <w:adjustRightInd w:val="0"/>
              <w:snapToGrid w:val="0"/>
              <w:jc w:val="center"/>
              <w:rPr>
                <w:snapToGrid w:val="0"/>
                <w:color w:val="auto"/>
                <w:kern w:val="21"/>
                <w:szCs w:val="21"/>
              </w:rPr>
            </w:pPr>
            <w:r>
              <w:rPr>
                <w:snapToGrid w:val="0"/>
                <w:color w:val="auto"/>
                <w:kern w:val="21"/>
                <w:szCs w:val="21"/>
              </w:rPr>
              <w:t>不合格品</w:t>
            </w:r>
          </w:p>
        </w:tc>
        <w:tc>
          <w:tcPr>
            <w:tcW w:w="1737" w:type="dxa"/>
            <w:vAlign w:val="center"/>
          </w:tcPr>
          <w:p w14:paraId="34F87234">
            <w:pPr>
              <w:widowControl/>
              <w:adjustRightInd w:val="0"/>
              <w:snapToGrid w:val="0"/>
              <w:jc w:val="center"/>
              <w:textAlignment w:val="center"/>
              <w:rPr>
                <w:color w:val="auto"/>
                <w:kern w:val="0"/>
                <w:szCs w:val="21"/>
                <w:lang w:bidi="ar"/>
              </w:rPr>
            </w:pPr>
            <w:r>
              <w:rPr>
                <w:snapToGrid w:val="0"/>
                <w:color w:val="auto"/>
                <w:kern w:val="21"/>
                <w:szCs w:val="21"/>
              </w:rPr>
              <w:t>/</w:t>
            </w:r>
          </w:p>
        </w:tc>
        <w:tc>
          <w:tcPr>
            <w:tcW w:w="1295" w:type="dxa"/>
            <w:vAlign w:val="center"/>
          </w:tcPr>
          <w:p w14:paraId="572CDCF0">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595" w:type="dxa"/>
            <w:vAlign w:val="center"/>
          </w:tcPr>
          <w:p w14:paraId="491D9419">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531" w:type="dxa"/>
            <w:vAlign w:val="center"/>
          </w:tcPr>
          <w:p w14:paraId="0359FA29">
            <w:pPr>
              <w:adjustRightInd w:val="0"/>
              <w:snapToGrid w:val="0"/>
              <w:jc w:val="center"/>
              <w:rPr>
                <w:color w:val="auto"/>
                <w:kern w:val="0"/>
                <w:szCs w:val="21"/>
                <w:lang w:bidi="ar"/>
              </w:rPr>
            </w:pPr>
            <w:r>
              <w:rPr>
                <w:rStyle w:val="68"/>
                <w:rFonts w:hint="eastAsia"/>
                <w:bCs/>
                <w:color w:val="auto"/>
                <w:szCs w:val="21"/>
                <w:lang w:eastAsia="zh-CN"/>
              </w:rPr>
              <w:t>0.015</w:t>
            </w:r>
            <w:r>
              <w:rPr>
                <w:rStyle w:val="68"/>
                <w:bCs/>
                <w:color w:val="auto"/>
                <w:szCs w:val="21"/>
              </w:rPr>
              <w:t>t/a</w:t>
            </w:r>
          </w:p>
        </w:tc>
        <w:tc>
          <w:tcPr>
            <w:tcW w:w="1485" w:type="dxa"/>
            <w:vAlign w:val="center"/>
          </w:tcPr>
          <w:p w14:paraId="48BCE3AE">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415" w:type="dxa"/>
            <w:vAlign w:val="center"/>
          </w:tcPr>
          <w:p w14:paraId="4FAF5808">
            <w:pPr>
              <w:adjustRightInd w:val="0"/>
              <w:snapToGrid w:val="0"/>
              <w:jc w:val="center"/>
              <w:rPr>
                <w:color w:val="auto"/>
                <w:kern w:val="0"/>
                <w:szCs w:val="21"/>
                <w:lang w:bidi="ar"/>
              </w:rPr>
            </w:pPr>
            <w:r>
              <w:rPr>
                <w:rStyle w:val="68"/>
                <w:rFonts w:hint="eastAsia"/>
                <w:bCs/>
                <w:color w:val="auto"/>
                <w:szCs w:val="21"/>
                <w:lang w:eastAsia="zh-CN"/>
              </w:rPr>
              <w:t>0.015</w:t>
            </w:r>
            <w:r>
              <w:rPr>
                <w:rStyle w:val="68"/>
                <w:bCs/>
                <w:color w:val="auto"/>
                <w:szCs w:val="21"/>
              </w:rPr>
              <w:t>t/a</w:t>
            </w:r>
          </w:p>
        </w:tc>
        <w:tc>
          <w:tcPr>
            <w:tcW w:w="1488" w:type="dxa"/>
            <w:vAlign w:val="center"/>
          </w:tcPr>
          <w:p w14:paraId="2F717143">
            <w:pPr>
              <w:adjustRightInd w:val="0"/>
              <w:snapToGrid w:val="0"/>
              <w:jc w:val="center"/>
              <w:rPr>
                <w:color w:val="auto"/>
                <w:kern w:val="0"/>
                <w:szCs w:val="21"/>
                <w:lang w:bidi="ar"/>
              </w:rPr>
            </w:pPr>
            <w:r>
              <w:rPr>
                <w:color w:val="auto"/>
                <w:szCs w:val="21"/>
              </w:rPr>
              <w:t>+</w:t>
            </w:r>
            <w:r>
              <w:rPr>
                <w:rStyle w:val="68"/>
                <w:rFonts w:hint="eastAsia"/>
                <w:bCs/>
                <w:color w:val="auto"/>
                <w:szCs w:val="21"/>
                <w:lang w:eastAsia="zh-CN"/>
              </w:rPr>
              <w:t>0.015</w:t>
            </w:r>
            <w:r>
              <w:rPr>
                <w:rStyle w:val="68"/>
                <w:bCs/>
                <w:color w:val="auto"/>
                <w:szCs w:val="21"/>
              </w:rPr>
              <w:t>t/a</w:t>
            </w:r>
          </w:p>
        </w:tc>
      </w:tr>
      <w:tr w14:paraId="0F6E87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064" w:type="dxa"/>
            <w:vMerge w:val="continue"/>
            <w:vAlign w:val="center"/>
          </w:tcPr>
          <w:p w14:paraId="3C79D2DA">
            <w:pPr>
              <w:pStyle w:val="48"/>
              <w:tabs>
                <w:tab w:val="left" w:pos="7590"/>
              </w:tabs>
              <w:spacing w:beforeLines="0" w:afterLines="0" w:line="240" w:lineRule="auto"/>
              <w:ind w:firstLine="0" w:firstLineChars="0"/>
              <w:rPr>
                <w:rFonts w:ascii="Times New Roman" w:hAnsi="Times New Roman" w:eastAsia="宋体"/>
                <w:snapToGrid w:val="0"/>
                <w:color w:val="auto"/>
                <w:kern w:val="21"/>
                <w:sz w:val="21"/>
                <w:szCs w:val="21"/>
              </w:rPr>
            </w:pPr>
          </w:p>
        </w:tc>
        <w:tc>
          <w:tcPr>
            <w:tcW w:w="2178" w:type="dxa"/>
            <w:vAlign w:val="center"/>
          </w:tcPr>
          <w:p w14:paraId="087E6769">
            <w:pPr>
              <w:adjustRightInd w:val="0"/>
              <w:snapToGrid w:val="0"/>
              <w:jc w:val="center"/>
              <w:rPr>
                <w:snapToGrid w:val="0"/>
                <w:color w:val="auto"/>
                <w:kern w:val="21"/>
                <w:szCs w:val="21"/>
              </w:rPr>
            </w:pPr>
            <w:r>
              <w:rPr>
                <w:rFonts w:hint="eastAsia"/>
                <w:bCs/>
                <w:snapToGrid w:val="0"/>
                <w:color w:val="auto"/>
                <w:kern w:val="0"/>
                <w:szCs w:val="21"/>
              </w:rPr>
              <w:t>废边角料</w:t>
            </w:r>
          </w:p>
        </w:tc>
        <w:tc>
          <w:tcPr>
            <w:tcW w:w="1737" w:type="dxa"/>
            <w:vAlign w:val="center"/>
          </w:tcPr>
          <w:p w14:paraId="57522D22">
            <w:pPr>
              <w:widowControl/>
              <w:adjustRightInd w:val="0"/>
              <w:snapToGrid w:val="0"/>
              <w:jc w:val="center"/>
              <w:textAlignment w:val="center"/>
              <w:rPr>
                <w:color w:val="auto"/>
                <w:kern w:val="0"/>
                <w:szCs w:val="21"/>
                <w:lang w:bidi="ar"/>
              </w:rPr>
            </w:pPr>
            <w:r>
              <w:rPr>
                <w:snapToGrid w:val="0"/>
                <w:color w:val="auto"/>
                <w:kern w:val="21"/>
                <w:szCs w:val="21"/>
              </w:rPr>
              <w:t>/</w:t>
            </w:r>
          </w:p>
        </w:tc>
        <w:tc>
          <w:tcPr>
            <w:tcW w:w="1295" w:type="dxa"/>
            <w:vAlign w:val="center"/>
          </w:tcPr>
          <w:p w14:paraId="221BB633">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595" w:type="dxa"/>
            <w:vAlign w:val="center"/>
          </w:tcPr>
          <w:p w14:paraId="461DA437">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531" w:type="dxa"/>
            <w:vAlign w:val="center"/>
          </w:tcPr>
          <w:p w14:paraId="59AB8BCB">
            <w:pPr>
              <w:adjustRightInd w:val="0"/>
              <w:snapToGrid w:val="0"/>
              <w:jc w:val="center"/>
              <w:rPr>
                <w:color w:val="auto"/>
                <w:kern w:val="0"/>
                <w:szCs w:val="21"/>
                <w:lang w:bidi="ar"/>
              </w:rPr>
            </w:pPr>
            <w:r>
              <w:rPr>
                <w:rStyle w:val="68"/>
                <w:rFonts w:hint="eastAsia"/>
                <w:bCs/>
                <w:color w:val="auto"/>
                <w:szCs w:val="21"/>
              </w:rPr>
              <w:t>2</w:t>
            </w:r>
            <w:r>
              <w:rPr>
                <w:rStyle w:val="68"/>
                <w:bCs/>
                <w:color w:val="auto"/>
                <w:szCs w:val="21"/>
              </w:rPr>
              <w:t>t/a</w:t>
            </w:r>
          </w:p>
        </w:tc>
        <w:tc>
          <w:tcPr>
            <w:tcW w:w="1485" w:type="dxa"/>
            <w:vAlign w:val="center"/>
          </w:tcPr>
          <w:p w14:paraId="629EE931">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415" w:type="dxa"/>
            <w:vAlign w:val="center"/>
          </w:tcPr>
          <w:p w14:paraId="2AC58556">
            <w:pPr>
              <w:adjustRightInd w:val="0"/>
              <w:snapToGrid w:val="0"/>
              <w:jc w:val="center"/>
              <w:rPr>
                <w:color w:val="auto"/>
                <w:kern w:val="0"/>
                <w:szCs w:val="21"/>
                <w:lang w:bidi="ar"/>
              </w:rPr>
            </w:pPr>
            <w:r>
              <w:rPr>
                <w:rStyle w:val="68"/>
                <w:rFonts w:hint="eastAsia"/>
                <w:bCs/>
                <w:color w:val="auto"/>
                <w:szCs w:val="21"/>
              </w:rPr>
              <w:t>2</w:t>
            </w:r>
            <w:r>
              <w:rPr>
                <w:rStyle w:val="68"/>
                <w:bCs/>
                <w:color w:val="auto"/>
                <w:szCs w:val="21"/>
              </w:rPr>
              <w:t>t/a</w:t>
            </w:r>
          </w:p>
        </w:tc>
        <w:tc>
          <w:tcPr>
            <w:tcW w:w="1488" w:type="dxa"/>
            <w:vAlign w:val="center"/>
          </w:tcPr>
          <w:p w14:paraId="5617AEF5">
            <w:pPr>
              <w:adjustRightInd w:val="0"/>
              <w:snapToGrid w:val="0"/>
              <w:jc w:val="center"/>
              <w:rPr>
                <w:color w:val="auto"/>
                <w:kern w:val="0"/>
                <w:szCs w:val="21"/>
                <w:lang w:bidi="ar"/>
              </w:rPr>
            </w:pPr>
            <w:r>
              <w:rPr>
                <w:color w:val="auto"/>
                <w:szCs w:val="21"/>
              </w:rPr>
              <w:t>+</w:t>
            </w:r>
            <w:r>
              <w:rPr>
                <w:rStyle w:val="68"/>
                <w:rFonts w:hint="eastAsia"/>
                <w:bCs/>
                <w:color w:val="auto"/>
                <w:szCs w:val="21"/>
              </w:rPr>
              <w:t>2</w:t>
            </w:r>
            <w:r>
              <w:rPr>
                <w:rStyle w:val="68"/>
                <w:bCs/>
                <w:color w:val="auto"/>
                <w:szCs w:val="21"/>
              </w:rPr>
              <w:t>t/a</w:t>
            </w:r>
          </w:p>
        </w:tc>
      </w:tr>
      <w:tr w14:paraId="46DBBE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064" w:type="dxa"/>
            <w:vMerge w:val="continue"/>
            <w:vAlign w:val="center"/>
          </w:tcPr>
          <w:p w14:paraId="34DAE5BF">
            <w:pPr>
              <w:pStyle w:val="48"/>
              <w:tabs>
                <w:tab w:val="left" w:pos="7590"/>
              </w:tabs>
              <w:spacing w:beforeLines="0" w:afterLines="0" w:line="240" w:lineRule="auto"/>
              <w:ind w:firstLine="0" w:firstLineChars="0"/>
              <w:rPr>
                <w:rFonts w:ascii="Times New Roman" w:hAnsi="Times New Roman" w:eastAsia="宋体"/>
                <w:color w:val="auto"/>
                <w:sz w:val="21"/>
                <w:szCs w:val="21"/>
              </w:rPr>
            </w:pPr>
          </w:p>
        </w:tc>
        <w:tc>
          <w:tcPr>
            <w:tcW w:w="2178" w:type="dxa"/>
            <w:vAlign w:val="center"/>
          </w:tcPr>
          <w:p w14:paraId="293B5E58">
            <w:pPr>
              <w:adjustRightInd w:val="0"/>
              <w:snapToGrid w:val="0"/>
              <w:jc w:val="center"/>
              <w:rPr>
                <w:snapToGrid w:val="0"/>
                <w:color w:val="auto"/>
                <w:kern w:val="21"/>
                <w:szCs w:val="21"/>
              </w:rPr>
            </w:pPr>
            <w:r>
              <w:rPr>
                <w:snapToGrid w:val="0"/>
                <w:color w:val="auto"/>
                <w:kern w:val="21"/>
                <w:szCs w:val="21"/>
              </w:rPr>
              <w:t>废包装材料</w:t>
            </w:r>
          </w:p>
        </w:tc>
        <w:tc>
          <w:tcPr>
            <w:tcW w:w="1737" w:type="dxa"/>
            <w:vAlign w:val="center"/>
          </w:tcPr>
          <w:p w14:paraId="6D0438F7">
            <w:pPr>
              <w:widowControl/>
              <w:adjustRightInd w:val="0"/>
              <w:snapToGrid w:val="0"/>
              <w:jc w:val="center"/>
              <w:textAlignment w:val="center"/>
              <w:rPr>
                <w:color w:val="auto"/>
                <w:kern w:val="0"/>
                <w:szCs w:val="21"/>
                <w:lang w:bidi="ar"/>
              </w:rPr>
            </w:pPr>
            <w:r>
              <w:rPr>
                <w:snapToGrid w:val="0"/>
                <w:color w:val="auto"/>
                <w:kern w:val="21"/>
                <w:szCs w:val="21"/>
              </w:rPr>
              <w:t>/</w:t>
            </w:r>
          </w:p>
        </w:tc>
        <w:tc>
          <w:tcPr>
            <w:tcW w:w="1295" w:type="dxa"/>
            <w:vAlign w:val="center"/>
          </w:tcPr>
          <w:p w14:paraId="7B494695">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595" w:type="dxa"/>
            <w:vAlign w:val="center"/>
          </w:tcPr>
          <w:p w14:paraId="3383C9C0">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531" w:type="dxa"/>
            <w:vAlign w:val="center"/>
          </w:tcPr>
          <w:p w14:paraId="4F64FFCC">
            <w:pPr>
              <w:adjustRightInd w:val="0"/>
              <w:snapToGrid w:val="0"/>
              <w:jc w:val="center"/>
              <w:rPr>
                <w:color w:val="auto"/>
                <w:kern w:val="0"/>
                <w:szCs w:val="21"/>
                <w:lang w:bidi="ar"/>
              </w:rPr>
            </w:pPr>
            <w:r>
              <w:rPr>
                <w:rStyle w:val="68"/>
                <w:rFonts w:hint="eastAsia"/>
                <w:bCs/>
                <w:color w:val="auto"/>
                <w:szCs w:val="21"/>
              </w:rPr>
              <w:t>0.5</w:t>
            </w:r>
            <w:r>
              <w:rPr>
                <w:rStyle w:val="68"/>
                <w:bCs/>
                <w:color w:val="auto"/>
                <w:szCs w:val="21"/>
              </w:rPr>
              <w:t>t/a</w:t>
            </w:r>
          </w:p>
        </w:tc>
        <w:tc>
          <w:tcPr>
            <w:tcW w:w="1485" w:type="dxa"/>
            <w:vAlign w:val="center"/>
          </w:tcPr>
          <w:p w14:paraId="7BDF94F7">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415" w:type="dxa"/>
            <w:vAlign w:val="center"/>
          </w:tcPr>
          <w:p w14:paraId="39360763">
            <w:pPr>
              <w:adjustRightInd w:val="0"/>
              <w:snapToGrid w:val="0"/>
              <w:jc w:val="center"/>
              <w:rPr>
                <w:color w:val="auto"/>
                <w:kern w:val="0"/>
                <w:szCs w:val="21"/>
                <w:lang w:bidi="ar"/>
              </w:rPr>
            </w:pPr>
            <w:r>
              <w:rPr>
                <w:rStyle w:val="68"/>
                <w:rFonts w:hint="eastAsia"/>
                <w:bCs/>
                <w:color w:val="auto"/>
                <w:szCs w:val="21"/>
              </w:rPr>
              <w:t>0.5</w:t>
            </w:r>
            <w:r>
              <w:rPr>
                <w:rStyle w:val="68"/>
                <w:bCs/>
                <w:color w:val="auto"/>
                <w:szCs w:val="21"/>
              </w:rPr>
              <w:t>t/a</w:t>
            </w:r>
          </w:p>
        </w:tc>
        <w:tc>
          <w:tcPr>
            <w:tcW w:w="1488" w:type="dxa"/>
            <w:vAlign w:val="center"/>
          </w:tcPr>
          <w:p w14:paraId="1B0E9849">
            <w:pPr>
              <w:adjustRightInd w:val="0"/>
              <w:snapToGrid w:val="0"/>
              <w:jc w:val="center"/>
              <w:rPr>
                <w:color w:val="auto"/>
                <w:kern w:val="0"/>
                <w:szCs w:val="21"/>
                <w:lang w:bidi="ar"/>
              </w:rPr>
            </w:pPr>
            <w:r>
              <w:rPr>
                <w:rStyle w:val="68"/>
                <w:rFonts w:hint="eastAsia"/>
                <w:bCs/>
                <w:color w:val="auto"/>
                <w:szCs w:val="21"/>
              </w:rPr>
              <w:t>+0.5</w:t>
            </w:r>
            <w:r>
              <w:rPr>
                <w:rStyle w:val="68"/>
                <w:bCs/>
                <w:color w:val="auto"/>
                <w:szCs w:val="21"/>
              </w:rPr>
              <w:t>t/a</w:t>
            </w:r>
          </w:p>
        </w:tc>
      </w:tr>
      <w:tr w14:paraId="771879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064" w:type="dxa"/>
            <w:vMerge w:val="continue"/>
            <w:vAlign w:val="center"/>
          </w:tcPr>
          <w:p w14:paraId="19DA9FF3">
            <w:pPr>
              <w:pStyle w:val="48"/>
              <w:tabs>
                <w:tab w:val="left" w:pos="7590"/>
              </w:tabs>
              <w:spacing w:beforeLines="0" w:afterLines="0" w:line="240" w:lineRule="auto"/>
              <w:ind w:firstLine="0" w:firstLineChars="0"/>
              <w:rPr>
                <w:rFonts w:ascii="Times New Roman" w:hAnsi="Times New Roman" w:eastAsia="宋体"/>
                <w:snapToGrid w:val="0"/>
                <w:color w:val="auto"/>
                <w:kern w:val="21"/>
                <w:sz w:val="21"/>
                <w:szCs w:val="21"/>
              </w:rPr>
            </w:pPr>
          </w:p>
        </w:tc>
        <w:tc>
          <w:tcPr>
            <w:tcW w:w="2178" w:type="dxa"/>
            <w:vAlign w:val="center"/>
          </w:tcPr>
          <w:p w14:paraId="4702B023">
            <w:pPr>
              <w:adjustRightInd w:val="0"/>
              <w:snapToGrid w:val="0"/>
              <w:jc w:val="center"/>
              <w:rPr>
                <w:snapToGrid w:val="0"/>
                <w:color w:val="auto"/>
                <w:kern w:val="21"/>
                <w:szCs w:val="21"/>
              </w:rPr>
            </w:pPr>
            <w:r>
              <w:rPr>
                <w:snapToGrid w:val="0"/>
                <w:color w:val="auto"/>
                <w:kern w:val="21"/>
                <w:szCs w:val="21"/>
              </w:rPr>
              <w:t>污泥</w:t>
            </w:r>
          </w:p>
        </w:tc>
        <w:tc>
          <w:tcPr>
            <w:tcW w:w="1737" w:type="dxa"/>
            <w:vAlign w:val="center"/>
          </w:tcPr>
          <w:p w14:paraId="1ECD5933">
            <w:pPr>
              <w:widowControl/>
              <w:adjustRightInd w:val="0"/>
              <w:snapToGrid w:val="0"/>
              <w:jc w:val="center"/>
              <w:textAlignment w:val="center"/>
              <w:rPr>
                <w:color w:val="auto"/>
                <w:kern w:val="0"/>
                <w:szCs w:val="21"/>
                <w:lang w:bidi="ar"/>
              </w:rPr>
            </w:pPr>
            <w:r>
              <w:rPr>
                <w:snapToGrid w:val="0"/>
                <w:color w:val="auto"/>
                <w:kern w:val="21"/>
                <w:szCs w:val="21"/>
              </w:rPr>
              <w:t>/</w:t>
            </w:r>
          </w:p>
        </w:tc>
        <w:tc>
          <w:tcPr>
            <w:tcW w:w="1295" w:type="dxa"/>
            <w:vAlign w:val="center"/>
          </w:tcPr>
          <w:p w14:paraId="3B58505A">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595" w:type="dxa"/>
            <w:vAlign w:val="center"/>
          </w:tcPr>
          <w:p w14:paraId="010CEBB9">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531" w:type="dxa"/>
            <w:vAlign w:val="center"/>
          </w:tcPr>
          <w:p w14:paraId="42B4F51B">
            <w:pPr>
              <w:adjustRightInd w:val="0"/>
              <w:snapToGrid w:val="0"/>
              <w:jc w:val="center"/>
              <w:rPr>
                <w:color w:val="auto"/>
                <w:kern w:val="0"/>
                <w:szCs w:val="21"/>
                <w:lang w:bidi="ar"/>
              </w:rPr>
            </w:pPr>
            <w:r>
              <w:rPr>
                <w:rFonts w:hint="eastAsia"/>
                <w:color w:val="auto"/>
                <w:kern w:val="0"/>
                <w:szCs w:val="21"/>
                <w:lang w:bidi="ar"/>
              </w:rPr>
              <w:t>0.787</w:t>
            </w:r>
            <w:r>
              <w:rPr>
                <w:color w:val="auto"/>
                <w:kern w:val="0"/>
                <w:szCs w:val="21"/>
                <w:lang w:bidi="ar"/>
              </w:rPr>
              <w:t>t/a</w:t>
            </w:r>
          </w:p>
        </w:tc>
        <w:tc>
          <w:tcPr>
            <w:tcW w:w="1485" w:type="dxa"/>
            <w:vAlign w:val="center"/>
          </w:tcPr>
          <w:p w14:paraId="3C6A06C3">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415" w:type="dxa"/>
            <w:vAlign w:val="center"/>
          </w:tcPr>
          <w:p w14:paraId="4C1247A5">
            <w:pPr>
              <w:adjustRightInd w:val="0"/>
              <w:snapToGrid w:val="0"/>
              <w:jc w:val="center"/>
              <w:rPr>
                <w:color w:val="auto"/>
                <w:kern w:val="0"/>
                <w:szCs w:val="21"/>
                <w:lang w:bidi="ar"/>
              </w:rPr>
            </w:pPr>
            <w:r>
              <w:rPr>
                <w:rFonts w:hint="eastAsia"/>
                <w:color w:val="auto"/>
                <w:kern w:val="0"/>
                <w:szCs w:val="21"/>
                <w:lang w:bidi="ar"/>
              </w:rPr>
              <w:t>0.787</w:t>
            </w:r>
            <w:r>
              <w:rPr>
                <w:color w:val="auto"/>
                <w:kern w:val="0"/>
                <w:szCs w:val="21"/>
                <w:lang w:bidi="ar"/>
              </w:rPr>
              <w:t>t/a</w:t>
            </w:r>
          </w:p>
        </w:tc>
        <w:tc>
          <w:tcPr>
            <w:tcW w:w="1488" w:type="dxa"/>
            <w:vAlign w:val="center"/>
          </w:tcPr>
          <w:p w14:paraId="2F48A136">
            <w:pPr>
              <w:adjustRightInd w:val="0"/>
              <w:snapToGrid w:val="0"/>
              <w:jc w:val="center"/>
              <w:rPr>
                <w:color w:val="auto"/>
                <w:kern w:val="0"/>
                <w:szCs w:val="21"/>
                <w:lang w:bidi="ar"/>
              </w:rPr>
            </w:pPr>
            <w:r>
              <w:rPr>
                <w:color w:val="auto"/>
                <w:szCs w:val="21"/>
              </w:rPr>
              <w:t>+</w:t>
            </w:r>
            <w:r>
              <w:rPr>
                <w:rFonts w:hint="eastAsia"/>
                <w:color w:val="auto"/>
                <w:kern w:val="0"/>
                <w:szCs w:val="21"/>
                <w:lang w:bidi="ar"/>
              </w:rPr>
              <w:t>0.787</w:t>
            </w:r>
            <w:r>
              <w:rPr>
                <w:color w:val="auto"/>
                <w:kern w:val="0"/>
                <w:szCs w:val="21"/>
                <w:lang w:bidi="ar"/>
              </w:rPr>
              <w:t>t/a</w:t>
            </w:r>
          </w:p>
        </w:tc>
      </w:tr>
      <w:tr w14:paraId="33AD81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064" w:type="dxa"/>
            <w:vMerge w:val="continue"/>
            <w:vAlign w:val="center"/>
          </w:tcPr>
          <w:p w14:paraId="7540F72B">
            <w:pPr>
              <w:pStyle w:val="48"/>
              <w:tabs>
                <w:tab w:val="left" w:pos="7590"/>
              </w:tabs>
              <w:spacing w:beforeLines="0" w:afterLines="0" w:line="240" w:lineRule="auto"/>
              <w:ind w:firstLine="0" w:firstLineChars="0"/>
              <w:rPr>
                <w:rFonts w:ascii="Times New Roman" w:hAnsi="Times New Roman" w:eastAsia="宋体"/>
                <w:snapToGrid w:val="0"/>
                <w:color w:val="auto"/>
                <w:kern w:val="21"/>
                <w:sz w:val="21"/>
                <w:szCs w:val="21"/>
              </w:rPr>
            </w:pPr>
          </w:p>
        </w:tc>
        <w:tc>
          <w:tcPr>
            <w:tcW w:w="2178" w:type="dxa"/>
            <w:vAlign w:val="center"/>
          </w:tcPr>
          <w:p w14:paraId="53384969">
            <w:pPr>
              <w:adjustRightInd w:val="0"/>
              <w:snapToGrid w:val="0"/>
              <w:jc w:val="center"/>
              <w:rPr>
                <w:snapToGrid w:val="0"/>
                <w:color w:val="auto"/>
                <w:kern w:val="21"/>
                <w:szCs w:val="21"/>
              </w:rPr>
            </w:pPr>
            <w:r>
              <w:rPr>
                <w:snapToGrid w:val="0"/>
                <w:color w:val="auto"/>
                <w:kern w:val="21"/>
                <w:szCs w:val="21"/>
              </w:rPr>
              <w:t>生活垃圾</w:t>
            </w:r>
          </w:p>
        </w:tc>
        <w:tc>
          <w:tcPr>
            <w:tcW w:w="1737" w:type="dxa"/>
            <w:vAlign w:val="center"/>
          </w:tcPr>
          <w:p w14:paraId="31F90CF5">
            <w:pPr>
              <w:widowControl/>
              <w:adjustRightInd w:val="0"/>
              <w:snapToGrid w:val="0"/>
              <w:jc w:val="center"/>
              <w:textAlignment w:val="center"/>
              <w:rPr>
                <w:color w:val="auto"/>
                <w:kern w:val="0"/>
                <w:szCs w:val="21"/>
                <w:lang w:bidi="ar"/>
              </w:rPr>
            </w:pPr>
            <w:r>
              <w:rPr>
                <w:snapToGrid w:val="0"/>
                <w:color w:val="auto"/>
                <w:kern w:val="21"/>
                <w:szCs w:val="21"/>
              </w:rPr>
              <w:t>/</w:t>
            </w:r>
          </w:p>
        </w:tc>
        <w:tc>
          <w:tcPr>
            <w:tcW w:w="1295" w:type="dxa"/>
            <w:vAlign w:val="center"/>
          </w:tcPr>
          <w:p w14:paraId="32154DFE">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595" w:type="dxa"/>
            <w:vAlign w:val="center"/>
          </w:tcPr>
          <w:p w14:paraId="5778E11D">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531" w:type="dxa"/>
            <w:vAlign w:val="center"/>
          </w:tcPr>
          <w:p w14:paraId="42BC76A5">
            <w:pPr>
              <w:adjustRightInd w:val="0"/>
              <w:snapToGrid w:val="0"/>
              <w:jc w:val="center"/>
              <w:rPr>
                <w:color w:val="auto"/>
                <w:kern w:val="0"/>
                <w:szCs w:val="21"/>
                <w:lang w:bidi="ar"/>
              </w:rPr>
            </w:pPr>
            <w:r>
              <w:rPr>
                <w:rFonts w:hint="eastAsia"/>
                <w:color w:val="auto"/>
                <w:kern w:val="0"/>
                <w:szCs w:val="21"/>
                <w:lang w:bidi="ar"/>
              </w:rPr>
              <w:t>2.4</w:t>
            </w:r>
            <w:r>
              <w:rPr>
                <w:color w:val="auto"/>
                <w:kern w:val="0"/>
                <w:szCs w:val="21"/>
                <w:lang w:bidi="ar"/>
              </w:rPr>
              <w:t>t/a</w:t>
            </w:r>
          </w:p>
        </w:tc>
        <w:tc>
          <w:tcPr>
            <w:tcW w:w="1485" w:type="dxa"/>
            <w:vAlign w:val="center"/>
          </w:tcPr>
          <w:p w14:paraId="7D36BB56">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415" w:type="dxa"/>
            <w:vAlign w:val="center"/>
          </w:tcPr>
          <w:p w14:paraId="2508E5B9">
            <w:pPr>
              <w:adjustRightInd w:val="0"/>
              <w:snapToGrid w:val="0"/>
              <w:jc w:val="center"/>
              <w:rPr>
                <w:color w:val="auto"/>
                <w:kern w:val="0"/>
                <w:szCs w:val="21"/>
                <w:lang w:bidi="ar"/>
              </w:rPr>
            </w:pPr>
            <w:r>
              <w:rPr>
                <w:rFonts w:hint="eastAsia"/>
                <w:color w:val="auto"/>
                <w:kern w:val="0"/>
                <w:szCs w:val="21"/>
                <w:lang w:bidi="ar"/>
              </w:rPr>
              <w:t>2.4</w:t>
            </w:r>
            <w:r>
              <w:rPr>
                <w:color w:val="auto"/>
                <w:kern w:val="0"/>
                <w:szCs w:val="21"/>
                <w:lang w:bidi="ar"/>
              </w:rPr>
              <w:t>t/a</w:t>
            </w:r>
          </w:p>
        </w:tc>
        <w:tc>
          <w:tcPr>
            <w:tcW w:w="1488" w:type="dxa"/>
            <w:vAlign w:val="center"/>
          </w:tcPr>
          <w:p w14:paraId="055B98E9">
            <w:pPr>
              <w:adjustRightInd w:val="0"/>
              <w:snapToGrid w:val="0"/>
              <w:jc w:val="center"/>
              <w:rPr>
                <w:color w:val="auto"/>
                <w:kern w:val="0"/>
                <w:szCs w:val="21"/>
                <w:lang w:bidi="ar"/>
              </w:rPr>
            </w:pPr>
            <w:r>
              <w:rPr>
                <w:color w:val="auto"/>
                <w:spacing w:val="-3"/>
                <w:szCs w:val="21"/>
              </w:rPr>
              <w:t>+</w:t>
            </w:r>
            <w:r>
              <w:rPr>
                <w:rFonts w:hint="eastAsia"/>
                <w:color w:val="auto"/>
                <w:kern w:val="0"/>
                <w:szCs w:val="21"/>
                <w:lang w:bidi="ar"/>
              </w:rPr>
              <w:t>2.4</w:t>
            </w:r>
            <w:r>
              <w:rPr>
                <w:color w:val="auto"/>
                <w:kern w:val="0"/>
                <w:szCs w:val="21"/>
                <w:lang w:bidi="ar"/>
              </w:rPr>
              <w:t>t/a</w:t>
            </w:r>
          </w:p>
        </w:tc>
      </w:tr>
      <w:tr w14:paraId="39532F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064" w:type="dxa"/>
            <w:vMerge w:val="restart"/>
            <w:vAlign w:val="center"/>
          </w:tcPr>
          <w:p w14:paraId="242FE516">
            <w:pPr>
              <w:pStyle w:val="48"/>
              <w:tabs>
                <w:tab w:val="left" w:pos="7590"/>
              </w:tabs>
              <w:spacing w:beforeLines="0" w:afterLines="0" w:line="240" w:lineRule="auto"/>
              <w:ind w:firstLine="0" w:firstLineChars="0"/>
              <w:rPr>
                <w:rFonts w:ascii="Times New Roman" w:hAnsi="Times New Roman" w:eastAsia="宋体"/>
                <w:snapToGrid w:val="0"/>
                <w:color w:val="auto"/>
                <w:kern w:val="21"/>
                <w:sz w:val="21"/>
                <w:szCs w:val="21"/>
              </w:rPr>
            </w:pPr>
            <w:r>
              <w:rPr>
                <w:rFonts w:ascii="Times New Roman" w:hAnsi="Times New Roman" w:eastAsia="宋体"/>
                <w:snapToGrid w:val="0"/>
                <w:color w:val="auto"/>
                <w:kern w:val="21"/>
                <w:sz w:val="21"/>
                <w:szCs w:val="21"/>
              </w:rPr>
              <w:t>危险废物</w:t>
            </w:r>
          </w:p>
        </w:tc>
        <w:tc>
          <w:tcPr>
            <w:tcW w:w="2178" w:type="dxa"/>
            <w:vAlign w:val="center"/>
          </w:tcPr>
          <w:p w14:paraId="08379423">
            <w:pPr>
              <w:adjustRightInd w:val="0"/>
              <w:snapToGrid w:val="0"/>
              <w:jc w:val="center"/>
              <w:rPr>
                <w:snapToGrid w:val="0"/>
                <w:color w:val="auto"/>
                <w:kern w:val="21"/>
                <w:szCs w:val="21"/>
              </w:rPr>
            </w:pPr>
            <w:r>
              <w:rPr>
                <w:rFonts w:hint="eastAsia"/>
                <w:snapToGrid w:val="0"/>
                <w:color w:val="auto"/>
                <w:kern w:val="21"/>
                <w:szCs w:val="21"/>
              </w:rPr>
              <w:t>废矿物油</w:t>
            </w:r>
          </w:p>
        </w:tc>
        <w:tc>
          <w:tcPr>
            <w:tcW w:w="1737" w:type="dxa"/>
            <w:vAlign w:val="center"/>
          </w:tcPr>
          <w:p w14:paraId="6E31AAED">
            <w:pPr>
              <w:widowControl/>
              <w:adjustRightInd w:val="0"/>
              <w:snapToGrid w:val="0"/>
              <w:jc w:val="center"/>
              <w:textAlignment w:val="center"/>
              <w:rPr>
                <w:color w:val="auto"/>
                <w:kern w:val="0"/>
                <w:szCs w:val="21"/>
                <w:lang w:bidi="ar"/>
              </w:rPr>
            </w:pPr>
            <w:r>
              <w:rPr>
                <w:snapToGrid w:val="0"/>
                <w:color w:val="auto"/>
                <w:kern w:val="21"/>
                <w:szCs w:val="21"/>
              </w:rPr>
              <w:t>/</w:t>
            </w:r>
          </w:p>
        </w:tc>
        <w:tc>
          <w:tcPr>
            <w:tcW w:w="1295" w:type="dxa"/>
            <w:vAlign w:val="center"/>
          </w:tcPr>
          <w:p w14:paraId="321E5094">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595" w:type="dxa"/>
            <w:vAlign w:val="center"/>
          </w:tcPr>
          <w:p w14:paraId="0742ABF6">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531" w:type="dxa"/>
            <w:vAlign w:val="center"/>
          </w:tcPr>
          <w:p w14:paraId="6D0C9463">
            <w:pPr>
              <w:adjustRightInd w:val="0"/>
              <w:snapToGrid w:val="0"/>
              <w:jc w:val="center"/>
              <w:rPr>
                <w:color w:val="auto"/>
                <w:kern w:val="0"/>
                <w:szCs w:val="21"/>
                <w:lang w:bidi="ar"/>
              </w:rPr>
            </w:pPr>
            <w:r>
              <w:rPr>
                <w:color w:val="auto"/>
                <w:kern w:val="0"/>
                <w:szCs w:val="21"/>
                <w:lang w:bidi="ar"/>
              </w:rPr>
              <w:t>0.</w:t>
            </w:r>
            <w:r>
              <w:rPr>
                <w:rFonts w:hint="eastAsia"/>
                <w:color w:val="auto"/>
                <w:kern w:val="0"/>
                <w:szCs w:val="21"/>
                <w:lang w:bidi="ar"/>
              </w:rPr>
              <w:t>35</w:t>
            </w:r>
            <w:r>
              <w:rPr>
                <w:color w:val="auto"/>
                <w:kern w:val="0"/>
                <w:szCs w:val="21"/>
                <w:lang w:bidi="ar"/>
              </w:rPr>
              <w:t>t/a</w:t>
            </w:r>
          </w:p>
        </w:tc>
        <w:tc>
          <w:tcPr>
            <w:tcW w:w="1485" w:type="dxa"/>
            <w:vAlign w:val="center"/>
          </w:tcPr>
          <w:p w14:paraId="108E7AE6">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415" w:type="dxa"/>
            <w:vAlign w:val="center"/>
          </w:tcPr>
          <w:p w14:paraId="1C7B3A32">
            <w:pPr>
              <w:adjustRightInd w:val="0"/>
              <w:snapToGrid w:val="0"/>
              <w:jc w:val="center"/>
              <w:rPr>
                <w:color w:val="auto"/>
                <w:kern w:val="0"/>
                <w:szCs w:val="21"/>
                <w:lang w:bidi="ar"/>
              </w:rPr>
            </w:pPr>
            <w:r>
              <w:rPr>
                <w:bCs/>
                <w:color w:val="auto"/>
                <w:szCs w:val="21"/>
              </w:rPr>
              <w:t>0.</w:t>
            </w:r>
            <w:r>
              <w:rPr>
                <w:rFonts w:hint="eastAsia"/>
                <w:bCs/>
                <w:color w:val="auto"/>
                <w:szCs w:val="21"/>
              </w:rPr>
              <w:t>35</w:t>
            </w:r>
            <w:r>
              <w:rPr>
                <w:rStyle w:val="68"/>
                <w:bCs/>
                <w:color w:val="auto"/>
                <w:szCs w:val="21"/>
              </w:rPr>
              <w:t>t/a</w:t>
            </w:r>
          </w:p>
        </w:tc>
        <w:tc>
          <w:tcPr>
            <w:tcW w:w="1488" w:type="dxa"/>
            <w:vAlign w:val="center"/>
          </w:tcPr>
          <w:p w14:paraId="05CE139D">
            <w:pPr>
              <w:adjustRightInd w:val="0"/>
              <w:snapToGrid w:val="0"/>
              <w:jc w:val="center"/>
              <w:rPr>
                <w:color w:val="auto"/>
                <w:kern w:val="0"/>
                <w:szCs w:val="21"/>
                <w:lang w:bidi="ar"/>
              </w:rPr>
            </w:pPr>
            <w:r>
              <w:rPr>
                <w:color w:val="auto"/>
                <w:szCs w:val="21"/>
              </w:rPr>
              <w:t>+</w:t>
            </w:r>
            <w:r>
              <w:rPr>
                <w:bCs/>
                <w:color w:val="auto"/>
                <w:szCs w:val="21"/>
              </w:rPr>
              <w:t>0.</w:t>
            </w:r>
            <w:r>
              <w:rPr>
                <w:rFonts w:hint="eastAsia"/>
                <w:bCs/>
                <w:color w:val="auto"/>
                <w:szCs w:val="21"/>
              </w:rPr>
              <w:t>35</w:t>
            </w:r>
            <w:r>
              <w:rPr>
                <w:rStyle w:val="68"/>
                <w:bCs/>
                <w:color w:val="auto"/>
                <w:szCs w:val="21"/>
              </w:rPr>
              <w:t>t/a</w:t>
            </w:r>
          </w:p>
        </w:tc>
      </w:tr>
      <w:tr w14:paraId="58C736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064" w:type="dxa"/>
            <w:vMerge w:val="continue"/>
            <w:vAlign w:val="center"/>
          </w:tcPr>
          <w:p w14:paraId="457FAD7D">
            <w:pPr>
              <w:pStyle w:val="48"/>
              <w:tabs>
                <w:tab w:val="left" w:pos="7590"/>
              </w:tabs>
              <w:spacing w:beforeLines="0" w:afterLines="0" w:line="240" w:lineRule="auto"/>
              <w:ind w:firstLine="0" w:firstLineChars="0"/>
              <w:rPr>
                <w:rFonts w:ascii="Times New Roman" w:hAnsi="Times New Roman" w:eastAsia="宋体"/>
                <w:snapToGrid w:val="0"/>
                <w:color w:val="auto"/>
                <w:kern w:val="21"/>
                <w:sz w:val="21"/>
                <w:szCs w:val="21"/>
              </w:rPr>
            </w:pPr>
          </w:p>
        </w:tc>
        <w:tc>
          <w:tcPr>
            <w:tcW w:w="2178" w:type="dxa"/>
            <w:vAlign w:val="center"/>
          </w:tcPr>
          <w:p w14:paraId="17E3C89F">
            <w:pPr>
              <w:adjustRightInd w:val="0"/>
              <w:snapToGrid w:val="0"/>
              <w:jc w:val="center"/>
              <w:rPr>
                <w:snapToGrid w:val="0"/>
                <w:color w:val="auto"/>
                <w:kern w:val="21"/>
                <w:szCs w:val="21"/>
              </w:rPr>
            </w:pPr>
            <w:r>
              <w:rPr>
                <w:rFonts w:hint="eastAsia"/>
                <w:snapToGrid w:val="0"/>
                <w:color w:val="auto"/>
                <w:kern w:val="21"/>
                <w:szCs w:val="21"/>
              </w:rPr>
              <w:t>废胶水桶</w:t>
            </w:r>
          </w:p>
        </w:tc>
        <w:tc>
          <w:tcPr>
            <w:tcW w:w="1737" w:type="dxa"/>
            <w:vAlign w:val="center"/>
          </w:tcPr>
          <w:p w14:paraId="5A24B474">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295" w:type="dxa"/>
            <w:vAlign w:val="center"/>
          </w:tcPr>
          <w:p w14:paraId="224D3B2D">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595" w:type="dxa"/>
            <w:vAlign w:val="center"/>
          </w:tcPr>
          <w:p w14:paraId="5228B9D8">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531" w:type="dxa"/>
            <w:vAlign w:val="center"/>
          </w:tcPr>
          <w:p w14:paraId="16B3B89B">
            <w:pPr>
              <w:adjustRightInd w:val="0"/>
              <w:snapToGrid w:val="0"/>
              <w:jc w:val="center"/>
              <w:rPr>
                <w:color w:val="auto"/>
                <w:kern w:val="0"/>
                <w:szCs w:val="21"/>
                <w:lang w:bidi="ar"/>
              </w:rPr>
            </w:pPr>
            <w:r>
              <w:rPr>
                <w:rFonts w:hint="eastAsia"/>
                <w:color w:val="auto"/>
                <w:kern w:val="0"/>
                <w:szCs w:val="21"/>
                <w:lang w:bidi="ar"/>
              </w:rPr>
              <w:t>1.906</w:t>
            </w:r>
            <w:r>
              <w:rPr>
                <w:color w:val="auto"/>
                <w:kern w:val="0"/>
                <w:szCs w:val="21"/>
                <w:lang w:bidi="ar"/>
              </w:rPr>
              <w:t>t/a</w:t>
            </w:r>
          </w:p>
        </w:tc>
        <w:tc>
          <w:tcPr>
            <w:tcW w:w="1485" w:type="dxa"/>
            <w:vAlign w:val="center"/>
          </w:tcPr>
          <w:p w14:paraId="2FC1760D">
            <w:pPr>
              <w:widowControl/>
              <w:adjustRightInd w:val="0"/>
              <w:snapToGrid w:val="0"/>
              <w:jc w:val="center"/>
              <w:textAlignment w:val="center"/>
              <w:rPr>
                <w:snapToGrid w:val="0"/>
                <w:color w:val="auto"/>
                <w:kern w:val="21"/>
                <w:szCs w:val="21"/>
              </w:rPr>
            </w:pPr>
            <w:r>
              <w:rPr>
                <w:rFonts w:hint="eastAsia"/>
                <w:snapToGrid w:val="0"/>
                <w:color w:val="auto"/>
                <w:kern w:val="21"/>
                <w:szCs w:val="21"/>
              </w:rPr>
              <w:t>/</w:t>
            </w:r>
          </w:p>
        </w:tc>
        <w:tc>
          <w:tcPr>
            <w:tcW w:w="1415" w:type="dxa"/>
            <w:vAlign w:val="center"/>
          </w:tcPr>
          <w:p w14:paraId="382D108E">
            <w:pPr>
              <w:adjustRightInd w:val="0"/>
              <w:snapToGrid w:val="0"/>
              <w:jc w:val="center"/>
              <w:rPr>
                <w:bCs/>
                <w:color w:val="auto"/>
                <w:szCs w:val="21"/>
              </w:rPr>
            </w:pPr>
            <w:r>
              <w:rPr>
                <w:rFonts w:hint="eastAsia"/>
                <w:color w:val="auto"/>
                <w:kern w:val="0"/>
                <w:szCs w:val="21"/>
                <w:lang w:bidi="ar"/>
              </w:rPr>
              <w:t>1.906</w:t>
            </w:r>
            <w:r>
              <w:rPr>
                <w:color w:val="auto"/>
                <w:kern w:val="0"/>
                <w:szCs w:val="21"/>
                <w:lang w:bidi="ar"/>
              </w:rPr>
              <w:t>t/a</w:t>
            </w:r>
          </w:p>
        </w:tc>
        <w:tc>
          <w:tcPr>
            <w:tcW w:w="1488" w:type="dxa"/>
            <w:vAlign w:val="center"/>
          </w:tcPr>
          <w:p w14:paraId="59AE4248">
            <w:pPr>
              <w:adjustRightInd w:val="0"/>
              <w:snapToGrid w:val="0"/>
              <w:jc w:val="center"/>
              <w:rPr>
                <w:color w:val="auto"/>
                <w:szCs w:val="21"/>
              </w:rPr>
            </w:pPr>
            <w:r>
              <w:rPr>
                <w:rFonts w:hint="eastAsia"/>
                <w:color w:val="auto"/>
                <w:kern w:val="0"/>
                <w:szCs w:val="21"/>
                <w:lang w:bidi="ar"/>
              </w:rPr>
              <w:t>+1.906</w:t>
            </w:r>
            <w:r>
              <w:rPr>
                <w:color w:val="auto"/>
                <w:kern w:val="0"/>
                <w:szCs w:val="21"/>
                <w:lang w:bidi="ar"/>
              </w:rPr>
              <w:t>t/a</w:t>
            </w:r>
          </w:p>
        </w:tc>
      </w:tr>
      <w:tr w14:paraId="6B9920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4" w:type="dxa"/>
            <w:vMerge w:val="continue"/>
            <w:vAlign w:val="center"/>
          </w:tcPr>
          <w:p w14:paraId="0EA77FFD">
            <w:pPr>
              <w:pStyle w:val="48"/>
              <w:tabs>
                <w:tab w:val="left" w:pos="7590"/>
              </w:tabs>
              <w:spacing w:beforeLines="0" w:afterLines="0" w:line="240" w:lineRule="auto"/>
              <w:ind w:firstLine="0" w:firstLineChars="0"/>
              <w:rPr>
                <w:rFonts w:ascii="Times New Roman" w:hAnsi="Times New Roman" w:eastAsia="宋体"/>
                <w:snapToGrid w:val="0"/>
                <w:color w:val="auto"/>
                <w:kern w:val="21"/>
                <w:sz w:val="21"/>
                <w:szCs w:val="21"/>
              </w:rPr>
            </w:pPr>
          </w:p>
        </w:tc>
        <w:tc>
          <w:tcPr>
            <w:tcW w:w="2178" w:type="dxa"/>
            <w:vAlign w:val="center"/>
          </w:tcPr>
          <w:p w14:paraId="2E46E563">
            <w:pPr>
              <w:adjustRightInd w:val="0"/>
              <w:snapToGrid w:val="0"/>
              <w:jc w:val="center"/>
              <w:rPr>
                <w:color w:val="auto"/>
                <w:szCs w:val="21"/>
              </w:rPr>
            </w:pPr>
            <w:r>
              <w:rPr>
                <w:rStyle w:val="68"/>
                <w:bCs/>
                <w:color w:val="auto"/>
                <w:szCs w:val="21"/>
              </w:rPr>
              <w:t>废弃活性炭</w:t>
            </w:r>
          </w:p>
        </w:tc>
        <w:tc>
          <w:tcPr>
            <w:tcW w:w="1737" w:type="dxa"/>
            <w:vAlign w:val="center"/>
          </w:tcPr>
          <w:p w14:paraId="0D3F11A6">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295" w:type="dxa"/>
            <w:vAlign w:val="center"/>
          </w:tcPr>
          <w:p w14:paraId="2DE2DBE3">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595" w:type="dxa"/>
            <w:vAlign w:val="center"/>
          </w:tcPr>
          <w:p w14:paraId="422BB434">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531" w:type="dxa"/>
            <w:vAlign w:val="center"/>
          </w:tcPr>
          <w:p w14:paraId="1B7D3EB4">
            <w:pPr>
              <w:adjustRightInd w:val="0"/>
              <w:snapToGrid w:val="0"/>
              <w:jc w:val="center"/>
              <w:rPr>
                <w:color w:val="auto"/>
                <w:kern w:val="0"/>
                <w:szCs w:val="21"/>
                <w:lang w:bidi="ar"/>
              </w:rPr>
            </w:pPr>
            <w:r>
              <w:rPr>
                <w:rFonts w:hint="eastAsia"/>
                <w:color w:val="auto"/>
                <w:kern w:val="0"/>
                <w:szCs w:val="21"/>
                <w:lang w:bidi="ar"/>
              </w:rPr>
              <w:t>0.2</w:t>
            </w:r>
            <w:r>
              <w:rPr>
                <w:color w:val="auto"/>
                <w:kern w:val="0"/>
                <w:szCs w:val="21"/>
                <w:lang w:bidi="ar"/>
              </w:rPr>
              <w:t>t/a</w:t>
            </w:r>
          </w:p>
        </w:tc>
        <w:tc>
          <w:tcPr>
            <w:tcW w:w="1485" w:type="dxa"/>
            <w:vAlign w:val="center"/>
          </w:tcPr>
          <w:p w14:paraId="40C67E28">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415" w:type="dxa"/>
            <w:vAlign w:val="center"/>
          </w:tcPr>
          <w:p w14:paraId="1BB5AC91">
            <w:pPr>
              <w:adjustRightInd w:val="0"/>
              <w:snapToGrid w:val="0"/>
              <w:jc w:val="center"/>
              <w:rPr>
                <w:color w:val="auto"/>
                <w:kern w:val="0"/>
                <w:szCs w:val="21"/>
                <w:lang w:bidi="ar"/>
              </w:rPr>
            </w:pPr>
            <w:r>
              <w:rPr>
                <w:rFonts w:hint="eastAsia"/>
                <w:color w:val="auto"/>
                <w:kern w:val="0"/>
                <w:szCs w:val="21"/>
                <w:lang w:bidi="ar"/>
              </w:rPr>
              <w:t>0.2</w:t>
            </w:r>
            <w:r>
              <w:rPr>
                <w:color w:val="auto"/>
                <w:kern w:val="0"/>
                <w:szCs w:val="21"/>
                <w:lang w:bidi="ar"/>
              </w:rPr>
              <w:t>t/a</w:t>
            </w:r>
          </w:p>
        </w:tc>
        <w:tc>
          <w:tcPr>
            <w:tcW w:w="1488" w:type="dxa"/>
            <w:vAlign w:val="center"/>
          </w:tcPr>
          <w:p w14:paraId="2220C0A0">
            <w:pPr>
              <w:adjustRightInd w:val="0"/>
              <w:snapToGrid w:val="0"/>
              <w:jc w:val="center"/>
              <w:rPr>
                <w:color w:val="auto"/>
                <w:kern w:val="0"/>
                <w:szCs w:val="21"/>
                <w:lang w:bidi="ar"/>
              </w:rPr>
            </w:pPr>
            <w:r>
              <w:rPr>
                <w:rFonts w:hint="eastAsia"/>
                <w:color w:val="auto"/>
                <w:kern w:val="0"/>
                <w:szCs w:val="21"/>
                <w:lang w:bidi="ar"/>
              </w:rPr>
              <w:t>+0.2</w:t>
            </w:r>
            <w:r>
              <w:rPr>
                <w:color w:val="auto"/>
                <w:kern w:val="0"/>
                <w:szCs w:val="21"/>
                <w:lang w:bidi="ar"/>
              </w:rPr>
              <w:t>t/a</w:t>
            </w:r>
          </w:p>
        </w:tc>
      </w:tr>
      <w:tr w14:paraId="78989E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064" w:type="dxa"/>
            <w:vMerge w:val="continue"/>
            <w:vAlign w:val="center"/>
          </w:tcPr>
          <w:p w14:paraId="785C6253">
            <w:pPr>
              <w:pStyle w:val="48"/>
              <w:tabs>
                <w:tab w:val="left" w:pos="7590"/>
              </w:tabs>
              <w:spacing w:beforeLines="0" w:afterLines="0" w:line="240" w:lineRule="auto"/>
              <w:ind w:firstLine="0" w:firstLineChars="0"/>
              <w:rPr>
                <w:rFonts w:ascii="Times New Roman" w:hAnsi="Times New Roman" w:eastAsia="宋体"/>
                <w:snapToGrid w:val="0"/>
                <w:color w:val="auto"/>
                <w:kern w:val="21"/>
                <w:sz w:val="21"/>
                <w:szCs w:val="21"/>
              </w:rPr>
            </w:pPr>
          </w:p>
        </w:tc>
        <w:tc>
          <w:tcPr>
            <w:tcW w:w="2178" w:type="dxa"/>
            <w:vAlign w:val="center"/>
          </w:tcPr>
          <w:p w14:paraId="4976841C">
            <w:pPr>
              <w:adjustRightInd w:val="0"/>
              <w:snapToGrid w:val="0"/>
              <w:jc w:val="center"/>
              <w:rPr>
                <w:rStyle w:val="68"/>
                <w:bCs/>
                <w:color w:val="auto"/>
                <w:szCs w:val="21"/>
              </w:rPr>
            </w:pPr>
            <w:r>
              <w:rPr>
                <w:rStyle w:val="68"/>
                <w:rFonts w:hint="eastAsia"/>
                <w:bCs/>
                <w:color w:val="auto"/>
                <w:szCs w:val="21"/>
              </w:rPr>
              <w:t>废UV灯管</w:t>
            </w:r>
          </w:p>
        </w:tc>
        <w:tc>
          <w:tcPr>
            <w:tcW w:w="1737" w:type="dxa"/>
            <w:vAlign w:val="center"/>
          </w:tcPr>
          <w:p w14:paraId="38657E16">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295" w:type="dxa"/>
            <w:vAlign w:val="center"/>
          </w:tcPr>
          <w:p w14:paraId="16AAAF72">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595" w:type="dxa"/>
            <w:vAlign w:val="center"/>
          </w:tcPr>
          <w:p w14:paraId="0C3DE33A">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531" w:type="dxa"/>
            <w:vAlign w:val="center"/>
          </w:tcPr>
          <w:p w14:paraId="48142F61">
            <w:pPr>
              <w:adjustRightInd w:val="0"/>
              <w:snapToGrid w:val="0"/>
              <w:jc w:val="center"/>
              <w:rPr>
                <w:color w:val="auto"/>
                <w:kern w:val="0"/>
                <w:szCs w:val="21"/>
                <w:lang w:bidi="ar"/>
              </w:rPr>
            </w:pPr>
            <w:r>
              <w:rPr>
                <w:rFonts w:hint="eastAsia"/>
                <w:color w:val="auto"/>
                <w:kern w:val="0"/>
                <w:szCs w:val="21"/>
                <w:lang w:bidi="ar"/>
              </w:rPr>
              <w:t>0.08</w:t>
            </w:r>
            <w:r>
              <w:rPr>
                <w:color w:val="auto"/>
                <w:kern w:val="0"/>
                <w:szCs w:val="21"/>
                <w:lang w:bidi="ar"/>
              </w:rPr>
              <w:t>t/a</w:t>
            </w:r>
          </w:p>
        </w:tc>
        <w:tc>
          <w:tcPr>
            <w:tcW w:w="1485" w:type="dxa"/>
            <w:vAlign w:val="center"/>
          </w:tcPr>
          <w:p w14:paraId="0FE9EB89">
            <w:pPr>
              <w:widowControl/>
              <w:adjustRightInd w:val="0"/>
              <w:snapToGrid w:val="0"/>
              <w:jc w:val="center"/>
              <w:textAlignment w:val="center"/>
              <w:rPr>
                <w:snapToGrid w:val="0"/>
                <w:color w:val="auto"/>
                <w:kern w:val="21"/>
                <w:szCs w:val="21"/>
              </w:rPr>
            </w:pPr>
            <w:r>
              <w:rPr>
                <w:snapToGrid w:val="0"/>
                <w:color w:val="auto"/>
                <w:kern w:val="21"/>
                <w:szCs w:val="21"/>
              </w:rPr>
              <w:t>/</w:t>
            </w:r>
          </w:p>
        </w:tc>
        <w:tc>
          <w:tcPr>
            <w:tcW w:w="1415" w:type="dxa"/>
            <w:vAlign w:val="center"/>
          </w:tcPr>
          <w:p w14:paraId="1D498386">
            <w:pPr>
              <w:adjustRightInd w:val="0"/>
              <w:snapToGrid w:val="0"/>
              <w:jc w:val="center"/>
              <w:rPr>
                <w:color w:val="auto"/>
                <w:kern w:val="0"/>
                <w:szCs w:val="21"/>
                <w:lang w:bidi="ar"/>
              </w:rPr>
            </w:pPr>
            <w:r>
              <w:rPr>
                <w:rFonts w:hint="eastAsia"/>
                <w:color w:val="auto"/>
                <w:kern w:val="0"/>
                <w:szCs w:val="21"/>
                <w:lang w:bidi="ar"/>
              </w:rPr>
              <w:t>0.08</w:t>
            </w:r>
            <w:r>
              <w:rPr>
                <w:color w:val="auto"/>
                <w:kern w:val="0"/>
                <w:szCs w:val="21"/>
                <w:lang w:bidi="ar"/>
              </w:rPr>
              <w:t>t/a</w:t>
            </w:r>
          </w:p>
        </w:tc>
        <w:tc>
          <w:tcPr>
            <w:tcW w:w="1488" w:type="dxa"/>
            <w:vAlign w:val="center"/>
          </w:tcPr>
          <w:p w14:paraId="586E55A8">
            <w:pPr>
              <w:adjustRightInd w:val="0"/>
              <w:snapToGrid w:val="0"/>
              <w:jc w:val="center"/>
              <w:rPr>
                <w:color w:val="auto"/>
                <w:szCs w:val="21"/>
              </w:rPr>
            </w:pPr>
            <w:r>
              <w:rPr>
                <w:rFonts w:hint="eastAsia"/>
                <w:color w:val="auto"/>
                <w:kern w:val="0"/>
                <w:szCs w:val="21"/>
                <w:lang w:bidi="ar"/>
              </w:rPr>
              <w:t>0.08</w:t>
            </w:r>
            <w:r>
              <w:rPr>
                <w:color w:val="auto"/>
                <w:kern w:val="0"/>
                <w:szCs w:val="21"/>
                <w:lang w:bidi="ar"/>
              </w:rPr>
              <w:t>t/a</w:t>
            </w:r>
          </w:p>
        </w:tc>
      </w:tr>
    </w:tbl>
    <w:p w14:paraId="1523DE22">
      <w:pPr>
        <w:pStyle w:val="48"/>
        <w:spacing w:before="192" w:beforeLines="80" w:after="24"/>
        <w:ind w:firstLine="420"/>
        <w:jc w:val="left"/>
        <w:rPr>
          <w:rFonts w:eastAsia="黑体"/>
          <w:color w:val="auto"/>
        </w:rPr>
      </w:pPr>
      <w:r>
        <w:rPr>
          <w:snapToGrid w:val="0"/>
          <w:color w:val="auto"/>
          <w:kern w:val="21"/>
          <w:sz w:val="21"/>
          <w:szCs w:val="21"/>
        </w:rPr>
        <w:t>注：</w:t>
      </w:r>
      <w:r>
        <w:rPr>
          <w:snapToGrid w:val="0"/>
          <w:color w:val="auto"/>
          <w:spacing w:val="-16"/>
          <w:kern w:val="21"/>
          <w:sz w:val="21"/>
          <w:szCs w:val="21"/>
        </w:rPr>
        <w:fldChar w:fldCharType="begin"/>
      </w:r>
      <w:r>
        <w:rPr>
          <w:snapToGrid w:val="0"/>
          <w:color w:val="auto"/>
          <w:spacing w:val="-16"/>
          <w:kern w:val="21"/>
          <w:sz w:val="21"/>
          <w:szCs w:val="21"/>
        </w:rPr>
        <w:instrText xml:space="preserve"> = 6 \* GB3 \* MERGEFORMAT </w:instrText>
      </w:r>
      <w:r>
        <w:rPr>
          <w:snapToGrid w:val="0"/>
          <w:color w:val="auto"/>
          <w:spacing w:val="-16"/>
          <w:kern w:val="21"/>
          <w:sz w:val="21"/>
          <w:szCs w:val="21"/>
        </w:rPr>
        <w:fldChar w:fldCharType="separate"/>
      </w:r>
      <w:r>
        <w:rPr>
          <w:rFonts w:hint="eastAsia"/>
          <w:color w:val="auto"/>
          <w:sz w:val="21"/>
          <w:szCs w:val="21"/>
        </w:rPr>
        <w:t>⑥</w:t>
      </w:r>
      <w:r>
        <w:rPr>
          <w:snapToGrid w:val="0"/>
          <w:color w:val="auto"/>
          <w:spacing w:val="-16"/>
          <w:kern w:val="21"/>
          <w:sz w:val="21"/>
          <w:szCs w:val="21"/>
        </w:rPr>
        <w:fldChar w:fldCharType="end"/>
      </w:r>
      <w:r>
        <w:rPr>
          <w:snapToGrid w:val="0"/>
          <w:color w:val="auto"/>
          <w:spacing w:val="-16"/>
          <w:kern w:val="21"/>
          <w:sz w:val="21"/>
          <w:szCs w:val="21"/>
        </w:rPr>
        <w:t>=</w:t>
      </w:r>
      <w:r>
        <w:rPr>
          <w:snapToGrid w:val="0"/>
          <w:color w:val="auto"/>
          <w:spacing w:val="-6"/>
          <w:kern w:val="21"/>
          <w:sz w:val="21"/>
          <w:szCs w:val="21"/>
        </w:rPr>
        <w:fldChar w:fldCharType="begin"/>
      </w:r>
      <w:r>
        <w:rPr>
          <w:snapToGrid w:val="0"/>
          <w:color w:val="auto"/>
          <w:spacing w:val="-6"/>
          <w:kern w:val="21"/>
          <w:sz w:val="21"/>
          <w:szCs w:val="21"/>
        </w:rPr>
        <w:instrText xml:space="preserve"> = 1 \* GB3 \* MERGEFORMAT </w:instrText>
      </w:r>
      <w:r>
        <w:rPr>
          <w:snapToGrid w:val="0"/>
          <w:color w:val="auto"/>
          <w:spacing w:val="-6"/>
          <w:kern w:val="21"/>
          <w:sz w:val="21"/>
          <w:szCs w:val="21"/>
        </w:rPr>
        <w:fldChar w:fldCharType="separate"/>
      </w:r>
      <w:r>
        <w:rPr>
          <w:rFonts w:hint="eastAsia"/>
          <w:color w:val="auto"/>
          <w:sz w:val="21"/>
          <w:szCs w:val="21"/>
        </w:rPr>
        <w:t>①</w:t>
      </w:r>
      <w:r>
        <w:rPr>
          <w:snapToGrid w:val="0"/>
          <w:color w:val="auto"/>
          <w:spacing w:val="-6"/>
          <w:kern w:val="21"/>
          <w:sz w:val="21"/>
          <w:szCs w:val="21"/>
        </w:rPr>
        <w:fldChar w:fldCharType="end"/>
      </w:r>
      <w:r>
        <w:rPr>
          <w:snapToGrid w:val="0"/>
          <w:color w:val="auto"/>
          <w:spacing w:val="-6"/>
          <w:kern w:val="21"/>
          <w:sz w:val="21"/>
          <w:szCs w:val="21"/>
        </w:rPr>
        <w:t>+</w:t>
      </w:r>
      <w:r>
        <w:rPr>
          <w:snapToGrid w:val="0"/>
          <w:color w:val="auto"/>
          <w:spacing w:val="-6"/>
          <w:kern w:val="21"/>
          <w:sz w:val="21"/>
          <w:szCs w:val="21"/>
        </w:rPr>
        <w:fldChar w:fldCharType="begin"/>
      </w:r>
      <w:r>
        <w:rPr>
          <w:snapToGrid w:val="0"/>
          <w:color w:val="auto"/>
          <w:spacing w:val="-6"/>
          <w:kern w:val="21"/>
          <w:sz w:val="21"/>
          <w:szCs w:val="21"/>
        </w:rPr>
        <w:instrText xml:space="preserve"> = 3 \* GB3 \* MERGEFORMAT </w:instrText>
      </w:r>
      <w:r>
        <w:rPr>
          <w:snapToGrid w:val="0"/>
          <w:color w:val="auto"/>
          <w:spacing w:val="-6"/>
          <w:kern w:val="21"/>
          <w:sz w:val="21"/>
          <w:szCs w:val="21"/>
        </w:rPr>
        <w:fldChar w:fldCharType="separate"/>
      </w:r>
      <w:r>
        <w:rPr>
          <w:rFonts w:hint="eastAsia"/>
          <w:color w:val="auto"/>
          <w:sz w:val="21"/>
          <w:szCs w:val="21"/>
        </w:rPr>
        <w:t>③</w:t>
      </w:r>
      <w:r>
        <w:rPr>
          <w:snapToGrid w:val="0"/>
          <w:color w:val="auto"/>
          <w:spacing w:val="-6"/>
          <w:kern w:val="21"/>
          <w:sz w:val="21"/>
          <w:szCs w:val="21"/>
        </w:rPr>
        <w:fldChar w:fldCharType="end"/>
      </w:r>
      <w:r>
        <w:rPr>
          <w:snapToGrid w:val="0"/>
          <w:color w:val="auto"/>
          <w:spacing w:val="-6"/>
          <w:kern w:val="21"/>
          <w:sz w:val="21"/>
          <w:szCs w:val="21"/>
        </w:rPr>
        <w:t>+</w:t>
      </w:r>
      <w:r>
        <w:rPr>
          <w:snapToGrid w:val="0"/>
          <w:color w:val="auto"/>
          <w:spacing w:val="-6"/>
          <w:kern w:val="21"/>
          <w:sz w:val="21"/>
          <w:szCs w:val="21"/>
        </w:rPr>
        <w:fldChar w:fldCharType="begin"/>
      </w:r>
      <w:r>
        <w:rPr>
          <w:snapToGrid w:val="0"/>
          <w:color w:val="auto"/>
          <w:spacing w:val="-6"/>
          <w:kern w:val="21"/>
          <w:sz w:val="21"/>
          <w:szCs w:val="21"/>
        </w:rPr>
        <w:instrText xml:space="preserve"> = 4 \* GB3 \* MERGEFORMAT </w:instrText>
      </w:r>
      <w:r>
        <w:rPr>
          <w:snapToGrid w:val="0"/>
          <w:color w:val="auto"/>
          <w:spacing w:val="-6"/>
          <w:kern w:val="21"/>
          <w:sz w:val="21"/>
          <w:szCs w:val="21"/>
        </w:rPr>
        <w:fldChar w:fldCharType="separate"/>
      </w:r>
      <w:r>
        <w:rPr>
          <w:rFonts w:hint="eastAsia"/>
          <w:color w:val="auto"/>
          <w:sz w:val="21"/>
          <w:szCs w:val="21"/>
        </w:rPr>
        <w:t>④</w:t>
      </w:r>
      <w:r>
        <w:rPr>
          <w:snapToGrid w:val="0"/>
          <w:color w:val="auto"/>
          <w:spacing w:val="-6"/>
          <w:kern w:val="21"/>
          <w:sz w:val="21"/>
          <w:szCs w:val="21"/>
        </w:rPr>
        <w:fldChar w:fldCharType="end"/>
      </w:r>
      <w:r>
        <w:rPr>
          <w:snapToGrid w:val="0"/>
          <w:color w:val="auto"/>
          <w:spacing w:val="-6"/>
          <w:kern w:val="21"/>
          <w:sz w:val="21"/>
          <w:szCs w:val="21"/>
        </w:rPr>
        <w:t>-</w:t>
      </w:r>
      <w:r>
        <w:rPr>
          <w:snapToGrid w:val="0"/>
          <w:color w:val="auto"/>
          <w:spacing w:val="-16"/>
          <w:kern w:val="21"/>
          <w:sz w:val="21"/>
          <w:szCs w:val="21"/>
        </w:rPr>
        <w:fldChar w:fldCharType="begin"/>
      </w:r>
      <w:r>
        <w:rPr>
          <w:snapToGrid w:val="0"/>
          <w:color w:val="auto"/>
          <w:spacing w:val="-16"/>
          <w:kern w:val="21"/>
          <w:sz w:val="21"/>
          <w:szCs w:val="21"/>
        </w:rPr>
        <w:instrText xml:space="preserve"> = 5 \* GB3 \* MERGEFORMAT </w:instrText>
      </w:r>
      <w:r>
        <w:rPr>
          <w:snapToGrid w:val="0"/>
          <w:color w:val="auto"/>
          <w:spacing w:val="-16"/>
          <w:kern w:val="21"/>
          <w:sz w:val="21"/>
          <w:szCs w:val="21"/>
        </w:rPr>
        <w:fldChar w:fldCharType="separate"/>
      </w:r>
      <w:r>
        <w:rPr>
          <w:rFonts w:hint="eastAsia"/>
          <w:color w:val="auto"/>
          <w:sz w:val="21"/>
          <w:szCs w:val="21"/>
        </w:rPr>
        <w:t>⑤</w:t>
      </w:r>
      <w:r>
        <w:rPr>
          <w:snapToGrid w:val="0"/>
          <w:color w:val="auto"/>
          <w:spacing w:val="-16"/>
          <w:kern w:val="21"/>
          <w:sz w:val="21"/>
          <w:szCs w:val="21"/>
        </w:rPr>
        <w:fldChar w:fldCharType="end"/>
      </w:r>
      <w:r>
        <w:rPr>
          <w:snapToGrid w:val="0"/>
          <w:color w:val="auto"/>
          <w:spacing w:val="-16"/>
          <w:kern w:val="21"/>
          <w:sz w:val="21"/>
          <w:szCs w:val="21"/>
        </w:rPr>
        <w:t>；</w:t>
      </w:r>
      <w:r>
        <w:rPr>
          <w:snapToGrid w:val="0"/>
          <w:color w:val="auto"/>
          <w:spacing w:val="-6"/>
          <w:kern w:val="21"/>
          <w:sz w:val="21"/>
          <w:szCs w:val="21"/>
        </w:rPr>
        <w:fldChar w:fldCharType="begin"/>
      </w:r>
      <w:r>
        <w:rPr>
          <w:snapToGrid w:val="0"/>
          <w:color w:val="auto"/>
          <w:spacing w:val="-6"/>
          <w:kern w:val="21"/>
          <w:sz w:val="21"/>
          <w:szCs w:val="21"/>
        </w:rPr>
        <w:instrText xml:space="preserve"> = 7 \* GB3 \* MERGEFORMAT </w:instrText>
      </w:r>
      <w:r>
        <w:rPr>
          <w:snapToGrid w:val="0"/>
          <w:color w:val="auto"/>
          <w:spacing w:val="-6"/>
          <w:kern w:val="21"/>
          <w:sz w:val="21"/>
          <w:szCs w:val="21"/>
        </w:rPr>
        <w:fldChar w:fldCharType="separate"/>
      </w:r>
      <w:r>
        <w:rPr>
          <w:rFonts w:hint="eastAsia"/>
          <w:color w:val="auto"/>
          <w:sz w:val="21"/>
          <w:szCs w:val="21"/>
        </w:rPr>
        <w:t>⑦</w:t>
      </w:r>
      <w:r>
        <w:rPr>
          <w:snapToGrid w:val="0"/>
          <w:color w:val="auto"/>
          <w:spacing w:val="-6"/>
          <w:kern w:val="21"/>
          <w:sz w:val="21"/>
          <w:szCs w:val="21"/>
        </w:rPr>
        <w:fldChar w:fldCharType="end"/>
      </w:r>
      <w:r>
        <w:rPr>
          <w:snapToGrid w:val="0"/>
          <w:color w:val="auto"/>
          <w:spacing w:val="-6"/>
          <w:kern w:val="21"/>
          <w:sz w:val="21"/>
          <w:szCs w:val="21"/>
        </w:rPr>
        <w:t>=</w:t>
      </w:r>
      <w:r>
        <w:rPr>
          <w:snapToGrid w:val="0"/>
          <w:color w:val="auto"/>
          <w:spacing w:val="-16"/>
          <w:kern w:val="21"/>
          <w:sz w:val="21"/>
          <w:szCs w:val="21"/>
        </w:rPr>
        <w:fldChar w:fldCharType="begin"/>
      </w:r>
      <w:r>
        <w:rPr>
          <w:snapToGrid w:val="0"/>
          <w:color w:val="auto"/>
          <w:spacing w:val="-16"/>
          <w:kern w:val="21"/>
          <w:sz w:val="21"/>
          <w:szCs w:val="21"/>
        </w:rPr>
        <w:instrText xml:space="preserve"> = 6 \* GB3 \* MERGEFORMAT </w:instrText>
      </w:r>
      <w:r>
        <w:rPr>
          <w:snapToGrid w:val="0"/>
          <w:color w:val="auto"/>
          <w:spacing w:val="-16"/>
          <w:kern w:val="21"/>
          <w:sz w:val="21"/>
          <w:szCs w:val="21"/>
        </w:rPr>
        <w:fldChar w:fldCharType="separate"/>
      </w:r>
      <w:r>
        <w:rPr>
          <w:rFonts w:hint="eastAsia"/>
          <w:color w:val="auto"/>
          <w:sz w:val="21"/>
          <w:szCs w:val="21"/>
        </w:rPr>
        <w:t>⑥</w:t>
      </w:r>
      <w:r>
        <w:rPr>
          <w:snapToGrid w:val="0"/>
          <w:color w:val="auto"/>
          <w:spacing w:val="-16"/>
          <w:kern w:val="21"/>
          <w:sz w:val="21"/>
          <w:szCs w:val="21"/>
        </w:rPr>
        <w:fldChar w:fldCharType="end"/>
      </w:r>
      <w:r>
        <w:rPr>
          <w:snapToGrid w:val="0"/>
          <w:color w:val="auto"/>
          <w:spacing w:val="-16"/>
          <w:kern w:val="21"/>
          <w:sz w:val="21"/>
          <w:szCs w:val="21"/>
        </w:rPr>
        <w:t>-</w:t>
      </w:r>
      <w:r>
        <w:rPr>
          <w:snapToGrid w:val="0"/>
          <w:color w:val="auto"/>
          <w:spacing w:val="-6"/>
          <w:kern w:val="21"/>
          <w:sz w:val="21"/>
          <w:szCs w:val="21"/>
        </w:rPr>
        <w:fldChar w:fldCharType="begin"/>
      </w:r>
      <w:r>
        <w:rPr>
          <w:snapToGrid w:val="0"/>
          <w:color w:val="auto"/>
          <w:spacing w:val="-6"/>
          <w:kern w:val="21"/>
          <w:sz w:val="21"/>
          <w:szCs w:val="21"/>
        </w:rPr>
        <w:instrText xml:space="preserve"> = 1 \* GB3 \* MERGEFORMAT </w:instrText>
      </w:r>
      <w:r>
        <w:rPr>
          <w:snapToGrid w:val="0"/>
          <w:color w:val="auto"/>
          <w:spacing w:val="-6"/>
          <w:kern w:val="21"/>
          <w:sz w:val="21"/>
          <w:szCs w:val="21"/>
        </w:rPr>
        <w:fldChar w:fldCharType="separate"/>
      </w:r>
      <w:r>
        <w:rPr>
          <w:rFonts w:hint="eastAsia"/>
          <w:color w:val="auto"/>
          <w:sz w:val="21"/>
          <w:szCs w:val="21"/>
        </w:rPr>
        <w:t>①</w:t>
      </w:r>
      <w:r>
        <w:rPr>
          <w:snapToGrid w:val="0"/>
          <w:color w:val="auto"/>
          <w:spacing w:val="-6"/>
          <w:kern w:val="21"/>
          <w:sz w:val="21"/>
          <w:szCs w:val="21"/>
        </w:rPr>
        <w:fldChar w:fldCharType="end"/>
      </w:r>
    </w:p>
    <w:sectPr>
      <w:footerReference r:id="rId5"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Impact">
    <w:panose1 w:val="020B0806030902050204"/>
    <w:charset w:val="00"/>
    <w:family w:val="swiss"/>
    <w:pitch w:val="default"/>
    <w:sig w:usb0="00000287" w:usb1="00000000" w:usb2="00000000" w:usb3="00000000" w:csb0="2000009F" w:csb1="DFD7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UE">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2E135">
    <w:pPr>
      <w:pStyle w:val="2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9D4A7">
    <w:pPr>
      <w:pStyle w:val="22"/>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BC0F68">
                          <w:pPr>
                            <w:pStyle w:val="22"/>
                            <w:rPr>
                              <w:rStyle w:val="34"/>
                              <w:rFonts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sz w:val="26"/>
                              <w:szCs w:val="26"/>
                            </w:rPr>
                            <w:fldChar w:fldCharType="begin"/>
                          </w:r>
                          <w:r>
                            <w:rPr>
                              <w:rStyle w:val="34"/>
                              <w:sz w:val="26"/>
                              <w:szCs w:val="26"/>
                            </w:rPr>
                            <w:instrText xml:space="preserve">PAGE  </w:instrText>
                          </w:r>
                          <w:r>
                            <w:rPr>
                              <w:sz w:val="26"/>
                              <w:szCs w:val="26"/>
                            </w:rPr>
                            <w:fldChar w:fldCharType="separate"/>
                          </w:r>
                          <w:r>
                            <w:rPr>
                              <w:rStyle w:val="34"/>
                              <w:sz w:val="26"/>
                              <w:szCs w:val="26"/>
                            </w:rPr>
                            <w:t>85</w:t>
                          </w:r>
                          <w:r>
                            <w:rPr>
                              <w:sz w:val="26"/>
                              <w:szCs w:val="26"/>
                            </w:rPr>
                            <w:fldChar w:fldCharType="end"/>
                          </w:r>
                          <w:r>
                            <w:rPr>
                              <w:rStyle w:val="34"/>
                              <w:sz w:val="20"/>
                            </w:rPr>
                            <w:t xml:space="preserve">  </w:t>
                          </w:r>
                          <w:r>
                            <w:rPr>
                              <w:rStyle w:val="34"/>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51BC0F68">
                    <w:pPr>
                      <w:pStyle w:val="22"/>
                      <w:rPr>
                        <w:rStyle w:val="34"/>
                        <w:rFonts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sz w:val="26"/>
                        <w:szCs w:val="26"/>
                      </w:rPr>
                      <w:fldChar w:fldCharType="begin"/>
                    </w:r>
                    <w:r>
                      <w:rPr>
                        <w:rStyle w:val="34"/>
                        <w:sz w:val="26"/>
                        <w:szCs w:val="26"/>
                      </w:rPr>
                      <w:instrText xml:space="preserve">PAGE  </w:instrText>
                    </w:r>
                    <w:r>
                      <w:rPr>
                        <w:sz w:val="26"/>
                        <w:szCs w:val="26"/>
                      </w:rPr>
                      <w:fldChar w:fldCharType="separate"/>
                    </w:r>
                    <w:r>
                      <w:rPr>
                        <w:rStyle w:val="34"/>
                        <w:sz w:val="26"/>
                        <w:szCs w:val="26"/>
                      </w:rPr>
                      <w:t>85</w:t>
                    </w:r>
                    <w:r>
                      <w:rPr>
                        <w:sz w:val="26"/>
                        <w:szCs w:val="26"/>
                      </w:rPr>
                      <w:fldChar w:fldCharType="end"/>
                    </w:r>
                    <w:r>
                      <w:rPr>
                        <w:rStyle w:val="34"/>
                        <w:sz w:val="20"/>
                      </w:rPr>
                      <w:t xml:space="preserve">  </w:t>
                    </w:r>
                    <w:r>
                      <w:rPr>
                        <w:rStyle w:val="34"/>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0F6BD">
    <w:pPr>
      <w:pStyle w:val="22"/>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3BD421">
                          <w:pPr>
                            <w:pStyle w:val="22"/>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D3BD421">
                    <w:pPr>
                      <w:pStyle w:val="22"/>
                    </w:pPr>
                    <w:r>
                      <w:fldChar w:fldCharType="begin"/>
                    </w:r>
                    <w:r>
                      <w:instrText xml:space="preserve"> PAGE  \* MERGEFORMAT </w:instrText>
                    </w:r>
                    <w:r>
                      <w:fldChar w:fldCharType="separate"/>
                    </w:r>
                    <w:r>
                      <w:t>86</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A31FB0"/>
    <w:multiLevelType w:val="singleLevel"/>
    <w:tmpl w:val="81A31FB0"/>
    <w:lvl w:ilvl="0" w:tentative="0">
      <w:start w:val="1"/>
      <w:numFmt w:val="decimal"/>
      <w:suff w:val="nothing"/>
      <w:lvlText w:val="（%1）"/>
      <w:lvlJc w:val="left"/>
    </w:lvl>
  </w:abstractNum>
  <w:abstractNum w:abstractNumId="1">
    <w:nsid w:val="C582AE68"/>
    <w:multiLevelType w:val="singleLevel"/>
    <w:tmpl w:val="C582AE68"/>
    <w:lvl w:ilvl="0" w:tentative="0">
      <w:start w:val="1"/>
      <w:numFmt w:val="decimal"/>
      <w:suff w:val="nothing"/>
      <w:lvlText w:val="%1、"/>
      <w:lvlJc w:val="left"/>
    </w:lvl>
  </w:abstractNum>
  <w:abstractNum w:abstractNumId="2">
    <w:nsid w:val="01203B59"/>
    <w:multiLevelType w:val="singleLevel"/>
    <w:tmpl w:val="01203B59"/>
    <w:lvl w:ilvl="0" w:tentative="0">
      <w:start w:val="1"/>
      <w:numFmt w:val="decimal"/>
      <w:suff w:val="nothing"/>
      <w:lvlText w:val="%1、"/>
      <w:lvlJc w:val="left"/>
    </w:lvl>
  </w:abstractNum>
  <w:abstractNum w:abstractNumId="3">
    <w:nsid w:val="1CEAAF18"/>
    <w:multiLevelType w:val="singleLevel"/>
    <w:tmpl w:val="1CEAAF18"/>
    <w:lvl w:ilvl="0" w:tentative="0">
      <w:start w:val="1"/>
      <w:numFmt w:val="bullet"/>
      <w:pStyle w:val="18"/>
      <w:lvlText w:val=""/>
      <w:lvlJc w:val="left"/>
      <w:pPr>
        <w:tabs>
          <w:tab w:val="left" w:pos="2040"/>
        </w:tabs>
        <w:ind w:left="2040" w:hanging="360"/>
      </w:pPr>
      <w:rPr>
        <w:rFonts w:hint="default" w:ascii="Wingdings" w:hAnsi="Wingdings"/>
      </w:rPr>
    </w:lvl>
  </w:abstractNum>
  <w:abstractNum w:abstractNumId="4">
    <w:nsid w:val="23989001"/>
    <w:multiLevelType w:val="singleLevel"/>
    <w:tmpl w:val="23989001"/>
    <w:lvl w:ilvl="0" w:tentative="0">
      <w:start w:val="1"/>
      <w:numFmt w:val="decimal"/>
      <w:suff w:val="nothing"/>
      <w:lvlText w:val="（%1）"/>
      <w:lvlJc w:val="left"/>
    </w:lvl>
  </w:abstractNum>
  <w:abstractNum w:abstractNumId="5">
    <w:nsid w:val="397F088E"/>
    <w:multiLevelType w:val="singleLevel"/>
    <w:tmpl w:val="397F088E"/>
    <w:lvl w:ilvl="0" w:tentative="0">
      <w:start w:val="3"/>
      <w:numFmt w:val="decimal"/>
      <w:suff w:val="nothing"/>
      <w:lvlText w:val="（%1）"/>
      <w:lvlJc w:val="left"/>
    </w:lvl>
  </w:abstractNum>
  <w:abstractNum w:abstractNumId="6">
    <w:nsid w:val="40BCB68E"/>
    <w:multiLevelType w:val="singleLevel"/>
    <w:tmpl w:val="40BCB68E"/>
    <w:lvl w:ilvl="0" w:tentative="0">
      <w:start w:val="1"/>
      <w:numFmt w:val="decimal"/>
      <w:suff w:val="nothing"/>
      <w:lvlText w:val="%1）"/>
      <w:lvlJc w:val="left"/>
    </w:lvl>
  </w:abstractNum>
  <w:abstractNum w:abstractNumId="7">
    <w:nsid w:val="5B140591"/>
    <w:multiLevelType w:val="singleLevel"/>
    <w:tmpl w:val="5B140591"/>
    <w:lvl w:ilvl="0" w:tentative="0">
      <w:start w:val="1"/>
      <w:numFmt w:val="decimal"/>
      <w:suff w:val="nothing"/>
      <w:lvlText w:val="%1、"/>
      <w:lvlJc w:val="left"/>
    </w:lvl>
  </w:abstractNum>
  <w:abstractNum w:abstractNumId="8">
    <w:nsid w:val="7693F017"/>
    <w:multiLevelType w:val="singleLevel"/>
    <w:tmpl w:val="7693F017"/>
    <w:lvl w:ilvl="0" w:tentative="0">
      <w:start w:val="2"/>
      <w:numFmt w:val="decimal"/>
      <w:suff w:val="nothing"/>
      <w:lvlText w:val="%1、"/>
      <w:lvlJc w:val="left"/>
    </w:lvl>
  </w:abstractNum>
  <w:num w:numId="1">
    <w:abstractNumId w:val="3"/>
  </w:num>
  <w:num w:numId="2">
    <w:abstractNumId w:val="7"/>
  </w:num>
  <w:num w:numId="3">
    <w:abstractNumId w:val="1"/>
  </w:num>
  <w:num w:numId="4">
    <w:abstractNumId w:val="0"/>
  </w:num>
  <w:num w:numId="5">
    <w:abstractNumId w:val="5"/>
  </w:num>
  <w:num w:numId="6">
    <w:abstractNumId w:val="4"/>
  </w:num>
  <w:num w:numId="7">
    <w:abstractNumId w:val="2"/>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EyMWI5MTUzMWI3YWI3NzBiZTMyYzQ0M2MxYzYyMjM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0F563B"/>
    <w:rsid w:val="001001DE"/>
    <w:rsid w:val="00131F42"/>
    <w:rsid w:val="001357F1"/>
    <w:rsid w:val="00140FA8"/>
    <w:rsid w:val="00142FEB"/>
    <w:rsid w:val="00143A2D"/>
    <w:rsid w:val="00145A41"/>
    <w:rsid w:val="00151675"/>
    <w:rsid w:val="00157435"/>
    <w:rsid w:val="00172A27"/>
    <w:rsid w:val="0017504D"/>
    <w:rsid w:val="0017671A"/>
    <w:rsid w:val="00177422"/>
    <w:rsid w:val="00184590"/>
    <w:rsid w:val="001870D1"/>
    <w:rsid w:val="0018781E"/>
    <w:rsid w:val="0019262D"/>
    <w:rsid w:val="001A1B35"/>
    <w:rsid w:val="001A48A2"/>
    <w:rsid w:val="001A6F61"/>
    <w:rsid w:val="001B4F24"/>
    <w:rsid w:val="001B72B8"/>
    <w:rsid w:val="001C69B3"/>
    <w:rsid w:val="001D5595"/>
    <w:rsid w:val="001D7874"/>
    <w:rsid w:val="001D7F22"/>
    <w:rsid w:val="001E5A44"/>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95E48"/>
    <w:rsid w:val="002A168C"/>
    <w:rsid w:val="002A3DC7"/>
    <w:rsid w:val="002B3F58"/>
    <w:rsid w:val="002B49E2"/>
    <w:rsid w:val="002B7B00"/>
    <w:rsid w:val="002B7C44"/>
    <w:rsid w:val="002C2B17"/>
    <w:rsid w:val="002D3DD0"/>
    <w:rsid w:val="002E1F3A"/>
    <w:rsid w:val="002E298A"/>
    <w:rsid w:val="00301978"/>
    <w:rsid w:val="0030332C"/>
    <w:rsid w:val="003051C2"/>
    <w:rsid w:val="00312296"/>
    <w:rsid w:val="00314F0E"/>
    <w:rsid w:val="00316DA6"/>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3249"/>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25CF7"/>
    <w:rsid w:val="005401AE"/>
    <w:rsid w:val="00542E07"/>
    <w:rsid w:val="00545424"/>
    <w:rsid w:val="00554A7B"/>
    <w:rsid w:val="0055572C"/>
    <w:rsid w:val="0056106A"/>
    <w:rsid w:val="005720AE"/>
    <w:rsid w:val="0057586F"/>
    <w:rsid w:val="00594D77"/>
    <w:rsid w:val="005969E4"/>
    <w:rsid w:val="005A06B7"/>
    <w:rsid w:val="005A1759"/>
    <w:rsid w:val="005A68A7"/>
    <w:rsid w:val="005D36AB"/>
    <w:rsid w:val="005F1E1E"/>
    <w:rsid w:val="00603114"/>
    <w:rsid w:val="00610597"/>
    <w:rsid w:val="00617CC3"/>
    <w:rsid w:val="006377A6"/>
    <w:rsid w:val="00637A3D"/>
    <w:rsid w:val="006411EF"/>
    <w:rsid w:val="00643BE3"/>
    <w:rsid w:val="006748B8"/>
    <w:rsid w:val="006775C3"/>
    <w:rsid w:val="0069290A"/>
    <w:rsid w:val="0069775A"/>
    <w:rsid w:val="00697813"/>
    <w:rsid w:val="006A260C"/>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A6355"/>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A5857"/>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13B9"/>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B5DF7"/>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878BE"/>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5029"/>
    <w:rsid w:val="00E070A2"/>
    <w:rsid w:val="00E2656A"/>
    <w:rsid w:val="00E412D0"/>
    <w:rsid w:val="00E56322"/>
    <w:rsid w:val="00E60982"/>
    <w:rsid w:val="00E62C62"/>
    <w:rsid w:val="00E654C1"/>
    <w:rsid w:val="00E65B09"/>
    <w:rsid w:val="00E65D97"/>
    <w:rsid w:val="00E72A5A"/>
    <w:rsid w:val="00E73354"/>
    <w:rsid w:val="00E85B8B"/>
    <w:rsid w:val="00E86596"/>
    <w:rsid w:val="00E9242D"/>
    <w:rsid w:val="00EB5255"/>
    <w:rsid w:val="00EB5C47"/>
    <w:rsid w:val="00ED0639"/>
    <w:rsid w:val="00EF137D"/>
    <w:rsid w:val="00EF4755"/>
    <w:rsid w:val="00EF7135"/>
    <w:rsid w:val="00F027DB"/>
    <w:rsid w:val="00F14A7A"/>
    <w:rsid w:val="00F22985"/>
    <w:rsid w:val="00F23E63"/>
    <w:rsid w:val="00F3383E"/>
    <w:rsid w:val="00F465A7"/>
    <w:rsid w:val="00F50B7C"/>
    <w:rsid w:val="00F550E6"/>
    <w:rsid w:val="00F57577"/>
    <w:rsid w:val="00F74345"/>
    <w:rsid w:val="00F80A0A"/>
    <w:rsid w:val="00F82B19"/>
    <w:rsid w:val="00F9212D"/>
    <w:rsid w:val="00F965DA"/>
    <w:rsid w:val="00FA406A"/>
    <w:rsid w:val="00FB503A"/>
    <w:rsid w:val="00FB516C"/>
    <w:rsid w:val="00FD0236"/>
    <w:rsid w:val="00FD18F4"/>
    <w:rsid w:val="00FD54DB"/>
    <w:rsid w:val="00FD619F"/>
    <w:rsid w:val="01086290"/>
    <w:rsid w:val="011657D9"/>
    <w:rsid w:val="01290F7E"/>
    <w:rsid w:val="013164C4"/>
    <w:rsid w:val="01350C9C"/>
    <w:rsid w:val="013856A1"/>
    <w:rsid w:val="014548F3"/>
    <w:rsid w:val="015B4FE6"/>
    <w:rsid w:val="015D1E09"/>
    <w:rsid w:val="01761867"/>
    <w:rsid w:val="017F6D8E"/>
    <w:rsid w:val="01A97277"/>
    <w:rsid w:val="01C0753F"/>
    <w:rsid w:val="01C51FAB"/>
    <w:rsid w:val="01D57C29"/>
    <w:rsid w:val="01FD7C7A"/>
    <w:rsid w:val="02306473"/>
    <w:rsid w:val="024F647C"/>
    <w:rsid w:val="02553107"/>
    <w:rsid w:val="02697903"/>
    <w:rsid w:val="026C4896"/>
    <w:rsid w:val="026E7C35"/>
    <w:rsid w:val="0295072E"/>
    <w:rsid w:val="02BA2B44"/>
    <w:rsid w:val="02BE0A08"/>
    <w:rsid w:val="02D323B7"/>
    <w:rsid w:val="02DC4D04"/>
    <w:rsid w:val="02F96569"/>
    <w:rsid w:val="0308110D"/>
    <w:rsid w:val="03092820"/>
    <w:rsid w:val="03097F81"/>
    <w:rsid w:val="03192A63"/>
    <w:rsid w:val="0322491C"/>
    <w:rsid w:val="032300A2"/>
    <w:rsid w:val="03370C3A"/>
    <w:rsid w:val="034443F1"/>
    <w:rsid w:val="034A04ED"/>
    <w:rsid w:val="037458C4"/>
    <w:rsid w:val="037C4BE3"/>
    <w:rsid w:val="03885E3A"/>
    <w:rsid w:val="03A51835"/>
    <w:rsid w:val="03B95FF4"/>
    <w:rsid w:val="03DD6186"/>
    <w:rsid w:val="03EA7B21"/>
    <w:rsid w:val="04150EED"/>
    <w:rsid w:val="041A2480"/>
    <w:rsid w:val="045E78EA"/>
    <w:rsid w:val="04606912"/>
    <w:rsid w:val="04610B65"/>
    <w:rsid w:val="046714EC"/>
    <w:rsid w:val="04706EF1"/>
    <w:rsid w:val="047168CE"/>
    <w:rsid w:val="04AF7B6F"/>
    <w:rsid w:val="04CD7FA9"/>
    <w:rsid w:val="04E76151"/>
    <w:rsid w:val="04F1327B"/>
    <w:rsid w:val="04F83BC4"/>
    <w:rsid w:val="0502491B"/>
    <w:rsid w:val="05094D59"/>
    <w:rsid w:val="05286528"/>
    <w:rsid w:val="05292409"/>
    <w:rsid w:val="052A28F6"/>
    <w:rsid w:val="052F573E"/>
    <w:rsid w:val="05342089"/>
    <w:rsid w:val="053828BA"/>
    <w:rsid w:val="053E2C54"/>
    <w:rsid w:val="054A61B4"/>
    <w:rsid w:val="054C16AB"/>
    <w:rsid w:val="05502988"/>
    <w:rsid w:val="0557437C"/>
    <w:rsid w:val="05594432"/>
    <w:rsid w:val="056E7567"/>
    <w:rsid w:val="058200DD"/>
    <w:rsid w:val="059F09AD"/>
    <w:rsid w:val="05AB5E10"/>
    <w:rsid w:val="05E12932"/>
    <w:rsid w:val="05F83EAE"/>
    <w:rsid w:val="05FB6D97"/>
    <w:rsid w:val="061D4AE9"/>
    <w:rsid w:val="0626099A"/>
    <w:rsid w:val="0627193B"/>
    <w:rsid w:val="06292BD9"/>
    <w:rsid w:val="063E7D85"/>
    <w:rsid w:val="066265FA"/>
    <w:rsid w:val="068A046A"/>
    <w:rsid w:val="0691652B"/>
    <w:rsid w:val="06C71910"/>
    <w:rsid w:val="06E12532"/>
    <w:rsid w:val="06EB2968"/>
    <w:rsid w:val="07184603"/>
    <w:rsid w:val="07293586"/>
    <w:rsid w:val="07295285"/>
    <w:rsid w:val="072B57C0"/>
    <w:rsid w:val="072F600D"/>
    <w:rsid w:val="0753050D"/>
    <w:rsid w:val="07636392"/>
    <w:rsid w:val="07686246"/>
    <w:rsid w:val="07727F9D"/>
    <w:rsid w:val="07770C56"/>
    <w:rsid w:val="07896D79"/>
    <w:rsid w:val="07926EFD"/>
    <w:rsid w:val="079A1219"/>
    <w:rsid w:val="079C75F6"/>
    <w:rsid w:val="07BB4A45"/>
    <w:rsid w:val="07CB2C73"/>
    <w:rsid w:val="07CD7519"/>
    <w:rsid w:val="07DE071F"/>
    <w:rsid w:val="07EB17D6"/>
    <w:rsid w:val="07F12200"/>
    <w:rsid w:val="080A32C2"/>
    <w:rsid w:val="081B176A"/>
    <w:rsid w:val="08291AC8"/>
    <w:rsid w:val="082D1382"/>
    <w:rsid w:val="083B60A1"/>
    <w:rsid w:val="08434BFA"/>
    <w:rsid w:val="08554782"/>
    <w:rsid w:val="08740015"/>
    <w:rsid w:val="08817E97"/>
    <w:rsid w:val="08851C31"/>
    <w:rsid w:val="088B3322"/>
    <w:rsid w:val="08AF3E13"/>
    <w:rsid w:val="08D04AC7"/>
    <w:rsid w:val="08F44A03"/>
    <w:rsid w:val="08F83762"/>
    <w:rsid w:val="08FD1DEA"/>
    <w:rsid w:val="08FF6B9F"/>
    <w:rsid w:val="09204C20"/>
    <w:rsid w:val="092217DD"/>
    <w:rsid w:val="093766D2"/>
    <w:rsid w:val="093A7294"/>
    <w:rsid w:val="093E76C7"/>
    <w:rsid w:val="097906FF"/>
    <w:rsid w:val="09976DD7"/>
    <w:rsid w:val="099D513F"/>
    <w:rsid w:val="09B94A8A"/>
    <w:rsid w:val="09D82BC8"/>
    <w:rsid w:val="09E90AFF"/>
    <w:rsid w:val="0A020747"/>
    <w:rsid w:val="0A026E19"/>
    <w:rsid w:val="0A193269"/>
    <w:rsid w:val="0A2148F3"/>
    <w:rsid w:val="0A216696"/>
    <w:rsid w:val="0A263993"/>
    <w:rsid w:val="0A2848E7"/>
    <w:rsid w:val="0A2D1898"/>
    <w:rsid w:val="0A2D3AC2"/>
    <w:rsid w:val="0A3E71D2"/>
    <w:rsid w:val="0A76377C"/>
    <w:rsid w:val="0A8F1A85"/>
    <w:rsid w:val="0A9B64C0"/>
    <w:rsid w:val="0AA755DF"/>
    <w:rsid w:val="0AE83F2C"/>
    <w:rsid w:val="0AEE3228"/>
    <w:rsid w:val="0AF61B32"/>
    <w:rsid w:val="0B120D44"/>
    <w:rsid w:val="0B1D330C"/>
    <w:rsid w:val="0B216502"/>
    <w:rsid w:val="0B2226D0"/>
    <w:rsid w:val="0B224DC6"/>
    <w:rsid w:val="0B386398"/>
    <w:rsid w:val="0B584344"/>
    <w:rsid w:val="0B636AD9"/>
    <w:rsid w:val="0B6A43CA"/>
    <w:rsid w:val="0B6B58B2"/>
    <w:rsid w:val="0B780030"/>
    <w:rsid w:val="0B9F7216"/>
    <w:rsid w:val="0BA650B0"/>
    <w:rsid w:val="0BA660E8"/>
    <w:rsid w:val="0BAA5E29"/>
    <w:rsid w:val="0BBF4558"/>
    <w:rsid w:val="0BD27BF6"/>
    <w:rsid w:val="0BE36D4B"/>
    <w:rsid w:val="0BE91440"/>
    <w:rsid w:val="0BED0CED"/>
    <w:rsid w:val="0BEE21B3"/>
    <w:rsid w:val="0BF15BEB"/>
    <w:rsid w:val="0BF8214A"/>
    <w:rsid w:val="0C0D15D3"/>
    <w:rsid w:val="0C0E2BC1"/>
    <w:rsid w:val="0C1369A8"/>
    <w:rsid w:val="0C1A659E"/>
    <w:rsid w:val="0C217946"/>
    <w:rsid w:val="0C2F32F7"/>
    <w:rsid w:val="0C3B3C7D"/>
    <w:rsid w:val="0C3C5871"/>
    <w:rsid w:val="0C502219"/>
    <w:rsid w:val="0C6173B0"/>
    <w:rsid w:val="0C6A07D3"/>
    <w:rsid w:val="0C7E602C"/>
    <w:rsid w:val="0C8F71EB"/>
    <w:rsid w:val="0C95035A"/>
    <w:rsid w:val="0C9870EE"/>
    <w:rsid w:val="0C9F6CA2"/>
    <w:rsid w:val="0CA7043F"/>
    <w:rsid w:val="0CAB2EAE"/>
    <w:rsid w:val="0CAC2B9A"/>
    <w:rsid w:val="0CB101B0"/>
    <w:rsid w:val="0CB95226"/>
    <w:rsid w:val="0CC071D5"/>
    <w:rsid w:val="0CC80840"/>
    <w:rsid w:val="0CC82BFB"/>
    <w:rsid w:val="0CD242DF"/>
    <w:rsid w:val="0CD47A8A"/>
    <w:rsid w:val="0CE75980"/>
    <w:rsid w:val="0D004306"/>
    <w:rsid w:val="0D0A1648"/>
    <w:rsid w:val="0D1644B7"/>
    <w:rsid w:val="0D1D5774"/>
    <w:rsid w:val="0D38267F"/>
    <w:rsid w:val="0D5079C9"/>
    <w:rsid w:val="0D621C7D"/>
    <w:rsid w:val="0D8A4767"/>
    <w:rsid w:val="0D941F16"/>
    <w:rsid w:val="0D9A705C"/>
    <w:rsid w:val="0DD63418"/>
    <w:rsid w:val="0E0D15AC"/>
    <w:rsid w:val="0E107158"/>
    <w:rsid w:val="0E1E1CE1"/>
    <w:rsid w:val="0E2855BD"/>
    <w:rsid w:val="0E3C619F"/>
    <w:rsid w:val="0E4C35F7"/>
    <w:rsid w:val="0E6E46B5"/>
    <w:rsid w:val="0E73034D"/>
    <w:rsid w:val="0E823147"/>
    <w:rsid w:val="0E883192"/>
    <w:rsid w:val="0E8C14E5"/>
    <w:rsid w:val="0EA22020"/>
    <w:rsid w:val="0EA24254"/>
    <w:rsid w:val="0EAC5C98"/>
    <w:rsid w:val="0EB977F0"/>
    <w:rsid w:val="0EBB70C4"/>
    <w:rsid w:val="0ECA4851"/>
    <w:rsid w:val="0EE7610B"/>
    <w:rsid w:val="0EEE7F23"/>
    <w:rsid w:val="0F0071CD"/>
    <w:rsid w:val="0F065525"/>
    <w:rsid w:val="0F082A0E"/>
    <w:rsid w:val="0F0A63FE"/>
    <w:rsid w:val="0F13775A"/>
    <w:rsid w:val="0F20433E"/>
    <w:rsid w:val="0F2C6C03"/>
    <w:rsid w:val="0F44530B"/>
    <w:rsid w:val="0F5D5AB9"/>
    <w:rsid w:val="0F5F45FE"/>
    <w:rsid w:val="0F694351"/>
    <w:rsid w:val="0F7C7E13"/>
    <w:rsid w:val="0F8604F3"/>
    <w:rsid w:val="0F88032D"/>
    <w:rsid w:val="0F9A112B"/>
    <w:rsid w:val="0FAC0967"/>
    <w:rsid w:val="0FD33817"/>
    <w:rsid w:val="0FD63973"/>
    <w:rsid w:val="0FE40035"/>
    <w:rsid w:val="0FEC1D53"/>
    <w:rsid w:val="0FFB7A5A"/>
    <w:rsid w:val="10036288"/>
    <w:rsid w:val="100C7E3B"/>
    <w:rsid w:val="10211D0B"/>
    <w:rsid w:val="102132EF"/>
    <w:rsid w:val="10367B82"/>
    <w:rsid w:val="1057106E"/>
    <w:rsid w:val="106D2F64"/>
    <w:rsid w:val="10757AB0"/>
    <w:rsid w:val="10806817"/>
    <w:rsid w:val="10A02A15"/>
    <w:rsid w:val="10A342B4"/>
    <w:rsid w:val="10A37429"/>
    <w:rsid w:val="10B169D0"/>
    <w:rsid w:val="10B24004"/>
    <w:rsid w:val="10B63710"/>
    <w:rsid w:val="10BD6F35"/>
    <w:rsid w:val="10C34956"/>
    <w:rsid w:val="10CD1330"/>
    <w:rsid w:val="10F10820"/>
    <w:rsid w:val="10F82A02"/>
    <w:rsid w:val="10FB3C68"/>
    <w:rsid w:val="11023544"/>
    <w:rsid w:val="110E78D8"/>
    <w:rsid w:val="11160F29"/>
    <w:rsid w:val="11167533"/>
    <w:rsid w:val="11187D67"/>
    <w:rsid w:val="111C2F7A"/>
    <w:rsid w:val="11205904"/>
    <w:rsid w:val="1122342A"/>
    <w:rsid w:val="11276C93"/>
    <w:rsid w:val="115E34C0"/>
    <w:rsid w:val="11613355"/>
    <w:rsid w:val="11665CA1"/>
    <w:rsid w:val="11733C86"/>
    <w:rsid w:val="117D4B05"/>
    <w:rsid w:val="1182211B"/>
    <w:rsid w:val="119A6738"/>
    <w:rsid w:val="119F7AF4"/>
    <w:rsid w:val="11B564D5"/>
    <w:rsid w:val="11BA27CD"/>
    <w:rsid w:val="11C26637"/>
    <w:rsid w:val="11DA1F57"/>
    <w:rsid w:val="11DB262D"/>
    <w:rsid w:val="11DC0F93"/>
    <w:rsid w:val="11E006C0"/>
    <w:rsid w:val="11E7309F"/>
    <w:rsid w:val="11FB49F3"/>
    <w:rsid w:val="121D07F3"/>
    <w:rsid w:val="123E786A"/>
    <w:rsid w:val="1250234B"/>
    <w:rsid w:val="12684274"/>
    <w:rsid w:val="12767ED2"/>
    <w:rsid w:val="127B3A7A"/>
    <w:rsid w:val="12806A7C"/>
    <w:rsid w:val="129809BA"/>
    <w:rsid w:val="129B7C09"/>
    <w:rsid w:val="129E112E"/>
    <w:rsid w:val="12AA1929"/>
    <w:rsid w:val="12AB56A1"/>
    <w:rsid w:val="12AB744F"/>
    <w:rsid w:val="12DF3C1F"/>
    <w:rsid w:val="12E27315"/>
    <w:rsid w:val="12F65FF1"/>
    <w:rsid w:val="13196AAF"/>
    <w:rsid w:val="131F6382"/>
    <w:rsid w:val="13207E3D"/>
    <w:rsid w:val="13316631"/>
    <w:rsid w:val="133259FB"/>
    <w:rsid w:val="133D09EF"/>
    <w:rsid w:val="13477178"/>
    <w:rsid w:val="13853329"/>
    <w:rsid w:val="138A5B19"/>
    <w:rsid w:val="13951726"/>
    <w:rsid w:val="139C75AD"/>
    <w:rsid w:val="139D1940"/>
    <w:rsid w:val="13DA2F6E"/>
    <w:rsid w:val="13DB411E"/>
    <w:rsid w:val="13DF1AA7"/>
    <w:rsid w:val="13E64298"/>
    <w:rsid w:val="13F96784"/>
    <w:rsid w:val="13FC4322"/>
    <w:rsid w:val="14011AE5"/>
    <w:rsid w:val="14292D22"/>
    <w:rsid w:val="143119D7"/>
    <w:rsid w:val="14327E28"/>
    <w:rsid w:val="143324D3"/>
    <w:rsid w:val="14396509"/>
    <w:rsid w:val="14480A49"/>
    <w:rsid w:val="14482E21"/>
    <w:rsid w:val="14684B99"/>
    <w:rsid w:val="147C6C64"/>
    <w:rsid w:val="147E793A"/>
    <w:rsid w:val="14963666"/>
    <w:rsid w:val="149A59CD"/>
    <w:rsid w:val="149B7C36"/>
    <w:rsid w:val="14A275CF"/>
    <w:rsid w:val="14CA6DD8"/>
    <w:rsid w:val="14CD5DA3"/>
    <w:rsid w:val="14CE4BBD"/>
    <w:rsid w:val="14DB66F5"/>
    <w:rsid w:val="14DD2C3C"/>
    <w:rsid w:val="14F84448"/>
    <w:rsid w:val="1502451B"/>
    <w:rsid w:val="1528122B"/>
    <w:rsid w:val="152B715D"/>
    <w:rsid w:val="15367636"/>
    <w:rsid w:val="153F253D"/>
    <w:rsid w:val="154D1CD8"/>
    <w:rsid w:val="154D2DD8"/>
    <w:rsid w:val="15592293"/>
    <w:rsid w:val="156003D9"/>
    <w:rsid w:val="156E30E2"/>
    <w:rsid w:val="15AA210B"/>
    <w:rsid w:val="15B53438"/>
    <w:rsid w:val="15C251DC"/>
    <w:rsid w:val="15CD5AB8"/>
    <w:rsid w:val="15DC2CB2"/>
    <w:rsid w:val="15FE2D06"/>
    <w:rsid w:val="16087E1D"/>
    <w:rsid w:val="16137B32"/>
    <w:rsid w:val="16144628"/>
    <w:rsid w:val="161C4576"/>
    <w:rsid w:val="161D511E"/>
    <w:rsid w:val="161F262E"/>
    <w:rsid w:val="163046BA"/>
    <w:rsid w:val="163E4FD8"/>
    <w:rsid w:val="164756E1"/>
    <w:rsid w:val="164E7962"/>
    <w:rsid w:val="16545A17"/>
    <w:rsid w:val="165B2F3A"/>
    <w:rsid w:val="1661098B"/>
    <w:rsid w:val="16707C2E"/>
    <w:rsid w:val="16801192"/>
    <w:rsid w:val="168129A1"/>
    <w:rsid w:val="1683296D"/>
    <w:rsid w:val="1684106C"/>
    <w:rsid w:val="16970417"/>
    <w:rsid w:val="16B03D62"/>
    <w:rsid w:val="16BA0495"/>
    <w:rsid w:val="16CC325A"/>
    <w:rsid w:val="16CF64D1"/>
    <w:rsid w:val="16D52CED"/>
    <w:rsid w:val="16DA0899"/>
    <w:rsid w:val="16E42F30"/>
    <w:rsid w:val="16E65247"/>
    <w:rsid w:val="16EE7FBC"/>
    <w:rsid w:val="16EF2001"/>
    <w:rsid w:val="170D014A"/>
    <w:rsid w:val="170F61FF"/>
    <w:rsid w:val="17153B1E"/>
    <w:rsid w:val="174F2A9F"/>
    <w:rsid w:val="176F2E6E"/>
    <w:rsid w:val="17701D14"/>
    <w:rsid w:val="17735226"/>
    <w:rsid w:val="177E3384"/>
    <w:rsid w:val="17991F6C"/>
    <w:rsid w:val="179A03BE"/>
    <w:rsid w:val="179B4D9D"/>
    <w:rsid w:val="17A02CA7"/>
    <w:rsid w:val="17A3166A"/>
    <w:rsid w:val="17D3417A"/>
    <w:rsid w:val="17DD6B86"/>
    <w:rsid w:val="17E87D3E"/>
    <w:rsid w:val="17E91028"/>
    <w:rsid w:val="17F52D89"/>
    <w:rsid w:val="1805733B"/>
    <w:rsid w:val="1826365E"/>
    <w:rsid w:val="18271D43"/>
    <w:rsid w:val="18363945"/>
    <w:rsid w:val="183A52FF"/>
    <w:rsid w:val="185B71EE"/>
    <w:rsid w:val="189F624C"/>
    <w:rsid w:val="18A03CC2"/>
    <w:rsid w:val="18E86D07"/>
    <w:rsid w:val="18F27848"/>
    <w:rsid w:val="18FC7284"/>
    <w:rsid w:val="190306CD"/>
    <w:rsid w:val="190E6FF1"/>
    <w:rsid w:val="19173A91"/>
    <w:rsid w:val="19324427"/>
    <w:rsid w:val="19423752"/>
    <w:rsid w:val="19566367"/>
    <w:rsid w:val="196315DB"/>
    <w:rsid w:val="196565AA"/>
    <w:rsid w:val="199433D3"/>
    <w:rsid w:val="199A7B5B"/>
    <w:rsid w:val="19A126B4"/>
    <w:rsid w:val="19A14650"/>
    <w:rsid w:val="19AD2867"/>
    <w:rsid w:val="19BD6628"/>
    <w:rsid w:val="19C77265"/>
    <w:rsid w:val="19CA28B1"/>
    <w:rsid w:val="19CA6156"/>
    <w:rsid w:val="19FE059F"/>
    <w:rsid w:val="1A042C20"/>
    <w:rsid w:val="1A0F29BA"/>
    <w:rsid w:val="1A101B8C"/>
    <w:rsid w:val="1A1C66C0"/>
    <w:rsid w:val="1A2A4C22"/>
    <w:rsid w:val="1A42393B"/>
    <w:rsid w:val="1A4E6CE5"/>
    <w:rsid w:val="1A633C55"/>
    <w:rsid w:val="1A8E0638"/>
    <w:rsid w:val="1A9829AF"/>
    <w:rsid w:val="1AA36286"/>
    <w:rsid w:val="1AAD45DE"/>
    <w:rsid w:val="1AC23E12"/>
    <w:rsid w:val="1B046F80"/>
    <w:rsid w:val="1B0E171E"/>
    <w:rsid w:val="1B1B6455"/>
    <w:rsid w:val="1B26620D"/>
    <w:rsid w:val="1B3267B5"/>
    <w:rsid w:val="1B356450"/>
    <w:rsid w:val="1B397CEE"/>
    <w:rsid w:val="1B3C4E8D"/>
    <w:rsid w:val="1B3C5277"/>
    <w:rsid w:val="1B40161D"/>
    <w:rsid w:val="1B441859"/>
    <w:rsid w:val="1B4A2315"/>
    <w:rsid w:val="1B601BEE"/>
    <w:rsid w:val="1B6606B1"/>
    <w:rsid w:val="1B742AD4"/>
    <w:rsid w:val="1B755A7C"/>
    <w:rsid w:val="1B797DF4"/>
    <w:rsid w:val="1B7A232D"/>
    <w:rsid w:val="1B870293"/>
    <w:rsid w:val="1BA608FB"/>
    <w:rsid w:val="1BA710FC"/>
    <w:rsid w:val="1BA809D0"/>
    <w:rsid w:val="1BD6378F"/>
    <w:rsid w:val="1BDC7FC4"/>
    <w:rsid w:val="1BEE499C"/>
    <w:rsid w:val="1BEF5F88"/>
    <w:rsid w:val="1BF43C15"/>
    <w:rsid w:val="1C0B33E2"/>
    <w:rsid w:val="1C1E778E"/>
    <w:rsid w:val="1C3D380E"/>
    <w:rsid w:val="1C410162"/>
    <w:rsid w:val="1C410B74"/>
    <w:rsid w:val="1C5A131F"/>
    <w:rsid w:val="1C5E7925"/>
    <w:rsid w:val="1C6513F0"/>
    <w:rsid w:val="1C725D6E"/>
    <w:rsid w:val="1C8F1FBA"/>
    <w:rsid w:val="1CB763CB"/>
    <w:rsid w:val="1CF30371"/>
    <w:rsid w:val="1CF47752"/>
    <w:rsid w:val="1CF52996"/>
    <w:rsid w:val="1CFD070F"/>
    <w:rsid w:val="1D07320F"/>
    <w:rsid w:val="1D2C719F"/>
    <w:rsid w:val="1D5F6196"/>
    <w:rsid w:val="1D6132A5"/>
    <w:rsid w:val="1D696644"/>
    <w:rsid w:val="1D7019C1"/>
    <w:rsid w:val="1D7C3EC2"/>
    <w:rsid w:val="1D7D3530"/>
    <w:rsid w:val="1D7E5E8C"/>
    <w:rsid w:val="1D8E56D5"/>
    <w:rsid w:val="1D906C70"/>
    <w:rsid w:val="1D921938"/>
    <w:rsid w:val="1DAE4226"/>
    <w:rsid w:val="1DC4789F"/>
    <w:rsid w:val="1DD66C03"/>
    <w:rsid w:val="1DED3012"/>
    <w:rsid w:val="1E0345E3"/>
    <w:rsid w:val="1E311EC1"/>
    <w:rsid w:val="1E314459"/>
    <w:rsid w:val="1E360761"/>
    <w:rsid w:val="1E393709"/>
    <w:rsid w:val="1E3D18A3"/>
    <w:rsid w:val="1E3E2F64"/>
    <w:rsid w:val="1E4427E1"/>
    <w:rsid w:val="1E5D50C1"/>
    <w:rsid w:val="1E5F6B76"/>
    <w:rsid w:val="1E727F86"/>
    <w:rsid w:val="1E7A43DA"/>
    <w:rsid w:val="1EA75C5E"/>
    <w:rsid w:val="1EB76193"/>
    <w:rsid w:val="1EC75611"/>
    <w:rsid w:val="1ED52813"/>
    <w:rsid w:val="1EE26AB3"/>
    <w:rsid w:val="1F0938D3"/>
    <w:rsid w:val="1F2E54B8"/>
    <w:rsid w:val="1F2E606E"/>
    <w:rsid w:val="1F520E6A"/>
    <w:rsid w:val="1F62011E"/>
    <w:rsid w:val="1F6B7E11"/>
    <w:rsid w:val="1F6E2092"/>
    <w:rsid w:val="1F890B18"/>
    <w:rsid w:val="1FA87F4E"/>
    <w:rsid w:val="1FAF4A23"/>
    <w:rsid w:val="1FE7539E"/>
    <w:rsid w:val="1FE93194"/>
    <w:rsid w:val="1FEE41A1"/>
    <w:rsid w:val="1FEF6BCD"/>
    <w:rsid w:val="20147CC9"/>
    <w:rsid w:val="20427645"/>
    <w:rsid w:val="20505F62"/>
    <w:rsid w:val="205E0C3B"/>
    <w:rsid w:val="20671BE0"/>
    <w:rsid w:val="207F7F55"/>
    <w:rsid w:val="20927810"/>
    <w:rsid w:val="20931861"/>
    <w:rsid w:val="20955535"/>
    <w:rsid w:val="20963CB8"/>
    <w:rsid w:val="20A81A1B"/>
    <w:rsid w:val="20B07FB6"/>
    <w:rsid w:val="20B646FB"/>
    <w:rsid w:val="20BB0148"/>
    <w:rsid w:val="20C311EB"/>
    <w:rsid w:val="210576E0"/>
    <w:rsid w:val="21101404"/>
    <w:rsid w:val="21153AE1"/>
    <w:rsid w:val="211B195F"/>
    <w:rsid w:val="21287C3E"/>
    <w:rsid w:val="213A0873"/>
    <w:rsid w:val="213B74B1"/>
    <w:rsid w:val="215869F4"/>
    <w:rsid w:val="215A2310"/>
    <w:rsid w:val="21627F05"/>
    <w:rsid w:val="21676C37"/>
    <w:rsid w:val="217D038E"/>
    <w:rsid w:val="2183659D"/>
    <w:rsid w:val="21935C7E"/>
    <w:rsid w:val="21AB121A"/>
    <w:rsid w:val="21B47C57"/>
    <w:rsid w:val="21BF0821"/>
    <w:rsid w:val="21C0259F"/>
    <w:rsid w:val="21D51978"/>
    <w:rsid w:val="21DE318A"/>
    <w:rsid w:val="21E22BA2"/>
    <w:rsid w:val="21EB7868"/>
    <w:rsid w:val="21EF5B80"/>
    <w:rsid w:val="21F15B0F"/>
    <w:rsid w:val="220637A5"/>
    <w:rsid w:val="224407AF"/>
    <w:rsid w:val="224637A4"/>
    <w:rsid w:val="224A077C"/>
    <w:rsid w:val="22576990"/>
    <w:rsid w:val="225C2514"/>
    <w:rsid w:val="227656B5"/>
    <w:rsid w:val="229B38CB"/>
    <w:rsid w:val="22B47310"/>
    <w:rsid w:val="22B95638"/>
    <w:rsid w:val="22BD5DB2"/>
    <w:rsid w:val="22C150BE"/>
    <w:rsid w:val="22D31348"/>
    <w:rsid w:val="22D622C7"/>
    <w:rsid w:val="22E91FFA"/>
    <w:rsid w:val="22EB2BAA"/>
    <w:rsid w:val="22F47480"/>
    <w:rsid w:val="22F526F3"/>
    <w:rsid w:val="22F66BD5"/>
    <w:rsid w:val="234822FE"/>
    <w:rsid w:val="234A5951"/>
    <w:rsid w:val="238D507B"/>
    <w:rsid w:val="23944157"/>
    <w:rsid w:val="23D305B4"/>
    <w:rsid w:val="23DE1C48"/>
    <w:rsid w:val="23F4256F"/>
    <w:rsid w:val="23F5677C"/>
    <w:rsid w:val="23F67BC9"/>
    <w:rsid w:val="23FE4FA4"/>
    <w:rsid w:val="240210CD"/>
    <w:rsid w:val="242058F1"/>
    <w:rsid w:val="242B4894"/>
    <w:rsid w:val="242D6472"/>
    <w:rsid w:val="245F3466"/>
    <w:rsid w:val="247149ED"/>
    <w:rsid w:val="24743B45"/>
    <w:rsid w:val="24813F11"/>
    <w:rsid w:val="24967F5F"/>
    <w:rsid w:val="24973CD7"/>
    <w:rsid w:val="24A242F9"/>
    <w:rsid w:val="24AD27B3"/>
    <w:rsid w:val="24B973D0"/>
    <w:rsid w:val="24BF09F7"/>
    <w:rsid w:val="24EC5607"/>
    <w:rsid w:val="24FB0CC8"/>
    <w:rsid w:val="24FE7C4F"/>
    <w:rsid w:val="24FF332C"/>
    <w:rsid w:val="2521167B"/>
    <w:rsid w:val="252D53FE"/>
    <w:rsid w:val="253357AE"/>
    <w:rsid w:val="2544204B"/>
    <w:rsid w:val="255D6C3D"/>
    <w:rsid w:val="255F3C0C"/>
    <w:rsid w:val="257B0F03"/>
    <w:rsid w:val="25815675"/>
    <w:rsid w:val="25987D07"/>
    <w:rsid w:val="25B3659B"/>
    <w:rsid w:val="25B6018D"/>
    <w:rsid w:val="25D26264"/>
    <w:rsid w:val="25E55FC3"/>
    <w:rsid w:val="25EC2D81"/>
    <w:rsid w:val="25F275AA"/>
    <w:rsid w:val="25F50CB6"/>
    <w:rsid w:val="260B5A65"/>
    <w:rsid w:val="261B24CF"/>
    <w:rsid w:val="261D3E53"/>
    <w:rsid w:val="26263A75"/>
    <w:rsid w:val="26467BCB"/>
    <w:rsid w:val="26485289"/>
    <w:rsid w:val="265579A6"/>
    <w:rsid w:val="265B5EA8"/>
    <w:rsid w:val="265B73F3"/>
    <w:rsid w:val="266F6D1B"/>
    <w:rsid w:val="26806335"/>
    <w:rsid w:val="26880A69"/>
    <w:rsid w:val="269B185D"/>
    <w:rsid w:val="26B274D5"/>
    <w:rsid w:val="26B81856"/>
    <w:rsid w:val="26BB1EFF"/>
    <w:rsid w:val="26D34C02"/>
    <w:rsid w:val="26D76022"/>
    <w:rsid w:val="2702368A"/>
    <w:rsid w:val="27140937"/>
    <w:rsid w:val="272E201F"/>
    <w:rsid w:val="27427F2B"/>
    <w:rsid w:val="27475541"/>
    <w:rsid w:val="274C0DA9"/>
    <w:rsid w:val="275F7D5D"/>
    <w:rsid w:val="276A3FD7"/>
    <w:rsid w:val="276E30FB"/>
    <w:rsid w:val="277057A2"/>
    <w:rsid w:val="277707E1"/>
    <w:rsid w:val="27774B8A"/>
    <w:rsid w:val="27776FFF"/>
    <w:rsid w:val="278C49B9"/>
    <w:rsid w:val="27BA6B42"/>
    <w:rsid w:val="27C923FA"/>
    <w:rsid w:val="27CB6172"/>
    <w:rsid w:val="27CB7F20"/>
    <w:rsid w:val="28004365"/>
    <w:rsid w:val="28090A2D"/>
    <w:rsid w:val="28221B0A"/>
    <w:rsid w:val="28225040"/>
    <w:rsid w:val="283F5F78"/>
    <w:rsid w:val="28474701"/>
    <w:rsid w:val="28667C49"/>
    <w:rsid w:val="28682A27"/>
    <w:rsid w:val="288709B2"/>
    <w:rsid w:val="28885E11"/>
    <w:rsid w:val="288D1679"/>
    <w:rsid w:val="28A075FF"/>
    <w:rsid w:val="28AB7D51"/>
    <w:rsid w:val="28B27332"/>
    <w:rsid w:val="28BF50C6"/>
    <w:rsid w:val="28E62B38"/>
    <w:rsid w:val="28EA2628"/>
    <w:rsid w:val="28EF1766"/>
    <w:rsid w:val="29010B31"/>
    <w:rsid w:val="290F02E0"/>
    <w:rsid w:val="290F79A5"/>
    <w:rsid w:val="291951C7"/>
    <w:rsid w:val="291D29FD"/>
    <w:rsid w:val="29206085"/>
    <w:rsid w:val="29206EB8"/>
    <w:rsid w:val="292F0982"/>
    <w:rsid w:val="293456B9"/>
    <w:rsid w:val="29457B2D"/>
    <w:rsid w:val="29595666"/>
    <w:rsid w:val="295B06C6"/>
    <w:rsid w:val="29714AF7"/>
    <w:rsid w:val="2979531C"/>
    <w:rsid w:val="297D2B7D"/>
    <w:rsid w:val="2983215C"/>
    <w:rsid w:val="29874881"/>
    <w:rsid w:val="29C27101"/>
    <w:rsid w:val="29E325E0"/>
    <w:rsid w:val="29EA3ED0"/>
    <w:rsid w:val="2A0422E9"/>
    <w:rsid w:val="2A1674DF"/>
    <w:rsid w:val="2A1C2CB5"/>
    <w:rsid w:val="2A2E29E8"/>
    <w:rsid w:val="2A35707C"/>
    <w:rsid w:val="2A4404E2"/>
    <w:rsid w:val="2A452503"/>
    <w:rsid w:val="2A4B5348"/>
    <w:rsid w:val="2A74455A"/>
    <w:rsid w:val="2A8B7E3A"/>
    <w:rsid w:val="2A9767DF"/>
    <w:rsid w:val="2AB31805"/>
    <w:rsid w:val="2AB770D7"/>
    <w:rsid w:val="2ACB541A"/>
    <w:rsid w:val="2AD45542"/>
    <w:rsid w:val="2AEA0C1E"/>
    <w:rsid w:val="2AED470F"/>
    <w:rsid w:val="2B035C23"/>
    <w:rsid w:val="2B1E10A9"/>
    <w:rsid w:val="2B2249E6"/>
    <w:rsid w:val="2B263D1E"/>
    <w:rsid w:val="2B312790"/>
    <w:rsid w:val="2B6A165E"/>
    <w:rsid w:val="2B6D7540"/>
    <w:rsid w:val="2BA936A8"/>
    <w:rsid w:val="2BE96B9C"/>
    <w:rsid w:val="2C083DF9"/>
    <w:rsid w:val="2C315A5A"/>
    <w:rsid w:val="2C3E0125"/>
    <w:rsid w:val="2C4666EF"/>
    <w:rsid w:val="2C4B1C25"/>
    <w:rsid w:val="2C7768C8"/>
    <w:rsid w:val="2C7E34D4"/>
    <w:rsid w:val="2C8469EC"/>
    <w:rsid w:val="2C952D0F"/>
    <w:rsid w:val="2C95584C"/>
    <w:rsid w:val="2C9C2E6F"/>
    <w:rsid w:val="2CA362AC"/>
    <w:rsid w:val="2CAC6A25"/>
    <w:rsid w:val="2CBB2565"/>
    <w:rsid w:val="2D117479"/>
    <w:rsid w:val="2D1F5593"/>
    <w:rsid w:val="2D463E79"/>
    <w:rsid w:val="2D7A456E"/>
    <w:rsid w:val="2D8D47F8"/>
    <w:rsid w:val="2D9E56F5"/>
    <w:rsid w:val="2DAD08F6"/>
    <w:rsid w:val="2DD80468"/>
    <w:rsid w:val="2DE51610"/>
    <w:rsid w:val="2DEE1D2B"/>
    <w:rsid w:val="2DF67CC1"/>
    <w:rsid w:val="2E00469C"/>
    <w:rsid w:val="2E667F96"/>
    <w:rsid w:val="2E8226AB"/>
    <w:rsid w:val="2E9F3EB4"/>
    <w:rsid w:val="2EAC0A52"/>
    <w:rsid w:val="2EB559C2"/>
    <w:rsid w:val="2EB81C35"/>
    <w:rsid w:val="2EBF4557"/>
    <w:rsid w:val="2ED64E95"/>
    <w:rsid w:val="2EEC3CE2"/>
    <w:rsid w:val="2F1B6036"/>
    <w:rsid w:val="2F35142F"/>
    <w:rsid w:val="2F497434"/>
    <w:rsid w:val="2F526AE0"/>
    <w:rsid w:val="2F566C69"/>
    <w:rsid w:val="2F671616"/>
    <w:rsid w:val="2F697837"/>
    <w:rsid w:val="2F794705"/>
    <w:rsid w:val="2F7C14D8"/>
    <w:rsid w:val="2F847563"/>
    <w:rsid w:val="2F961DA5"/>
    <w:rsid w:val="2FD065E6"/>
    <w:rsid w:val="2FD96870"/>
    <w:rsid w:val="2FDD33E1"/>
    <w:rsid w:val="2FE963F6"/>
    <w:rsid w:val="2FF94B6F"/>
    <w:rsid w:val="2FFD70E5"/>
    <w:rsid w:val="30171C19"/>
    <w:rsid w:val="302503E9"/>
    <w:rsid w:val="30332FEE"/>
    <w:rsid w:val="30355113"/>
    <w:rsid w:val="30571724"/>
    <w:rsid w:val="30580BC9"/>
    <w:rsid w:val="30647164"/>
    <w:rsid w:val="30684613"/>
    <w:rsid w:val="30703D5A"/>
    <w:rsid w:val="30736266"/>
    <w:rsid w:val="3089305D"/>
    <w:rsid w:val="30910313"/>
    <w:rsid w:val="30CC3BC2"/>
    <w:rsid w:val="30CF45A6"/>
    <w:rsid w:val="30DD0CC4"/>
    <w:rsid w:val="30DD1801"/>
    <w:rsid w:val="30F21B89"/>
    <w:rsid w:val="311E2ED7"/>
    <w:rsid w:val="31321010"/>
    <w:rsid w:val="315619EE"/>
    <w:rsid w:val="31592B75"/>
    <w:rsid w:val="315C449C"/>
    <w:rsid w:val="31973569"/>
    <w:rsid w:val="31A2182B"/>
    <w:rsid w:val="31A917CD"/>
    <w:rsid w:val="31B82709"/>
    <w:rsid w:val="31BB2DB3"/>
    <w:rsid w:val="31BC68AC"/>
    <w:rsid w:val="31BF1404"/>
    <w:rsid w:val="31C86CB5"/>
    <w:rsid w:val="31D05482"/>
    <w:rsid w:val="31E00A6C"/>
    <w:rsid w:val="31E16592"/>
    <w:rsid w:val="31E77D36"/>
    <w:rsid w:val="31F24104"/>
    <w:rsid w:val="320A1249"/>
    <w:rsid w:val="321918D1"/>
    <w:rsid w:val="32400B34"/>
    <w:rsid w:val="32681EDB"/>
    <w:rsid w:val="327F7D8F"/>
    <w:rsid w:val="32810490"/>
    <w:rsid w:val="3296563B"/>
    <w:rsid w:val="329B4993"/>
    <w:rsid w:val="329E6876"/>
    <w:rsid w:val="32A60242"/>
    <w:rsid w:val="32A74071"/>
    <w:rsid w:val="32AD579D"/>
    <w:rsid w:val="32B33902"/>
    <w:rsid w:val="32BB4BAE"/>
    <w:rsid w:val="32BD4A42"/>
    <w:rsid w:val="32EC3C99"/>
    <w:rsid w:val="330324ED"/>
    <w:rsid w:val="33077B6E"/>
    <w:rsid w:val="33185FE3"/>
    <w:rsid w:val="33242BDA"/>
    <w:rsid w:val="333015F2"/>
    <w:rsid w:val="33354DE7"/>
    <w:rsid w:val="333C43C8"/>
    <w:rsid w:val="334868C9"/>
    <w:rsid w:val="334B6320"/>
    <w:rsid w:val="334E5EA9"/>
    <w:rsid w:val="33552847"/>
    <w:rsid w:val="335E4DCB"/>
    <w:rsid w:val="33727DEA"/>
    <w:rsid w:val="337C6572"/>
    <w:rsid w:val="33823753"/>
    <w:rsid w:val="33A94C74"/>
    <w:rsid w:val="33B75EAC"/>
    <w:rsid w:val="33D934D4"/>
    <w:rsid w:val="33DE7EF4"/>
    <w:rsid w:val="33FE2F6A"/>
    <w:rsid w:val="340E07E5"/>
    <w:rsid w:val="341A6D83"/>
    <w:rsid w:val="341B3FDD"/>
    <w:rsid w:val="341E6B16"/>
    <w:rsid w:val="34235BF7"/>
    <w:rsid w:val="3428481B"/>
    <w:rsid w:val="34594B05"/>
    <w:rsid w:val="346212E8"/>
    <w:rsid w:val="347D5A86"/>
    <w:rsid w:val="3482761C"/>
    <w:rsid w:val="348E1204"/>
    <w:rsid w:val="349049EA"/>
    <w:rsid w:val="349618B6"/>
    <w:rsid w:val="34C226AB"/>
    <w:rsid w:val="34C41423"/>
    <w:rsid w:val="34C957E7"/>
    <w:rsid w:val="34D04DC8"/>
    <w:rsid w:val="34D449DD"/>
    <w:rsid w:val="34D744CE"/>
    <w:rsid w:val="34DB376C"/>
    <w:rsid w:val="350417E9"/>
    <w:rsid w:val="35104BB8"/>
    <w:rsid w:val="351D1FD7"/>
    <w:rsid w:val="352D4FC3"/>
    <w:rsid w:val="35335357"/>
    <w:rsid w:val="353510CF"/>
    <w:rsid w:val="3535269B"/>
    <w:rsid w:val="35503AA2"/>
    <w:rsid w:val="35584DBD"/>
    <w:rsid w:val="355C037E"/>
    <w:rsid w:val="35675000"/>
    <w:rsid w:val="35753BC1"/>
    <w:rsid w:val="3586192A"/>
    <w:rsid w:val="358C5FA8"/>
    <w:rsid w:val="35A95619"/>
    <w:rsid w:val="35B3788C"/>
    <w:rsid w:val="35B46497"/>
    <w:rsid w:val="35C15DF1"/>
    <w:rsid w:val="35DA0F8B"/>
    <w:rsid w:val="35E2567A"/>
    <w:rsid w:val="35ED4950"/>
    <w:rsid w:val="35EE3D3D"/>
    <w:rsid w:val="36074A7F"/>
    <w:rsid w:val="362A1602"/>
    <w:rsid w:val="36394BEF"/>
    <w:rsid w:val="363A3121"/>
    <w:rsid w:val="36716DCF"/>
    <w:rsid w:val="36923549"/>
    <w:rsid w:val="36A80D01"/>
    <w:rsid w:val="36B67FED"/>
    <w:rsid w:val="36B75FBF"/>
    <w:rsid w:val="36BD0C45"/>
    <w:rsid w:val="36CD163E"/>
    <w:rsid w:val="36EF2CA4"/>
    <w:rsid w:val="36FA5FDD"/>
    <w:rsid w:val="3731408E"/>
    <w:rsid w:val="37647A49"/>
    <w:rsid w:val="3768738C"/>
    <w:rsid w:val="377A4BD9"/>
    <w:rsid w:val="377B5E0A"/>
    <w:rsid w:val="37815192"/>
    <w:rsid w:val="379C5435"/>
    <w:rsid w:val="37BA58BB"/>
    <w:rsid w:val="37C64CC7"/>
    <w:rsid w:val="37E00298"/>
    <w:rsid w:val="37E92B87"/>
    <w:rsid w:val="37EB1F18"/>
    <w:rsid w:val="37EF7C5B"/>
    <w:rsid w:val="37F94729"/>
    <w:rsid w:val="38073014"/>
    <w:rsid w:val="38080D1C"/>
    <w:rsid w:val="3810136B"/>
    <w:rsid w:val="381C56D9"/>
    <w:rsid w:val="382611A3"/>
    <w:rsid w:val="38337D49"/>
    <w:rsid w:val="38341B11"/>
    <w:rsid w:val="38390ED6"/>
    <w:rsid w:val="384604A0"/>
    <w:rsid w:val="386A07BD"/>
    <w:rsid w:val="386C0E23"/>
    <w:rsid w:val="386F55A2"/>
    <w:rsid w:val="38800F40"/>
    <w:rsid w:val="38B302F9"/>
    <w:rsid w:val="38BB6843"/>
    <w:rsid w:val="38F12CD3"/>
    <w:rsid w:val="38F604E8"/>
    <w:rsid w:val="38F94775"/>
    <w:rsid w:val="390037E8"/>
    <w:rsid w:val="390A63CE"/>
    <w:rsid w:val="39193FDB"/>
    <w:rsid w:val="392971ED"/>
    <w:rsid w:val="392C3D90"/>
    <w:rsid w:val="39325651"/>
    <w:rsid w:val="394072B0"/>
    <w:rsid w:val="395D2BF8"/>
    <w:rsid w:val="3963596D"/>
    <w:rsid w:val="396B6FBE"/>
    <w:rsid w:val="39706B79"/>
    <w:rsid w:val="397B5283"/>
    <w:rsid w:val="39844988"/>
    <w:rsid w:val="39871949"/>
    <w:rsid w:val="39922A7F"/>
    <w:rsid w:val="39946B51"/>
    <w:rsid w:val="399C72A6"/>
    <w:rsid w:val="39A277BB"/>
    <w:rsid w:val="39B4287C"/>
    <w:rsid w:val="39BC1DBE"/>
    <w:rsid w:val="39BC591B"/>
    <w:rsid w:val="39C106E9"/>
    <w:rsid w:val="39CE7FD9"/>
    <w:rsid w:val="39DA5936"/>
    <w:rsid w:val="3A0816C3"/>
    <w:rsid w:val="3A173499"/>
    <w:rsid w:val="3A1F234D"/>
    <w:rsid w:val="3A4E04F0"/>
    <w:rsid w:val="3A737562"/>
    <w:rsid w:val="3A872856"/>
    <w:rsid w:val="3A8F6648"/>
    <w:rsid w:val="3A944AE9"/>
    <w:rsid w:val="3B0672D5"/>
    <w:rsid w:val="3B0742BD"/>
    <w:rsid w:val="3B0C0B24"/>
    <w:rsid w:val="3B181276"/>
    <w:rsid w:val="3B3763D1"/>
    <w:rsid w:val="3B3D2517"/>
    <w:rsid w:val="3B5B57D7"/>
    <w:rsid w:val="3B671522"/>
    <w:rsid w:val="3B9B5EAD"/>
    <w:rsid w:val="3BA54E53"/>
    <w:rsid w:val="3BAD1A30"/>
    <w:rsid w:val="3BD67E40"/>
    <w:rsid w:val="3C007853"/>
    <w:rsid w:val="3C085DC6"/>
    <w:rsid w:val="3C0F08DA"/>
    <w:rsid w:val="3C2D280D"/>
    <w:rsid w:val="3C2F6E1E"/>
    <w:rsid w:val="3C3A4D34"/>
    <w:rsid w:val="3C3F7F2E"/>
    <w:rsid w:val="3C4F64BA"/>
    <w:rsid w:val="3C522CEE"/>
    <w:rsid w:val="3C8C2438"/>
    <w:rsid w:val="3C9E05CE"/>
    <w:rsid w:val="3CA31014"/>
    <w:rsid w:val="3CC33464"/>
    <w:rsid w:val="3CDA245A"/>
    <w:rsid w:val="3CF54E2F"/>
    <w:rsid w:val="3D002EE0"/>
    <w:rsid w:val="3D0B2914"/>
    <w:rsid w:val="3D0D2931"/>
    <w:rsid w:val="3D1E06B7"/>
    <w:rsid w:val="3D2F7B93"/>
    <w:rsid w:val="3D34517E"/>
    <w:rsid w:val="3D633920"/>
    <w:rsid w:val="3D803103"/>
    <w:rsid w:val="3D9425AC"/>
    <w:rsid w:val="3D9F7FDA"/>
    <w:rsid w:val="3DB82D12"/>
    <w:rsid w:val="3DCB6DA7"/>
    <w:rsid w:val="3DE43E6F"/>
    <w:rsid w:val="3DEC08E1"/>
    <w:rsid w:val="3E104487"/>
    <w:rsid w:val="3E174DA2"/>
    <w:rsid w:val="3E1C107E"/>
    <w:rsid w:val="3E311811"/>
    <w:rsid w:val="3E32052A"/>
    <w:rsid w:val="3E352501"/>
    <w:rsid w:val="3E3C6EF5"/>
    <w:rsid w:val="3E4263A7"/>
    <w:rsid w:val="3E525B2B"/>
    <w:rsid w:val="3E895FE7"/>
    <w:rsid w:val="3EA41A13"/>
    <w:rsid w:val="3EB8567C"/>
    <w:rsid w:val="3ECA2888"/>
    <w:rsid w:val="3ED71449"/>
    <w:rsid w:val="3EDA0523"/>
    <w:rsid w:val="3EE015CE"/>
    <w:rsid w:val="3F0D5EAA"/>
    <w:rsid w:val="3F157EE7"/>
    <w:rsid w:val="3F36616F"/>
    <w:rsid w:val="3F375C1F"/>
    <w:rsid w:val="3F5A3C1A"/>
    <w:rsid w:val="3F636838"/>
    <w:rsid w:val="3F900920"/>
    <w:rsid w:val="3FAC6431"/>
    <w:rsid w:val="3FB83028"/>
    <w:rsid w:val="3FBA0B4E"/>
    <w:rsid w:val="3FC43F5C"/>
    <w:rsid w:val="3FD140EA"/>
    <w:rsid w:val="3FD17BAA"/>
    <w:rsid w:val="3FD339BE"/>
    <w:rsid w:val="3FF51B86"/>
    <w:rsid w:val="40041DC9"/>
    <w:rsid w:val="4021297B"/>
    <w:rsid w:val="40212B07"/>
    <w:rsid w:val="4024246B"/>
    <w:rsid w:val="402E0D3E"/>
    <w:rsid w:val="404A6670"/>
    <w:rsid w:val="404E5C82"/>
    <w:rsid w:val="40514C69"/>
    <w:rsid w:val="40632F94"/>
    <w:rsid w:val="406D5636"/>
    <w:rsid w:val="407A6407"/>
    <w:rsid w:val="40C03186"/>
    <w:rsid w:val="40C645D8"/>
    <w:rsid w:val="40CF133D"/>
    <w:rsid w:val="40ED0AAF"/>
    <w:rsid w:val="40F260C6"/>
    <w:rsid w:val="411058C0"/>
    <w:rsid w:val="413C5593"/>
    <w:rsid w:val="415134A6"/>
    <w:rsid w:val="415649C7"/>
    <w:rsid w:val="41640CF0"/>
    <w:rsid w:val="41823CCA"/>
    <w:rsid w:val="41973C47"/>
    <w:rsid w:val="41C677FD"/>
    <w:rsid w:val="41D05C28"/>
    <w:rsid w:val="41E3713D"/>
    <w:rsid w:val="41FF3CAB"/>
    <w:rsid w:val="4200449D"/>
    <w:rsid w:val="42004812"/>
    <w:rsid w:val="423A3BCC"/>
    <w:rsid w:val="424E57D2"/>
    <w:rsid w:val="425E4C0A"/>
    <w:rsid w:val="426A3716"/>
    <w:rsid w:val="42723962"/>
    <w:rsid w:val="42734FEE"/>
    <w:rsid w:val="428A57E7"/>
    <w:rsid w:val="429621B7"/>
    <w:rsid w:val="42981C30"/>
    <w:rsid w:val="42B26C49"/>
    <w:rsid w:val="42B51FE2"/>
    <w:rsid w:val="42BD4C13"/>
    <w:rsid w:val="42BF46CD"/>
    <w:rsid w:val="42F26851"/>
    <w:rsid w:val="42F500EF"/>
    <w:rsid w:val="430C0D3D"/>
    <w:rsid w:val="43261F06"/>
    <w:rsid w:val="43317379"/>
    <w:rsid w:val="433A6FE6"/>
    <w:rsid w:val="43480868"/>
    <w:rsid w:val="4350713C"/>
    <w:rsid w:val="436653E0"/>
    <w:rsid w:val="43C32BBE"/>
    <w:rsid w:val="43C4431A"/>
    <w:rsid w:val="43CA43F7"/>
    <w:rsid w:val="43FA6252"/>
    <w:rsid w:val="440D7300"/>
    <w:rsid w:val="441706D6"/>
    <w:rsid w:val="44275444"/>
    <w:rsid w:val="443F1DB4"/>
    <w:rsid w:val="444E66A2"/>
    <w:rsid w:val="446D1FD1"/>
    <w:rsid w:val="448E6105"/>
    <w:rsid w:val="44B00772"/>
    <w:rsid w:val="44B951CC"/>
    <w:rsid w:val="44CD14E0"/>
    <w:rsid w:val="44D01E4F"/>
    <w:rsid w:val="44F20B0B"/>
    <w:rsid w:val="450068EA"/>
    <w:rsid w:val="45103F56"/>
    <w:rsid w:val="45131C52"/>
    <w:rsid w:val="45241EDD"/>
    <w:rsid w:val="452E5F4C"/>
    <w:rsid w:val="4543346A"/>
    <w:rsid w:val="45480DB3"/>
    <w:rsid w:val="454E486A"/>
    <w:rsid w:val="455B692F"/>
    <w:rsid w:val="45612018"/>
    <w:rsid w:val="458946E9"/>
    <w:rsid w:val="458D2861"/>
    <w:rsid w:val="45912351"/>
    <w:rsid w:val="45A25391"/>
    <w:rsid w:val="45A47C0E"/>
    <w:rsid w:val="45B06F1B"/>
    <w:rsid w:val="45B7168C"/>
    <w:rsid w:val="45BF2E72"/>
    <w:rsid w:val="45DF676B"/>
    <w:rsid w:val="45E322B6"/>
    <w:rsid w:val="45E85CE9"/>
    <w:rsid w:val="46070823"/>
    <w:rsid w:val="461A0599"/>
    <w:rsid w:val="461E5346"/>
    <w:rsid w:val="462214CE"/>
    <w:rsid w:val="46353639"/>
    <w:rsid w:val="46366A55"/>
    <w:rsid w:val="46386C71"/>
    <w:rsid w:val="464F72E6"/>
    <w:rsid w:val="46535859"/>
    <w:rsid w:val="46577FD6"/>
    <w:rsid w:val="46753C6B"/>
    <w:rsid w:val="468C5C25"/>
    <w:rsid w:val="468E6891"/>
    <w:rsid w:val="468F4CA2"/>
    <w:rsid w:val="469415A7"/>
    <w:rsid w:val="46972D4E"/>
    <w:rsid w:val="46972DA6"/>
    <w:rsid w:val="46B0766C"/>
    <w:rsid w:val="46BE6AA6"/>
    <w:rsid w:val="46D955A7"/>
    <w:rsid w:val="46DC584E"/>
    <w:rsid w:val="46E62229"/>
    <w:rsid w:val="46EF6468"/>
    <w:rsid w:val="470E1780"/>
    <w:rsid w:val="471054F8"/>
    <w:rsid w:val="47133957"/>
    <w:rsid w:val="47183BF0"/>
    <w:rsid w:val="472D60AA"/>
    <w:rsid w:val="47475B50"/>
    <w:rsid w:val="475573AE"/>
    <w:rsid w:val="47905A6E"/>
    <w:rsid w:val="47955B82"/>
    <w:rsid w:val="47A07E0C"/>
    <w:rsid w:val="47A345BE"/>
    <w:rsid w:val="47BC11DC"/>
    <w:rsid w:val="47BC7823"/>
    <w:rsid w:val="47C762E2"/>
    <w:rsid w:val="47F62589"/>
    <w:rsid w:val="47FE1BDC"/>
    <w:rsid w:val="47FF0D25"/>
    <w:rsid w:val="481D6F6E"/>
    <w:rsid w:val="482F7BFF"/>
    <w:rsid w:val="48313978"/>
    <w:rsid w:val="48575BD9"/>
    <w:rsid w:val="48594C7C"/>
    <w:rsid w:val="485D651B"/>
    <w:rsid w:val="48653621"/>
    <w:rsid w:val="486C78B4"/>
    <w:rsid w:val="4870272E"/>
    <w:rsid w:val="487B6ED0"/>
    <w:rsid w:val="48967C7F"/>
    <w:rsid w:val="48A90818"/>
    <w:rsid w:val="48C03FAF"/>
    <w:rsid w:val="48C32BDB"/>
    <w:rsid w:val="48D92A8F"/>
    <w:rsid w:val="48E74BCD"/>
    <w:rsid w:val="48E924A4"/>
    <w:rsid w:val="48FE7566"/>
    <w:rsid w:val="49052B24"/>
    <w:rsid w:val="491D0E2D"/>
    <w:rsid w:val="4926344F"/>
    <w:rsid w:val="4938026F"/>
    <w:rsid w:val="493917A1"/>
    <w:rsid w:val="493F3E72"/>
    <w:rsid w:val="49427509"/>
    <w:rsid w:val="49611ABE"/>
    <w:rsid w:val="49804BB7"/>
    <w:rsid w:val="499505C0"/>
    <w:rsid w:val="49BA174B"/>
    <w:rsid w:val="49DC7715"/>
    <w:rsid w:val="49EA0282"/>
    <w:rsid w:val="49F83D29"/>
    <w:rsid w:val="4A023139"/>
    <w:rsid w:val="4A0A5946"/>
    <w:rsid w:val="4A1505F1"/>
    <w:rsid w:val="4A192722"/>
    <w:rsid w:val="4A273284"/>
    <w:rsid w:val="4A3E412A"/>
    <w:rsid w:val="4A496ED6"/>
    <w:rsid w:val="4A6A5750"/>
    <w:rsid w:val="4A7B576F"/>
    <w:rsid w:val="4A963F66"/>
    <w:rsid w:val="4A9A5C89"/>
    <w:rsid w:val="4AAA0B19"/>
    <w:rsid w:val="4AC14A37"/>
    <w:rsid w:val="4AC944E1"/>
    <w:rsid w:val="4ADA0788"/>
    <w:rsid w:val="4AF561A9"/>
    <w:rsid w:val="4B02430B"/>
    <w:rsid w:val="4B156818"/>
    <w:rsid w:val="4B1730BE"/>
    <w:rsid w:val="4B2A4224"/>
    <w:rsid w:val="4B311597"/>
    <w:rsid w:val="4B3E320D"/>
    <w:rsid w:val="4B470C11"/>
    <w:rsid w:val="4B6610F9"/>
    <w:rsid w:val="4B673A6D"/>
    <w:rsid w:val="4BBC5782"/>
    <w:rsid w:val="4BBE7CD4"/>
    <w:rsid w:val="4BE8259F"/>
    <w:rsid w:val="4BEE0130"/>
    <w:rsid w:val="4BF929FE"/>
    <w:rsid w:val="4C24378D"/>
    <w:rsid w:val="4C2C2DD4"/>
    <w:rsid w:val="4C3C4B09"/>
    <w:rsid w:val="4C4A0649"/>
    <w:rsid w:val="4C63256E"/>
    <w:rsid w:val="4C6C34F6"/>
    <w:rsid w:val="4C7E5ECA"/>
    <w:rsid w:val="4C876AA5"/>
    <w:rsid w:val="4C903F9D"/>
    <w:rsid w:val="4C9411F9"/>
    <w:rsid w:val="4CA927EC"/>
    <w:rsid w:val="4CAF130F"/>
    <w:rsid w:val="4CDD4665"/>
    <w:rsid w:val="4CEE3778"/>
    <w:rsid w:val="4D0362DD"/>
    <w:rsid w:val="4D04165B"/>
    <w:rsid w:val="4D0E00FB"/>
    <w:rsid w:val="4D176606"/>
    <w:rsid w:val="4D19737D"/>
    <w:rsid w:val="4D262ACE"/>
    <w:rsid w:val="4DAE6043"/>
    <w:rsid w:val="4DEC4FB0"/>
    <w:rsid w:val="4DED6593"/>
    <w:rsid w:val="4DF20E48"/>
    <w:rsid w:val="4E075D8A"/>
    <w:rsid w:val="4E193EAD"/>
    <w:rsid w:val="4E43575C"/>
    <w:rsid w:val="4E5144B3"/>
    <w:rsid w:val="4E561CEF"/>
    <w:rsid w:val="4E610A88"/>
    <w:rsid w:val="4E6A567A"/>
    <w:rsid w:val="4E7B11CB"/>
    <w:rsid w:val="4E7C41EA"/>
    <w:rsid w:val="4E8664A5"/>
    <w:rsid w:val="4EB0256D"/>
    <w:rsid w:val="4EB64BD7"/>
    <w:rsid w:val="4EB64E0E"/>
    <w:rsid w:val="4EC00FAD"/>
    <w:rsid w:val="4EC72F40"/>
    <w:rsid w:val="4ECD40F8"/>
    <w:rsid w:val="4ED07DA9"/>
    <w:rsid w:val="4EDF25E9"/>
    <w:rsid w:val="4EE948A2"/>
    <w:rsid w:val="4EF34E17"/>
    <w:rsid w:val="4EF47931"/>
    <w:rsid w:val="4F0F2D1D"/>
    <w:rsid w:val="4F1B0DD3"/>
    <w:rsid w:val="4F294803"/>
    <w:rsid w:val="4F3A7A5A"/>
    <w:rsid w:val="4F622668"/>
    <w:rsid w:val="4F755A20"/>
    <w:rsid w:val="4F7A4209"/>
    <w:rsid w:val="4F914F09"/>
    <w:rsid w:val="4F9843DC"/>
    <w:rsid w:val="4F985536"/>
    <w:rsid w:val="4FA46ACF"/>
    <w:rsid w:val="4FA669F9"/>
    <w:rsid w:val="4FB16A7A"/>
    <w:rsid w:val="4FB260D1"/>
    <w:rsid w:val="4FBA7C64"/>
    <w:rsid w:val="4FC275AB"/>
    <w:rsid w:val="4FC62A8C"/>
    <w:rsid w:val="4FD24FE7"/>
    <w:rsid w:val="4FD74E04"/>
    <w:rsid w:val="4FE20F0D"/>
    <w:rsid w:val="4FE439C5"/>
    <w:rsid w:val="4FE51552"/>
    <w:rsid w:val="4FF95922"/>
    <w:rsid w:val="5006393C"/>
    <w:rsid w:val="501732F3"/>
    <w:rsid w:val="50354221"/>
    <w:rsid w:val="504946D5"/>
    <w:rsid w:val="50504C4B"/>
    <w:rsid w:val="507765E7"/>
    <w:rsid w:val="5099030C"/>
    <w:rsid w:val="509C6E7C"/>
    <w:rsid w:val="509E4EC6"/>
    <w:rsid w:val="509F03AC"/>
    <w:rsid w:val="509F4385"/>
    <w:rsid w:val="50C47040"/>
    <w:rsid w:val="50C54715"/>
    <w:rsid w:val="50D15CF8"/>
    <w:rsid w:val="50F73FDA"/>
    <w:rsid w:val="511170E6"/>
    <w:rsid w:val="512D02E0"/>
    <w:rsid w:val="513822D8"/>
    <w:rsid w:val="51491D32"/>
    <w:rsid w:val="514C537E"/>
    <w:rsid w:val="515D57DD"/>
    <w:rsid w:val="515E3A87"/>
    <w:rsid w:val="5162104E"/>
    <w:rsid w:val="51AF6E95"/>
    <w:rsid w:val="51BE28E9"/>
    <w:rsid w:val="51BF1FF4"/>
    <w:rsid w:val="51C27D36"/>
    <w:rsid w:val="51D3167C"/>
    <w:rsid w:val="51E101BC"/>
    <w:rsid w:val="51FA302C"/>
    <w:rsid w:val="520A0A49"/>
    <w:rsid w:val="52340B8B"/>
    <w:rsid w:val="52374AE6"/>
    <w:rsid w:val="524D07B6"/>
    <w:rsid w:val="52582979"/>
    <w:rsid w:val="525C00E5"/>
    <w:rsid w:val="526479F4"/>
    <w:rsid w:val="526A01B2"/>
    <w:rsid w:val="52903990"/>
    <w:rsid w:val="52A10081"/>
    <w:rsid w:val="52A60EA8"/>
    <w:rsid w:val="52A82A88"/>
    <w:rsid w:val="52AD62F0"/>
    <w:rsid w:val="52BB72D5"/>
    <w:rsid w:val="52BF00BF"/>
    <w:rsid w:val="52C110A8"/>
    <w:rsid w:val="52CF6267"/>
    <w:rsid w:val="52D21F29"/>
    <w:rsid w:val="52D812BD"/>
    <w:rsid w:val="52DE7E51"/>
    <w:rsid w:val="52DF19EB"/>
    <w:rsid w:val="52EE1C4E"/>
    <w:rsid w:val="52F47560"/>
    <w:rsid w:val="52FA1E17"/>
    <w:rsid w:val="530F2B07"/>
    <w:rsid w:val="531412EF"/>
    <w:rsid w:val="53274F67"/>
    <w:rsid w:val="532F3B45"/>
    <w:rsid w:val="533B7DA0"/>
    <w:rsid w:val="5349426B"/>
    <w:rsid w:val="534C7891"/>
    <w:rsid w:val="53580A69"/>
    <w:rsid w:val="535B5D4C"/>
    <w:rsid w:val="53600FF6"/>
    <w:rsid w:val="536E626B"/>
    <w:rsid w:val="53733C18"/>
    <w:rsid w:val="53762B86"/>
    <w:rsid w:val="53780E51"/>
    <w:rsid w:val="5391176E"/>
    <w:rsid w:val="53955134"/>
    <w:rsid w:val="53A039CC"/>
    <w:rsid w:val="53A1505A"/>
    <w:rsid w:val="53C10412"/>
    <w:rsid w:val="53CC0059"/>
    <w:rsid w:val="53D93C00"/>
    <w:rsid w:val="53E312A5"/>
    <w:rsid w:val="53ED1BD9"/>
    <w:rsid w:val="53EF1E8F"/>
    <w:rsid w:val="54063E08"/>
    <w:rsid w:val="54071A30"/>
    <w:rsid w:val="541E7911"/>
    <w:rsid w:val="543437E8"/>
    <w:rsid w:val="543F741C"/>
    <w:rsid w:val="54492049"/>
    <w:rsid w:val="545729B8"/>
    <w:rsid w:val="545874DF"/>
    <w:rsid w:val="545F186C"/>
    <w:rsid w:val="54642DAC"/>
    <w:rsid w:val="54771CAF"/>
    <w:rsid w:val="54941269"/>
    <w:rsid w:val="54B153B7"/>
    <w:rsid w:val="54BF230B"/>
    <w:rsid w:val="54CD44ED"/>
    <w:rsid w:val="54D51B2F"/>
    <w:rsid w:val="54F73313"/>
    <w:rsid w:val="54F80955"/>
    <w:rsid w:val="54FC70BB"/>
    <w:rsid w:val="55436A98"/>
    <w:rsid w:val="554B3938"/>
    <w:rsid w:val="554E6B6F"/>
    <w:rsid w:val="555170A7"/>
    <w:rsid w:val="55855303"/>
    <w:rsid w:val="5587536D"/>
    <w:rsid w:val="559B174B"/>
    <w:rsid w:val="55A35341"/>
    <w:rsid w:val="55A76179"/>
    <w:rsid w:val="55A90FF1"/>
    <w:rsid w:val="55CE0CF4"/>
    <w:rsid w:val="55E529F2"/>
    <w:rsid w:val="55F46582"/>
    <w:rsid w:val="56020CAD"/>
    <w:rsid w:val="560877F8"/>
    <w:rsid w:val="56175BFF"/>
    <w:rsid w:val="5629761B"/>
    <w:rsid w:val="563233BB"/>
    <w:rsid w:val="565622B7"/>
    <w:rsid w:val="56635295"/>
    <w:rsid w:val="5684664B"/>
    <w:rsid w:val="56B22A9C"/>
    <w:rsid w:val="56BF5061"/>
    <w:rsid w:val="56BF65F2"/>
    <w:rsid w:val="56CB1F36"/>
    <w:rsid w:val="56CC10D4"/>
    <w:rsid w:val="56E07715"/>
    <w:rsid w:val="56EC4796"/>
    <w:rsid w:val="56F77A20"/>
    <w:rsid w:val="57087F99"/>
    <w:rsid w:val="572C3407"/>
    <w:rsid w:val="572C46CA"/>
    <w:rsid w:val="57391942"/>
    <w:rsid w:val="574540B4"/>
    <w:rsid w:val="57504B65"/>
    <w:rsid w:val="575562E9"/>
    <w:rsid w:val="57692202"/>
    <w:rsid w:val="576B22D6"/>
    <w:rsid w:val="576B2FD2"/>
    <w:rsid w:val="576D09BB"/>
    <w:rsid w:val="577A36AD"/>
    <w:rsid w:val="57967E62"/>
    <w:rsid w:val="579A7A91"/>
    <w:rsid w:val="57B1418D"/>
    <w:rsid w:val="57B72A76"/>
    <w:rsid w:val="57C079CE"/>
    <w:rsid w:val="57C3426C"/>
    <w:rsid w:val="57CE1F93"/>
    <w:rsid w:val="57E91B79"/>
    <w:rsid w:val="57FD7D0C"/>
    <w:rsid w:val="580A304A"/>
    <w:rsid w:val="580E117B"/>
    <w:rsid w:val="582A4F8F"/>
    <w:rsid w:val="583F3E8F"/>
    <w:rsid w:val="58681830"/>
    <w:rsid w:val="587B6B6D"/>
    <w:rsid w:val="58817494"/>
    <w:rsid w:val="58851DAD"/>
    <w:rsid w:val="588743D1"/>
    <w:rsid w:val="5887701A"/>
    <w:rsid w:val="588D1B81"/>
    <w:rsid w:val="589C1EE4"/>
    <w:rsid w:val="589D2963"/>
    <w:rsid w:val="58A82F2D"/>
    <w:rsid w:val="58A957AC"/>
    <w:rsid w:val="58D00F8B"/>
    <w:rsid w:val="58DF14D8"/>
    <w:rsid w:val="58EC74CB"/>
    <w:rsid w:val="58ED666D"/>
    <w:rsid w:val="590F7792"/>
    <w:rsid w:val="59156235"/>
    <w:rsid w:val="59486D73"/>
    <w:rsid w:val="594E12F6"/>
    <w:rsid w:val="59712206"/>
    <w:rsid w:val="5979506E"/>
    <w:rsid w:val="59863045"/>
    <w:rsid w:val="59C0439F"/>
    <w:rsid w:val="59D12EFB"/>
    <w:rsid w:val="59D536C8"/>
    <w:rsid w:val="59DA2457"/>
    <w:rsid w:val="5A056A12"/>
    <w:rsid w:val="5A2244EE"/>
    <w:rsid w:val="5A2374A4"/>
    <w:rsid w:val="5A287CB3"/>
    <w:rsid w:val="5A427C66"/>
    <w:rsid w:val="5A5F25C6"/>
    <w:rsid w:val="5A622972"/>
    <w:rsid w:val="5A74108A"/>
    <w:rsid w:val="5A7E1C06"/>
    <w:rsid w:val="5A8E6A07"/>
    <w:rsid w:val="5A902780"/>
    <w:rsid w:val="5A9F0C15"/>
    <w:rsid w:val="5AB40D0C"/>
    <w:rsid w:val="5ABE2233"/>
    <w:rsid w:val="5AC05DBE"/>
    <w:rsid w:val="5ACA7BE1"/>
    <w:rsid w:val="5AD846F1"/>
    <w:rsid w:val="5AE05378"/>
    <w:rsid w:val="5AF56D86"/>
    <w:rsid w:val="5B03007A"/>
    <w:rsid w:val="5B041DA3"/>
    <w:rsid w:val="5B062A42"/>
    <w:rsid w:val="5B296730"/>
    <w:rsid w:val="5B522493"/>
    <w:rsid w:val="5B7B5DD4"/>
    <w:rsid w:val="5BA65FD3"/>
    <w:rsid w:val="5BA83AF8"/>
    <w:rsid w:val="5BBA733C"/>
    <w:rsid w:val="5BC70423"/>
    <w:rsid w:val="5BDF5D95"/>
    <w:rsid w:val="5BF1122A"/>
    <w:rsid w:val="5BF73BE8"/>
    <w:rsid w:val="5BFC5D6A"/>
    <w:rsid w:val="5BFE5E0F"/>
    <w:rsid w:val="5BFE7528"/>
    <w:rsid w:val="5C013209"/>
    <w:rsid w:val="5C042EE3"/>
    <w:rsid w:val="5C095DBB"/>
    <w:rsid w:val="5C0D7128"/>
    <w:rsid w:val="5C0F1DCA"/>
    <w:rsid w:val="5C1604A3"/>
    <w:rsid w:val="5C215294"/>
    <w:rsid w:val="5C232B3F"/>
    <w:rsid w:val="5C2B1BAD"/>
    <w:rsid w:val="5C2F4DFE"/>
    <w:rsid w:val="5C3F2A84"/>
    <w:rsid w:val="5C57184B"/>
    <w:rsid w:val="5C602013"/>
    <w:rsid w:val="5C715561"/>
    <w:rsid w:val="5C7378EC"/>
    <w:rsid w:val="5CAC022B"/>
    <w:rsid w:val="5CC33CC5"/>
    <w:rsid w:val="5CC774DF"/>
    <w:rsid w:val="5CC83530"/>
    <w:rsid w:val="5CD47269"/>
    <w:rsid w:val="5CD7381F"/>
    <w:rsid w:val="5CEB086E"/>
    <w:rsid w:val="5D2A3A35"/>
    <w:rsid w:val="5D2B2C34"/>
    <w:rsid w:val="5D2D69AC"/>
    <w:rsid w:val="5D3529AA"/>
    <w:rsid w:val="5D4A130C"/>
    <w:rsid w:val="5D573A29"/>
    <w:rsid w:val="5D75540A"/>
    <w:rsid w:val="5D942442"/>
    <w:rsid w:val="5DF056F8"/>
    <w:rsid w:val="5DFC2281"/>
    <w:rsid w:val="5E056619"/>
    <w:rsid w:val="5E084196"/>
    <w:rsid w:val="5E084D23"/>
    <w:rsid w:val="5E0E058B"/>
    <w:rsid w:val="5E1048BB"/>
    <w:rsid w:val="5E2467F1"/>
    <w:rsid w:val="5E31592E"/>
    <w:rsid w:val="5E331DA0"/>
    <w:rsid w:val="5E341E80"/>
    <w:rsid w:val="5E3B0C54"/>
    <w:rsid w:val="5E572ADA"/>
    <w:rsid w:val="5E791613"/>
    <w:rsid w:val="5E824AD5"/>
    <w:rsid w:val="5E851CC4"/>
    <w:rsid w:val="5E873E9A"/>
    <w:rsid w:val="5E8D03BA"/>
    <w:rsid w:val="5E9465B6"/>
    <w:rsid w:val="5E9860A7"/>
    <w:rsid w:val="5EE70DDC"/>
    <w:rsid w:val="5EE77D0C"/>
    <w:rsid w:val="5F056413"/>
    <w:rsid w:val="5F070A1C"/>
    <w:rsid w:val="5F155949"/>
    <w:rsid w:val="5F180F96"/>
    <w:rsid w:val="5F1A2B43"/>
    <w:rsid w:val="5F4678B1"/>
    <w:rsid w:val="5F541F16"/>
    <w:rsid w:val="5F610B8F"/>
    <w:rsid w:val="5F681F1D"/>
    <w:rsid w:val="5F773F0E"/>
    <w:rsid w:val="5F833DC3"/>
    <w:rsid w:val="5F88611B"/>
    <w:rsid w:val="5FB837BB"/>
    <w:rsid w:val="5FCC24AC"/>
    <w:rsid w:val="5FD70E51"/>
    <w:rsid w:val="5FE4013D"/>
    <w:rsid w:val="6011729D"/>
    <w:rsid w:val="60397415"/>
    <w:rsid w:val="60682A43"/>
    <w:rsid w:val="606F4BE5"/>
    <w:rsid w:val="608D150F"/>
    <w:rsid w:val="608D56CD"/>
    <w:rsid w:val="609A4358"/>
    <w:rsid w:val="60A056E7"/>
    <w:rsid w:val="60AF087D"/>
    <w:rsid w:val="60B80BFB"/>
    <w:rsid w:val="60CC405A"/>
    <w:rsid w:val="60D47DFD"/>
    <w:rsid w:val="60D858A8"/>
    <w:rsid w:val="60DF7FBD"/>
    <w:rsid w:val="60E42F5E"/>
    <w:rsid w:val="60F1593E"/>
    <w:rsid w:val="60FB0B6F"/>
    <w:rsid w:val="611539DF"/>
    <w:rsid w:val="61377DF9"/>
    <w:rsid w:val="614007DA"/>
    <w:rsid w:val="614C6207"/>
    <w:rsid w:val="61745368"/>
    <w:rsid w:val="61774699"/>
    <w:rsid w:val="617A3B83"/>
    <w:rsid w:val="61A52BE4"/>
    <w:rsid w:val="61B579C8"/>
    <w:rsid w:val="61BB6DE5"/>
    <w:rsid w:val="61C80397"/>
    <w:rsid w:val="61CB5DAE"/>
    <w:rsid w:val="61DA5EC6"/>
    <w:rsid w:val="61E215D8"/>
    <w:rsid w:val="620D2F09"/>
    <w:rsid w:val="621B3775"/>
    <w:rsid w:val="62257C51"/>
    <w:rsid w:val="62364782"/>
    <w:rsid w:val="62562501"/>
    <w:rsid w:val="626970D8"/>
    <w:rsid w:val="62712238"/>
    <w:rsid w:val="62762066"/>
    <w:rsid w:val="6292675A"/>
    <w:rsid w:val="629409C4"/>
    <w:rsid w:val="62A274F4"/>
    <w:rsid w:val="62AD42B0"/>
    <w:rsid w:val="62B00076"/>
    <w:rsid w:val="62B35947"/>
    <w:rsid w:val="62BD1A6B"/>
    <w:rsid w:val="62CE653B"/>
    <w:rsid w:val="62D67479"/>
    <w:rsid w:val="62DA53DF"/>
    <w:rsid w:val="62E45891"/>
    <w:rsid w:val="62EE2885"/>
    <w:rsid w:val="62F82F7B"/>
    <w:rsid w:val="6302146D"/>
    <w:rsid w:val="63133D3B"/>
    <w:rsid w:val="632E547F"/>
    <w:rsid w:val="635A0DEA"/>
    <w:rsid w:val="63660521"/>
    <w:rsid w:val="637320DB"/>
    <w:rsid w:val="6394356A"/>
    <w:rsid w:val="63955021"/>
    <w:rsid w:val="63A24AEE"/>
    <w:rsid w:val="63A70B3A"/>
    <w:rsid w:val="63A850AF"/>
    <w:rsid w:val="63BA4B07"/>
    <w:rsid w:val="63C61B2C"/>
    <w:rsid w:val="63CC0145"/>
    <w:rsid w:val="63CC0BBF"/>
    <w:rsid w:val="63CF3A4E"/>
    <w:rsid w:val="63D40BE9"/>
    <w:rsid w:val="63DA3699"/>
    <w:rsid w:val="63E540FC"/>
    <w:rsid w:val="63F43D7F"/>
    <w:rsid w:val="64013788"/>
    <w:rsid w:val="64015BB5"/>
    <w:rsid w:val="64047D3A"/>
    <w:rsid w:val="64102431"/>
    <w:rsid w:val="641305C7"/>
    <w:rsid w:val="641A01EC"/>
    <w:rsid w:val="641F6922"/>
    <w:rsid w:val="64227A6E"/>
    <w:rsid w:val="64431672"/>
    <w:rsid w:val="64524F4A"/>
    <w:rsid w:val="6459249E"/>
    <w:rsid w:val="64744EC0"/>
    <w:rsid w:val="647A57A9"/>
    <w:rsid w:val="647F1B80"/>
    <w:rsid w:val="64813139"/>
    <w:rsid w:val="64A5243A"/>
    <w:rsid w:val="64B21544"/>
    <w:rsid w:val="64C86D93"/>
    <w:rsid w:val="64F531DE"/>
    <w:rsid w:val="65257148"/>
    <w:rsid w:val="652E1513"/>
    <w:rsid w:val="65373578"/>
    <w:rsid w:val="653D27E6"/>
    <w:rsid w:val="655403F9"/>
    <w:rsid w:val="6554126D"/>
    <w:rsid w:val="6588697A"/>
    <w:rsid w:val="659155FE"/>
    <w:rsid w:val="65951961"/>
    <w:rsid w:val="65A35F8B"/>
    <w:rsid w:val="65AA62EA"/>
    <w:rsid w:val="65AD0356"/>
    <w:rsid w:val="65AE7B78"/>
    <w:rsid w:val="65BB7992"/>
    <w:rsid w:val="65DF45BB"/>
    <w:rsid w:val="65ED6CD8"/>
    <w:rsid w:val="65FE7137"/>
    <w:rsid w:val="660265CF"/>
    <w:rsid w:val="66061B48"/>
    <w:rsid w:val="661C22B8"/>
    <w:rsid w:val="66246472"/>
    <w:rsid w:val="66292E88"/>
    <w:rsid w:val="6629565E"/>
    <w:rsid w:val="66530AC3"/>
    <w:rsid w:val="6680456F"/>
    <w:rsid w:val="668C7530"/>
    <w:rsid w:val="668D1142"/>
    <w:rsid w:val="668E4FFB"/>
    <w:rsid w:val="66925102"/>
    <w:rsid w:val="66C676A3"/>
    <w:rsid w:val="66DC7598"/>
    <w:rsid w:val="66E81298"/>
    <w:rsid w:val="67084C64"/>
    <w:rsid w:val="671F124A"/>
    <w:rsid w:val="672A7AB8"/>
    <w:rsid w:val="6731330C"/>
    <w:rsid w:val="67383CE2"/>
    <w:rsid w:val="674212A6"/>
    <w:rsid w:val="67656D42"/>
    <w:rsid w:val="677A33C6"/>
    <w:rsid w:val="67874F0A"/>
    <w:rsid w:val="679317B0"/>
    <w:rsid w:val="67951260"/>
    <w:rsid w:val="67994DEA"/>
    <w:rsid w:val="67A77ED6"/>
    <w:rsid w:val="67CC0B6F"/>
    <w:rsid w:val="67D070E2"/>
    <w:rsid w:val="6804655B"/>
    <w:rsid w:val="68092B81"/>
    <w:rsid w:val="68194B9B"/>
    <w:rsid w:val="681F6961"/>
    <w:rsid w:val="68242759"/>
    <w:rsid w:val="68610A2F"/>
    <w:rsid w:val="68686D63"/>
    <w:rsid w:val="68805514"/>
    <w:rsid w:val="68826505"/>
    <w:rsid w:val="6898468B"/>
    <w:rsid w:val="689C2A34"/>
    <w:rsid w:val="68AE6F4E"/>
    <w:rsid w:val="68B25FB7"/>
    <w:rsid w:val="68CA77A4"/>
    <w:rsid w:val="68DA4848"/>
    <w:rsid w:val="68DE4FFE"/>
    <w:rsid w:val="68E02B24"/>
    <w:rsid w:val="69316E2F"/>
    <w:rsid w:val="694E2071"/>
    <w:rsid w:val="69561364"/>
    <w:rsid w:val="695E2538"/>
    <w:rsid w:val="69692B1A"/>
    <w:rsid w:val="697274F4"/>
    <w:rsid w:val="69766163"/>
    <w:rsid w:val="697A3B33"/>
    <w:rsid w:val="698379B0"/>
    <w:rsid w:val="698A4D40"/>
    <w:rsid w:val="698C10F6"/>
    <w:rsid w:val="698D01CC"/>
    <w:rsid w:val="699452D3"/>
    <w:rsid w:val="699B26F6"/>
    <w:rsid w:val="69B07B41"/>
    <w:rsid w:val="69BD10B7"/>
    <w:rsid w:val="69D24B82"/>
    <w:rsid w:val="69D44760"/>
    <w:rsid w:val="69D57135"/>
    <w:rsid w:val="69DB4015"/>
    <w:rsid w:val="69E5416A"/>
    <w:rsid w:val="69F15A60"/>
    <w:rsid w:val="6A367FA4"/>
    <w:rsid w:val="6A493ECB"/>
    <w:rsid w:val="6A501918"/>
    <w:rsid w:val="6A520EC7"/>
    <w:rsid w:val="6A561706"/>
    <w:rsid w:val="6A5B3BCD"/>
    <w:rsid w:val="6A6B735D"/>
    <w:rsid w:val="6A6F0D85"/>
    <w:rsid w:val="6A70612A"/>
    <w:rsid w:val="6A784B78"/>
    <w:rsid w:val="6A7F011B"/>
    <w:rsid w:val="6A8B2F63"/>
    <w:rsid w:val="6AB04087"/>
    <w:rsid w:val="6AC72B33"/>
    <w:rsid w:val="6ACC43B5"/>
    <w:rsid w:val="6ADA6662"/>
    <w:rsid w:val="6AF74155"/>
    <w:rsid w:val="6AF87E20"/>
    <w:rsid w:val="6AFA68FF"/>
    <w:rsid w:val="6B053B87"/>
    <w:rsid w:val="6B1467E8"/>
    <w:rsid w:val="6B187176"/>
    <w:rsid w:val="6B2119DF"/>
    <w:rsid w:val="6B217424"/>
    <w:rsid w:val="6B322639"/>
    <w:rsid w:val="6B3F6016"/>
    <w:rsid w:val="6B4F4FBE"/>
    <w:rsid w:val="6B587E5E"/>
    <w:rsid w:val="6B6E053D"/>
    <w:rsid w:val="6B72159A"/>
    <w:rsid w:val="6B7E5E0A"/>
    <w:rsid w:val="6B930322"/>
    <w:rsid w:val="6B9A452E"/>
    <w:rsid w:val="6B9B3C3C"/>
    <w:rsid w:val="6BC06C3D"/>
    <w:rsid w:val="6BC56001"/>
    <w:rsid w:val="6BEE4A3F"/>
    <w:rsid w:val="6BF2734A"/>
    <w:rsid w:val="6BFB1A30"/>
    <w:rsid w:val="6C276528"/>
    <w:rsid w:val="6C3422BE"/>
    <w:rsid w:val="6C636C38"/>
    <w:rsid w:val="6C783E95"/>
    <w:rsid w:val="6C8E5198"/>
    <w:rsid w:val="6CA1081C"/>
    <w:rsid w:val="6CEF77DA"/>
    <w:rsid w:val="6CF453D3"/>
    <w:rsid w:val="6D065160"/>
    <w:rsid w:val="6D147A66"/>
    <w:rsid w:val="6D1B0F0A"/>
    <w:rsid w:val="6D53392F"/>
    <w:rsid w:val="6D663D98"/>
    <w:rsid w:val="6D8F2D6B"/>
    <w:rsid w:val="6D9263B7"/>
    <w:rsid w:val="6D9C177A"/>
    <w:rsid w:val="6DA00AD4"/>
    <w:rsid w:val="6DB1146A"/>
    <w:rsid w:val="6DB34098"/>
    <w:rsid w:val="6DB545B6"/>
    <w:rsid w:val="6DB633B9"/>
    <w:rsid w:val="6DCE5641"/>
    <w:rsid w:val="6DE02FB4"/>
    <w:rsid w:val="6DF154B9"/>
    <w:rsid w:val="6DF20B60"/>
    <w:rsid w:val="6E112C4A"/>
    <w:rsid w:val="6E2B2A93"/>
    <w:rsid w:val="6E2F32A7"/>
    <w:rsid w:val="6E303A1F"/>
    <w:rsid w:val="6E4879B6"/>
    <w:rsid w:val="6E514CED"/>
    <w:rsid w:val="6E520722"/>
    <w:rsid w:val="6E567BA8"/>
    <w:rsid w:val="6E580931"/>
    <w:rsid w:val="6E85402C"/>
    <w:rsid w:val="6E98278F"/>
    <w:rsid w:val="6EAE4DD3"/>
    <w:rsid w:val="6EAF6C69"/>
    <w:rsid w:val="6EB563D5"/>
    <w:rsid w:val="6ECA2A55"/>
    <w:rsid w:val="6ED52B8A"/>
    <w:rsid w:val="6ED92677"/>
    <w:rsid w:val="6EF74B77"/>
    <w:rsid w:val="6F0641DA"/>
    <w:rsid w:val="6F0B6421"/>
    <w:rsid w:val="6F0F4663"/>
    <w:rsid w:val="6F1F2811"/>
    <w:rsid w:val="6F225983"/>
    <w:rsid w:val="6F3239AE"/>
    <w:rsid w:val="6F4A2275"/>
    <w:rsid w:val="6F543924"/>
    <w:rsid w:val="6F54601A"/>
    <w:rsid w:val="6F5900FF"/>
    <w:rsid w:val="6F5E14B0"/>
    <w:rsid w:val="6F6B3891"/>
    <w:rsid w:val="6F8D13B3"/>
    <w:rsid w:val="6FD43B21"/>
    <w:rsid w:val="6FEF7AF1"/>
    <w:rsid w:val="6FFC5590"/>
    <w:rsid w:val="700B2CF6"/>
    <w:rsid w:val="701E2C7A"/>
    <w:rsid w:val="70273DFF"/>
    <w:rsid w:val="703F45D4"/>
    <w:rsid w:val="70490379"/>
    <w:rsid w:val="705D0EFE"/>
    <w:rsid w:val="706D1DD0"/>
    <w:rsid w:val="707238AD"/>
    <w:rsid w:val="708238A0"/>
    <w:rsid w:val="70827064"/>
    <w:rsid w:val="70856B87"/>
    <w:rsid w:val="70AC33F3"/>
    <w:rsid w:val="70CC1FF2"/>
    <w:rsid w:val="70D527EE"/>
    <w:rsid w:val="70E872EC"/>
    <w:rsid w:val="70EF5CA0"/>
    <w:rsid w:val="71067748"/>
    <w:rsid w:val="711171A4"/>
    <w:rsid w:val="711B541D"/>
    <w:rsid w:val="71237A52"/>
    <w:rsid w:val="713C6D66"/>
    <w:rsid w:val="715B5300"/>
    <w:rsid w:val="71632544"/>
    <w:rsid w:val="71665B90"/>
    <w:rsid w:val="71775FF0"/>
    <w:rsid w:val="717F6C52"/>
    <w:rsid w:val="719351DF"/>
    <w:rsid w:val="71B608C6"/>
    <w:rsid w:val="71D27F8A"/>
    <w:rsid w:val="71DB032D"/>
    <w:rsid w:val="71E0083E"/>
    <w:rsid w:val="71E75ACC"/>
    <w:rsid w:val="71EA4A14"/>
    <w:rsid w:val="7202582C"/>
    <w:rsid w:val="72155289"/>
    <w:rsid w:val="723632AC"/>
    <w:rsid w:val="72500704"/>
    <w:rsid w:val="72514749"/>
    <w:rsid w:val="72541E8D"/>
    <w:rsid w:val="72553024"/>
    <w:rsid w:val="72892A86"/>
    <w:rsid w:val="7298446F"/>
    <w:rsid w:val="72AE3C93"/>
    <w:rsid w:val="72B91ACC"/>
    <w:rsid w:val="72CE714F"/>
    <w:rsid w:val="730B31AA"/>
    <w:rsid w:val="73122968"/>
    <w:rsid w:val="73190F98"/>
    <w:rsid w:val="731F5D5E"/>
    <w:rsid w:val="73305F3D"/>
    <w:rsid w:val="733270DF"/>
    <w:rsid w:val="736A39E4"/>
    <w:rsid w:val="73966568"/>
    <w:rsid w:val="73A3126C"/>
    <w:rsid w:val="73A53F8B"/>
    <w:rsid w:val="73AD5CF9"/>
    <w:rsid w:val="73C51AD5"/>
    <w:rsid w:val="73CD6B4D"/>
    <w:rsid w:val="73FB5CCA"/>
    <w:rsid w:val="74082F2F"/>
    <w:rsid w:val="74104ED2"/>
    <w:rsid w:val="74161F1E"/>
    <w:rsid w:val="741C1865"/>
    <w:rsid w:val="741E793C"/>
    <w:rsid w:val="742C1313"/>
    <w:rsid w:val="742E4C46"/>
    <w:rsid w:val="74391FC0"/>
    <w:rsid w:val="743F2553"/>
    <w:rsid w:val="74484563"/>
    <w:rsid w:val="744D0C29"/>
    <w:rsid w:val="745931AE"/>
    <w:rsid w:val="745A2B98"/>
    <w:rsid w:val="745E3944"/>
    <w:rsid w:val="746E165D"/>
    <w:rsid w:val="749A2EE6"/>
    <w:rsid w:val="74A0585D"/>
    <w:rsid w:val="74AA19A1"/>
    <w:rsid w:val="74BA61F9"/>
    <w:rsid w:val="74CA602C"/>
    <w:rsid w:val="74DB01DB"/>
    <w:rsid w:val="74E77FFF"/>
    <w:rsid w:val="74E80C90"/>
    <w:rsid w:val="74EE4F75"/>
    <w:rsid w:val="74FE5D55"/>
    <w:rsid w:val="7511774C"/>
    <w:rsid w:val="751218F1"/>
    <w:rsid w:val="75137DDD"/>
    <w:rsid w:val="751468AE"/>
    <w:rsid w:val="751D1218"/>
    <w:rsid w:val="752060F6"/>
    <w:rsid w:val="752C7710"/>
    <w:rsid w:val="75323015"/>
    <w:rsid w:val="75524DAA"/>
    <w:rsid w:val="75550F81"/>
    <w:rsid w:val="756401B5"/>
    <w:rsid w:val="75742F72"/>
    <w:rsid w:val="75837B5B"/>
    <w:rsid w:val="75901382"/>
    <w:rsid w:val="75954C96"/>
    <w:rsid w:val="75B92E0A"/>
    <w:rsid w:val="75BA294F"/>
    <w:rsid w:val="75C630A2"/>
    <w:rsid w:val="75DA6B4D"/>
    <w:rsid w:val="75DC4673"/>
    <w:rsid w:val="75E83020"/>
    <w:rsid w:val="75F93477"/>
    <w:rsid w:val="76053626"/>
    <w:rsid w:val="761E2EDE"/>
    <w:rsid w:val="7635099D"/>
    <w:rsid w:val="764114CA"/>
    <w:rsid w:val="764D37C3"/>
    <w:rsid w:val="765936B8"/>
    <w:rsid w:val="765C71D1"/>
    <w:rsid w:val="76650BFD"/>
    <w:rsid w:val="76745F78"/>
    <w:rsid w:val="76993344"/>
    <w:rsid w:val="76A86940"/>
    <w:rsid w:val="76B455F0"/>
    <w:rsid w:val="76B5183D"/>
    <w:rsid w:val="76C05D43"/>
    <w:rsid w:val="76C9244D"/>
    <w:rsid w:val="76DB03B4"/>
    <w:rsid w:val="76FA290F"/>
    <w:rsid w:val="7706686D"/>
    <w:rsid w:val="77180088"/>
    <w:rsid w:val="7719689D"/>
    <w:rsid w:val="772F5FDF"/>
    <w:rsid w:val="775A1A49"/>
    <w:rsid w:val="775F37AE"/>
    <w:rsid w:val="7772528F"/>
    <w:rsid w:val="77762421"/>
    <w:rsid w:val="77796CDC"/>
    <w:rsid w:val="777D3C34"/>
    <w:rsid w:val="77B36FA3"/>
    <w:rsid w:val="77B43962"/>
    <w:rsid w:val="77B506B7"/>
    <w:rsid w:val="77B56B1F"/>
    <w:rsid w:val="77B92EBE"/>
    <w:rsid w:val="77CD0717"/>
    <w:rsid w:val="77DE029E"/>
    <w:rsid w:val="780F09F4"/>
    <w:rsid w:val="786F7A21"/>
    <w:rsid w:val="787C3EEC"/>
    <w:rsid w:val="789D523F"/>
    <w:rsid w:val="78A90480"/>
    <w:rsid w:val="78D12489"/>
    <w:rsid w:val="78E026CC"/>
    <w:rsid w:val="78EB1B3F"/>
    <w:rsid w:val="78F8494D"/>
    <w:rsid w:val="7900271C"/>
    <w:rsid w:val="792C5912"/>
    <w:rsid w:val="793A1F57"/>
    <w:rsid w:val="794E3ADA"/>
    <w:rsid w:val="795232F7"/>
    <w:rsid w:val="7959391B"/>
    <w:rsid w:val="797D1D55"/>
    <w:rsid w:val="798064F1"/>
    <w:rsid w:val="798662DF"/>
    <w:rsid w:val="7987445D"/>
    <w:rsid w:val="79991131"/>
    <w:rsid w:val="79D71CA5"/>
    <w:rsid w:val="7A0348C4"/>
    <w:rsid w:val="7A066163"/>
    <w:rsid w:val="7A1268B5"/>
    <w:rsid w:val="7A206D05"/>
    <w:rsid w:val="7A2860D9"/>
    <w:rsid w:val="7A2B0049"/>
    <w:rsid w:val="7A364017"/>
    <w:rsid w:val="7A385137"/>
    <w:rsid w:val="7A476F99"/>
    <w:rsid w:val="7A5F7287"/>
    <w:rsid w:val="7A6D61E2"/>
    <w:rsid w:val="7A74512D"/>
    <w:rsid w:val="7A7C219B"/>
    <w:rsid w:val="7A8265E1"/>
    <w:rsid w:val="7A9814B1"/>
    <w:rsid w:val="7ABE4517"/>
    <w:rsid w:val="7ABF4D83"/>
    <w:rsid w:val="7B0A7ECC"/>
    <w:rsid w:val="7B11446E"/>
    <w:rsid w:val="7B47086A"/>
    <w:rsid w:val="7B4F1915"/>
    <w:rsid w:val="7B553885"/>
    <w:rsid w:val="7B5B2589"/>
    <w:rsid w:val="7B686D42"/>
    <w:rsid w:val="7B6A6F46"/>
    <w:rsid w:val="7B8214F8"/>
    <w:rsid w:val="7B841746"/>
    <w:rsid w:val="7B8F1213"/>
    <w:rsid w:val="7BF24BF0"/>
    <w:rsid w:val="7BF87D2D"/>
    <w:rsid w:val="7C065A61"/>
    <w:rsid w:val="7C286F84"/>
    <w:rsid w:val="7C2F0D15"/>
    <w:rsid w:val="7C39281F"/>
    <w:rsid w:val="7C39681C"/>
    <w:rsid w:val="7C42265A"/>
    <w:rsid w:val="7C613B24"/>
    <w:rsid w:val="7C6C5AC7"/>
    <w:rsid w:val="7C706EED"/>
    <w:rsid w:val="7C8C2675"/>
    <w:rsid w:val="7C995899"/>
    <w:rsid w:val="7CB225D2"/>
    <w:rsid w:val="7CC6544B"/>
    <w:rsid w:val="7CD5125C"/>
    <w:rsid w:val="7CDB1B9E"/>
    <w:rsid w:val="7CDB2A38"/>
    <w:rsid w:val="7CE331FC"/>
    <w:rsid w:val="7CE65DD7"/>
    <w:rsid w:val="7CEA3A9B"/>
    <w:rsid w:val="7D0239FF"/>
    <w:rsid w:val="7D4115BD"/>
    <w:rsid w:val="7D5E40CD"/>
    <w:rsid w:val="7D672730"/>
    <w:rsid w:val="7D7716B7"/>
    <w:rsid w:val="7D9760D5"/>
    <w:rsid w:val="7DC73E5B"/>
    <w:rsid w:val="7DCD56F2"/>
    <w:rsid w:val="7DD316B3"/>
    <w:rsid w:val="7DD32800"/>
    <w:rsid w:val="7DF82266"/>
    <w:rsid w:val="7E475032"/>
    <w:rsid w:val="7E4E074A"/>
    <w:rsid w:val="7E6625C2"/>
    <w:rsid w:val="7E7861C6"/>
    <w:rsid w:val="7E790DDD"/>
    <w:rsid w:val="7EAE7B95"/>
    <w:rsid w:val="7EB609D3"/>
    <w:rsid w:val="7EEA7E01"/>
    <w:rsid w:val="7EFE29D0"/>
    <w:rsid w:val="7F001CE7"/>
    <w:rsid w:val="7F0F5AB9"/>
    <w:rsid w:val="7F160BF6"/>
    <w:rsid w:val="7F392B36"/>
    <w:rsid w:val="7F472CC0"/>
    <w:rsid w:val="7F4B7C41"/>
    <w:rsid w:val="7F5E259D"/>
    <w:rsid w:val="7F706EE9"/>
    <w:rsid w:val="7F7832CB"/>
    <w:rsid w:val="7F9164CE"/>
    <w:rsid w:val="7F981C72"/>
    <w:rsid w:val="7FA05272"/>
    <w:rsid w:val="7FA060F0"/>
    <w:rsid w:val="7FA2692E"/>
    <w:rsid w:val="7FA62CC2"/>
    <w:rsid w:val="7FAD723D"/>
    <w:rsid w:val="7FBE71A1"/>
    <w:rsid w:val="7FC965A7"/>
    <w:rsid w:val="7FE47E50"/>
    <w:rsid w:val="7FF670BB"/>
    <w:rsid w:val="7FFC2E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1"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9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2"/>
    <w:next w:val="1"/>
    <w:qFormat/>
    <w:locked/>
    <w:uiPriority w:val="0"/>
    <w:pPr>
      <w:keepLines/>
      <w:spacing w:before="260" w:after="260" w:line="416" w:lineRule="auto"/>
      <w:outlineLvl w:val="1"/>
    </w:pPr>
    <w:rPr>
      <w:rFonts w:ascii="Arial" w:hAnsi="Arial"/>
      <w:b w:val="0"/>
      <w:sz w:val="32"/>
      <w:szCs w:val="32"/>
    </w:rPr>
  </w:style>
  <w:style w:type="paragraph" w:styleId="4">
    <w:name w:val="heading 3"/>
    <w:basedOn w:val="1"/>
    <w:next w:val="1"/>
    <w:autoRedefine/>
    <w:qFormat/>
    <w:locked/>
    <w:uiPriority w:val="1"/>
    <w:pPr>
      <w:ind w:left="240"/>
      <w:outlineLvl w:val="2"/>
    </w:pPr>
    <w:rPr>
      <w:rFonts w:ascii="宋体" w:hAnsi="宋体"/>
      <w:b/>
      <w:bCs/>
      <w:sz w:val="24"/>
    </w:rPr>
  </w:style>
  <w:style w:type="paragraph" w:styleId="5">
    <w:name w:val="heading 4"/>
    <w:basedOn w:val="1"/>
    <w:next w:val="1"/>
    <w:autoRedefine/>
    <w:qFormat/>
    <w:locked/>
    <w:uiPriority w:val="0"/>
    <w:pPr>
      <w:keepNext/>
      <w:keepLines/>
      <w:spacing w:before="280" w:after="290" w:line="374" w:lineRule="auto"/>
      <w:outlineLvl w:val="3"/>
    </w:pPr>
    <w:rPr>
      <w:rFonts w:ascii="Arial" w:hAnsi="Arial" w:eastAsia="黑体"/>
      <w:b/>
      <w:bCs/>
      <w:sz w:val="28"/>
      <w:szCs w:val="28"/>
    </w:rPr>
  </w:style>
  <w:style w:type="character" w:default="1" w:styleId="32">
    <w:name w:val="Default Paragraph Font"/>
    <w:autoRedefine/>
    <w:semiHidden/>
    <w:unhideWhenUsed/>
    <w:qFormat/>
    <w:uiPriority w:val="1"/>
  </w:style>
  <w:style w:type="table" w:default="1" w:styleId="30">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next w:val="1"/>
    <w:qFormat/>
    <w:locked/>
    <w:uiPriority w:val="0"/>
    <w:pPr>
      <w:spacing w:before="120" w:line="312" w:lineRule="auto"/>
      <w:ind w:firstLine="420" w:firstLineChars="200"/>
    </w:pPr>
    <w:rPr>
      <w:kern w:val="24"/>
      <w:sz w:val="28"/>
      <w:szCs w:val="20"/>
    </w:rPr>
  </w:style>
  <w:style w:type="paragraph" w:styleId="7">
    <w:name w:val="annotation text"/>
    <w:basedOn w:val="1"/>
    <w:link w:val="56"/>
    <w:autoRedefine/>
    <w:semiHidden/>
    <w:qFormat/>
    <w:uiPriority w:val="0"/>
    <w:pPr>
      <w:jc w:val="left"/>
    </w:pPr>
    <w:rPr>
      <w:kern w:val="0"/>
      <w:sz w:val="24"/>
      <w:szCs w:val="20"/>
    </w:rPr>
  </w:style>
  <w:style w:type="paragraph" w:styleId="8">
    <w:name w:val="Salutation"/>
    <w:basedOn w:val="1"/>
    <w:next w:val="1"/>
    <w:qFormat/>
    <w:locked/>
    <w:uiPriority w:val="0"/>
  </w:style>
  <w:style w:type="paragraph" w:styleId="9">
    <w:name w:val="Body Text"/>
    <w:basedOn w:val="1"/>
    <w:next w:val="10"/>
    <w:link w:val="37"/>
    <w:qFormat/>
    <w:uiPriority w:val="0"/>
    <w:pPr>
      <w:widowControl/>
      <w:snapToGrid w:val="0"/>
      <w:spacing w:before="60" w:after="160" w:line="259" w:lineRule="auto"/>
      <w:ind w:right="113"/>
    </w:pPr>
    <w:rPr>
      <w:kern w:val="0"/>
      <w:sz w:val="18"/>
      <w:szCs w:val="20"/>
    </w:rPr>
  </w:style>
  <w:style w:type="paragraph" w:customStyle="1" w:styleId="10">
    <w:name w:val="明显引用1"/>
    <w:next w:val="1"/>
    <w:autoRedefine/>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styleId="11">
    <w:name w:val="Body Text Indent"/>
    <w:basedOn w:val="1"/>
    <w:next w:val="6"/>
    <w:link w:val="53"/>
    <w:qFormat/>
    <w:uiPriority w:val="0"/>
    <w:pPr>
      <w:spacing w:after="120"/>
      <w:ind w:left="420" w:leftChars="200"/>
    </w:pPr>
    <w:rPr>
      <w:kern w:val="0"/>
      <w:sz w:val="24"/>
      <w:szCs w:val="20"/>
    </w:rPr>
  </w:style>
  <w:style w:type="paragraph" w:styleId="12">
    <w:name w:val="Block Text"/>
    <w:basedOn w:val="1"/>
    <w:qFormat/>
    <w:locked/>
    <w:uiPriority w:val="0"/>
    <w:pPr>
      <w:spacing w:after="120"/>
      <w:ind w:left="1440" w:leftChars="700" w:right="1440" w:rightChars="700"/>
    </w:pPr>
  </w:style>
  <w:style w:type="paragraph" w:styleId="13">
    <w:name w:val="Plain Text"/>
    <w:basedOn w:val="1"/>
    <w:next w:val="14"/>
    <w:qFormat/>
    <w:locked/>
    <w:uiPriority w:val="99"/>
    <w:rPr>
      <w:rFonts w:ascii="宋体" w:hAnsi="Courier New"/>
      <w:kern w:val="0"/>
      <w:szCs w:val="21"/>
    </w:rPr>
  </w:style>
  <w:style w:type="paragraph" w:customStyle="1" w:styleId="14">
    <w:name w:val="Default"/>
    <w:basedOn w:val="15"/>
    <w:next w:val="16"/>
    <w:autoRedefine/>
    <w:qFormat/>
    <w:uiPriority w:val="0"/>
    <w:pPr>
      <w:autoSpaceDE w:val="0"/>
      <w:autoSpaceDN w:val="0"/>
    </w:pPr>
    <w:rPr>
      <w:rFonts w:ascii="Times New Roman" w:hAnsi="Times New Roman"/>
      <w:color w:val="000000"/>
      <w:sz w:val="24"/>
      <w:szCs w:val="24"/>
    </w:rPr>
  </w:style>
  <w:style w:type="paragraph" w:customStyle="1" w:styleId="15">
    <w:name w:val="纯文本1"/>
    <w:basedOn w:val="1"/>
    <w:qFormat/>
    <w:uiPriority w:val="0"/>
    <w:pPr>
      <w:adjustRightInd w:val="0"/>
      <w:textAlignment w:val="baseline"/>
    </w:pPr>
    <w:rPr>
      <w:rFonts w:ascii="宋体" w:hAnsi="Courier New"/>
      <w:szCs w:val="20"/>
    </w:rPr>
  </w:style>
  <w:style w:type="paragraph" w:styleId="16">
    <w:name w:val="Body Text First Indent 2"/>
    <w:basedOn w:val="11"/>
    <w:next w:val="17"/>
    <w:qFormat/>
    <w:locked/>
    <w:uiPriority w:val="0"/>
    <w:pPr>
      <w:ind w:firstLine="420" w:firstLineChars="200"/>
    </w:pPr>
  </w:style>
  <w:style w:type="paragraph" w:styleId="17">
    <w:name w:val="Body Text First Indent"/>
    <w:basedOn w:val="9"/>
    <w:next w:val="1"/>
    <w:qFormat/>
    <w:locked/>
    <w:uiPriority w:val="0"/>
    <w:pPr>
      <w:ind w:firstLine="420" w:firstLineChars="100"/>
    </w:pPr>
    <w:rPr>
      <w:sz w:val="24"/>
    </w:rPr>
  </w:style>
  <w:style w:type="paragraph" w:styleId="18">
    <w:name w:val="List Bullet 5"/>
    <w:basedOn w:val="1"/>
    <w:autoRedefine/>
    <w:qFormat/>
    <w:locked/>
    <w:uiPriority w:val="0"/>
    <w:pPr>
      <w:numPr>
        <w:ilvl w:val="0"/>
        <w:numId w:val="1"/>
      </w:numPr>
    </w:pPr>
  </w:style>
  <w:style w:type="paragraph" w:styleId="19">
    <w:name w:val="Date"/>
    <w:basedOn w:val="1"/>
    <w:next w:val="1"/>
    <w:link w:val="58"/>
    <w:autoRedefine/>
    <w:qFormat/>
    <w:uiPriority w:val="0"/>
    <w:pPr>
      <w:ind w:left="100" w:leftChars="2500"/>
    </w:pPr>
    <w:rPr>
      <w:kern w:val="0"/>
      <w:sz w:val="24"/>
      <w:szCs w:val="20"/>
    </w:rPr>
  </w:style>
  <w:style w:type="paragraph" w:styleId="20">
    <w:name w:val="Body Text Indent 2"/>
    <w:basedOn w:val="1"/>
    <w:autoRedefine/>
    <w:qFormat/>
    <w:locked/>
    <w:uiPriority w:val="0"/>
    <w:pPr>
      <w:spacing w:after="120" w:line="480" w:lineRule="auto"/>
      <w:ind w:left="200" w:leftChars="200"/>
    </w:pPr>
    <w:rPr>
      <w:sz w:val="24"/>
    </w:rPr>
  </w:style>
  <w:style w:type="paragraph" w:styleId="21">
    <w:name w:val="Balloon Text"/>
    <w:basedOn w:val="1"/>
    <w:link w:val="59"/>
    <w:autoRedefine/>
    <w:semiHidden/>
    <w:qFormat/>
    <w:uiPriority w:val="0"/>
    <w:rPr>
      <w:kern w:val="0"/>
      <w:sz w:val="18"/>
      <w:szCs w:val="20"/>
    </w:rPr>
  </w:style>
  <w:style w:type="paragraph" w:styleId="22">
    <w:name w:val="footer"/>
    <w:basedOn w:val="1"/>
    <w:link w:val="54"/>
    <w:autoRedefine/>
    <w:qFormat/>
    <w:uiPriority w:val="99"/>
    <w:pPr>
      <w:tabs>
        <w:tab w:val="center" w:pos="4153"/>
        <w:tab w:val="right" w:pos="8306"/>
      </w:tabs>
      <w:snapToGrid w:val="0"/>
      <w:jc w:val="left"/>
    </w:pPr>
    <w:rPr>
      <w:kern w:val="0"/>
      <w:sz w:val="18"/>
      <w:szCs w:val="20"/>
    </w:rPr>
  </w:style>
  <w:style w:type="paragraph" w:styleId="23">
    <w:name w:val="header"/>
    <w:basedOn w:val="1"/>
    <w:next w:val="9"/>
    <w:link w:val="61"/>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24">
    <w:name w:val="toc 1"/>
    <w:basedOn w:val="1"/>
    <w:next w:val="1"/>
    <w:autoRedefine/>
    <w:qFormat/>
    <w:locked/>
    <w:uiPriority w:val="0"/>
  </w:style>
  <w:style w:type="paragraph" w:styleId="25">
    <w:name w:val="index heading"/>
    <w:basedOn w:val="1"/>
    <w:next w:val="26"/>
    <w:autoRedefine/>
    <w:qFormat/>
    <w:locked/>
    <w:uiPriority w:val="0"/>
    <w:rPr>
      <w:rFonts w:ascii="Arial" w:hAnsi="Arial"/>
      <w:b/>
    </w:rPr>
  </w:style>
  <w:style w:type="paragraph" w:styleId="26">
    <w:name w:val="index 1"/>
    <w:basedOn w:val="1"/>
    <w:next w:val="1"/>
    <w:autoRedefine/>
    <w:semiHidden/>
    <w:qFormat/>
    <w:locked/>
    <w:uiPriority w:val="0"/>
    <w:pPr>
      <w:adjustRightInd w:val="0"/>
      <w:snapToGrid w:val="0"/>
      <w:ind w:firstLine="823" w:firstLineChars="358"/>
      <w:jc w:val="left"/>
    </w:pPr>
    <w:rPr>
      <w:rFonts w:ascii="宋体" w:hAnsi="宋体"/>
      <w:spacing w:val="10"/>
    </w:rPr>
  </w:style>
  <w:style w:type="paragraph" w:styleId="27">
    <w:name w:val="Body Text Indent 3"/>
    <w:basedOn w:val="1"/>
    <w:autoRedefine/>
    <w:qFormat/>
    <w:locked/>
    <w:uiPriority w:val="0"/>
    <w:pPr>
      <w:spacing w:after="120"/>
      <w:ind w:left="420" w:leftChars="200"/>
    </w:pPr>
    <w:rPr>
      <w:sz w:val="16"/>
      <w:szCs w:val="16"/>
    </w:rPr>
  </w:style>
  <w:style w:type="paragraph" w:styleId="28">
    <w:name w:val="Normal (Web)"/>
    <w:basedOn w:val="1"/>
    <w:link w:val="57"/>
    <w:autoRedefine/>
    <w:qFormat/>
    <w:uiPriority w:val="0"/>
    <w:pPr>
      <w:widowControl/>
      <w:spacing w:before="100" w:beforeAutospacing="1" w:after="100" w:afterAutospacing="1"/>
      <w:jc w:val="left"/>
    </w:pPr>
    <w:rPr>
      <w:rFonts w:ascii="宋体" w:hAnsi="宋体"/>
      <w:kern w:val="0"/>
      <w:sz w:val="24"/>
      <w:szCs w:val="20"/>
    </w:rPr>
  </w:style>
  <w:style w:type="paragraph" w:styleId="29">
    <w:name w:val="annotation subject"/>
    <w:basedOn w:val="7"/>
    <w:next w:val="7"/>
    <w:link w:val="51"/>
    <w:autoRedefine/>
    <w:semiHidden/>
    <w:qFormat/>
    <w:uiPriority w:val="0"/>
    <w:rPr>
      <w:b/>
    </w:rPr>
  </w:style>
  <w:style w:type="table" w:styleId="31">
    <w:name w:val="Table Grid"/>
    <w:basedOn w:val="30"/>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basedOn w:val="32"/>
    <w:autoRedefine/>
    <w:qFormat/>
    <w:locked/>
    <w:uiPriority w:val="0"/>
    <w:rPr>
      <w:b/>
    </w:rPr>
  </w:style>
  <w:style w:type="character" w:styleId="34">
    <w:name w:val="page number"/>
    <w:basedOn w:val="32"/>
    <w:autoRedefine/>
    <w:qFormat/>
    <w:locked/>
    <w:uiPriority w:val="0"/>
  </w:style>
  <w:style w:type="character" w:styleId="35">
    <w:name w:val="Hyperlink"/>
    <w:basedOn w:val="32"/>
    <w:autoRedefine/>
    <w:qFormat/>
    <w:locked/>
    <w:uiPriority w:val="0"/>
    <w:rPr>
      <w:color w:val="0000FF"/>
      <w:u w:val="single"/>
    </w:rPr>
  </w:style>
  <w:style w:type="character" w:styleId="36">
    <w:name w:val="annotation reference"/>
    <w:basedOn w:val="32"/>
    <w:autoRedefine/>
    <w:semiHidden/>
    <w:qFormat/>
    <w:uiPriority w:val="0"/>
    <w:rPr>
      <w:sz w:val="21"/>
    </w:rPr>
  </w:style>
  <w:style w:type="character" w:customStyle="1" w:styleId="37">
    <w:name w:val="正文文本 Char"/>
    <w:basedOn w:val="32"/>
    <w:link w:val="9"/>
    <w:autoRedefine/>
    <w:qFormat/>
    <w:locked/>
    <w:uiPriority w:val="0"/>
    <w:rPr>
      <w:sz w:val="18"/>
    </w:rPr>
  </w:style>
  <w:style w:type="paragraph" w:customStyle="1" w:styleId="38">
    <w:name w:val="样式 标题 1 + 四号 段前: 0 磅 段后: 0 磅 行距: 1.5 倍行距"/>
    <w:basedOn w:val="39"/>
    <w:next w:val="41"/>
    <w:autoRedefine/>
    <w:qFormat/>
    <w:uiPriority w:val="0"/>
    <w:pPr>
      <w:spacing w:line="360" w:lineRule="auto"/>
      <w:jc w:val="center"/>
    </w:pPr>
    <w:rPr>
      <w:rFonts w:hAnsi="黑体"/>
      <w:sz w:val="21"/>
    </w:rPr>
  </w:style>
  <w:style w:type="paragraph" w:customStyle="1" w:styleId="39">
    <w:name w:val="报告表正文"/>
    <w:basedOn w:val="1"/>
    <w:next w:val="40"/>
    <w:autoRedefine/>
    <w:qFormat/>
    <w:uiPriority w:val="0"/>
    <w:pPr>
      <w:adjustRightInd w:val="0"/>
      <w:spacing w:line="312" w:lineRule="auto"/>
      <w:ind w:left="113" w:right="113" w:firstLine="482"/>
      <w:jc w:val="left"/>
      <w:textAlignment w:val="baseline"/>
    </w:pPr>
    <w:rPr>
      <w:kern w:val="0"/>
      <w:sz w:val="24"/>
    </w:rPr>
  </w:style>
  <w:style w:type="paragraph" w:customStyle="1" w:styleId="40">
    <w:name w:val="报告表正文（首行缩进）"/>
    <w:basedOn w:val="39"/>
    <w:autoRedefine/>
    <w:qFormat/>
    <w:uiPriority w:val="0"/>
    <w:pPr>
      <w:wordWrap w:val="0"/>
      <w:ind w:firstLine="562" w:firstLineChars="200"/>
    </w:pPr>
  </w:style>
  <w:style w:type="paragraph" w:customStyle="1" w:styleId="41">
    <w:name w:val="文本正文"/>
    <w:basedOn w:val="1"/>
    <w:autoRedefine/>
    <w:qFormat/>
    <w:uiPriority w:val="0"/>
    <w:pPr>
      <w:keepLines/>
      <w:snapToGrid w:val="0"/>
      <w:spacing w:line="360" w:lineRule="auto"/>
      <w:ind w:firstLine="496" w:firstLineChars="200"/>
      <w:jc w:val="left"/>
    </w:pPr>
    <w:rPr>
      <w:rFonts w:ascii="Calibri" w:hAnsi="Calibri"/>
      <w:spacing w:val="4"/>
      <w:kern w:val="24"/>
      <w:sz w:val="24"/>
    </w:rPr>
  </w:style>
  <w:style w:type="paragraph" w:customStyle="1" w:styleId="42">
    <w:name w:val="1正文"/>
    <w:basedOn w:val="1"/>
    <w:autoRedefine/>
    <w:qFormat/>
    <w:uiPriority w:val="0"/>
    <w:pPr>
      <w:spacing w:line="500" w:lineRule="exact"/>
      <w:ind w:firstLine="588" w:firstLineChars="196"/>
    </w:pPr>
    <w:rPr>
      <w:rFonts w:eastAsia="楷体_GB2312"/>
      <w:sz w:val="30"/>
      <w:szCs w:val="30"/>
    </w:rPr>
  </w:style>
  <w:style w:type="paragraph" w:customStyle="1" w:styleId="43">
    <w:name w:val="样式 黑色 行距: 最小值 26 磅"/>
    <w:basedOn w:val="1"/>
    <w:qFormat/>
    <w:uiPriority w:val="0"/>
    <w:pPr>
      <w:ind w:firstLine="200" w:firstLineChars="200"/>
      <w:jc w:val="left"/>
    </w:pPr>
    <w:rPr>
      <w:rFonts w:eastAsia="楷体_GB2312" w:cs="宋体"/>
      <w:color w:val="000000"/>
      <w:spacing w:val="6"/>
      <w:sz w:val="28"/>
      <w:szCs w:val="20"/>
    </w:rPr>
  </w:style>
  <w:style w:type="paragraph" w:customStyle="1" w:styleId="44">
    <w:name w:val="自定义正文"/>
    <w:basedOn w:val="1"/>
    <w:qFormat/>
    <w:uiPriority w:val="0"/>
    <w:pPr>
      <w:adjustRightInd w:val="0"/>
      <w:spacing w:line="360" w:lineRule="auto"/>
      <w:ind w:firstLine="560"/>
    </w:pPr>
    <w:rPr>
      <w:kern w:val="0"/>
      <w:sz w:val="28"/>
      <w:szCs w:val="20"/>
    </w:rPr>
  </w:style>
  <w:style w:type="paragraph" w:customStyle="1" w:styleId="45">
    <w:name w:val="Table Paragraph"/>
    <w:basedOn w:val="1"/>
    <w:qFormat/>
    <w:uiPriority w:val="1"/>
  </w:style>
  <w:style w:type="paragraph" w:customStyle="1" w:styleId="4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7">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8">
    <w:name w:val="表格"/>
    <w:basedOn w:val="49"/>
    <w:next w:val="1"/>
    <w:link w:val="52"/>
    <w:qFormat/>
    <w:uiPriority w:val="0"/>
    <w:pPr>
      <w:spacing w:beforeLines="10" w:afterLines="10" w:line="259" w:lineRule="auto"/>
    </w:pPr>
  </w:style>
  <w:style w:type="paragraph" w:customStyle="1" w:styleId="49">
    <w:name w:val="表头"/>
    <w:basedOn w:val="50"/>
    <w:next w:val="1"/>
    <w:autoRedefine/>
    <w:qFormat/>
    <w:uiPriority w:val="0"/>
    <w:pPr>
      <w:spacing w:before="156" w:beforeLines="50"/>
      <w:jc w:val="center"/>
    </w:pPr>
    <w:rPr>
      <w:rFonts w:ascii="宋体" w:hAnsi="宋体"/>
      <w:sz w:val="24"/>
    </w:rPr>
  </w:style>
  <w:style w:type="paragraph" w:customStyle="1" w:styleId="50">
    <w:name w:val="T正文"/>
    <w:autoRedefine/>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character" w:customStyle="1" w:styleId="51">
    <w:name w:val="批注主题 Char"/>
    <w:link w:val="29"/>
    <w:autoRedefine/>
    <w:semiHidden/>
    <w:qFormat/>
    <w:locked/>
    <w:uiPriority w:val="0"/>
    <w:rPr>
      <w:rFonts w:ascii="Times New Roman" w:hAnsi="Times New Roman" w:eastAsia="宋体"/>
      <w:b/>
      <w:kern w:val="2"/>
      <w:sz w:val="24"/>
    </w:rPr>
  </w:style>
  <w:style w:type="character" w:customStyle="1" w:styleId="52">
    <w:name w:val="表格 Char"/>
    <w:link w:val="48"/>
    <w:autoRedefine/>
    <w:qFormat/>
    <w:locked/>
    <w:uiPriority w:val="0"/>
    <w:rPr>
      <w:rFonts w:ascii="宋体"/>
      <w:sz w:val="21"/>
    </w:rPr>
  </w:style>
  <w:style w:type="character" w:customStyle="1" w:styleId="53">
    <w:name w:val="正文文本缩进 Char"/>
    <w:link w:val="11"/>
    <w:autoRedefine/>
    <w:semiHidden/>
    <w:qFormat/>
    <w:locked/>
    <w:uiPriority w:val="0"/>
    <w:rPr>
      <w:rFonts w:ascii="Times New Roman" w:hAnsi="Times New Roman" w:eastAsia="宋体"/>
      <w:sz w:val="24"/>
    </w:rPr>
  </w:style>
  <w:style w:type="character" w:customStyle="1" w:styleId="54">
    <w:name w:val="页脚 Char"/>
    <w:link w:val="22"/>
    <w:autoRedefine/>
    <w:qFormat/>
    <w:locked/>
    <w:uiPriority w:val="99"/>
    <w:rPr>
      <w:sz w:val="18"/>
    </w:rPr>
  </w:style>
  <w:style w:type="character" w:customStyle="1" w:styleId="55">
    <w:name w:val="批注文字 字符1"/>
    <w:autoRedefine/>
    <w:semiHidden/>
    <w:qFormat/>
    <w:uiPriority w:val="0"/>
    <w:rPr>
      <w:rFonts w:ascii="Times New Roman" w:hAnsi="Times New Roman" w:eastAsia="宋体"/>
      <w:sz w:val="24"/>
    </w:rPr>
  </w:style>
  <w:style w:type="character" w:customStyle="1" w:styleId="56">
    <w:name w:val="批注文字 Char"/>
    <w:link w:val="7"/>
    <w:autoRedefine/>
    <w:qFormat/>
    <w:locked/>
    <w:uiPriority w:val="0"/>
    <w:rPr>
      <w:rFonts w:ascii="Times New Roman" w:hAnsi="Times New Roman" w:eastAsia="宋体"/>
      <w:sz w:val="24"/>
    </w:rPr>
  </w:style>
  <w:style w:type="character" w:customStyle="1" w:styleId="57">
    <w:name w:val="普通(网站) Char"/>
    <w:link w:val="28"/>
    <w:autoRedefine/>
    <w:qFormat/>
    <w:locked/>
    <w:uiPriority w:val="0"/>
    <w:rPr>
      <w:rFonts w:ascii="宋体" w:hAnsi="宋体" w:eastAsia="宋体"/>
      <w:sz w:val="24"/>
    </w:rPr>
  </w:style>
  <w:style w:type="character" w:customStyle="1" w:styleId="58">
    <w:name w:val="日期 Char"/>
    <w:link w:val="19"/>
    <w:autoRedefine/>
    <w:qFormat/>
    <w:locked/>
    <w:uiPriority w:val="0"/>
    <w:rPr>
      <w:rFonts w:ascii="Times New Roman" w:hAnsi="Times New Roman" w:eastAsia="宋体"/>
      <w:sz w:val="24"/>
    </w:rPr>
  </w:style>
  <w:style w:type="character" w:customStyle="1" w:styleId="59">
    <w:name w:val="批注框文本 Char"/>
    <w:link w:val="21"/>
    <w:autoRedefine/>
    <w:semiHidden/>
    <w:qFormat/>
    <w:locked/>
    <w:uiPriority w:val="0"/>
    <w:rPr>
      <w:rFonts w:ascii="Times New Roman" w:hAnsi="Times New Roman" w:eastAsia="宋体"/>
      <w:sz w:val="18"/>
    </w:rPr>
  </w:style>
  <w:style w:type="character" w:customStyle="1" w:styleId="60">
    <w:name w:val="日期 字符"/>
    <w:autoRedefine/>
    <w:semiHidden/>
    <w:qFormat/>
    <w:uiPriority w:val="0"/>
    <w:rPr>
      <w:rFonts w:ascii="Times New Roman" w:hAnsi="Times New Roman" w:eastAsia="宋体"/>
      <w:sz w:val="24"/>
    </w:rPr>
  </w:style>
  <w:style w:type="character" w:customStyle="1" w:styleId="61">
    <w:name w:val="页眉 Char"/>
    <w:link w:val="23"/>
    <w:autoRedefine/>
    <w:qFormat/>
    <w:locked/>
    <w:uiPriority w:val="0"/>
    <w:rPr>
      <w:sz w:val="18"/>
    </w:rPr>
  </w:style>
  <w:style w:type="character" w:customStyle="1" w:styleId="62">
    <w:name w:val="页脚 字符"/>
    <w:basedOn w:val="32"/>
    <w:autoRedefine/>
    <w:qFormat/>
    <w:uiPriority w:val="99"/>
  </w:style>
  <w:style w:type="character" w:customStyle="1" w:styleId="63">
    <w:name w:val="正文文本 字符1"/>
    <w:autoRedefine/>
    <w:semiHidden/>
    <w:qFormat/>
    <w:uiPriority w:val="0"/>
    <w:rPr>
      <w:rFonts w:ascii="Times New Roman" w:hAnsi="Times New Roman" w:eastAsia="宋体"/>
      <w:sz w:val="24"/>
    </w:rPr>
  </w:style>
  <w:style w:type="paragraph" w:customStyle="1" w:styleId="64">
    <w:name w:val="11"/>
    <w:basedOn w:val="9"/>
    <w:next w:val="12"/>
    <w:autoRedefine/>
    <w:qFormat/>
    <w:uiPriority w:val="0"/>
    <w:pPr>
      <w:autoSpaceDE w:val="0"/>
      <w:autoSpaceDN w:val="0"/>
      <w:adjustRightInd w:val="0"/>
      <w:spacing w:after="0"/>
      <w:ind w:firstLine="472" w:firstLineChars="196"/>
      <w:jc w:val="left"/>
    </w:pPr>
  </w:style>
  <w:style w:type="paragraph" w:customStyle="1" w:styleId="65">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66">
    <w:name w:val="正 文"/>
    <w:autoRedefine/>
    <w:qFormat/>
    <w:uiPriority w:val="0"/>
    <w:pPr>
      <w:widowControl w:val="0"/>
      <w:spacing w:line="360" w:lineRule="auto"/>
      <w:ind w:firstLine="480" w:firstLineChars="200"/>
    </w:pPr>
    <w:rPr>
      <w:rFonts w:ascii="Times New Roman" w:hAnsi="Times New Roman" w:eastAsia="宋体" w:cs="宋体"/>
      <w:kern w:val="2"/>
      <w:sz w:val="24"/>
      <w:szCs w:val="24"/>
      <w:lang w:val="en-US" w:eastAsia="zh-CN" w:bidi="ar-SA"/>
    </w:rPr>
  </w:style>
  <w:style w:type="paragraph" w:customStyle="1" w:styleId="67">
    <w:name w:val="制表格"/>
    <w:basedOn w:val="1"/>
    <w:autoRedefine/>
    <w:qFormat/>
    <w:uiPriority w:val="0"/>
    <w:pPr>
      <w:jc w:val="center"/>
    </w:pPr>
    <w:rPr>
      <w:snapToGrid w:val="0"/>
      <w:kern w:val="0"/>
      <w:szCs w:val="28"/>
    </w:rPr>
  </w:style>
  <w:style w:type="character" w:customStyle="1" w:styleId="68">
    <w:name w:val="ggzbt011"/>
    <w:basedOn w:val="32"/>
    <w:autoRedefine/>
    <w:qFormat/>
    <w:uiPriority w:val="0"/>
  </w:style>
  <w:style w:type="paragraph" w:customStyle="1" w:styleId="69">
    <w:name w:val="WPSOffice手动目录 1"/>
    <w:autoRedefine/>
    <w:qFormat/>
    <w:uiPriority w:val="0"/>
    <w:rPr>
      <w:rFonts w:ascii="Times New Roman" w:hAnsi="Times New Roman" w:eastAsia="宋体" w:cs="Times New Roman"/>
      <w:lang w:val="en-US" w:eastAsia="zh-CN" w:bidi="ar-SA"/>
    </w:rPr>
  </w:style>
  <w:style w:type="character" w:customStyle="1" w:styleId="70">
    <w:name w:val="正文（首行缩进两字） Char"/>
    <w:autoRedefine/>
    <w:qFormat/>
    <w:uiPriority w:val="0"/>
    <w:rPr>
      <w:rFonts w:eastAsia="宋体"/>
      <w:kern w:val="2"/>
      <w:sz w:val="24"/>
      <w:lang w:val="en-US" w:eastAsia="zh-CN"/>
    </w:rPr>
  </w:style>
  <w:style w:type="paragraph" w:customStyle="1" w:styleId="71">
    <w:name w:val="三级标题"/>
    <w:basedOn w:val="72"/>
    <w:autoRedefine/>
    <w:qFormat/>
    <w:uiPriority w:val="0"/>
    <w:rPr>
      <w:sz w:val="24"/>
    </w:rPr>
  </w:style>
  <w:style w:type="paragraph" w:customStyle="1" w:styleId="72">
    <w:name w:val="一级标题"/>
    <w:basedOn w:val="1"/>
    <w:autoRedefine/>
    <w:qFormat/>
    <w:uiPriority w:val="0"/>
    <w:pPr>
      <w:jc w:val="left"/>
    </w:pPr>
    <w:rPr>
      <w:b/>
      <w:sz w:val="30"/>
    </w:rPr>
  </w:style>
  <w:style w:type="paragraph" w:customStyle="1" w:styleId="73">
    <w:name w:val="文本22"/>
    <w:basedOn w:val="1"/>
    <w:autoRedefine/>
    <w:qFormat/>
    <w:uiPriority w:val="0"/>
    <w:pPr>
      <w:autoSpaceDE w:val="0"/>
      <w:autoSpaceDN w:val="0"/>
      <w:adjustRightInd w:val="0"/>
      <w:spacing w:line="360" w:lineRule="auto"/>
      <w:ind w:firstLine="480" w:firstLineChars="200"/>
    </w:pPr>
    <w:rPr>
      <w:sz w:val="24"/>
    </w:rPr>
  </w:style>
  <w:style w:type="paragraph" w:customStyle="1" w:styleId="74">
    <w:name w:val="正文内容"/>
    <w:autoRedefine/>
    <w:qFormat/>
    <w:uiPriority w:val="0"/>
    <w:pPr>
      <w:widowControl w:val="0"/>
      <w:snapToGrid w:val="0"/>
      <w:spacing w:before="60" w:after="60" w:line="44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75">
    <w:name w:val="表格内文字"/>
    <w:autoRedefine/>
    <w:semiHidden/>
    <w:qFormat/>
    <w:uiPriority w:val="0"/>
    <w:pPr>
      <w:keepNext/>
      <w:widowControl w:val="0"/>
      <w:spacing w:line="240" w:lineRule="atLeast"/>
      <w:jc w:val="center"/>
    </w:pPr>
    <w:rPr>
      <w:rFonts w:ascii="宋体" w:hAnsi="宋体" w:eastAsia="宋体" w:cs="Times New Roman"/>
      <w:w w:val="90"/>
      <w:sz w:val="21"/>
      <w:szCs w:val="22"/>
      <w:lang w:val="en-US" w:eastAsia="zh-CN" w:bidi="ar-SA"/>
    </w:rPr>
  </w:style>
  <w:style w:type="paragraph" w:customStyle="1" w:styleId="76">
    <w:name w:val="Char Char Char Char"/>
    <w:basedOn w:val="1"/>
    <w:autoRedefine/>
    <w:qFormat/>
    <w:uiPriority w:val="0"/>
    <w:pPr>
      <w:snapToGrid w:val="0"/>
      <w:spacing w:line="360" w:lineRule="auto"/>
      <w:ind w:firstLine="200" w:firstLineChars="200"/>
    </w:pPr>
    <w:rPr>
      <w:szCs w:val="20"/>
    </w:rPr>
  </w:style>
  <w:style w:type="paragraph" w:customStyle="1" w:styleId="77">
    <w:name w:val="标题5"/>
    <w:basedOn w:val="1"/>
    <w:autoRedefine/>
    <w:qFormat/>
    <w:uiPriority w:val="0"/>
    <w:pPr>
      <w:adjustRightInd w:val="0"/>
      <w:spacing w:line="520" w:lineRule="atLeast"/>
      <w:ind w:firstLine="480" w:firstLineChars="200"/>
    </w:pPr>
    <w:rPr>
      <w:rFonts w:ascii="宋体" w:hAnsi="宋体"/>
      <w:color w:val="000000"/>
      <w:sz w:val="24"/>
    </w:rPr>
  </w:style>
  <w:style w:type="paragraph" w:customStyle="1" w:styleId="78">
    <w:name w:val="表内容"/>
    <w:basedOn w:val="1"/>
    <w:autoRedefine/>
    <w:qFormat/>
    <w:uiPriority w:val="0"/>
    <w:pPr>
      <w:jc w:val="center"/>
    </w:pPr>
    <w:rPr>
      <w:rFonts w:eastAsia="仿宋" w:cstheme="minorBidi"/>
    </w:rPr>
  </w:style>
  <w:style w:type="paragraph" w:customStyle="1" w:styleId="79">
    <w:name w:val="样式 正文 行距: 固定值 25 磅"/>
    <w:basedOn w:val="1"/>
    <w:autoRedefine/>
    <w:qFormat/>
    <w:uiPriority w:val="0"/>
    <w:pPr>
      <w:adjustRightInd w:val="0"/>
      <w:spacing w:line="500" w:lineRule="exact"/>
      <w:ind w:firstLine="200" w:firstLineChars="200"/>
      <w:jc w:val="left"/>
    </w:pPr>
    <w:rPr>
      <w:rFonts w:cs="宋体"/>
      <w:sz w:val="24"/>
    </w:rPr>
  </w:style>
  <w:style w:type="paragraph" w:customStyle="1" w:styleId="80">
    <w:name w:val="Char1"/>
    <w:basedOn w:val="1"/>
    <w:autoRedefine/>
    <w:qFormat/>
    <w:uiPriority w:val="0"/>
    <w:rPr>
      <w:szCs w:val="21"/>
    </w:rPr>
  </w:style>
  <w:style w:type="paragraph" w:customStyle="1" w:styleId="81">
    <w:name w:val="文本"/>
    <w:basedOn w:val="1"/>
    <w:autoRedefine/>
    <w:qFormat/>
    <w:uiPriority w:val="0"/>
    <w:pPr>
      <w:spacing w:line="360" w:lineRule="auto"/>
      <w:ind w:firstLine="480" w:firstLineChars="200"/>
    </w:pPr>
    <w:rPr>
      <w:sz w:val="24"/>
    </w:rPr>
  </w:style>
  <w:style w:type="paragraph" w:customStyle="1" w:styleId="82">
    <w:name w:val="F正文"/>
    <w:basedOn w:val="1"/>
    <w:autoRedefine/>
    <w:qFormat/>
    <w:uiPriority w:val="0"/>
    <w:pPr>
      <w:framePr w:wrap="notBeside" w:vAnchor="text" w:hAnchor="text" w:y="1"/>
      <w:spacing w:line="360" w:lineRule="auto"/>
      <w:ind w:firstLine="200" w:firstLineChars="200"/>
    </w:pPr>
    <w:rPr>
      <w:color w:val="000000"/>
      <w:kern w:val="0"/>
      <w:sz w:val="24"/>
      <w:szCs w:val="20"/>
      <w:lang w:val="zh-CN"/>
    </w:rPr>
  </w:style>
  <w:style w:type="character" w:customStyle="1" w:styleId="83">
    <w:name w:val="NormalCharacter"/>
    <w:autoRedefine/>
    <w:semiHidden/>
    <w:qFormat/>
    <w:uiPriority w:val="0"/>
  </w:style>
  <w:style w:type="paragraph" w:customStyle="1" w:styleId="84">
    <w:name w:val="1正文段落"/>
    <w:basedOn w:val="1"/>
    <w:autoRedefine/>
    <w:unhideWhenUsed/>
    <w:qFormat/>
    <w:uiPriority w:val="0"/>
    <w:pPr>
      <w:spacing w:line="360" w:lineRule="auto"/>
      <w:ind w:firstLine="200" w:firstLineChars="200"/>
    </w:pPr>
    <w:rPr>
      <w:snapToGrid w:val="0"/>
      <w:kern w:val="0"/>
      <w:sz w:val="24"/>
    </w:rPr>
  </w:style>
  <w:style w:type="character" w:customStyle="1" w:styleId="85">
    <w:name w:val="正文文本 Char1"/>
    <w:autoRedefine/>
    <w:qFormat/>
    <w:uiPriority w:val="0"/>
    <w:rPr>
      <w:rFonts w:eastAsia="宋体"/>
      <w:kern w:val="2"/>
      <w:sz w:val="28"/>
      <w:szCs w:val="24"/>
      <w:lang w:val="en-US" w:eastAsia="zh-CN" w:bidi="ar-SA"/>
    </w:rPr>
  </w:style>
  <w:style w:type="paragraph" w:customStyle="1" w:styleId="86">
    <w:name w:val="中文报告书样式"/>
    <w:basedOn w:val="1"/>
    <w:autoRedefine/>
    <w:qFormat/>
    <w:uiPriority w:val="0"/>
    <w:pPr>
      <w:adjustRightInd w:val="0"/>
      <w:spacing w:line="480" w:lineRule="atLeast"/>
      <w:ind w:firstLine="482"/>
    </w:pPr>
    <w:rPr>
      <w:rFonts w:ascii="Arial" w:hAnsi="Arial" w:eastAsia="Times New Roman" w:cs="Verdana"/>
      <w:b/>
      <w:kern w:val="24"/>
      <w:lang w:eastAsia="en-US"/>
    </w:rPr>
  </w:style>
  <w:style w:type="paragraph" w:customStyle="1" w:styleId="87">
    <w:name w:val="自定义2"/>
    <w:basedOn w:val="1"/>
    <w:autoRedefine/>
    <w:qFormat/>
    <w:uiPriority w:val="0"/>
    <w:pPr>
      <w:spacing w:line="360" w:lineRule="auto"/>
      <w:ind w:firstLine="480" w:firstLineChars="200"/>
    </w:pPr>
    <w:rPr>
      <w:rFonts w:hAnsi="宋体"/>
      <w:sz w:val="24"/>
      <w:szCs w:val="22"/>
    </w:rPr>
  </w:style>
  <w:style w:type="paragraph" w:customStyle="1" w:styleId="88">
    <w:name w:val="1、正文文本"/>
    <w:next w:val="1"/>
    <w:autoRedefine/>
    <w:qFormat/>
    <w:uiPriority w:val="0"/>
    <w:pPr>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89">
    <w:name w:val="样式 (西文) Times New Roman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90">
    <w:name w:val="表格小五"/>
    <w:basedOn w:val="1"/>
    <w:autoRedefine/>
    <w:qFormat/>
    <w:uiPriority w:val="0"/>
    <w:pPr>
      <w:adjustRightInd w:val="0"/>
      <w:snapToGrid w:val="0"/>
      <w:spacing w:after="93" w:afterLines="30" w:line="240" w:lineRule="atLeast"/>
      <w:ind w:firstLine="510"/>
      <w:jc w:val="left"/>
    </w:pPr>
    <w:rPr>
      <w:spacing w:val="16"/>
      <w:kern w:val="0"/>
      <w:sz w:val="18"/>
      <w:szCs w:val="20"/>
    </w:rPr>
  </w:style>
  <w:style w:type="paragraph" w:customStyle="1" w:styleId="91">
    <w:name w:val="样式1"/>
    <w:basedOn w:val="1"/>
    <w:autoRedefine/>
    <w:qFormat/>
    <w:uiPriority w:val="0"/>
    <w:pPr>
      <w:adjustRightInd w:val="0"/>
      <w:spacing w:line="480" w:lineRule="atLeast"/>
      <w:ind w:firstLine="539"/>
    </w:pPr>
    <w:rPr>
      <w:rFonts w:eastAsia="仿宋_GB2312"/>
      <w:kern w:val="0"/>
      <w:sz w:val="28"/>
    </w:rPr>
  </w:style>
  <w:style w:type="paragraph" w:customStyle="1" w:styleId="92">
    <w:name w:val="_Style 11"/>
    <w:basedOn w:val="1"/>
    <w:next w:val="93"/>
    <w:autoRedefine/>
    <w:qFormat/>
    <w:uiPriority w:val="99"/>
    <w:pPr>
      <w:ind w:firstLine="420"/>
    </w:pPr>
  </w:style>
  <w:style w:type="paragraph" w:styleId="93">
    <w:name w:val="List Paragraph"/>
    <w:basedOn w:val="1"/>
    <w:autoRedefine/>
    <w:qFormat/>
    <w:uiPriority w:val="34"/>
    <w:pPr>
      <w:ind w:firstLine="420"/>
    </w:pPr>
  </w:style>
  <w:style w:type="character" w:customStyle="1" w:styleId="94">
    <w:name w:val="fontstyle01"/>
    <w:autoRedefine/>
    <w:qFormat/>
    <w:uiPriority w:val="0"/>
    <w:rPr>
      <w:rFonts w:hint="eastAsia" w:ascii="宋体" w:hAnsi="宋体" w:eastAsia="宋体"/>
      <w:color w:val="000000"/>
      <w:sz w:val="24"/>
      <w:szCs w:val="24"/>
    </w:rPr>
  </w:style>
  <w:style w:type="paragraph" w:customStyle="1" w:styleId="95">
    <w:name w:val="表格 32"/>
    <w:basedOn w:val="1"/>
    <w:autoRedefine/>
    <w:qFormat/>
    <w:uiPriority w:val="0"/>
    <w:pPr>
      <w:autoSpaceDE w:val="0"/>
      <w:autoSpaceDN w:val="0"/>
      <w:adjustRightInd w:val="0"/>
      <w:jc w:val="center"/>
      <w:textAlignment w:val="baseline"/>
    </w:pPr>
    <w:rPr>
      <w:rFonts w:ascii="宋体" w:hAnsi="Impact"/>
      <w:kern w:val="24"/>
    </w:rPr>
  </w:style>
  <w:style w:type="paragraph" w:customStyle="1" w:styleId="96">
    <w:name w:val="表格标题"/>
    <w:basedOn w:val="1"/>
    <w:qFormat/>
    <w:uiPriority w:val="0"/>
    <w:pPr>
      <w:jc w:val="center"/>
    </w:pPr>
    <w:rPr>
      <w:b/>
    </w:rPr>
  </w:style>
  <w:style w:type="paragraph" w:customStyle="1" w:styleId="97">
    <w:name w:val="表格文"/>
    <w:basedOn w:val="1"/>
    <w:qFormat/>
    <w:uiPriority w:val="0"/>
    <w:pPr>
      <w:widowControl/>
      <w:jc w:val="center"/>
    </w:pPr>
    <w:rPr>
      <w:rFonts w:cs="宋体"/>
      <w:kern w:val="0"/>
      <w:szCs w:val="21"/>
    </w:rPr>
  </w:style>
  <w:style w:type="table" w:customStyle="1" w:styleId="9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png"/><Relationship Id="rId14" Type="http://schemas.openxmlformats.org/officeDocument/2006/relationships/image" Target="media/image4.emf"/><Relationship Id="rId13" Type="http://schemas.openxmlformats.org/officeDocument/2006/relationships/oleObject" Target="embeddings/oleObject4.bin"/><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88</Pages>
  <Words>579</Words>
  <Characters>642</Characters>
  <Lines>530</Lines>
  <Paragraphs>149</Paragraphs>
  <TotalTime>149</TotalTime>
  <ScaleCrop>false</ScaleCrop>
  <LinksUpToDate>false</LinksUpToDate>
  <CharactersWithSpaces>681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听潮</cp:lastModifiedBy>
  <cp:lastPrinted>2023-09-08T02:39:00Z</cp:lastPrinted>
  <dcterms:modified xsi:type="dcterms:W3CDTF">2024-12-10T07:35:49Z</dcterms:modified>
  <dc:title>附件2</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8B16A4F4997A4937911D985A3353D17F_13</vt:lpwstr>
  </property>
</Properties>
</file>